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AB6D" w14:textId="77777777" w:rsidR="00591951" w:rsidRPr="00654793" w:rsidRDefault="00E11DDB"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19F95D01" wp14:editId="0874991A">
                <wp:simplePos x="0" y="0"/>
                <wp:positionH relativeFrom="column">
                  <wp:posOffset>-205105</wp:posOffset>
                </wp:positionH>
                <wp:positionV relativeFrom="paragraph">
                  <wp:posOffset>1473835</wp:posOffset>
                </wp:positionV>
                <wp:extent cx="5949315" cy="4667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466725"/>
                        </a:xfrm>
                        <a:prstGeom prst="rect">
                          <a:avLst/>
                        </a:prstGeom>
                        <a:noFill/>
                        <a:ln w="6350">
                          <a:noFill/>
                        </a:ln>
                        <a:effectLst/>
                      </wps:spPr>
                      <wps:txbx>
                        <w:txbxContent>
                          <w:p w14:paraId="7A934388" w14:textId="77777777" w:rsidR="0070575F" w:rsidRPr="00B74219" w:rsidRDefault="0070575F" w:rsidP="00A11307">
                            <w:pPr>
                              <w:pStyle w:val="Subtitle"/>
                            </w:pPr>
                            <w:bookmarkStart w:id="0" w:name="_Toc531787292"/>
                            <w:r w:rsidRPr="002863D7">
                              <w:t>Australian Human Rights Commission Submissi</w:t>
                            </w:r>
                            <w:r>
                              <w:t>on to the Australian Law Reform Commission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95D01" id="_x0000_t202" coordsize="21600,21600" o:spt="202" path="m,l,21600r21600,l21600,xe">
                <v:stroke joinstyle="miter"/>
                <v:path gradientshapeok="t" o:connecttype="rect"/>
              </v:shapetype>
              <v:shape id="Text Box 3" o:spid="_x0000_s1026" type="#_x0000_t202" style="position:absolute;margin-left:-16.15pt;margin-top:116.05pt;width:468.4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ZHOwIAAHgEAAAOAAAAZHJzL2Uyb0RvYy54bWysVEtv2zAMvg/YfxB0X5x3FyNOkbXIMCBo&#10;CyRDz4osxcYkUZOU2N2vHyXnhW6nYReZIj/x9ZGe37dakaNwvgZT0EGvT4kwHMra7Av6fbv69JkS&#10;H5gpmQIjCvomPL1ffPwwb2wuhlCBKoUj6MT4vLEFrUKweZZ5XgnNfA+sMGiU4DQLeHX7rHSsQe9a&#10;ZcN+f5o14ErrgAvvUfvYGeki+ZdS8PAspReBqIJibiGdLp27eGaLOcv3jtmq5qc02D9koVltMOjF&#10;1SMLjBxc/YcrXXMHHmTocdAZSFlzkWrAagb9d9VsKmZFqgWb4+2lTf7/ueVPxxdH6rKgI0oM00jR&#10;VrSBfIGWjGJ3GutzBG0swkKLamQ5VertGvgPj5DsBtM98IiO3Wil0/GLdRJ8iAS8XZoeo3BUTmbj&#10;2WgwoYSjbTyd3g0nMW52fW2dD18FaBKFgjokNWXAjmsfOugZEoMZWNVKoZ7lypCmoNPRpJ8eXCzo&#10;XJkIEGlETm5iGV3mUQrtrkUnUdxB+YblO+jGx1u+qjGVNfPhhTmcFywMdyA84yEVYEg4SZRU4H79&#10;TR/xSCNaKWlw/grqfx6YE5SobwYJng3G4ziw6TKe3A3x4m4tu1uLOegHwBEf4LZZnsSID+osSgf6&#10;FVdlGaOiiRmOsQsazuJD6LYCV42L5TKBcEQtC2uzsfzMemz0tn1lzp7YCMjjE5wnleXvSOmwHS3L&#10;QwBZJ8auXT2ND4534vy0inF/bu8Jdf1hLH4DAAD//wMAUEsDBBQABgAIAAAAIQAdnaED4QAAAAsB&#10;AAAPAAAAZHJzL2Rvd25yZXYueG1sTI/LTsMwEEX3SPyDNUjsWrsJhBIyqSoEGySEKJUQOzce4oAf&#10;wXbb8PeYFSxH9+jeM81qsoYdKMTBO4TFXAAj13k1uB5h+3I/WwKLSToljXeE8E0RVu3pSSNr5Y/u&#10;mQ6b1LNc4mItEXRKY8157DRZGed+JJezdx+sTPkMPVdBHnO5NbwQouJWDi4vaDnSrabuc7O3CFfL&#10;N6U/wsO0fX1cf+mnkZs7yRHPz6b1DbBEU/qD4Vc/q0ObnXZ+71RkBmFWFmVGEYqyWADLxLW4qIDt&#10;EEpxWQFvG/7/h/YHAAD//wMAUEsBAi0AFAAGAAgAAAAhALaDOJL+AAAA4QEAABMAAAAAAAAAAAAA&#10;AAAAAAAAAFtDb250ZW50X1R5cGVzXS54bWxQSwECLQAUAAYACAAAACEAOP0h/9YAAACUAQAACwAA&#10;AAAAAAAAAAAAAAAvAQAAX3JlbHMvLnJlbHNQSwECLQAUAAYACAAAACEAp92WRzsCAAB4BAAADgAA&#10;AAAAAAAAAAAAAAAuAgAAZHJzL2Uyb0RvYy54bWxQSwECLQAUAAYACAAAACEAHZ2hA+EAAAALAQAA&#10;DwAAAAAAAAAAAAAAAACVBAAAZHJzL2Rvd25yZXYueG1sUEsFBgAAAAAEAAQA8wAAAKMFAAAAAA==&#10;" filled="f" stroked="f" strokeweight=".5pt">
                <v:path arrowok="t"/>
                <v:textbox>
                  <w:txbxContent>
                    <w:p w14:paraId="7A934388" w14:textId="77777777" w:rsidR="0070575F" w:rsidRPr="00B74219" w:rsidRDefault="0070575F" w:rsidP="00A11307">
                      <w:pPr>
                        <w:pStyle w:val="Subtitle"/>
                      </w:pPr>
                      <w:bookmarkStart w:id="1" w:name="_Toc531787292"/>
                      <w:r w:rsidRPr="002863D7">
                        <w:t>Australian Human Rights Commission Submissi</w:t>
                      </w:r>
                      <w:r>
                        <w:t>on to the Australian Law Reform Commission</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A04F252" wp14:editId="6AD0F9EB">
                <wp:simplePos x="0" y="0"/>
                <wp:positionH relativeFrom="column">
                  <wp:posOffset>2353945</wp:posOffset>
                </wp:positionH>
                <wp:positionV relativeFrom="paragraph">
                  <wp:posOffset>24765</wp:posOffset>
                </wp:positionV>
                <wp:extent cx="3336925" cy="13728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925" cy="1372870"/>
                        </a:xfrm>
                        <a:prstGeom prst="rect">
                          <a:avLst/>
                        </a:prstGeom>
                        <a:noFill/>
                        <a:ln w="6350">
                          <a:noFill/>
                        </a:ln>
                        <a:effectLst/>
                      </wps:spPr>
                      <wps:txbx>
                        <w:txbxContent>
                          <w:p w14:paraId="5EB83F4C" w14:textId="77777777" w:rsidR="0070575F" w:rsidRDefault="0070575F" w:rsidP="00D92C21">
                            <w:pPr>
                              <w:pStyle w:val="MainTitle"/>
                            </w:pPr>
                            <w:r>
                              <w:t>Review of the Family Law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F252" id="Text Box 1" o:spid="_x0000_s1027" type="#_x0000_t202" style="position:absolute;margin-left:185.35pt;margin-top:1.95pt;width:262.75pt;height:10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GQQAIAAIAEAAAOAAAAZHJzL2Uyb0RvYy54bWysVN1v2jAQf5+0/8Hy+wgJH20jQsVaMU1C&#10;bSWo+mwcG6I5Ps82JOyv39kJFHV7mvbinH2/+/zdZXbf1oochXUV6IKmgyElQnMoK70r6Otm+eWW&#10;EueZLpkCLQp6Eo7ezz9/mjUmFxnsQZXCEnSiXd6Ygu69N3mSOL4XNXMDMEKjUoKtmcer3SWlZQ16&#10;r1WSDYfTpAFbGgtcOIevj52SzqN/KQX3z1I64YkqKObm42njuQ1nMp+xfGeZ2Ve8T4P9QxY1qzQG&#10;vbh6ZJ6Rg63+cFVX3IID6Qcc6gSkrLiINWA16fBDNes9MyLWgs1x5tIm9//c8qfjiyVVWdCMEs1q&#10;pGgjWk++QkvS0J3GuBxBa4Mw3+IzshwrdWYF/IdDSHKF6QwcokM3Wmnr8MU6CRoiAadL00MUjo+j&#10;0Wh6l00o4ahLRzfZ7U2kJXk3N9b5bwJqEoSCWmQ1psCOK+dDAiw/Q0I0DctKqcis0qQp6HQ0GUaD&#10;iwYtlA5YEWekdxPq6FIPkm+3bezMpQ9bKE/YBgvdGDnDlxVmtGLOvzCLc4MF4i74ZzykAowMvUTJ&#10;Huyvv70HPNKJWkoanMOCup8HZgUl6rtGou/S8TgMbryMJzcZXuy1Znut0Yf6AXDUU9w6w6MY8F6d&#10;RWmhfsOVWYSoqGKaY+yC+rP44LvtwJXjYrGIIBxVw/xKrw0/sx/6vWnfmDU9KR75fILzxLL8Azcd&#10;tmNncfAgq0hc6HPX1X6McMwjn/1Khj26vkfU+49j/hsAAP//AwBQSwMEFAAGAAgAAAAhAOtfTWLg&#10;AAAACQEAAA8AAABkcnMvZG93bnJldi54bWxMj8FOwzAQRO9I/IO1SNyo3SA1aYhTVQguSAhRKiFu&#10;bryNU+x1sN02/D3mBLdZzWjmbbOanGUnDHHwJGE+E8CQOq8H6iVs3x5vKmAxKdLKekIJ3xhh1V5e&#10;NKrW/kyveNqknuUSirWSYFIaa85jZ9CpOPMjUvb2PjiV8hl6roM653JneSHEgjs1UF4wasR7g93n&#10;5ugklNWHNofwNG3fn9df5mXk9kFxKa+vpvUdsIRT+gvDL35GhzYz7fyRdGRWwm0pyhzNYgks+9Vy&#10;UQDbSSgKMQfeNvz/B+0PAAAA//8DAFBLAQItABQABgAIAAAAIQC2gziS/gAAAOEBAAATAAAAAAAA&#10;AAAAAAAAAAAAAABbQ29udGVudF9UeXBlc10ueG1sUEsBAi0AFAAGAAgAAAAhADj9If/WAAAAlAEA&#10;AAsAAAAAAAAAAAAAAAAALwEAAF9yZWxzLy5yZWxzUEsBAi0AFAAGAAgAAAAhAHQBQZBAAgAAgAQA&#10;AA4AAAAAAAAAAAAAAAAALgIAAGRycy9lMm9Eb2MueG1sUEsBAi0AFAAGAAgAAAAhAOtfTWLgAAAA&#10;CQEAAA8AAAAAAAAAAAAAAAAAmgQAAGRycy9kb3ducmV2LnhtbFBLBQYAAAAABAAEAPMAAACnBQAA&#10;AAA=&#10;" filled="f" stroked="f" strokeweight=".5pt">
                <v:path arrowok="t"/>
                <v:textbox>
                  <w:txbxContent>
                    <w:p w14:paraId="5EB83F4C" w14:textId="77777777" w:rsidR="0070575F" w:rsidRDefault="0070575F" w:rsidP="00D92C21">
                      <w:pPr>
                        <w:pStyle w:val="MainTitle"/>
                      </w:pPr>
                      <w:r>
                        <w:t>Review of the Family Law System</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E10AD2C" wp14:editId="10D0541E">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71C4F1D8" w14:textId="729A25A4" w:rsidR="0070575F" w:rsidRPr="00B74219" w:rsidRDefault="0070575F" w:rsidP="002863D7">
                            <w:pPr>
                              <w:pStyle w:val="Date"/>
                            </w:pPr>
                            <w:r>
                              <w:t>15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AD2C"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71C4F1D8" w14:textId="729A25A4" w:rsidR="0070575F" w:rsidRPr="00B74219" w:rsidRDefault="0070575F" w:rsidP="002863D7">
                      <w:pPr>
                        <w:pStyle w:val="Date"/>
                      </w:pPr>
                      <w:r>
                        <w:t>15 May 2018</w:t>
                      </w:r>
                    </w:p>
                  </w:txbxContent>
                </v:textbox>
              </v:shape>
            </w:pict>
          </mc:Fallback>
        </mc:AlternateContent>
      </w:r>
    </w:p>
    <w:p w14:paraId="370152A2" w14:textId="77777777" w:rsidR="00591951" w:rsidRPr="00827DE2" w:rsidRDefault="00591951" w:rsidP="00591951">
      <w:pPr>
        <w:pStyle w:val="MainTitle"/>
        <w:rPr>
          <w:sz w:val="44"/>
          <w:szCs w:val="44"/>
        </w:rPr>
      </w:pPr>
    </w:p>
    <w:p w14:paraId="48CBE91E"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51BAFCB0" w14:textId="77777777"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14:paraId="1750B1F5" w14:textId="50856DCF" w:rsidR="00F77980" w:rsidRDefault="00B63D24">
      <w:pPr>
        <w:pStyle w:val="TOC2"/>
        <w:rPr>
          <w:rFonts w:asciiTheme="minorHAnsi" w:eastAsiaTheme="minorEastAsia" w:hAnsiTheme="minorHAnsi" w:cstheme="minorBidi"/>
          <w:b w:val="0"/>
          <w:i w:val="0"/>
          <w:sz w:val="22"/>
          <w:szCs w:val="22"/>
        </w:rPr>
      </w:pPr>
      <w:r>
        <w:rPr>
          <w:sz w:val="22"/>
        </w:rPr>
        <w:fldChar w:fldCharType="begin"/>
      </w:r>
      <w:r>
        <w:instrText xml:space="preserve"> TOC \o "1-4" \h \z \u </w:instrText>
      </w:r>
      <w:r>
        <w:rPr>
          <w:sz w:val="22"/>
        </w:rPr>
        <w:fldChar w:fldCharType="separate"/>
      </w:r>
      <w:hyperlink r:id="rId13" w:anchor="_Toc531787292" w:history="1">
        <w:r w:rsidR="00F77980" w:rsidRPr="0077581A">
          <w:rPr>
            <w:rStyle w:val="Hyperlink"/>
          </w:rPr>
          <w:t>Australian Human Rights Commission Submission to the Australian Law Reform Commission</w:t>
        </w:r>
        <w:r w:rsidR="00F77980">
          <w:rPr>
            <w:webHidden/>
          </w:rPr>
          <w:tab/>
        </w:r>
        <w:r w:rsidR="00F77980">
          <w:rPr>
            <w:webHidden/>
          </w:rPr>
          <w:fldChar w:fldCharType="begin"/>
        </w:r>
        <w:r w:rsidR="00F77980">
          <w:rPr>
            <w:webHidden/>
          </w:rPr>
          <w:instrText xml:space="preserve"> PAGEREF _Toc531787292 \h </w:instrText>
        </w:r>
        <w:r w:rsidR="00F77980">
          <w:rPr>
            <w:webHidden/>
          </w:rPr>
        </w:r>
        <w:r w:rsidR="00F77980">
          <w:rPr>
            <w:webHidden/>
          </w:rPr>
          <w:fldChar w:fldCharType="separate"/>
        </w:r>
        <w:r w:rsidR="00EC14A3">
          <w:rPr>
            <w:webHidden/>
          </w:rPr>
          <w:t>1</w:t>
        </w:r>
        <w:r w:rsidR="00F77980">
          <w:rPr>
            <w:webHidden/>
          </w:rPr>
          <w:fldChar w:fldCharType="end"/>
        </w:r>
      </w:hyperlink>
    </w:p>
    <w:p w14:paraId="0DC7CC2A" w14:textId="153AA200" w:rsidR="00F77980" w:rsidRDefault="00F77980">
      <w:pPr>
        <w:pStyle w:val="TOC1"/>
        <w:rPr>
          <w:rFonts w:asciiTheme="minorHAnsi" w:eastAsiaTheme="minorEastAsia" w:hAnsiTheme="minorHAnsi" w:cstheme="minorBidi"/>
          <w:b w:val="0"/>
          <w:szCs w:val="22"/>
        </w:rPr>
      </w:pPr>
      <w:hyperlink w:anchor="_Toc531787293" w:history="1">
        <w:r w:rsidRPr="0077581A">
          <w:rPr>
            <w:rStyle w:val="Hyperlink"/>
          </w:rPr>
          <w:t>1</w:t>
        </w:r>
        <w:r>
          <w:rPr>
            <w:rFonts w:asciiTheme="minorHAnsi" w:eastAsiaTheme="minorEastAsia" w:hAnsiTheme="minorHAnsi" w:cstheme="minorBidi"/>
            <w:b w:val="0"/>
            <w:szCs w:val="22"/>
          </w:rPr>
          <w:tab/>
        </w:r>
        <w:r w:rsidRPr="0077581A">
          <w:rPr>
            <w:rStyle w:val="Hyperlink"/>
          </w:rPr>
          <w:t>Introduction</w:t>
        </w:r>
        <w:r>
          <w:rPr>
            <w:webHidden/>
          </w:rPr>
          <w:tab/>
        </w:r>
        <w:r>
          <w:rPr>
            <w:webHidden/>
          </w:rPr>
          <w:fldChar w:fldCharType="begin"/>
        </w:r>
        <w:r>
          <w:rPr>
            <w:webHidden/>
          </w:rPr>
          <w:instrText xml:space="preserve"> PAGEREF _Toc531787293 \h </w:instrText>
        </w:r>
        <w:r>
          <w:rPr>
            <w:webHidden/>
          </w:rPr>
        </w:r>
        <w:r>
          <w:rPr>
            <w:webHidden/>
          </w:rPr>
          <w:fldChar w:fldCharType="separate"/>
        </w:r>
        <w:r w:rsidR="00EC14A3">
          <w:rPr>
            <w:webHidden/>
          </w:rPr>
          <w:t>4</w:t>
        </w:r>
        <w:r>
          <w:rPr>
            <w:webHidden/>
          </w:rPr>
          <w:fldChar w:fldCharType="end"/>
        </w:r>
      </w:hyperlink>
    </w:p>
    <w:p w14:paraId="44F017A9" w14:textId="22D1DFED" w:rsidR="00F77980" w:rsidRDefault="00F77980">
      <w:pPr>
        <w:pStyle w:val="TOC1"/>
        <w:rPr>
          <w:rFonts w:asciiTheme="minorHAnsi" w:eastAsiaTheme="minorEastAsia" w:hAnsiTheme="minorHAnsi" w:cstheme="minorBidi"/>
          <w:b w:val="0"/>
          <w:szCs w:val="22"/>
        </w:rPr>
      </w:pPr>
      <w:hyperlink w:anchor="_Toc531787294" w:history="1">
        <w:r w:rsidRPr="0077581A">
          <w:rPr>
            <w:rStyle w:val="Hyperlink"/>
          </w:rPr>
          <w:t>2</w:t>
        </w:r>
        <w:r>
          <w:rPr>
            <w:rFonts w:asciiTheme="minorHAnsi" w:eastAsiaTheme="minorEastAsia" w:hAnsiTheme="minorHAnsi" w:cstheme="minorBidi"/>
            <w:b w:val="0"/>
            <w:szCs w:val="22"/>
          </w:rPr>
          <w:tab/>
        </w:r>
        <w:r w:rsidRPr="0077581A">
          <w:rPr>
            <w:rStyle w:val="Hyperlink"/>
          </w:rPr>
          <w:t>Summary</w:t>
        </w:r>
        <w:r>
          <w:rPr>
            <w:webHidden/>
          </w:rPr>
          <w:tab/>
        </w:r>
        <w:r>
          <w:rPr>
            <w:webHidden/>
          </w:rPr>
          <w:fldChar w:fldCharType="begin"/>
        </w:r>
        <w:r>
          <w:rPr>
            <w:webHidden/>
          </w:rPr>
          <w:instrText xml:space="preserve"> PAGEREF _Toc531787294 \h </w:instrText>
        </w:r>
        <w:r>
          <w:rPr>
            <w:webHidden/>
          </w:rPr>
        </w:r>
        <w:r>
          <w:rPr>
            <w:webHidden/>
          </w:rPr>
          <w:fldChar w:fldCharType="separate"/>
        </w:r>
        <w:r w:rsidR="00EC14A3">
          <w:rPr>
            <w:webHidden/>
          </w:rPr>
          <w:t>4</w:t>
        </w:r>
        <w:r>
          <w:rPr>
            <w:webHidden/>
          </w:rPr>
          <w:fldChar w:fldCharType="end"/>
        </w:r>
      </w:hyperlink>
    </w:p>
    <w:p w14:paraId="49C89545" w14:textId="516EFAB5" w:rsidR="00F77980" w:rsidRDefault="00F77980">
      <w:pPr>
        <w:pStyle w:val="TOC1"/>
        <w:rPr>
          <w:rFonts w:asciiTheme="minorHAnsi" w:eastAsiaTheme="minorEastAsia" w:hAnsiTheme="minorHAnsi" w:cstheme="minorBidi"/>
          <w:b w:val="0"/>
          <w:szCs w:val="22"/>
        </w:rPr>
      </w:pPr>
      <w:hyperlink w:anchor="_Toc531787295" w:history="1">
        <w:r w:rsidRPr="0077581A">
          <w:rPr>
            <w:rStyle w:val="Hyperlink"/>
          </w:rPr>
          <w:t>3</w:t>
        </w:r>
        <w:r>
          <w:rPr>
            <w:rFonts w:asciiTheme="minorHAnsi" w:eastAsiaTheme="minorEastAsia" w:hAnsiTheme="minorHAnsi" w:cstheme="minorBidi"/>
            <w:b w:val="0"/>
            <w:szCs w:val="22"/>
          </w:rPr>
          <w:tab/>
        </w:r>
        <w:r w:rsidRPr="0077581A">
          <w:rPr>
            <w:rStyle w:val="Hyperlink"/>
          </w:rPr>
          <w:t>Objectives and principles</w:t>
        </w:r>
        <w:r>
          <w:rPr>
            <w:webHidden/>
          </w:rPr>
          <w:tab/>
        </w:r>
        <w:r>
          <w:rPr>
            <w:webHidden/>
          </w:rPr>
          <w:fldChar w:fldCharType="begin"/>
        </w:r>
        <w:r>
          <w:rPr>
            <w:webHidden/>
          </w:rPr>
          <w:instrText xml:space="preserve"> PAGEREF _Toc531787295 \h </w:instrText>
        </w:r>
        <w:r>
          <w:rPr>
            <w:webHidden/>
          </w:rPr>
        </w:r>
        <w:r>
          <w:rPr>
            <w:webHidden/>
          </w:rPr>
          <w:fldChar w:fldCharType="separate"/>
        </w:r>
        <w:r w:rsidR="00EC14A3">
          <w:rPr>
            <w:webHidden/>
          </w:rPr>
          <w:t>10</w:t>
        </w:r>
        <w:r>
          <w:rPr>
            <w:webHidden/>
          </w:rPr>
          <w:fldChar w:fldCharType="end"/>
        </w:r>
      </w:hyperlink>
    </w:p>
    <w:p w14:paraId="2F1360F8" w14:textId="4B3F644E" w:rsidR="00F77980" w:rsidRDefault="00F77980">
      <w:pPr>
        <w:pStyle w:val="TOC2"/>
        <w:rPr>
          <w:rFonts w:asciiTheme="minorHAnsi" w:eastAsiaTheme="minorEastAsia" w:hAnsiTheme="minorHAnsi" w:cstheme="minorBidi"/>
          <w:b w:val="0"/>
          <w:i w:val="0"/>
          <w:sz w:val="22"/>
          <w:szCs w:val="22"/>
        </w:rPr>
      </w:pPr>
      <w:hyperlink w:anchor="_Toc531787296" w:history="1">
        <w:r w:rsidRPr="0077581A">
          <w:rPr>
            <w:rStyle w:val="Hyperlink"/>
          </w:rPr>
          <w:t>3.1</w:t>
        </w:r>
        <w:r>
          <w:rPr>
            <w:rFonts w:asciiTheme="minorHAnsi" w:eastAsiaTheme="minorEastAsia" w:hAnsiTheme="minorHAnsi" w:cstheme="minorBidi"/>
            <w:b w:val="0"/>
            <w:i w:val="0"/>
            <w:sz w:val="22"/>
            <w:szCs w:val="22"/>
          </w:rPr>
          <w:tab/>
        </w:r>
        <w:r w:rsidRPr="0077581A">
          <w:rPr>
            <w:rStyle w:val="Hyperlink"/>
          </w:rPr>
          <w:t>Human rights principles to inform amendments to the Family Law Act</w:t>
        </w:r>
        <w:r>
          <w:rPr>
            <w:webHidden/>
          </w:rPr>
          <w:tab/>
        </w:r>
        <w:r>
          <w:rPr>
            <w:webHidden/>
          </w:rPr>
          <w:fldChar w:fldCharType="begin"/>
        </w:r>
        <w:r>
          <w:rPr>
            <w:webHidden/>
          </w:rPr>
          <w:instrText xml:space="preserve"> PAGEREF _Toc531787296 \h </w:instrText>
        </w:r>
        <w:r>
          <w:rPr>
            <w:webHidden/>
          </w:rPr>
        </w:r>
        <w:r>
          <w:rPr>
            <w:webHidden/>
          </w:rPr>
          <w:fldChar w:fldCharType="separate"/>
        </w:r>
        <w:r w:rsidR="00EC14A3">
          <w:rPr>
            <w:webHidden/>
          </w:rPr>
          <w:t>10</w:t>
        </w:r>
        <w:r>
          <w:rPr>
            <w:webHidden/>
          </w:rPr>
          <w:fldChar w:fldCharType="end"/>
        </w:r>
      </w:hyperlink>
    </w:p>
    <w:p w14:paraId="157BC8F6" w14:textId="16CDE21B" w:rsidR="00F77980" w:rsidRDefault="00F77980">
      <w:pPr>
        <w:pStyle w:val="TOC3"/>
        <w:rPr>
          <w:rFonts w:asciiTheme="minorHAnsi" w:eastAsiaTheme="minorEastAsia" w:hAnsiTheme="minorHAnsi" w:cstheme="minorBidi"/>
          <w:i w:val="0"/>
          <w:sz w:val="22"/>
          <w:szCs w:val="22"/>
        </w:rPr>
      </w:pPr>
      <w:hyperlink w:anchor="_Toc531787297" w:history="1">
        <w:r w:rsidRPr="0077581A">
          <w:rPr>
            <w:rStyle w:val="Hyperlink"/>
          </w:rPr>
          <w:t>(a)</w:t>
        </w:r>
        <w:r>
          <w:rPr>
            <w:rFonts w:asciiTheme="minorHAnsi" w:eastAsiaTheme="minorEastAsia" w:hAnsiTheme="minorHAnsi" w:cstheme="minorBidi"/>
            <w:i w:val="0"/>
            <w:sz w:val="22"/>
            <w:szCs w:val="22"/>
          </w:rPr>
          <w:tab/>
        </w:r>
        <w:r w:rsidRPr="0077581A">
          <w:rPr>
            <w:rStyle w:val="Hyperlink"/>
          </w:rPr>
          <w:t>Children’s rights</w:t>
        </w:r>
        <w:r>
          <w:rPr>
            <w:webHidden/>
          </w:rPr>
          <w:tab/>
        </w:r>
        <w:r>
          <w:rPr>
            <w:webHidden/>
          </w:rPr>
          <w:fldChar w:fldCharType="begin"/>
        </w:r>
        <w:r>
          <w:rPr>
            <w:webHidden/>
          </w:rPr>
          <w:instrText xml:space="preserve"> PAGEREF _Toc531787297 \h </w:instrText>
        </w:r>
        <w:r>
          <w:rPr>
            <w:webHidden/>
          </w:rPr>
        </w:r>
        <w:r>
          <w:rPr>
            <w:webHidden/>
          </w:rPr>
          <w:fldChar w:fldCharType="separate"/>
        </w:r>
        <w:r w:rsidR="00EC14A3">
          <w:rPr>
            <w:webHidden/>
          </w:rPr>
          <w:t>11</w:t>
        </w:r>
        <w:r>
          <w:rPr>
            <w:webHidden/>
          </w:rPr>
          <w:fldChar w:fldCharType="end"/>
        </w:r>
      </w:hyperlink>
    </w:p>
    <w:p w14:paraId="48D9480E" w14:textId="7496F9B4" w:rsidR="00F77980" w:rsidRDefault="00F77980">
      <w:pPr>
        <w:pStyle w:val="TOC3"/>
        <w:rPr>
          <w:rFonts w:asciiTheme="minorHAnsi" w:eastAsiaTheme="minorEastAsia" w:hAnsiTheme="minorHAnsi" w:cstheme="minorBidi"/>
          <w:i w:val="0"/>
          <w:sz w:val="22"/>
          <w:szCs w:val="22"/>
        </w:rPr>
      </w:pPr>
      <w:hyperlink w:anchor="_Toc531787298" w:history="1">
        <w:r w:rsidRPr="0077581A">
          <w:rPr>
            <w:rStyle w:val="Hyperlink"/>
          </w:rPr>
          <w:t>(b)</w:t>
        </w:r>
        <w:r>
          <w:rPr>
            <w:rFonts w:asciiTheme="minorHAnsi" w:eastAsiaTheme="minorEastAsia" w:hAnsiTheme="minorHAnsi" w:cstheme="minorBidi"/>
            <w:i w:val="0"/>
            <w:sz w:val="22"/>
            <w:szCs w:val="22"/>
          </w:rPr>
          <w:tab/>
        </w:r>
        <w:r w:rsidRPr="0077581A">
          <w:rPr>
            <w:rStyle w:val="Hyperlink"/>
          </w:rPr>
          <w:t>Discrimination against women</w:t>
        </w:r>
        <w:r>
          <w:rPr>
            <w:webHidden/>
          </w:rPr>
          <w:tab/>
        </w:r>
        <w:r>
          <w:rPr>
            <w:webHidden/>
          </w:rPr>
          <w:fldChar w:fldCharType="begin"/>
        </w:r>
        <w:r>
          <w:rPr>
            <w:webHidden/>
          </w:rPr>
          <w:instrText xml:space="preserve"> PAGEREF _Toc531787298 \h </w:instrText>
        </w:r>
        <w:r>
          <w:rPr>
            <w:webHidden/>
          </w:rPr>
        </w:r>
        <w:r>
          <w:rPr>
            <w:webHidden/>
          </w:rPr>
          <w:fldChar w:fldCharType="separate"/>
        </w:r>
        <w:r w:rsidR="00EC14A3">
          <w:rPr>
            <w:webHidden/>
          </w:rPr>
          <w:t>12</w:t>
        </w:r>
        <w:r>
          <w:rPr>
            <w:webHidden/>
          </w:rPr>
          <w:fldChar w:fldCharType="end"/>
        </w:r>
      </w:hyperlink>
    </w:p>
    <w:p w14:paraId="52AE0DE3" w14:textId="2C1DB013" w:rsidR="00F77980" w:rsidRDefault="00F77980">
      <w:pPr>
        <w:pStyle w:val="TOC3"/>
        <w:rPr>
          <w:rFonts w:asciiTheme="minorHAnsi" w:eastAsiaTheme="minorEastAsia" w:hAnsiTheme="minorHAnsi" w:cstheme="minorBidi"/>
          <w:i w:val="0"/>
          <w:sz w:val="22"/>
          <w:szCs w:val="22"/>
        </w:rPr>
      </w:pPr>
      <w:hyperlink w:anchor="_Toc531787299" w:history="1">
        <w:r w:rsidRPr="0077581A">
          <w:rPr>
            <w:rStyle w:val="Hyperlink"/>
          </w:rPr>
          <w:t>(c)</w:t>
        </w:r>
        <w:r>
          <w:rPr>
            <w:rFonts w:asciiTheme="minorHAnsi" w:eastAsiaTheme="minorEastAsia" w:hAnsiTheme="minorHAnsi" w:cstheme="minorBidi"/>
            <w:i w:val="0"/>
            <w:sz w:val="22"/>
            <w:szCs w:val="22"/>
          </w:rPr>
          <w:tab/>
        </w:r>
        <w:r w:rsidRPr="0077581A">
          <w:rPr>
            <w:rStyle w:val="Hyperlink"/>
          </w:rPr>
          <w:t>The rights of people with disability</w:t>
        </w:r>
        <w:r>
          <w:rPr>
            <w:webHidden/>
          </w:rPr>
          <w:tab/>
        </w:r>
        <w:r>
          <w:rPr>
            <w:webHidden/>
          </w:rPr>
          <w:fldChar w:fldCharType="begin"/>
        </w:r>
        <w:r>
          <w:rPr>
            <w:webHidden/>
          </w:rPr>
          <w:instrText xml:space="preserve"> PAGEREF _Toc531787299 \h </w:instrText>
        </w:r>
        <w:r>
          <w:rPr>
            <w:webHidden/>
          </w:rPr>
        </w:r>
        <w:r>
          <w:rPr>
            <w:webHidden/>
          </w:rPr>
          <w:fldChar w:fldCharType="separate"/>
        </w:r>
        <w:r w:rsidR="00EC14A3">
          <w:rPr>
            <w:webHidden/>
          </w:rPr>
          <w:t>13</w:t>
        </w:r>
        <w:r>
          <w:rPr>
            <w:webHidden/>
          </w:rPr>
          <w:fldChar w:fldCharType="end"/>
        </w:r>
      </w:hyperlink>
    </w:p>
    <w:p w14:paraId="7A579E45" w14:textId="20A25A8E" w:rsidR="00F77980" w:rsidRDefault="00F77980">
      <w:pPr>
        <w:pStyle w:val="TOC3"/>
        <w:rPr>
          <w:rFonts w:asciiTheme="minorHAnsi" w:eastAsiaTheme="minorEastAsia" w:hAnsiTheme="minorHAnsi" w:cstheme="minorBidi"/>
          <w:i w:val="0"/>
          <w:sz w:val="22"/>
          <w:szCs w:val="22"/>
        </w:rPr>
      </w:pPr>
      <w:hyperlink w:anchor="_Toc531787300" w:history="1">
        <w:r w:rsidRPr="0077581A">
          <w:rPr>
            <w:rStyle w:val="Hyperlink"/>
          </w:rPr>
          <w:t>(d)</w:t>
        </w:r>
        <w:r>
          <w:rPr>
            <w:rFonts w:asciiTheme="minorHAnsi" w:eastAsiaTheme="minorEastAsia" w:hAnsiTheme="minorHAnsi" w:cstheme="minorBidi"/>
            <w:i w:val="0"/>
            <w:sz w:val="22"/>
            <w:szCs w:val="22"/>
          </w:rPr>
          <w:tab/>
        </w:r>
        <w:r w:rsidRPr="0077581A">
          <w:rPr>
            <w:rStyle w:val="Hyperlink"/>
          </w:rPr>
          <w:t>Aboriginal and Torres Strait Islander peoples</w:t>
        </w:r>
        <w:r>
          <w:rPr>
            <w:webHidden/>
          </w:rPr>
          <w:tab/>
        </w:r>
        <w:r>
          <w:rPr>
            <w:webHidden/>
          </w:rPr>
          <w:fldChar w:fldCharType="begin"/>
        </w:r>
        <w:r>
          <w:rPr>
            <w:webHidden/>
          </w:rPr>
          <w:instrText xml:space="preserve"> PAGEREF _Toc531787300 \h </w:instrText>
        </w:r>
        <w:r>
          <w:rPr>
            <w:webHidden/>
          </w:rPr>
        </w:r>
        <w:r>
          <w:rPr>
            <w:webHidden/>
          </w:rPr>
          <w:fldChar w:fldCharType="separate"/>
        </w:r>
        <w:r w:rsidR="00EC14A3">
          <w:rPr>
            <w:webHidden/>
          </w:rPr>
          <w:t>13</w:t>
        </w:r>
        <w:r>
          <w:rPr>
            <w:webHidden/>
          </w:rPr>
          <w:fldChar w:fldCharType="end"/>
        </w:r>
      </w:hyperlink>
    </w:p>
    <w:p w14:paraId="0E5FB0FC" w14:textId="2465E70C" w:rsidR="00F77980" w:rsidRDefault="00F77980">
      <w:pPr>
        <w:pStyle w:val="TOC3"/>
        <w:rPr>
          <w:rFonts w:asciiTheme="minorHAnsi" w:eastAsiaTheme="minorEastAsia" w:hAnsiTheme="minorHAnsi" w:cstheme="minorBidi"/>
          <w:i w:val="0"/>
          <w:sz w:val="22"/>
          <w:szCs w:val="22"/>
        </w:rPr>
      </w:pPr>
      <w:hyperlink w:anchor="_Toc531787301" w:history="1">
        <w:r w:rsidRPr="0077581A">
          <w:rPr>
            <w:rStyle w:val="Hyperlink"/>
          </w:rPr>
          <w:t>(e)</w:t>
        </w:r>
        <w:r>
          <w:rPr>
            <w:rFonts w:asciiTheme="minorHAnsi" w:eastAsiaTheme="minorEastAsia" w:hAnsiTheme="minorHAnsi" w:cstheme="minorBidi"/>
            <w:i w:val="0"/>
            <w:sz w:val="22"/>
            <w:szCs w:val="22"/>
          </w:rPr>
          <w:tab/>
        </w:r>
        <w:r w:rsidRPr="0077581A">
          <w:rPr>
            <w:rStyle w:val="Hyperlink"/>
          </w:rPr>
          <w:t>Lesbian, gay, bisexual, transgender and intersex people</w:t>
        </w:r>
        <w:r>
          <w:rPr>
            <w:webHidden/>
          </w:rPr>
          <w:tab/>
        </w:r>
        <w:r>
          <w:rPr>
            <w:webHidden/>
          </w:rPr>
          <w:fldChar w:fldCharType="begin"/>
        </w:r>
        <w:r>
          <w:rPr>
            <w:webHidden/>
          </w:rPr>
          <w:instrText xml:space="preserve"> PAGEREF _Toc531787301 \h </w:instrText>
        </w:r>
        <w:r>
          <w:rPr>
            <w:webHidden/>
          </w:rPr>
        </w:r>
        <w:r>
          <w:rPr>
            <w:webHidden/>
          </w:rPr>
          <w:fldChar w:fldCharType="separate"/>
        </w:r>
        <w:r w:rsidR="00EC14A3">
          <w:rPr>
            <w:webHidden/>
          </w:rPr>
          <w:t>14</w:t>
        </w:r>
        <w:r>
          <w:rPr>
            <w:webHidden/>
          </w:rPr>
          <w:fldChar w:fldCharType="end"/>
        </w:r>
      </w:hyperlink>
    </w:p>
    <w:p w14:paraId="08156707" w14:textId="3FAFFBB7" w:rsidR="00F77980" w:rsidRDefault="00F77980">
      <w:pPr>
        <w:pStyle w:val="TOC1"/>
        <w:rPr>
          <w:rFonts w:asciiTheme="minorHAnsi" w:eastAsiaTheme="minorEastAsia" w:hAnsiTheme="minorHAnsi" w:cstheme="minorBidi"/>
          <w:b w:val="0"/>
          <w:szCs w:val="22"/>
        </w:rPr>
      </w:pPr>
      <w:hyperlink w:anchor="_Toc531787302" w:history="1">
        <w:r w:rsidRPr="0077581A">
          <w:rPr>
            <w:rStyle w:val="Hyperlink"/>
          </w:rPr>
          <w:t>4</w:t>
        </w:r>
        <w:r>
          <w:rPr>
            <w:rFonts w:asciiTheme="minorHAnsi" w:eastAsiaTheme="minorEastAsia" w:hAnsiTheme="minorHAnsi" w:cstheme="minorBidi"/>
            <w:b w:val="0"/>
            <w:szCs w:val="22"/>
          </w:rPr>
          <w:tab/>
        </w:r>
        <w:r w:rsidRPr="0077581A">
          <w:rPr>
            <w:rStyle w:val="Hyperlink"/>
          </w:rPr>
          <w:t>Access and engagement</w:t>
        </w:r>
        <w:r>
          <w:rPr>
            <w:webHidden/>
          </w:rPr>
          <w:tab/>
        </w:r>
        <w:r>
          <w:rPr>
            <w:webHidden/>
          </w:rPr>
          <w:fldChar w:fldCharType="begin"/>
        </w:r>
        <w:r>
          <w:rPr>
            <w:webHidden/>
          </w:rPr>
          <w:instrText xml:space="preserve"> PAGEREF _Toc531787302 \h </w:instrText>
        </w:r>
        <w:r>
          <w:rPr>
            <w:webHidden/>
          </w:rPr>
        </w:r>
        <w:r>
          <w:rPr>
            <w:webHidden/>
          </w:rPr>
          <w:fldChar w:fldCharType="separate"/>
        </w:r>
        <w:r w:rsidR="00EC14A3">
          <w:rPr>
            <w:webHidden/>
          </w:rPr>
          <w:t>15</w:t>
        </w:r>
        <w:r>
          <w:rPr>
            <w:webHidden/>
          </w:rPr>
          <w:fldChar w:fldCharType="end"/>
        </w:r>
      </w:hyperlink>
    </w:p>
    <w:p w14:paraId="381E22DA" w14:textId="2537E0DC" w:rsidR="00F77980" w:rsidRDefault="00F77980">
      <w:pPr>
        <w:pStyle w:val="TOC2"/>
        <w:rPr>
          <w:rFonts w:asciiTheme="minorHAnsi" w:eastAsiaTheme="minorEastAsia" w:hAnsiTheme="minorHAnsi" w:cstheme="minorBidi"/>
          <w:b w:val="0"/>
          <w:i w:val="0"/>
          <w:sz w:val="22"/>
          <w:szCs w:val="22"/>
        </w:rPr>
      </w:pPr>
      <w:hyperlink w:anchor="_Toc531787303" w:history="1">
        <w:r w:rsidRPr="0077581A">
          <w:rPr>
            <w:rStyle w:val="Hyperlink"/>
          </w:rPr>
          <w:t>4.1</w:t>
        </w:r>
        <w:r>
          <w:rPr>
            <w:rFonts w:asciiTheme="minorHAnsi" w:eastAsiaTheme="minorEastAsia" w:hAnsiTheme="minorHAnsi" w:cstheme="minorBidi"/>
            <w:b w:val="0"/>
            <w:i w:val="0"/>
            <w:sz w:val="22"/>
            <w:szCs w:val="22"/>
          </w:rPr>
          <w:tab/>
        </w:r>
        <w:r w:rsidRPr="0077581A">
          <w:rPr>
            <w:rStyle w:val="Hyperlink"/>
          </w:rPr>
          <w:t>Accessibility for Aboriginal and Torres Strait Islander people</w:t>
        </w:r>
        <w:r>
          <w:rPr>
            <w:webHidden/>
          </w:rPr>
          <w:tab/>
        </w:r>
        <w:r>
          <w:rPr>
            <w:webHidden/>
          </w:rPr>
          <w:fldChar w:fldCharType="begin"/>
        </w:r>
        <w:r>
          <w:rPr>
            <w:webHidden/>
          </w:rPr>
          <w:instrText xml:space="preserve"> PAGEREF _Toc531787303 \h </w:instrText>
        </w:r>
        <w:r>
          <w:rPr>
            <w:webHidden/>
          </w:rPr>
        </w:r>
        <w:r>
          <w:rPr>
            <w:webHidden/>
          </w:rPr>
          <w:fldChar w:fldCharType="separate"/>
        </w:r>
        <w:r w:rsidR="00EC14A3">
          <w:rPr>
            <w:webHidden/>
          </w:rPr>
          <w:t>15</w:t>
        </w:r>
        <w:r>
          <w:rPr>
            <w:webHidden/>
          </w:rPr>
          <w:fldChar w:fldCharType="end"/>
        </w:r>
      </w:hyperlink>
    </w:p>
    <w:p w14:paraId="772BDE95" w14:textId="5F02EF4E" w:rsidR="00F77980" w:rsidRDefault="00F77980">
      <w:pPr>
        <w:pStyle w:val="TOC2"/>
        <w:rPr>
          <w:rFonts w:asciiTheme="minorHAnsi" w:eastAsiaTheme="minorEastAsia" w:hAnsiTheme="minorHAnsi" w:cstheme="minorBidi"/>
          <w:b w:val="0"/>
          <w:i w:val="0"/>
          <w:sz w:val="22"/>
          <w:szCs w:val="22"/>
        </w:rPr>
      </w:pPr>
      <w:hyperlink w:anchor="_Toc531787304" w:history="1">
        <w:r w:rsidRPr="0077581A">
          <w:rPr>
            <w:rStyle w:val="Hyperlink"/>
          </w:rPr>
          <w:t>4.2</w:t>
        </w:r>
        <w:r>
          <w:rPr>
            <w:rFonts w:asciiTheme="minorHAnsi" w:eastAsiaTheme="minorEastAsia" w:hAnsiTheme="minorHAnsi" w:cstheme="minorBidi"/>
            <w:b w:val="0"/>
            <w:i w:val="0"/>
            <w:sz w:val="22"/>
            <w:szCs w:val="22"/>
          </w:rPr>
          <w:tab/>
        </w:r>
        <w:r w:rsidRPr="0077581A">
          <w:rPr>
            <w:rStyle w:val="Hyperlink"/>
          </w:rPr>
          <w:t>Accessibility for people from culturally and linguistically diverse communities</w:t>
        </w:r>
        <w:r>
          <w:rPr>
            <w:webHidden/>
          </w:rPr>
          <w:tab/>
        </w:r>
        <w:r>
          <w:rPr>
            <w:webHidden/>
          </w:rPr>
          <w:fldChar w:fldCharType="begin"/>
        </w:r>
        <w:r>
          <w:rPr>
            <w:webHidden/>
          </w:rPr>
          <w:instrText xml:space="preserve"> PAGEREF _Toc531787304 \h </w:instrText>
        </w:r>
        <w:r>
          <w:rPr>
            <w:webHidden/>
          </w:rPr>
        </w:r>
        <w:r>
          <w:rPr>
            <w:webHidden/>
          </w:rPr>
          <w:fldChar w:fldCharType="separate"/>
        </w:r>
        <w:r w:rsidR="00EC14A3">
          <w:rPr>
            <w:webHidden/>
          </w:rPr>
          <w:t>17</w:t>
        </w:r>
        <w:r>
          <w:rPr>
            <w:webHidden/>
          </w:rPr>
          <w:fldChar w:fldCharType="end"/>
        </w:r>
      </w:hyperlink>
    </w:p>
    <w:p w14:paraId="6906EEB7" w14:textId="3095A6D8" w:rsidR="00F77980" w:rsidRDefault="00F77980">
      <w:pPr>
        <w:pStyle w:val="TOC2"/>
        <w:rPr>
          <w:rFonts w:asciiTheme="minorHAnsi" w:eastAsiaTheme="minorEastAsia" w:hAnsiTheme="minorHAnsi" w:cstheme="minorBidi"/>
          <w:b w:val="0"/>
          <w:i w:val="0"/>
          <w:sz w:val="22"/>
          <w:szCs w:val="22"/>
        </w:rPr>
      </w:pPr>
      <w:hyperlink w:anchor="_Toc531787305" w:history="1">
        <w:r w:rsidRPr="0077581A">
          <w:rPr>
            <w:rStyle w:val="Hyperlink"/>
          </w:rPr>
          <w:t>4.3</w:t>
        </w:r>
        <w:r>
          <w:rPr>
            <w:rFonts w:asciiTheme="minorHAnsi" w:eastAsiaTheme="minorEastAsia" w:hAnsiTheme="minorHAnsi" w:cstheme="minorBidi"/>
            <w:b w:val="0"/>
            <w:i w:val="0"/>
            <w:sz w:val="22"/>
            <w:szCs w:val="22"/>
          </w:rPr>
          <w:tab/>
        </w:r>
        <w:r w:rsidRPr="0077581A">
          <w:rPr>
            <w:rStyle w:val="Hyperlink"/>
          </w:rPr>
          <w:t>Accessibility for people with disability</w:t>
        </w:r>
        <w:r>
          <w:rPr>
            <w:webHidden/>
          </w:rPr>
          <w:tab/>
        </w:r>
        <w:r>
          <w:rPr>
            <w:webHidden/>
          </w:rPr>
          <w:fldChar w:fldCharType="begin"/>
        </w:r>
        <w:r>
          <w:rPr>
            <w:webHidden/>
          </w:rPr>
          <w:instrText xml:space="preserve"> PAGEREF _Toc531787305 \h </w:instrText>
        </w:r>
        <w:r>
          <w:rPr>
            <w:webHidden/>
          </w:rPr>
        </w:r>
        <w:r>
          <w:rPr>
            <w:webHidden/>
          </w:rPr>
          <w:fldChar w:fldCharType="separate"/>
        </w:r>
        <w:r w:rsidR="00EC14A3">
          <w:rPr>
            <w:webHidden/>
          </w:rPr>
          <w:t>18</w:t>
        </w:r>
        <w:r>
          <w:rPr>
            <w:webHidden/>
          </w:rPr>
          <w:fldChar w:fldCharType="end"/>
        </w:r>
      </w:hyperlink>
    </w:p>
    <w:p w14:paraId="4A00D499" w14:textId="27E9C427" w:rsidR="00F77980" w:rsidRDefault="00F77980">
      <w:pPr>
        <w:pStyle w:val="TOC3"/>
        <w:rPr>
          <w:rFonts w:asciiTheme="minorHAnsi" w:eastAsiaTheme="minorEastAsia" w:hAnsiTheme="minorHAnsi" w:cstheme="minorBidi"/>
          <w:i w:val="0"/>
          <w:sz w:val="22"/>
          <w:szCs w:val="22"/>
        </w:rPr>
      </w:pPr>
      <w:hyperlink w:anchor="_Toc531787306" w:history="1">
        <w:r w:rsidRPr="0077581A">
          <w:rPr>
            <w:rStyle w:val="Hyperlink"/>
          </w:rPr>
          <w:t>(a)</w:t>
        </w:r>
        <w:r>
          <w:rPr>
            <w:rFonts w:asciiTheme="minorHAnsi" w:eastAsiaTheme="minorEastAsia" w:hAnsiTheme="minorHAnsi" w:cstheme="minorBidi"/>
            <w:i w:val="0"/>
            <w:sz w:val="22"/>
            <w:szCs w:val="22"/>
          </w:rPr>
          <w:tab/>
        </w:r>
        <w:r w:rsidRPr="0077581A">
          <w:rPr>
            <w:rStyle w:val="Hyperlink"/>
          </w:rPr>
          <w:t>Participation in court</w:t>
        </w:r>
        <w:r>
          <w:rPr>
            <w:webHidden/>
          </w:rPr>
          <w:tab/>
        </w:r>
        <w:r>
          <w:rPr>
            <w:webHidden/>
          </w:rPr>
          <w:fldChar w:fldCharType="begin"/>
        </w:r>
        <w:r>
          <w:rPr>
            <w:webHidden/>
          </w:rPr>
          <w:instrText xml:space="preserve"> PAGEREF _Toc531787306 \h </w:instrText>
        </w:r>
        <w:r>
          <w:rPr>
            <w:webHidden/>
          </w:rPr>
        </w:r>
        <w:r>
          <w:rPr>
            <w:webHidden/>
          </w:rPr>
          <w:fldChar w:fldCharType="separate"/>
        </w:r>
        <w:r w:rsidR="00EC14A3">
          <w:rPr>
            <w:webHidden/>
          </w:rPr>
          <w:t>18</w:t>
        </w:r>
        <w:r>
          <w:rPr>
            <w:webHidden/>
          </w:rPr>
          <w:fldChar w:fldCharType="end"/>
        </w:r>
      </w:hyperlink>
    </w:p>
    <w:p w14:paraId="1CE8BD90" w14:textId="5F99AB5D" w:rsidR="00F77980" w:rsidRDefault="00F77980">
      <w:pPr>
        <w:pStyle w:val="TOC3"/>
        <w:rPr>
          <w:rFonts w:asciiTheme="minorHAnsi" w:eastAsiaTheme="minorEastAsia" w:hAnsiTheme="minorHAnsi" w:cstheme="minorBidi"/>
          <w:i w:val="0"/>
          <w:sz w:val="22"/>
          <w:szCs w:val="22"/>
        </w:rPr>
      </w:pPr>
      <w:hyperlink w:anchor="_Toc531787307" w:history="1">
        <w:r w:rsidRPr="0077581A">
          <w:rPr>
            <w:rStyle w:val="Hyperlink"/>
            <w:iCs/>
          </w:rPr>
          <w:t>(b)</w:t>
        </w:r>
        <w:r>
          <w:rPr>
            <w:rFonts w:asciiTheme="minorHAnsi" w:eastAsiaTheme="minorEastAsia" w:hAnsiTheme="minorHAnsi" w:cstheme="minorBidi"/>
            <w:i w:val="0"/>
            <w:sz w:val="22"/>
            <w:szCs w:val="22"/>
          </w:rPr>
          <w:tab/>
        </w:r>
        <w:r w:rsidRPr="0077581A">
          <w:rPr>
            <w:rStyle w:val="Hyperlink"/>
          </w:rPr>
          <w:t>Improving the inclusiveness of the family law system</w:t>
        </w:r>
        <w:r>
          <w:rPr>
            <w:webHidden/>
          </w:rPr>
          <w:tab/>
        </w:r>
        <w:r>
          <w:rPr>
            <w:webHidden/>
          </w:rPr>
          <w:fldChar w:fldCharType="begin"/>
        </w:r>
        <w:r>
          <w:rPr>
            <w:webHidden/>
          </w:rPr>
          <w:instrText xml:space="preserve"> PAGEREF _Toc531787307 \h </w:instrText>
        </w:r>
        <w:r>
          <w:rPr>
            <w:webHidden/>
          </w:rPr>
        </w:r>
        <w:r>
          <w:rPr>
            <w:webHidden/>
          </w:rPr>
          <w:fldChar w:fldCharType="separate"/>
        </w:r>
        <w:r w:rsidR="00EC14A3">
          <w:rPr>
            <w:webHidden/>
          </w:rPr>
          <w:t>18</w:t>
        </w:r>
        <w:r>
          <w:rPr>
            <w:webHidden/>
          </w:rPr>
          <w:fldChar w:fldCharType="end"/>
        </w:r>
      </w:hyperlink>
    </w:p>
    <w:p w14:paraId="27BCF7D5" w14:textId="0659CB44" w:rsidR="00F77980" w:rsidRDefault="00F77980">
      <w:pPr>
        <w:pStyle w:val="TOC3"/>
        <w:rPr>
          <w:rFonts w:asciiTheme="minorHAnsi" w:eastAsiaTheme="minorEastAsia" w:hAnsiTheme="minorHAnsi" w:cstheme="minorBidi"/>
          <w:i w:val="0"/>
          <w:sz w:val="22"/>
          <w:szCs w:val="22"/>
        </w:rPr>
      </w:pPr>
      <w:hyperlink w:anchor="_Toc531787308" w:history="1">
        <w:r w:rsidRPr="0077581A">
          <w:rPr>
            <w:rStyle w:val="Hyperlink"/>
          </w:rPr>
          <w:t>(c)</w:t>
        </w:r>
        <w:r>
          <w:rPr>
            <w:rFonts w:asciiTheme="minorHAnsi" w:eastAsiaTheme="minorEastAsia" w:hAnsiTheme="minorHAnsi" w:cstheme="minorBidi"/>
            <w:i w:val="0"/>
            <w:sz w:val="22"/>
            <w:szCs w:val="22"/>
          </w:rPr>
          <w:tab/>
        </w:r>
        <w:r w:rsidRPr="0077581A">
          <w:rPr>
            <w:rStyle w:val="Hyperlink"/>
          </w:rPr>
          <w:t>Discrimination against parents with disability</w:t>
        </w:r>
        <w:r>
          <w:rPr>
            <w:webHidden/>
          </w:rPr>
          <w:tab/>
        </w:r>
        <w:r>
          <w:rPr>
            <w:webHidden/>
          </w:rPr>
          <w:fldChar w:fldCharType="begin"/>
        </w:r>
        <w:r>
          <w:rPr>
            <w:webHidden/>
          </w:rPr>
          <w:instrText xml:space="preserve"> PAGEREF _Toc531787308 \h </w:instrText>
        </w:r>
        <w:r>
          <w:rPr>
            <w:webHidden/>
          </w:rPr>
        </w:r>
        <w:r>
          <w:rPr>
            <w:webHidden/>
          </w:rPr>
          <w:fldChar w:fldCharType="separate"/>
        </w:r>
        <w:r w:rsidR="00EC14A3">
          <w:rPr>
            <w:webHidden/>
          </w:rPr>
          <w:t>19</w:t>
        </w:r>
        <w:r>
          <w:rPr>
            <w:webHidden/>
          </w:rPr>
          <w:fldChar w:fldCharType="end"/>
        </w:r>
      </w:hyperlink>
    </w:p>
    <w:p w14:paraId="177C7AE7" w14:textId="1406741C" w:rsidR="00F77980" w:rsidRDefault="00F77980">
      <w:pPr>
        <w:pStyle w:val="TOC1"/>
        <w:rPr>
          <w:rFonts w:asciiTheme="minorHAnsi" w:eastAsiaTheme="minorEastAsia" w:hAnsiTheme="minorHAnsi" w:cstheme="minorBidi"/>
          <w:b w:val="0"/>
          <w:szCs w:val="22"/>
        </w:rPr>
      </w:pPr>
      <w:hyperlink w:anchor="_Toc531787309" w:history="1">
        <w:r w:rsidRPr="0077581A">
          <w:rPr>
            <w:rStyle w:val="Hyperlink"/>
          </w:rPr>
          <w:t>5</w:t>
        </w:r>
        <w:r>
          <w:rPr>
            <w:rFonts w:asciiTheme="minorHAnsi" w:eastAsiaTheme="minorEastAsia" w:hAnsiTheme="minorHAnsi" w:cstheme="minorBidi"/>
            <w:b w:val="0"/>
            <w:szCs w:val="22"/>
          </w:rPr>
          <w:tab/>
        </w:r>
        <w:r w:rsidRPr="0077581A">
          <w:rPr>
            <w:rStyle w:val="Hyperlink"/>
          </w:rPr>
          <w:t>Legal principles in relation to parenting and property</w:t>
        </w:r>
        <w:r>
          <w:rPr>
            <w:webHidden/>
          </w:rPr>
          <w:tab/>
        </w:r>
        <w:r>
          <w:rPr>
            <w:webHidden/>
          </w:rPr>
          <w:fldChar w:fldCharType="begin"/>
        </w:r>
        <w:r>
          <w:rPr>
            <w:webHidden/>
          </w:rPr>
          <w:instrText xml:space="preserve"> PAGEREF _Toc531787309 \h </w:instrText>
        </w:r>
        <w:r>
          <w:rPr>
            <w:webHidden/>
          </w:rPr>
        </w:r>
        <w:r>
          <w:rPr>
            <w:webHidden/>
          </w:rPr>
          <w:fldChar w:fldCharType="separate"/>
        </w:r>
        <w:r w:rsidR="00EC14A3">
          <w:rPr>
            <w:webHidden/>
          </w:rPr>
          <w:t>20</w:t>
        </w:r>
        <w:r>
          <w:rPr>
            <w:webHidden/>
          </w:rPr>
          <w:fldChar w:fldCharType="end"/>
        </w:r>
      </w:hyperlink>
    </w:p>
    <w:p w14:paraId="1D839F33" w14:textId="7E4910F4" w:rsidR="00F77980" w:rsidRDefault="00F77980">
      <w:pPr>
        <w:pStyle w:val="TOC2"/>
        <w:rPr>
          <w:rFonts w:asciiTheme="minorHAnsi" w:eastAsiaTheme="minorEastAsia" w:hAnsiTheme="minorHAnsi" w:cstheme="minorBidi"/>
          <w:b w:val="0"/>
          <w:i w:val="0"/>
          <w:sz w:val="22"/>
          <w:szCs w:val="22"/>
        </w:rPr>
      </w:pPr>
      <w:hyperlink w:anchor="_Toc531787310" w:history="1">
        <w:r w:rsidRPr="0077581A">
          <w:rPr>
            <w:rStyle w:val="Hyperlink"/>
          </w:rPr>
          <w:t>5.1</w:t>
        </w:r>
        <w:r>
          <w:rPr>
            <w:rFonts w:asciiTheme="minorHAnsi" w:eastAsiaTheme="minorEastAsia" w:hAnsiTheme="minorHAnsi" w:cstheme="minorBidi"/>
            <w:b w:val="0"/>
            <w:i w:val="0"/>
            <w:sz w:val="22"/>
            <w:szCs w:val="22"/>
          </w:rPr>
          <w:tab/>
        </w:r>
        <w:r w:rsidRPr="0077581A">
          <w:rPr>
            <w:rStyle w:val="Hyperlink"/>
          </w:rPr>
          <w:t>Parenting</w:t>
        </w:r>
        <w:r>
          <w:rPr>
            <w:webHidden/>
          </w:rPr>
          <w:tab/>
        </w:r>
        <w:r>
          <w:rPr>
            <w:webHidden/>
          </w:rPr>
          <w:fldChar w:fldCharType="begin"/>
        </w:r>
        <w:r>
          <w:rPr>
            <w:webHidden/>
          </w:rPr>
          <w:instrText xml:space="preserve"> PAGEREF _Toc531787310 \h </w:instrText>
        </w:r>
        <w:r>
          <w:rPr>
            <w:webHidden/>
          </w:rPr>
        </w:r>
        <w:r>
          <w:rPr>
            <w:webHidden/>
          </w:rPr>
          <w:fldChar w:fldCharType="separate"/>
        </w:r>
        <w:r w:rsidR="00EC14A3">
          <w:rPr>
            <w:webHidden/>
          </w:rPr>
          <w:t>20</w:t>
        </w:r>
        <w:r>
          <w:rPr>
            <w:webHidden/>
          </w:rPr>
          <w:fldChar w:fldCharType="end"/>
        </w:r>
      </w:hyperlink>
    </w:p>
    <w:p w14:paraId="5D7F329B" w14:textId="5C523787" w:rsidR="00F77980" w:rsidRDefault="00F77980">
      <w:pPr>
        <w:pStyle w:val="TOC3"/>
        <w:rPr>
          <w:rFonts w:asciiTheme="minorHAnsi" w:eastAsiaTheme="minorEastAsia" w:hAnsiTheme="minorHAnsi" w:cstheme="minorBidi"/>
          <w:i w:val="0"/>
          <w:sz w:val="22"/>
          <w:szCs w:val="22"/>
        </w:rPr>
      </w:pPr>
      <w:hyperlink w:anchor="_Toc531787311" w:history="1">
        <w:r w:rsidRPr="0077581A">
          <w:rPr>
            <w:rStyle w:val="Hyperlink"/>
          </w:rPr>
          <w:t>(a)</w:t>
        </w:r>
        <w:r>
          <w:rPr>
            <w:rFonts w:asciiTheme="minorHAnsi" w:eastAsiaTheme="minorEastAsia" w:hAnsiTheme="minorHAnsi" w:cstheme="minorBidi"/>
            <w:i w:val="0"/>
            <w:sz w:val="22"/>
            <w:szCs w:val="22"/>
          </w:rPr>
          <w:tab/>
        </w:r>
        <w:r w:rsidRPr="0077581A">
          <w:rPr>
            <w:rStyle w:val="Hyperlink"/>
          </w:rPr>
          <w:t>Best interests of the child in parenting matters</w:t>
        </w:r>
        <w:r>
          <w:rPr>
            <w:webHidden/>
          </w:rPr>
          <w:tab/>
        </w:r>
        <w:r>
          <w:rPr>
            <w:webHidden/>
          </w:rPr>
          <w:fldChar w:fldCharType="begin"/>
        </w:r>
        <w:r>
          <w:rPr>
            <w:webHidden/>
          </w:rPr>
          <w:instrText xml:space="preserve"> PAGEREF _Toc531787311 \h </w:instrText>
        </w:r>
        <w:r>
          <w:rPr>
            <w:webHidden/>
          </w:rPr>
        </w:r>
        <w:r>
          <w:rPr>
            <w:webHidden/>
          </w:rPr>
          <w:fldChar w:fldCharType="separate"/>
        </w:r>
        <w:r w:rsidR="00EC14A3">
          <w:rPr>
            <w:webHidden/>
          </w:rPr>
          <w:t>20</w:t>
        </w:r>
        <w:r>
          <w:rPr>
            <w:webHidden/>
          </w:rPr>
          <w:fldChar w:fldCharType="end"/>
        </w:r>
      </w:hyperlink>
    </w:p>
    <w:p w14:paraId="73C53E4B" w14:textId="1C130C12" w:rsidR="00F77980" w:rsidRDefault="00F77980">
      <w:pPr>
        <w:pStyle w:val="TOC3"/>
        <w:rPr>
          <w:rFonts w:asciiTheme="minorHAnsi" w:eastAsiaTheme="minorEastAsia" w:hAnsiTheme="minorHAnsi" w:cstheme="minorBidi"/>
          <w:i w:val="0"/>
          <w:sz w:val="22"/>
          <w:szCs w:val="22"/>
        </w:rPr>
      </w:pPr>
      <w:hyperlink w:anchor="_Toc531787312" w:history="1">
        <w:r w:rsidRPr="0077581A">
          <w:rPr>
            <w:rStyle w:val="Hyperlink"/>
          </w:rPr>
          <w:t>(b)</w:t>
        </w:r>
        <w:r>
          <w:rPr>
            <w:rFonts w:asciiTheme="minorHAnsi" w:eastAsiaTheme="minorEastAsia" w:hAnsiTheme="minorHAnsi" w:cstheme="minorBidi"/>
            <w:i w:val="0"/>
            <w:sz w:val="22"/>
            <w:szCs w:val="22"/>
          </w:rPr>
          <w:tab/>
        </w:r>
        <w:r w:rsidRPr="0077581A">
          <w:rPr>
            <w:rStyle w:val="Hyperlink"/>
          </w:rPr>
          <w:t>Indigenous child’s right to enjoy their culture</w:t>
        </w:r>
        <w:r>
          <w:rPr>
            <w:webHidden/>
          </w:rPr>
          <w:tab/>
        </w:r>
        <w:r>
          <w:rPr>
            <w:webHidden/>
          </w:rPr>
          <w:fldChar w:fldCharType="begin"/>
        </w:r>
        <w:r>
          <w:rPr>
            <w:webHidden/>
          </w:rPr>
          <w:instrText xml:space="preserve"> PAGEREF _Toc531787312 \h </w:instrText>
        </w:r>
        <w:r>
          <w:rPr>
            <w:webHidden/>
          </w:rPr>
        </w:r>
        <w:r>
          <w:rPr>
            <w:webHidden/>
          </w:rPr>
          <w:fldChar w:fldCharType="separate"/>
        </w:r>
        <w:r w:rsidR="00EC14A3">
          <w:rPr>
            <w:webHidden/>
          </w:rPr>
          <w:t>21</w:t>
        </w:r>
        <w:r>
          <w:rPr>
            <w:webHidden/>
          </w:rPr>
          <w:fldChar w:fldCharType="end"/>
        </w:r>
      </w:hyperlink>
    </w:p>
    <w:p w14:paraId="70F3C937" w14:textId="4AC1A0C9" w:rsidR="00F77980" w:rsidRDefault="00F77980">
      <w:pPr>
        <w:pStyle w:val="TOC3"/>
        <w:rPr>
          <w:rFonts w:asciiTheme="minorHAnsi" w:eastAsiaTheme="minorEastAsia" w:hAnsiTheme="minorHAnsi" w:cstheme="minorBidi"/>
          <w:i w:val="0"/>
          <w:sz w:val="22"/>
          <w:szCs w:val="22"/>
        </w:rPr>
      </w:pPr>
      <w:hyperlink w:anchor="_Toc531787313" w:history="1">
        <w:r w:rsidRPr="0077581A">
          <w:rPr>
            <w:rStyle w:val="Hyperlink"/>
          </w:rPr>
          <w:t>(c)</w:t>
        </w:r>
        <w:r>
          <w:rPr>
            <w:rFonts w:asciiTheme="minorHAnsi" w:eastAsiaTheme="minorEastAsia" w:hAnsiTheme="minorHAnsi" w:cstheme="minorBidi"/>
            <w:i w:val="0"/>
            <w:sz w:val="22"/>
            <w:szCs w:val="22"/>
          </w:rPr>
          <w:tab/>
        </w:r>
        <w:r w:rsidRPr="0077581A">
          <w:rPr>
            <w:rStyle w:val="Hyperlink"/>
          </w:rPr>
          <w:t>Family and domestic violence and parenting orders</w:t>
        </w:r>
        <w:r>
          <w:rPr>
            <w:webHidden/>
          </w:rPr>
          <w:tab/>
        </w:r>
        <w:r>
          <w:rPr>
            <w:webHidden/>
          </w:rPr>
          <w:fldChar w:fldCharType="begin"/>
        </w:r>
        <w:r>
          <w:rPr>
            <w:webHidden/>
          </w:rPr>
          <w:instrText xml:space="preserve"> PAGEREF _Toc531787313 \h </w:instrText>
        </w:r>
        <w:r>
          <w:rPr>
            <w:webHidden/>
          </w:rPr>
        </w:r>
        <w:r>
          <w:rPr>
            <w:webHidden/>
          </w:rPr>
          <w:fldChar w:fldCharType="separate"/>
        </w:r>
        <w:r w:rsidR="00EC14A3">
          <w:rPr>
            <w:webHidden/>
          </w:rPr>
          <w:t>23</w:t>
        </w:r>
        <w:r>
          <w:rPr>
            <w:webHidden/>
          </w:rPr>
          <w:fldChar w:fldCharType="end"/>
        </w:r>
      </w:hyperlink>
    </w:p>
    <w:p w14:paraId="537B3A7E" w14:textId="5E9E2EA7" w:rsidR="00F77980" w:rsidRDefault="00F77980">
      <w:pPr>
        <w:pStyle w:val="TOC4"/>
        <w:rPr>
          <w:rFonts w:asciiTheme="minorHAnsi" w:eastAsiaTheme="minorEastAsia" w:hAnsiTheme="minorHAnsi" w:cstheme="minorBidi"/>
          <w:sz w:val="22"/>
          <w:szCs w:val="22"/>
        </w:rPr>
      </w:pPr>
      <w:hyperlink w:anchor="_Toc531787314" w:history="1">
        <w:r w:rsidRPr="0077581A">
          <w:rPr>
            <w:rStyle w:val="Hyperlink"/>
          </w:rPr>
          <w:t>(i)</w:t>
        </w:r>
        <w:r>
          <w:rPr>
            <w:rFonts w:asciiTheme="minorHAnsi" w:eastAsiaTheme="minorEastAsia" w:hAnsiTheme="minorHAnsi" w:cstheme="minorBidi"/>
            <w:sz w:val="22"/>
            <w:szCs w:val="22"/>
          </w:rPr>
          <w:tab/>
        </w:r>
        <w:r w:rsidRPr="0077581A">
          <w:rPr>
            <w:rStyle w:val="Hyperlink"/>
          </w:rPr>
          <w:t>Definitions of family and domestic violence</w:t>
        </w:r>
        <w:r>
          <w:rPr>
            <w:webHidden/>
          </w:rPr>
          <w:tab/>
        </w:r>
        <w:r>
          <w:rPr>
            <w:webHidden/>
          </w:rPr>
          <w:fldChar w:fldCharType="begin"/>
        </w:r>
        <w:r>
          <w:rPr>
            <w:webHidden/>
          </w:rPr>
          <w:instrText xml:space="preserve"> PAGEREF _Toc531787314 \h </w:instrText>
        </w:r>
        <w:r>
          <w:rPr>
            <w:webHidden/>
          </w:rPr>
        </w:r>
        <w:r>
          <w:rPr>
            <w:webHidden/>
          </w:rPr>
          <w:fldChar w:fldCharType="separate"/>
        </w:r>
        <w:r w:rsidR="00EC14A3">
          <w:rPr>
            <w:webHidden/>
          </w:rPr>
          <w:t>23</w:t>
        </w:r>
        <w:r>
          <w:rPr>
            <w:webHidden/>
          </w:rPr>
          <w:fldChar w:fldCharType="end"/>
        </w:r>
      </w:hyperlink>
    </w:p>
    <w:p w14:paraId="397FC2D3" w14:textId="001BFEE3" w:rsidR="00F77980" w:rsidRDefault="00F77980">
      <w:pPr>
        <w:pStyle w:val="TOC4"/>
        <w:rPr>
          <w:rFonts w:asciiTheme="minorHAnsi" w:eastAsiaTheme="minorEastAsia" w:hAnsiTheme="minorHAnsi" w:cstheme="minorBidi"/>
          <w:sz w:val="22"/>
          <w:szCs w:val="22"/>
        </w:rPr>
      </w:pPr>
      <w:hyperlink w:anchor="_Toc531787315" w:history="1">
        <w:r w:rsidRPr="0077581A">
          <w:rPr>
            <w:rStyle w:val="Hyperlink"/>
          </w:rPr>
          <w:t>(ii)</w:t>
        </w:r>
        <w:r>
          <w:rPr>
            <w:rFonts w:asciiTheme="minorHAnsi" w:eastAsiaTheme="minorEastAsia" w:hAnsiTheme="minorHAnsi" w:cstheme="minorBidi"/>
            <w:sz w:val="22"/>
            <w:szCs w:val="22"/>
          </w:rPr>
          <w:tab/>
        </w:r>
        <w:r w:rsidRPr="0077581A">
          <w:rPr>
            <w:rStyle w:val="Hyperlink"/>
          </w:rPr>
          <w:t>Explaining the nature of family and domestic violence</w:t>
        </w:r>
        <w:r>
          <w:rPr>
            <w:webHidden/>
          </w:rPr>
          <w:tab/>
        </w:r>
        <w:r>
          <w:rPr>
            <w:webHidden/>
          </w:rPr>
          <w:fldChar w:fldCharType="begin"/>
        </w:r>
        <w:r>
          <w:rPr>
            <w:webHidden/>
          </w:rPr>
          <w:instrText xml:space="preserve"> PAGEREF _Toc531787315 \h </w:instrText>
        </w:r>
        <w:r>
          <w:rPr>
            <w:webHidden/>
          </w:rPr>
        </w:r>
        <w:r>
          <w:rPr>
            <w:webHidden/>
          </w:rPr>
          <w:fldChar w:fldCharType="separate"/>
        </w:r>
        <w:r w:rsidR="00EC14A3">
          <w:rPr>
            <w:webHidden/>
          </w:rPr>
          <w:t>23</w:t>
        </w:r>
        <w:r>
          <w:rPr>
            <w:webHidden/>
          </w:rPr>
          <w:fldChar w:fldCharType="end"/>
        </w:r>
      </w:hyperlink>
    </w:p>
    <w:p w14:paraId="7561E454" w14:textId="2B136C67" w:rsidR="00F77980" w:rsidRDefault="00F77980">
      <w:pPr>
        <w:pStyle w:val="TOC4"/>
        <w:rPr>
          <w:rFonts w:asciiTheme="minorHAnsi" w:eastAsiaTheme="minorEastAsia" w:hAnsiTheme="minorHAnsi" w:cstheme="minorBidi"/>
          <w:sz w:val="22"/>
          <w:szCs w:val="22"/>
        </w:rPr>
      </w:pPr>
      <w:hyperlink w:anchor="_Toc531787316" w:history="1">
        <w:r w:rsidRPr="0077581A">
          <w:rPr>
            <w:rStyle w:val="Hyperlink"/>
          </w:rPr>
          <w:t>(iii)</w:t>
        </w:r>
        <w:r>
          <w:rPr>
            <w:rFonts w:asciiTheme="minorHAnsi" w:eastAsiaTheme="minorEastAsia" w:hAnsiTheme="minorHAnsi" w:cstheme="minorBidi"/>
            <w:sz w:val="22"/>
            <w:szCs w:val="22"/>
          </w:rPr>
          <w:tab/>
        </w:r>
        <w:r w:rsidRPr="0077581A">
          <w:rPr>
            <w:rStyle w:val="Hyperlink"/>
          </w:rPr>
          <w:t>Equal shared parental responsibility</w:t>
        </w:r>
        <w:r>
          <w:rPr>
            <w:webHidden/>
          </w:rPr>
          <w:tab/>
        </w:r>
        <w:r>
          <w:rPr>
            <w:webHidden/>
          </w:rPr>
          <w:fldChar w:fldCharType="begin"/>
        </w:r>
        <w:r>
          <w:rPr>
            <w:webHidden/>
          </w:rPr>
          <w:instrText xml:space="preserve"> PAGEREF _Toc531787316 \h </w:instrText>
        </w:r>
        <w:r>
          <w:rPr>
            <w:webHidden/>
          </w:rPr>
        </w:r>
        <w:r>
          <w:rPr>
            <w:webHidden/>
          </w:rPr>
          <w:fldChar w:fldCharType="separate"/>
        </w:r>
        <w:r w:rsidR="00EC14A3">
          <w:rPr>
            <w:webHidden/>
          </w:rPr>
          <w:t>24</w:t>
        </w:r>
        <w:r>
          <w:rPr>
            <w:webHidden/>
          </w:rPr>
          <w:fldChar w:fldCharType="end"/>
        </w:r>
      </w:hyperlink>
    </w:p>
    <w:p w14:paraId="478155E3" w14:textId="5F2180D8" w:rsidR="00F77980" w:rsidRDefault="00F77980">
      <w:pPr>
        <w:pStyle w:val="TOC2"/>
        <w:rPr>
          <w:rFonts w:asciiTheme="minorHAnsi" w:eastAsiaTheme="minorEastAsia" w:hAnsiTheme="minorHAnsi" w:cstheme="minorBidi"/>
          <w:b w:val="0"/>
          <w:i w:val="0"/>
          <w:sz w:val="22"/>
          <w:szCs w:val="22"/>
        </w:rPr>
      </w:pPr>
      <w:hyperlink w:anchor="_Toc531787317" w:history="1">
        <w:r w:rsidRPr="0077581A">
          <w:rPr>
            <w:rStyle w:val="Hyperlink"/>
          </w:rPr>
          <w:t>5.2</w:t>
        </w:r>
        <w:r>
          <w:rPr>
            <w:rFonts w:asciiTheme="minorHAnsi" w:eastAsiaTheme="minorEastAsia" w:hAnsiTheme="minorHAnsi" w:cstheme="minorBidi"/>
            <w:b w:val="0"/>
            <w:i w:val="0"/>
            <w:sz w:val="22"/>
            <w:szCs w:val="22"/>
          </w:rPr>
          <w:tab/>
        </w:r>
        <w:r w:rsidRPr="0077581A">
          <w:rPr>
            <w:rStyle w:val="Hyperlink"/>
          </w:rPr>
          <w:t>The welfare jurisdiction</w:t>
        </w:r>
        <w:r>
          <w:rPr>
            <w:webHidden/>
          </w:rPr>
          <w:tab/>
        </w:r>
        <w:r>
          <w:rPr>
            <w:webHidden/>
          </w:rPr>
          <w:fldChar w:fldCharType="begin"/>
        </w:r>
        <w:r>
          <w:rPr>
            <w:webHidden/>
          </w:rPr>
          <w:instrText xml:space="preserve"> PAGEREF _Toc531787317 \h </w:instrText>
        </w:r>
        <w:r>
          <w:rPr>
            <w:webHidden/>
          </w:rPr>
        </w:r>
        <w:r>
          <w:rPr>
            <w:webHidden/>
          </w:rPr>
          <w:fldChar w:fldCharType="separate"/>
        </w:r>
        <w:r w:rsidR="00EC14A3">
          <w:rPr>
            <w:webHidden/>
          </w:rPr>
          <w:t>25</w:t>
        </w:r>
        <w:r>
          <w:rPr>
            <w:webHidden/>
          </w:rPr>
          <w:fldChar w:fldCharType="end"/>
        </w:r>
      </w:hyperlink>
    </w:p>
    <w:p w14:paraId="47C8CA8B" w14:textId="1F866AA6" w:rsidR="00F77980" w:rsidRDefault="00F77980">
      <w:pPr>
        <w:pStyle w:val="TOC3"/>
        <w:rPr>
          <w:rFonts w:asciiTheme="minorHAnsi" w:eastAsiaTheme="minorEastAsia" w:hAnsiTheme="minorHAnsi" w:cstheme="minorBidi"/>
          <w:i w:val="0"/>
          <w:sz w:val="22"/>
          <w:szCs w:val="22"/>
        </w:rPr>
      </w:pPr>
      <w:hyperlink w:anchor="_Toc531787318" w:history="1">
        <w:r w:rsidRPr="0077581A">
          <w:rPr>
            <w:rStyle w:val="Hyperlink"/>
          </w:rPr>
          <w:t>(a)</w:t>
        </w:r>
        <w:r>
          <w:rPr>
            <w:rFonts w:asciiTheme="minorHAnsi" w:eastAsiaTheme="minorEastAsia" w:hAnsiTheme="minorHAnsi" w:cstheme="minorBidi"/>
            <w:i w:val="0"/>
            <w:sz w:val="22"/>
            <w:szCs w:val="22"/>
          </w:rPr>
          <w:tab/>
        </w:r>
        <w:r w:rsidRPr="0077581A">
          <w:rPr>
            <w:rStyle w:val="Hyperlink"/>
          </w:rPr>
          <w:t>Forced sterilisation of people with disability</w:t>
        </w:r>
        <w:r>
          <w:rPr>
            <w:webHidden/>
          </w:rPr>
          <w:tab/>
        </w:r>
        <w:r>
          <w:rPr>
            <w:webHidden/>
          </w:rPr>
          <w:fldChar w:fldCharType="begin"/>
        </w:r>
        <w:r>
          <w:rPr>
            <w:webHidden/>
          </w:rPr>
          <w:instrText xml:space="preserve"> PAGEREF _Toc531787318 \h </w:instrText>
        </w:r>
        <w:r>
          <w:rPr>
            <w:webHidden/>
          </w:rPr>
        </w:r>
        <w:r>
          <w:rPr>
            <w:webHidden/>
          </w:rPr>
          <w:fldChar w:fldCharType="separate"/>
        </w:r>
        <w:r w:rsidR="00EC14A3">
          <w:rPr>
            <w:webHidden/>
          </w:rPr>
          <w:t>25</w:t>
        </w:r>
        <w:r>
          <w:rPr>
            <w:webHidden/>
          </w:rPr>
          <w:fldChar w:fldCharType="end"/>
        </w:r>
      </w:hyperlink>
    </w:p>
    <w:p w14:paraId="7D0F119B" w14:textId="1E182F36" w:rsidR="00F77980" w:rsidRDefault="00F77980">
      <w:pPr>
        <w:pStyle w:val="TOC3"/>
        <w:rPr>
          <w:rFonts w:asciiTheme="minorHAnsi" w:eastAsiaTheme="minorEastAsia" w:hAnsiTheme="minorHAnsi" w:cstheme="minorBidi"/>
          <w:i w:val="0"/>
          <w:sz w:val="22"/>
          <w:szCs w:val="22"/>
        </w:rPr>
      </w:pPr>
      <w:hyperlink w:anchor="_Toc531787319" w:history="1">
        <w:r w:rsidRPr="0077581A">
          <w:rPr>
            <w:rStyle w:val="Hyperlink"/>
          </w:rPr>
          <w:t>(b)</w:t>
        </w:r>
        <w:r>
          <w:rPr>
            <w:rFonts w:asciiTheme="minorHAnsi" w:eastAsiaTheme="minorEastAsia" w:hAnsiTheme="minorHAnsi" w:cstheme="minorBidi"/>
            <w:i w:val="0"/>
            <w:sz w:val="22"/>
            <w:szCs w:val="22"/>
          </w:rPr>
          <w:tab/>
        </w:r>
        <w:r w:rsidRPr="0077581A">
          <w:rPr>
            <w:rStyle w:val="Hyperlink"/>
          </w:rPr>
          <w:t>Intersex children</w:t>
        </w:r>
        <w:r>
          <w:rPr>
            <w:webHidden/>
          </w:rPr>
          <w:tab/>
        </w:r>
        <w:r>
          <w:rPr>
            <w:webHidden/>
          </w:rPr>
          <w:fldChar w:fldCharType="begin"/>
        </w:r>
        <w:r>
          <w:rPr>
            <w:webHidden/>
          </w:rPr>
          <w:instrText xml:space="preserve"> PAGEREF _Toc531787319 \h </w:instrText>
        </w:r>
        <w:r>
          <w:rPr>
            <w:webHidden/>
          </w:rPr>
        </w:r>
        <w:r>
          <w:rPr>
            <w:webHidden/>
          </w:rPr>
          <w:fldChar w:fldCharType="separate"/>
        </w:r>
        <w:r w:rsidR="00EC14A3">
          <w:rPr>
            <w:webHidden/>
          </w:rPr>
          <w:t>26</w:t>
        </w:r>
        <w:r>
          <w:rPr>
            <w:webHidden/>
          </w:rPr>
          <w:fldChar w:fldCharType="end"/>
        </w:r>
      </w:hyperlink>
    </w:p>
    <w:p w14:paraId="462362B7" w14:textId="15A6996E" w:rsidR="00F77980" w:rsidRDefault="00F77980">
      <w:pPr>
        <w:pStyle w:val="TOC4"/>
        <w:rPr>
          <w:rFonts w:asciiTheme="minorHAnsi" w:eastAsiaTheme="minorEastAsia" w:hAnsiTheme="minorHAnsi" w:cstheme="minorBidi"/>
          <w:sz w:val="22"/>
          <w:szCs w:val="22"/>
        </w:rPr>
      </w:pPr>
      <w:hyperlink w:anchor="_Toc531787320" w:history="1">
        <w:r w:rsidRPr="0077581A">
          <w:rPr>
            <w:rStyle w:val="Hyperlink"/>
          </w:rPr>
          <w:t>(i) Human rights of intersex children</w:t>
        </w:r>
        <w:r>
          <w:rPr>
            <w:webHidden/>
          </w:rPr>
          <w:tab/>
        </w:r>
        <w:r>
          <w:rPr>
            <w:webHidden/>
          </w:rPr>
          <w:fldChar w:fldCharType="begin"/>
        </w:r>
        <w:r>
          <w:rPr>
            <w:webHidden/>
          </w:rPr>
          <w:instrText xml:space="preserve"> PAGEREF _Toc531787320 \h </w:instrText>
        </w:r>
        <w:r>
          <w:rPr>
            <w:webHidden/>
          </w:rPr>
        </w:r>
        <w:r>
          <w:rPr>
            <w:webHidden/>
          </w:rPr>
          <w:fldChar w:fldCharType="separate"/>
        </w:r>
        <w:r w:rsidR="00EC14A3">
          <w:rPr>
            <w:webHidden/>
          </w:rPr>
          <w:t>27</w:t>
        </w:r>
        <w:r>
          <w:rPr>
            <w:webHidden/>
          </w:rPr>
          <w:fldChar w:fldCharType="end"/>
        </w:r>
      </w:hyperlink>
    </w:p>
    <w:p w14:paraId="568EE69D" w14:textId="70522466" w:rsidR="00F77980" w:rsidRDefault="00F77980">
      <w:pPr>
        <w:pStyle w:val="TOC4"/>
        <w:rPr>
          <w:rFonts w:asciiTheme="minorHAnsi" w:eastAsiaTheme="minorEastAsia" w:hAnsiTheme="minorHAnsi" w:cstheme="minorBidi"/>
          <w:sz w:val="22"/>
          <w:szCs w:val="22"/>
        </w:rPr>
      </w:pPr>
      <w:hyperlink w:anchor="_Toc531787321" w:history="1">
        <w:r w:rsidRPr="0077581A">
          <w:rPr>
            <w:rStyle w:val="Hyperlink"/>
          </w:rPr>
          <w:t>(ii) Current jurisdiction of the Family Court—special medical procedures</w:t>
        </w:r>
        <w:r>
          <w:rPr>
            <w:webHidden/>
          </w:rPr>
          <w:tab/>
        </w:r>
        <w:r>
          <w:rPr>
            <w:webHidden/>
          </w:rPr>
          <w:fldChar w:fldCharType="begin"/>
        </w:r>
        <w:r>
          <w:rPr>
            <w:webHidden/>
          </w:rPr>
          <w:instrText xml:space="preserve"> PAGEREF _Toc531787321 \h </w:instrText>
        </w:r>
        <w:r>
          <w:rPr>
            <w:webHidden/>
          </w:rPr>
        </w:r>
        <w:r>
          <w:rPr>
            <w:webHidden/>
          </w:rPr>
          <w:fldChar w:fldCharType="separate"/>
        </w:r>
        <w:r w:rsidR="00EC14A3">
          <w:rPr>
            <w:webHidden/>
          </w:rPr>
          <w:t>28</w:t>
        </w:r>
        <w:r>
          <w:rPr>
            <w:webHidden/>
          </w:rPr>
          <w:fldChar w:fldCharType="end"/>
        </w:r>
      </w:hyperlink>
    </w:p>
    <w:p w14:paraId="4331F099" w14:textId="56A4B18D" w:rsidR="00F77980" w:rsidRDefault="00F77980">
      <w:pPr>
        <w:pStyle w:val="TOC4"/>
        <w:rPr>
          <w:rFonts w:asciiTheme="minorHAnsi" w:eastAsiaTheme="minorEastAsia" w:hAnsiTheme="minorHAnsi" w:cstheme="minorBidi"/>
          <w:sz w:val="22"/>
          <w:szCs w:val="22"/>
        </w:rPr>
      </w:pPr>
      <w:hyperlink w:anchor="_Toc531787322" w:history="1">
        <w:r w:rsidRPr="0077581A">
          <w:rPr>
            <w:rStyle w:val="Hyperlink"/>
          </w:rPr>
          <w:t>(iii) Current Australian Human Rights Commission project</w:t>
        </w:r>
        <w:r>
          <w:rPr>
            <w:webHidden/>
          </w:rPr>
          <w:tab/>
        </w:r>
        <w:r>
          <w:rPr>
            <w:webHidden/>
          </w:rPr>
          <w:fldChar w:fldCharType="begin"/>
        </w:r>
        <w:r>
          <w:rPr>
            <w:webHidden/>
          </w:rPr>
          <w:instrText xml:space="preserve"> PAGEREF _Toc531787322 \h </w:instrText>
        </w:r>
        <w:r>
          <w:rPr>
            <w:webHidden/>
          </w:rPr>
        </w:r>
        <w:r>
          <w:rPr>
            <w:webHidden/>
          </w:rPr>
          <w:fldChar w:fldCharType="separate"/>
        </w:r>
        <w:r w:rsidR="00EC14A3">
          <w:rPr>
            <w:webHidden/>
          </w:rPr>
          <w:t>29</w:t>
        </w:r>
        <w:r>
          <w:rPr>
            <w:webHidden/>
          </w:rPr>
          <w:fldChar w:fldCharType="end"/>
        </w:r>
      </w:hyperlink>
    </w:p>
    <w:p w14:paraId="6DE7F612" w14:textId="2E3B0445" w:rsidR="00F77980" w:rsidRDefault="00F77980">
      <w:pPr>
        <w:pStyle w:val="TOC3"/>
        <w:rPr>
          <w:rFonts w:asciiTheme="minorHAnsi" w:eastAsiaTheme="minorEastAsia" w:hAnsiTheme="minorHAnsi" w:cstheme="minorBidi"/>
          <w:i w:val="0"/>
          <w:sz w:val="22"/>
          <w:szCs w:val="22"/>
        </w:rPr>
      </w:pPr>
      <w:hyperlink w:anchor="_Toc531787323" w:history="1">
        <w:r w:rsidRPr="0077581A">
          <w:rPr>
            <w:rStyle w:val="Hyperlink"/>
          </w:rPr>
          <w:t>(c)</w:t>
        </w:r>
        <w:r>
          <w:rPr>
            <w:rFonts w:asciiTheme="minorHAnsi" w:eastAsiaTheme="minorEastAsia" w:hAnsiTheme="minorHAnsi" w:cstheme="minorBidi"/>
            <w:i w:val="0"/>
            <w:sz w:val="22"/>
            <w:szCs w:val="22"/>
          </w:rPr>
          <w:tab/>
        </w:r>
        <w:r w:rsidRPr="0077581A">
          <w:rPr>
            <w:rStyle w:val="Hyperlink"/>
          </w:rPr>
          <w:t>Children with gender dysphoria</w:t>
        </w:r>
        <w:r>
          <w:rPr>
            <w:webHidden/>
          </w:rPr>
          <w:tab/>
        </w:r>
        <w:r>
          <w:rPr>
            <w:webHidden/>
          </w:rPr>
          <w:fldChar w:fldCharType="begin"/>
        </w:r>
        <w:r>
          <w:rPr>
            <w:webHidden/>
          </w:rPr>
          <w:instrText xml:space="preserve"> PAGEREF _Toc531787323 \h </w:instrText>
        </w:r>
        <w:r>
          <w:rPr>
            <w:webHidden/>
          </w:rPr>
        </w:r>
        <w:r>
          <w:rPr>
            <w:webHidden/>
          </w:rPr>
          <w:fldChar w:fldCharType="separate"/>
        </w:r>
        <w:r w:rsidR="00EC14A3">
          <w:rPr>
            <w:webHidden/>
          </w:rPr>
          <w:t>30</w:t>
        </w:r>
        <w:r>
          <w:rPr>
            <w:webHidden/>
          </w:rPr>
          <w:fldChar w:fldCharType="end"/>
        </w:r>
      </w:hyperlink>
    </w:p>
    <w:p w14:paraId="76D7FE3B" w14:textId="3DCF8C69" w:rsidR="00F77980" w:rsidRDefault="00F77980">
      <w:pPr>
        <w:pStyle w:val="TOC3"/>
        <w:rPr>
          <w:rFonts w:asciiTheme="minorHAnsi" w:eastAsiaTheme="minorEastAsia" w:hAnsiTheme="minorHAnsi" w:cstheme="minorBidi"/>
          <w:i w:val="0"/>
          <w:sz w:val="22"/>
          <w:szCs w:val="22"/>
        </w:rPr>
      </w:pPr>
      <w:hyperlink w:anchor="_Toc531787324" w:history="1">
        <w:r w:rsidRPr="0077581A">
          <w:rPr>
            <w:rStyle w:val="Hyperlink"/>
          </w:rPr>
          <w:t>(d)</w:t>
        </w:r>
        <w:r>
          <w:rPr>
            <w:rFonts w:asciiTheme="minorHAnsi" w:eastAsiaTheme="minorEastAsia" w:hAnsiTheme="minorHAnsi" w:cstheme="minorBidi"/>
            <w:i w:val="0"/>
            <w:sz w:val="22"/>
            <w:szCs w:val="22"/>
          </w:rPr>
          <w:tab/>
        </w:r>
        <w:r w:rsidRPr="0077581A">
          <w:rPr>
            <w:rStyle w:val="Hyperlink"/>
          </w:rPr>
          <w:t>Arrangements for children and family diversity</w:t>
        </w:r>
        <w:r>
          <w:rPr>
            <w:webHidden/>
          </w:rPr>
          <w:tab/>
        </w:r>
        <w:r>
          <w:rPr>
            <w:webHidden/>
          </w:rPr>
          <w:fldChar w:fldCharType="begin"/>
        </w:r>
        <w:r>
          <w:rPr>
            <w:webHidden/>
          </w:rPr>
          <w:instrText xml:space="preserve"> PAGEREF _Toc531787324 \h </w:instrText>
        </w:r>
        <w:r>
          <w:rPr>
            <w:webHidden/>
          </w:rPr>
        </w:r>
        <w:r>
          <w:rPr>
            <w:webHidden/>
          </w:rPr>
          <w:fldChar w:fldCharType="separate"/>
        </w:r>
        <w:r w:rsidR="00EC14A3">
          <w:rPr>
            <w:webHidden/>
          </w:rPr>
          <w:t>31</w:t>
        </w:r>
        <w:r>
          <w:rPr>
            <w:webHidden/>
          </w:rPr>
          <w:fldChar w:fldCharType="end"/>
        </w:r>
      </w:hyperlink>
    </w:p>
    <w:p w14:paraId="57411AA3" w14:textId="692EC047" w:rsidR="00F77980" w:rsidRDefault="00F77980">
      <w:pPr>
        <w:pStyle w:val="TOC4"/>
        <w:rPr>
          <w:rFonts w:asciiTheme="minorHAnsi" w:eastAsiaTheme="minorEastAsia" w:hAnsiTheme="minorHAnsi" w:cstheme="minorBidi"/>
          <w:sz w:val="22"/>
          <w:szCs w:val="22"/>
        </w:rPr>
      </w:pPr>
      <w:hyperlink w:anchor="_Toc531787325" w:history="1">
        <w:r w:rsidRPr="0077581A">
          <w:rPr>
            <w:rStyle w:val="Hyperlink"/>
          </w:rPr>
          <w:t>(i)</w:t>
        </w:r>
        <w:r>
          <w:rPr>
            <w:rFonts w:asciiTheme="minorHAnsi" w:eastAsiaTheme="minorEastAsia" w:hAnsiTheme="minorHAnsi" w:cstheme="minorBidi"/>
            <w:sz w:val="22"/>
            <w:szCs w:val="22"/>
          </w:rPr>
          <w:tab/>
        </w:r>
        <w:r w:rsidRPr="0077581A">
          <w:rPr>
            <w:rStyle w:val="Hyperlink"/>
          </w:rPr>
          <w:t>Surrogacy</w:t>
        </w:r>
        <w:r>
          <w:rPr>
            <w:webHidden/>
          </w:rPr>
          <w:tab/>
        </w:r>
        <w:r>
          <w:rPr>
            <w:webHidden/>
          </w:rPr>
          <w:fldChar w:fldCharType="begin"/>
        </w:r>
        <w:r>
          <w:rPr>
            <w:webHidden/>
          </w:rPr>
          <w:instrText xml:space="preserve"> PAGEREF _Toc531787325 \h </w:instrText>
        </w:r>
        <w:r>
          <w:rPr>
            <w:webHidden/>
          </w:rPr>
        </w:r>
        <w:r>
          <w:rPr>
            <w:webHidden/>
          </w:rPr>
          <w:fldChar w:fldCharType="separate"/>
        </w:r>
        <w:r w:rsidR="00EC14A3">
          <w:rPr>
            <w:webHidden/>
          </w:rPr>
          <w:t>31</w:t>
        </w:r>
        <w:r>
          <w:rPr>
            <w:webHidden/>
          </w:rPr>
          <w:fldChar w:fldCharType="end"/>
        </w:r>
      </w:hyperlink>
    </w:p>
    <w:p w14:paraId="77A7CD22" w14:textId="4ADB0890" w:rsidR="00F77980" w:rsidRDefault="00F77980">
      <w:pPr>
        <w:pStyle w:val="TOC4"/>
        <w:rPr>
          <w:rFonts w:asciiTheme="minorHAnsi" w:eastAsiaTheme="minorEastAsia" w:hAnsiTheme="minorHAnsi" w:cstheme="minorBidi"/>
          <w:sz w:val="22"/>
          <w:szCs w:val="22"/>
        </w:rPr>
      </w:pPr>
      <w:hyperlink w:anchor="_Toc531787326" w:history="1">
        <w:r w:rsidRPr="0077581A">
          <w:rPr>
            <w:rStyle w:val="Hyperlink"/>
            <w:lang w:val="en"/>
          </w:rPr>
          <w:t>(ii)</w:t>
        </w:r>
        <w:r>
          <w:rPr>
            <w:rFonts w:asciiTheme="minorHAnsi" w:eastAsiaTheme="minorEastAsia" w:hAnsiTheme="minorHAnsi" w:cstheme="minorBidi"/>
            <w:sz w:val="22"/>
            <w:szCs w:val="22"/>
          </w:rPr>
          <w:tab/>
        </w:r>
        <w:r w:rsidRPr="0077581A">
          <w:rPr>
            <w:rStyle w:val="Hyperlink"/>
            <w:lang w:val="en"/>
          </w:rPr>
          <w:t xml:space="preserve">Children of same-sex </w:t>
        </w:r>
        <w:r w:rsidRPr="0077581A">
          <w:rPr>
            <w:rStyle w:val="Hyperlink"/>
          </w:rPr>
          <w:t>couples</w:t>
        </w:r>
        <w:r>
          <w:rPr>
            <w:webHidden/>
          </w:rPr>
          <w:tab/>
        </w:r>
        <w:r>
          <w:rPr>
            <w:webHidden/>
          </w:rPr>
          <w:fldChar w:fldCharType="begin"/>
        </w:r>
        <w:r>
          <w:rPr>
            <w:webHidden/>
          </w:rPr>
          <w:instrText xml:space="preserve"> PAGEREF _Toc531787326 \h </w:instrText>
        </w:r>
        <w:r>
          <w:rPr>
            <w:webHidden/>
          </w:rPr>
        </w:r>
        <w:r>
          <w:rPr>
            <w:webHidden/>
          </w:rPr>
          <w:fldChar w:fldCharType="separate"/>
        </w:r>
        <w:r w:rsidR="00EC14A3">
          <w:rPr>
            <w:webHidden/>
          </w:rPr>
          <w:t>33</w:t>
        </w:r>
        <w:r>
          <w:rPr>
            <w:webHidden/>
          </w:rPr>
          <w:fldChar w:fldCharType="end"/>
        </w:r>
      </w:hyperlink>
    </w:p>
    <w:p w14:paraId="7B757D18" w14:textId="074276E7" w:rsidR="00F77980" w:rsidRDefault="00F77980">
      <w:pPr>
        <w:pStyle w:val="TOC1"/>
        <w:rPr>
          <w:rFonts w:asciiTheme="minorHAnsi" w:eastAsiaTheme="minorEastAsia" w:hAnsiTheme="minorHAnsi" w:cstheme="minorBidi"/>
          <w:b w:val="0"/>
          <w:szCs w:val="22"/>
        </w:rPr>
      </w:pPr>
      <w:hyperlink w:anchor="_Toc531787327" w:history="1">
        <w:r w:rsidRPr="0077581A">
          <w:rPr>
            <w:rStyle w:val="Hyperlink"/>
          </w:rPr>
          <w:t>6</w:t>
        </w:r>
        <w:r>
          <w:rPr>
            <w:rFonts w:asciiTheme="minorHAnsi" w:eastAsiaTheme="minorEastAsia" w:hAnsiTheme="minorHAnsi" w:cstheme="minorBidi"/>
            <w:b w:val="0"/>
            <w:szCs w:val="22"/>
          </w:rPr>
          <w:tab/>
        </w:r>
        <w:r w:rsidRPr="0077581A">
          <w:rPr>
            <w:rStyle w:val="Hyperlink"/>
          </w:rPr>
          <w:t>Resolution and adjudication processes</w:t>
        </w:r>
        <w:r>
          <w:rPr>
            <w:webHidden/>
          </w:rPr>
          <w:tab/>
        </w:r>
        <w:r>
          <w:rPr>
            <w:webHidden/>
          </w:rPr>
          <w:fldChar w:fldCharType="begin"/>
        </w:r>
        <w:r>
          <w:rPr>
            <w:webHidden/>
          </w:rPr>
          <w:instrText xml:space="preserve"> PAGEREF _Toc531787327 \h </w:instrText>
        </w:r>
        <w:r>
          <w:rPr>
            <w:webHidden/>
          </w:rPr>
        </w:r>
        <w:r>
          <w:rPr>
            <w:webHidden/>
          </w:rPr>
          <w:fldChar w:fldCharType="separate"/>
        </w:r>
        <w:r w:rsidR="00EC14A3">
          <w:rPr>
            <w:webHidden/>
          </w:rPr>
          <w:t>34</w:t>
        </w:r>
        <w:r>
          <w:rPr>
            <w:webHidden/>
          </w:rPr>
          <w:fldChar w:fldCharType="end"/>
        </w:r>
      </w:hyperlink>
    </w:p>
    <w:p w14:paraId="654D09B6" w14:textId="4F236CEC" w:rsidR="00F77980" w:rsidRDefault="00F77980">
      <w:pPr>
        <w:pStyle w:val="TOC2"/>
        <w:rPr>
          <w:rFonts w:asciiTheme="minorHAnsi" w:eastAsiaTheme="minorEastAsia" w:hAnsiTheme="minorHAnsi" w:cstheme="minorBidi"/>
          <w:b w:val="0"/>
          <w:i w:val="0"/>
          <w:sz w:val="22"/>
          <w:szCs w:val="22"/>
        </w:rPr>
      </w:pPr>
      <w:hyperlink w:anchor="_Toc531787328" w:history="1">
        <w:r w:rsidRPr="0077581A">
          <w:rPr>
            <w:rStyle w:val="Hyperlink"/>
          </w:rPr>
          <w:t>6.1</w:t>
        </w:r>
        <w:r>
          <w:rPr>
            <w:rFonts w:asciiTheme="minorHAnsi" w:eastAsiaTheme="minorEastAsia" w:hAnsiTheme="minorHAnsi" w:cstheme="minorBidi"/>
            <w:b w:val="0"/>
            <w:i w:val="0"/>
            <w:sz w:val="22"/>
            <w:szCs w:val="22"/>
          </w:rPr>
          <w:tab/>
        </w:r>
        <w:r w:rsidRPr="0077581A">
          <w:rPr>
            <w:rStyle w:val="Hyperlink"/>
          </w:rPr>
          <w:t>Appropriate dispute resolution for cases involving family and domestic violence</w:t>
        </w:r>
        <w:r>
          <w:rPr>
            <w:webHidden/>
          </w:rPr>
          <w:tab/>
        </w:r>
        <w:r>
          <w:rPr>
            <w:webHidden/>
          </w:rPr>
          <w:fldChar w:fldCharType="begin"/>
        </w:r>
        <w:r>
          <w:rPr>
            <w:webHidden/>
          </w:rPr>
          <w:instrText xml:space="preserve"> PAGEREF _Toc531787328 \h </w:instrText>
        </w:r>
        <w:r>
          <w:rPr>
            <w:webHidden/>
          </w:rPr>
        </w:r>
        <w:r>
          <w:rPr>
            <w:webHidden/>
          </w:rPr>
          <w:fldChar w:fldCharType="separate"/>
        </w:r>
        <w:r w:rsidR="00EC14A3">
          <w:rPr>
            <w:webHidden/>
          </w:rPr>
          <w:t>34</w:t>
        </w:r>
        <w:r>
          <w:rPr>
            <w:webHidden/>
          </w:rPr>
          <w:fldChar w:fldCharType="end"/>
        </w:r>
      </w:hyperlink>
    </w:p>
    <w:p w14:paraId="577A7F08" w14:textId="04DA97DC" w:rsidR="00F77980" w:rsidRDefault="00F77980">
      <w:pPr>
        <w:pStyle w:val="TOC3"/>
        <w:rPr>
          <w:rFonts w:asciiTheme="minorHAnsi" w:eastAsiaTheme="minorEastAsia" w:hAnsiTheme="minorHAnsi" w:cstheme="minorBidi"/>
          <w:i w:val="0"/>
          <w:sz w:val="22"/>
          <w:szCs w:val="22"/>
        </w:rPr>
      </w:pPr>
      <w:hyperlink w:anchor="_Toc531787329" w:history="1">
        <w:r w:rsidRPr="0077581A">
          <w:rPr>
            <w:rStyle w:val="Hyperlink"/>
          </w:rPr>
          <w:t>(a)</w:t>
        </w:r>
        <w:r>
          <w:rPr>
            <w:rFonts w:asciiTheme="minorHAnsi" w:eastAsiaTheme="minorEastAsia" w:hAnsiTheme="minorHAnsi" w:cstheme="minorBidi"/>
            <w:i w:val="0"/>
            <w:sz w:val="22"/>
            <w:szCs w:val="22"/>
          </w:rPr>
          <w:tab/>
        </w:r>
        <w:r w:rsidRPr="0077581A">
          <w:rPr>
            <w:rStyle w:val="Hyperlink"/>
          </w:rPr>
          <w:t>Cross-examination by unrepresented parties in family law proceedings</w:t>
        </w:r>
        <w:r>
          <w:rPr>
            <w:webHidden/>
          </w:rPr>
          <w:tab/>
        </w:r>
        <w:r>
          <w:rPr>
            <w:webHidden/>
          </w:rPr>
          <w:fldChar w:fldCharType="begin"/>
        </w:r>
        <w:r>
          <w:rPr>
            <w:webHidden/>
          </w:rPr>
          <w:instrText xml:space="preserve"> PAGEREF _Toc531787329 \h </w:instrText>
        </w:r>
        <w:r>
          <w:rPr>
            <w:webHidden/>
          </w:rPr>
        </w:r>
        <w:r>
          <w:rPr>
            <w:webHidden/>
          </w:rPr>
          <w:fldChar w:fldCharType="separate"/>
        </w:r>
        <w:r w:rsidR="00EC14A3">
          <w:rPr>
            <w:webHidden/>
          </w:rPr>
          <w:t>34</w:t>
        </w:r>
        <w:r>
          <w:rPr>
            <w:webHidden/>
          </w:rPr>
          <w:fldChar w:fldCharType="end"/>
        </w:r>
      </w:hyperlink>
    </w:p>
    <w:p w14:paraId="11682FAC" w14:textId="19C6C489" w:rsidR="00F77980" w:rsidRDefault="00F77980">
      <w:pPr>
        <w:pStyle w:val="TOC3"/>
        <w:rPr>
          <w:rFonts w:asciiTheme="minorHAnsi" w:eastAsiaTheme="minorEastAsia" w:hAnsiTheme="minorHAnsi" w:cstheme="minorBidi"/>
          <w:i w:val="0"/>
          <w:sz w:val="22"/>
          <w:szCs w:val="22"/>
        </w:rPr>
      </w:pPr>
      <w:hyperlink w:anchor="_Toc531787330" w:history="1">
        <w:r w:rsidRPr="0077581A">
          <w:rPr>
            <w:rStyle w:val="Hyperlink"/>
          </w:rPr>
          <w:t>(b)</w:t>
        </w:r>
        <w:r>
          <w:rPr>
            <w:rFonts w:asciiTheme="minorHAnsi" w:eastAsiaTheme="minorEastAsia" w:hAnsiTheme="minorHAnsi" w:cstheme="minorBidi"/>
            <w:i w:val="0"/>
            <w:sz w:val="22"/>
            <w:szCs w:val="22"/>
          </w:rPr>
          <w:tab/>
        </w:r>
        <w:r w:rsidRPr="0077581A">
          <w:rPr>
            <w:rStyle w:val="Hyperlink"/>
          </w:rPr>
          <w:t>Funding for specialised family and domestic violence services in the family law system</w:t>
        </w:r>
        <w:r>
          <w:rPr>
            <w:webHidden/>
          </w:rPr>
          <w:tab/>
        </w:r>
        <w:r>
          <w:rPr>
            <w:webHidden/>
          </w:rPr>
          <w:fldChar w:fldCharType="begin"/>
        </w:r>
        <w:r>
          <w:rPr>
            <w:webHidden/>
          </w:rPr>
          <w:instrText xml:space="preserve"> PAGEREF _Toc531787330 \h </w:instrText>
        </w:r>
        <w:r>
          <w:rPr>
            <w:webHidden/>
          </w:rPr>
        </w:r>
        <w:r>
          <w:rPr>
            <w:webHidden/>
          </w:rPr>
          <w:fldChar w:fldCharType="separate"/>
        </w:r>
        <w:r w:rsidR="00EC14A3">
          <w:rPr>
            <w:webHidden/>
          </w:rPr>
          <w:t>36</w:t>
        </w:r>
        <w:r>
          <w:rPr>
            <w:webHidden/>
          </w:rPr>
          <w:fldChar w:fldCharType="end"/>
        </w:r>
      </w:hyperlink>
    </w:p>
    <w:p w14:paraId="64F9A430" w14:textId="1D2A3000" w:rsidR="00F77980" w:rsidRDefault="00F77980">
      <w:pPr>
        <w:pStyle w:val="TOC3"/>
        <w:rPr>
          <w:rFonts w:asciiTheme="minorHAnsi" w:eastAsiaTheme="minorEastAsia" w:hAnsiTheme="minorHAnsi" w:cstheme="minorBidi"/>
          <w:i w:val="0"/>
          <w:sz w:val="22"/>
          <w:szCs w:val="22"/>
        </w:rPr>
      </w:pPr>
      <w:hyperlink w:anchor="_Toc531787331" w:history="1">
        <w:r w:rsidRPr="0077581A">
          <w:rPr>
            <w:rStyle w:val="Hyperlink"/>
          </w:rPr>
          <w:t>(c)</w:t>
        </w:r>
        <w:r>
          <w:rPr>
            <w:rFonts w:asciiTheme="minorHAnsi" w:eastAsiaTheme="minorEastAsia" w:hAnsiTheme="minorHAnsi" w:cstheme="minorBidi"/>
            <w:i w:val="0"/>
            <w:sz w:val="22"/>
            <w:szCs w:val="22"/>
          </w:rPr>
          <w:tab/>
        </w:r>
        <w:r w:rsidRPr="0077581A">
          <w:rPr>
            <w:rStyle w:val="Hyperlink"/>
          </w:rPr>
          <w:t>Children’s rights in alternative dispute resolution processes</w:t>
        </w:r>
        <w:r>
          <w:rPr>
            <w:webHidden/>
          </w:rPr>
          <w:tab/>
        </w:r>
        <w:r>
          <w:rPr>
            <w:webHidden/>
          </w:rPr>
          <w:fldChar w:fldCharType="begin"/>
        </w:r>
        <w:r>
          <w:rPr>
            <w:webHidden/>
          </w:rPr>
          <w:instrText xml:space="preserve"> PAGEREF _Toc531787331 \h </w:instrText>
        </w:r>
        <w:r>
          <w:rPr>
            <w:webHidden/>
          </w:rPr>
        </w:r>
        <w:r>
          <w:rPr>
            <w:webHidden/>
          </w:rPr>
          <w:fldChar w:fldCharType="separate"/>
        </w:r>
        <w:r w:rsidR="00EC14A3">
          <w:rPr>
            <w:webHidden/>
          </w:rPr>
          <w:t>36</w:t>
        </w:r>
        <w:r>
          <w:rPr>
            <w:webHidden/>
          </w:rPr>
          <w:fldChar w:fldCharType="end"/>
        </w:r>
      </w:hyperlink>
    </w:p>
    <w:p w14:paraId="581CA2F2" w14:textId="2EFFF86C" w:rsidR="00F77980" w:rsidRDefault="00F77980">
      <w:pPr>
        <w:pStyle w:val="TOC1"/>
        <w:rPr>
          <w:rFonts w:asciiTheme="minorHAnsi" w:eastAsiaTheme="minorEastAsia" w:hAnsiTheme="minorHAnsi" w:cstheme="minorBidi"/>
          <w:b w:val="0"/>
          <w:szCs w:val="22"/>
        </w:rPr>
      </w:pPr>
      <w:hyperlink w:anchor="_Toc531787332" w:history="1">
        <w:r w:rsidRPr="0077581A">
          <w:rPr>
            <w:rStyle w:val="Hyperlink"/>
          </w:rPr>
          <w:t>7</w:t>
        </w:r>
        <w:r>
          <w:rPr>
            <w:rFonts w:asciiTheme="minorHAnsi" w:eastAsiaTheme="minorEastAsia" w:hAnsiTheme="minorHAnsi" w:cstheme="minorBidi"/>
            <w:b w:val="0"/>
            <w:szCs w:val="22"/>
          </w:rPr>
          <w:tab/>
        </w:r>
        <w:r w:rsidRPr="0077581A">
          <w:rPr>
            <w:rStyle w:val="Hyperlink"/>
          </w:rPr>
          <w:t>Children’s experiences and perspectives</w:t>
        </w:r>
        <w:r>
          <w:rPr>
            <w:webHidden/>
          </w:rPr>
          <w:tab/>
        </w:r>
        <w:r>
          <w:rPr>
            <w:webHidden/>
          </w:rPr>
          <w:fldChar w:fldCharType="begin"/>
        </w:r>
        <w:r>
          <w:rPr>
            <w:webHidden/>
          </w:rPr>
          <w:instrText xml:space="preserve"> PAGEREF _Toc531787332 \h </w:instrText>
        </w:r>
        <w:r>
          <w:rPr>
            <w:webHidden/>
          </w:rPr>
        </w:r>
        <w:r>
          <w:rPr>
            <w:webHidden/>
          </w:rPr>
          <w:fldChar w:fldCharType="separate"/>
        </w:r>
        <w:r w:rsidR="00EC14A3">
          <w:rPr>
            <w:webHidden/>
          </w:rPr>
          <w:t>38</w:t>
        </w:r>
        <w:r>
          <w:rPr>
            <w:webHidden/>
          </w:rPr>
          <w:fldChar w:fldCharType="end"/>
        </w:r>
      </w:hyperlink>
    </w:p>
    <w:p w14:paraId="5DA41220" w14:textId="2A96C383" w:rsidR="00F77980" w:rsidRDefault="00F77980">
      <w:pPr>
        <w:pStyle w:val="TOC2"/>
        <w:rPr>
          <w:rFonts w:asciiTheme="minorHAnsi" w:eastAsiaTheme="minorEastAsia" w:hAnsiTheme="minorHAnsi" w:cstheme="minorBidi"/>
          <w:b w:val="0"/>
          <w:i w:val="0"/>
          <w:sz w:val="22"/>
          <w:szCs w:val="22"/>
        </w:rPr>
      </w:pPr>
      <w:hyperlink w:anchor="_Toc531787333" w:history="1">
        <w:r w:rsidRPr="0077581A">
          <w:rPr>
            <w:rStyle w:val="Hyperlink"/>
          </w:rPr>
          <w:t>7.1</w:t>
        </w:r>
        <w:r>
          <w:rPr>
            <w:rFonts w:asciiTheme="minorHAnsi" w:eastAsiaTheme="minorEastAsia" w:hAnsiTheme="minorHAnsi" w:cstheme="minorBidi"/>
            <w:b w:val="0"/>
            <w:i w:val="0"/>
            <w:sz w:val="22"/>
            <w:szCs w:val="22"/>
          </w:rPr>
          <w:tab/>
        </w:r>
        <w:r w:rsidRPr="0077581A">
          <w:rPr>
            <w:rStyle w:val="Hyperlink"/>
          </w:rPr>
          <w:t>Children’s right to participation</w:t>
        </w:r>
        <w:r>
          <w:rPr>
            <w:webHidden/>
          </w:rPr>
          <w:tab/>
        </w:r>
        <w:r>
          <w:rPr>
            <w:webHidden/>
          </w:rPr>
          <w:fldChar w:fldCharType="begin"/>
        </w:r>
        <w:r>
          <w:rPr>
            <w:webHidden/>
          </w:rPr>
          <w:instrText xml:space="preserve"> PAGEREF _Toc531787333 \h </w:instrText>
        </w:r>
        <w:r>
          <w:rPr>
            <w:webHidden/>
          </w:rPr>
        </w:r>
        <w:r>
          <w:rPr>
            <w:webHidden/>
          </w:rPr>
          <w:fldChar w:fldCharType="separate"/>
        </w:r>
        <w:r w:rsidR="00EC14A3">
          <w:rPr>
            <w:webHidden/>
          </w:rPr>
          <w:t>38</w:t>
        </w:r>
        <w:r>
          <w:rPr>
            <w:webHidden/>
          </w:rPr>
          <w:fldChar w:fldCharType="end"/>
        </w:r>
      </w:hyperlink>
    </w:p>
    <w:p w14:paraId="7A584B42" w14:textId="7EDC0D2C" w:rsidR="00F77980" w:rsidRDefault="00F77980">
      <w:pPr>
        <w:pStyle w:val="TOC2"/>
        <w:rPr>
          <w:rFonts w:asciiTheme="minorHAnsi" w:eastAsiaTheme="minorEastAsia" w:hAnsiTheme="minorHAnsi" w:cstheme="minorBidi"/>
          <w:b w:val="0"/>
          <w:i w:val="0"/>
          <w:sz w:val="22"/>
          <w:szCs w:val="22"/>
        </w:rPr>
      </w:pPr>
      <w:hyperlink w:anchor="_Toc531787334" w:history="1">
        <w:r w:rsidRPr="0077581A">
          <w:rPr>
            <w:rStyle w:val="Hyperlink"/>
          </w:rPr>
          <w:t>7.2</w:t>
        </w:r>
        <w:r>
          <w:rPr>
            <w:rFonts w:asciiTheme="minorHAnsi" w:eastAsiaTheme="minorEastAsia" w:hAnsiTheme="minorHAnsi" w:cstheme="minorBidi"/>
            <w:b w:val="0"/>
            <w:i w:val="0"/>
            <w:sz w:val="22"/>
            <w:szCs w:val="22"/>
          </w:rPr>
          <w:tab/>
        </w:r>
        <w:r w:rsidRPr="0077581A">
          <w:rPr>
            <w:rStyle w:val="Hyperlink"/>
          </w:rPr>
          <w:t>Child participation methods in Australian family law</w:t>
        </w:r>
        <w:r>
          <w:rPr>
            <w:webHidden/>
          </w:rPr>
          <w:tab/>
        </w:r>
        <w:r>
          <w:rPr>
            <w:webHidden/>
          </w:rPr>
          <w:fldChar w:fldCharType="begin"/>
        </w:r>
        <w:r>
          <w:rPr>
            <w:webHidden/>
          </w:rPr>
          <w:instrText xml:space="preserve"> PAGEREF _Toc531787334 \h </w:instrText>
        </w:r>
        <w:r>
          <w:rPr>
            <w:webHidden/>
          </w:rPr>
        </w:r>
        <w:r>
          <w:rPr>
            <w:webHidden/>
          </w:rPr>
          <w:fldChar w:fldCharType="separate"/>
        </w:r>
        <w:r w:rsidR="00EC14A3">
          <w:rPr>
            <w:webHidden/>
          </w:rPr>
          <w:t>39</w:t>
        </w:r>
        <w:r>
          <w:rPr>
            <w:webHidden/>
          </w:rPr>
          <w:fldChar w:fldCharType="end"/>
        </w:r>
      </w:hyperlink>
    </w:p>
    <w:p w14:paraId="284C29ED" w14:textId="1A0813E1" w:rsidR="00F77980" w:rsidRDefault="00F77980">
      <w:pPr>
        <w:pStyle w:val="TOC2"/>
        <w:rPr>
          <w:rFonts w:asciiTheme="minorHAnsi" w:eastAsiaTheme="minorEastAsia" w:hAnsiTheme="minorHAnsi" w:cstheme="minorBidi"/>
          <w:b w:val="0"/>
          <w:i w:val="0"/>
          <w:sz w:val="22"/>
          <w:szCs w:val="22"/>
        </w:rPr>
      </w:pPr>
      <w:hyperlink w:anchor="_Toc531787335" w:history="1">
        <w:r w:rsidRPr="0077581A">
          <w:rPr>
            <w:rStyle w:val="Hyperlink"/>
          </w:rPr>
          <w:t>7.3</w:t>
        </w:r>
        <w:r>
          <w:rPr>
            <w:rFonts w:asciiTheme="minorHAnsi" w:eastAsiaTheme="minorEastAsia" w:hAnsiTheme="minorHAnsi" w:cstheme="minorBidi"/>
            <w:b w:val="0"/>
            <w:i w:val="0"/>
            <w:sz w:val="22"/>
            <w:szCs w:val="22"/>
          </w:rPr>
          <w:tab/>
        </w:r>
        <w:r w:rsidRPr="0077581A">
          <w:rPr>
            <w:rStyle w:val="Hyperlink"/>
          </w:rPr>
          <w:t>Children’s right to be informed</w:t>
        </w:r>
        <w:r>
          <w:rPr>
            <w:webHidden/>
          </w:rPr>
          <w:tab/>
        </w:r>
        <w:r>
          <w:rPr>
            <w:webHidden/>
          </w:rPr>
          <w:fldChar w:fldCharType="begin"/>
        </w:r>
        <w:r>
          <w:rPr>
            <w:webHidden/>
          </w:rPr>
          <w:instrText xml:space="preserve"> PAGEREF _Toc531787335 \h </w:instrText>
        </w:r>
        <w:r>
          <w:rPr>
            <w:webHidden/>
          </w:rPr>
        </w:r>
        <w:r>
          <w:rPr>
            <w:webHidden/>
          </w:rPr>
          <w:fldChar w:fldCharType="separate"/>
        </w:r>
        <w:r w:rsidR="00EC14A3">
          <w:rPr>
            <w:webHidden/>
          </w:rPr>
          <w:t>41</w:t>
        </w:r>
        <w:r>
          <w:rPr>
            <w:webHidden/>
          </w:rPr>
          <w:fldChar w:fldCharType="end"/>
        </w:r>
      </w:hyperlink>
    </w:p>
    <w:p w14:paraId="0CF121D2" w14:textId="76E64376" w:rsidR="00F77980" w:rsidRDefault="00F77980">
      <w:pPr>
        <w:pStyle w:val="TOC2"/>
        <w:rPr>
          <w:rFonts w:asciiTheme="minorHAnsi" w:eastAsiaTheme="minorEastAsia" w:hAnsiTheme="minorHAnsi" w:cstheme="minorBidi"/>
          <w:b w:val="0"/>
          <w:i w:val="0"/>
          <w:sz w:val="22"/>
          <w:szCs w:val="22"/>
        </w:rPr>
      </w:pPr>
      <w:hyperlink w:anchor="_Toc531787336" w:history="1">
        <w:r w:rsidRPr="0077581A">
          <w:rPr>
            <w:rStyle w:val="Hyperlink"/>
          </w:rPr>
          <w:t>7.4</w:t>
        </w:r>
        <w:r>
          <w:rPr>
            <w:rFonts w:asciiTheme="minorHAnsi" w:eastAsiaTheme="minorEastAsia" w:hAnsiTheme="minorHAnsi" w:cstheme="minorBidi"/>
            <w:b w:val="0"/>
            <w:i w:val="0"/>
            <w:sz w:val="22"/>
            <w:szCs w:val="22"/>
          </w:rPr>
          <w:tab/>
        </w:r>
        <w:r w:rsidRPr="0077581A">
          <w:rPr>
            <w:rStyle w:val="Hyperlink"/>
          </w:rPr>
          <w:t>Making sure children are safe and supported when they participate in family law processes</w:t>
        </w:r>
        <w:r>
          <w:rPr>
            <w:webHidden/>
          </w:rPr>
          <w:tab/>
        </w:r>
        <w:r>
          <w:rPr>
            <w:webHidden/>
          </w:rPr>
          <w:fldChar w:fldCharType="begin"/>
        </w:r>
        <w:r>
          <w:rPr>
            <w:webHidden/>
          </w:rPr>
          <w:instrText xml:space="preserve"> PAGEREF _Toc531787336 \h </w:instrText>
        </w:r>
        <w:r>
          <w:rPr>
            <w:webHidden/>
          </w:rPr>
        </w:r>
        <w:r>
          <w:rPr>
            <w:webHidden/>
          </w:rPr>
          <w:fldChar w:fldCharType="separate"/>
        </w:r>
        <w:r w:rsidR="00EC14A3">
          <w:rPr>
            <w:webHidden/>
          </w:rPr>
          <w:t>43</w:t>
        </w:r>
        <w:r>
          <w:rPr>
            <w:webHidden/>
          </w:rPr>
          <w:fldChar w:fldCharType="end"/>
        </w:r>
      </w:hyperlink>
    </w:p>
    <w:p w14:paraId="19AB3C06" w14:textId="5A5113A2" w:rsidR="00F77980" w:rsidRDefault="00F77980">
      <w:pPr>
        <w:pStyle w:val="TOC2"/>
        <w:rPr>
          <w:rFonts w:asciiTheme="minorHAnsi" w:eastAsiaTheme="minorEastAsia" w:hAnsiTheme="minorHAnsi" w:cstheme="minorBidi"/>
          <w:b w:val="0"/>
          <w:i w:val="0"/>
          <w:sz w:val="22"/>
          <w:szCs w:val="22"/>
        </w:rPr>
      </w:pPr>
      <w:hyperlink w:anchor="_Toc531787337" w:history="1">
        <w:r w:rsidRPr="0077581A">
          <w:rPr>
            <w:rStyle w:val="Hyperlink"/>
          </w:rPr>
          <w:t>7.5</w:t>
        </w:r>
        <w:r>
          <w:rPr>
            <w:rFonts w:asciiTheme="minorHAnsi" w:eastAsiaTheme="minorEastAsia" w:hAnsiTheme="minorHAnsi" w:cstheme="minorBidi"/>
            <w:b w:val="0"/>
            <w:i w:val="0"/>
            <w:sz w:val="22"/>
            <w:szCs w:val="22"/>
          </w:rPr>
          <w:tab/>
        </w:r>
        <w:r w:rsidRPr="0077581A">
          <w:rPr>
            <w:rStyle w:val="Hyperlink"/>
          </w:rPr>
          <w:t>Learning from children and young people</w:t>
        </w:r>
        <w:r>
          <w:rPr>
            <w:webHidden/>
          </w:rPr>
          <w:tab/>
        </w:r>
        <w:r>
          <w:rPr>
            <w:webHidden/>
          </w:rPr>
          <w:fldChar w:fldCharType="begin"/>
        </w:r>
        <w:r>
          <w:rPr>
            <w:webHidden/>
          </w:rPr>
          <w:instrText xml:space="preserve"> PAGEREF _Toc531787337 \h </w:instrText>
        </w:r>
        <w:r>
          <w:rPr>
            <w:webHidden/>
          </w:rPr>
        </w:r>
        <w:r>
          <w:rPr>
            <w:webHidden/>
          </w:rPr>
          <w:fldChar w:fldCharType="separate"/>
        </w:r>
        <w:r w:rsidR="00EC14A3">
          <w:rPr>
            <w:webHidden/>
          </w:rPr>
          <w:t>45</w:t>
        </w:r>
        <w:r>
          <w:rPr>
            <w:webHidden/>
          </w:rPr>
          <w:fldChar w:fldCharType="end"/>
        </w:r>
      </w:hyperlink>
    </w:p>
    <w:p w14:paraId="592A77A3" w14:textId="6D0FD797" w:rsidR="00F77980" w:rsidRDefault="00F77980">
      <w:pPr>
        <w:pStyle w:val="TOC1"/>
        <w:rPr>
          <w:rFonts w:asciiTheme="minorHAnsi" w:eastAsiaTheme="minorEastAsia" w:hAnsiTheme="minorHAnsi" w:cstheme="minorBidi"/>
          <w:b w:val="0"/>
          <w:szCs w:val="22"/>
        </w:rPr>
      </w:pPr>
      <w:hyperlink w:anchor="_Toc531787338" w:history="1">
        <w:r w:rsidRPr="0077581A">
          <w:rPr>
            <w:rStyle w:val="Hyperlink"/>
          </w:rPr>
          <w:t>8</w:t>
        </w:r>
        <w:r>
          <w:rPr>
            <w:rFonts w:asciiTheme="minorHAnsi" w:eastAsiaTheme="minorEastAsia" w:hAnsiTheme="minorHAnsi" w:cstheme="minorBidi"/>
            <w:b w:val="0"/>
            <w:szCs w:val="22"/>
          </w:rPr>
          <w:tab/>
        </w:r>
        <w:r w:rsidRPr="0077581A">
          <w:rPr>
            <w:rStyle w:val="Hyperlink"/>
          </w:rPr>
          <w:t>Professional skills</w:t>
        </w:r>
        <w:r>
          <w:rPr>
            <w:webHidden/>
          </w:rPr>
          <w:tab/>
        </w:r>
        <w:r>
          <w:rPr>
            <w:webHidden/>
          </w:rPr>
          <w:fldChar w:fldCharType="begin"/>
        </w:r>
        <w:r>
          <w:rPr>
            <w:webHidden/>
          </w:rPr>
          <w:instrText xml:space="preserve"> PAGEREF _Toc531787338 \h </w:instrText>
        </w:r>
        <w:r>
          <w:rPr>
            <w:webHidden/>
          </w:rPr>
        </w:r>
        <w:r>
          <w:rPr>
            <w:webHidden/>
          </w:rPr>
          <w:fldChar w:fldCharType="separate"/>
        </w:r>
        <w:r w:rsidR="00EC14A3">
          <w:rPr>
            <w:webHidden/>
          </w:rPr>
          <w:t>46</w:t>
        </w:r>
        <w:r>
          <w:rPr>
            <w:webHidden/>
          </w:rPr>
          <w:fldChar w:fldCharType="end"/>
        </w:r>
      </w:hyperlink>
    </w:p>
    <w:p w14:paraId="5D9E3F21" w14:textId="77777777" w:rsidR="00B34946" w:rsidRDefault="00B63D24" w:rsidP="00B63D24">
      <w:r>
        <w:fldChar w:fldCharType="end"/>
      </w:r>
    </w:p>
    <w:p w14:paraId="1AE8C7A2" w14:textId="77777777" w:rsidR="00B34946" w:rsidRDefault="00B34946">
      <w:pPr>
        <w:spacing w:before="0" w:after="0"/>
      </w:pPr>
      <w:r>
        <w:br w:type="page"/>
      </w:r>
    </w:p>
    <w:p w14:paraId="6F3F41E1" w14:textId="77777777" w:rsidR="00B34946" w:rsidRPr="001E1304" w:rsidRDefault="00B34946" w:rsidP="00F26833">
      <w:pPr>
        <w:pStyle w:val="Heading1"/>
        <w:numPr>
          <w:ilvl w:val="0"/>
          <w:numId w:val="16"/>
        </w:numPr>
      </w:pPr>
      <w:bookmarkStart w:id="4" w:name="_Toc207761830"/>
      <w:bookmarkStart w:id="5" w:name="_Toc209578266"/>
      <w:bookmarkStart w:id="6" w:name="_Toc531787293"/>
      <w:r w:rsidRPr="001E1304">
        <w:t>Introduction</w:t>
      </w:r>
      <w:bookmarkEnd w:id="4"/>
      <w:bookmarkEnd w:id="5"/>
      <w:bookmarkEnd w:id="6"/>
      <w:r w:rsidRPr="001E1304">
        <w:t xml:space="preserve"> </w:t>
      </w:r>
    </w:p>
    <w:p w14:paraId="68CF3F22" w14:textId="77777777" w:rsidR="00B34946" w:rsidRDefault="00B34946" w:rsidP="00B34946">
      <w:pPr>
        <w:pStyle w:val="SubmissionNormal"/>
      </w:pPr>
      <w:r w:rsidRPr="00C5786C">
        <w:t>The Aust</w:t>
      </w:r>
      <w:r w:rsidR="00074319">
        <w:t>ralian Human Rights Commission</w:t>
      </w:r>
      <w:r w:rsidRPr="00C5786C">
        <w:t xml:space="preserve"> </w:t>
      </w:r>
      <w:r w:rsidR="006E3F71">
        <w:t xml:space="preserve">(the Commission) </w:t>
      </w:r>
      <w:r w:rsidRPr="00C5786C">
        <w:t xml:space="preserve">makes this submission </w:t>
      </w:r>
      <w:r w:rsidR="006E3F71">
        <w:t>to the Australian Law Reform Commission</w:t>
      </w:r>
      <w:r w:rsidR="00961756">
        <w:t xml:space="preserve"> (ALRC)</w:t>
      </w:r>
      <w:r w:rsidRPr="00C5786C">
        <w:t xml:space="preserve"> in its </w:t>
      </w:r>
      <w:r w:rsidR="006E3F71">
        <w:t>Review of the Family Law System (this Review).</w:t>
      </w:r>
    </w:p>
    <w:p w14:paraId="71B5F8DB" w14:textId="77777777" w:rsidR="006666CC" w:rsidRDefault="006E3F71" w:rsidP="001F30B1">
      <w:pPr>
        <w:pStyle w:val="SubmissionNormal"/>
      </w:pPr>
      <w:r>
        <w:t>The Commission commends the Australian Government and the Australian Law Reform Commission for this Review</w:t>
      </w:r>
      <w:r w:rsidR="001F30B1">
        <w:t>. In particular</w:t>
      </w:r>
      <w:r w:rsidR="00B62F74">
        <w:t xml:space="preserve">, the Commission welcomes </w:t>
      </w:r>
      <w:r w:rsidR="00F047E1">
        <w:t xml:space="preserve">its </w:t>
      </w:r>
      <w:r w:rsidR="00B62F74">
        <w:t xml:space="preserve">comprehensive nature, noting that </w:t>
      </w:r>
      <w:r w:rsidR="00D92C21">
        <w:t xml:space="preserve">the ALRC will </w:t>
      </w:r>
      <w:r w:rsidR="001F30B1">
        <w:t xml:space="preserve">‘consider the redevelopment of the family law system as a whole, in an integrated and holistic, rather than piecemeal, way’. </w:t>
      </w:r>
      <w:r w:rsidR="000A5825">
        <w:t xml:space="preserve">The Review is a unique opportunity to assess and evaluate whether the system as a whole is functioning at its best in meeting the needs of individuals and family members, including children. </w:t>
      </w:r>
    </w:p>
    <w:p w14:paraId="6D18CCE9" w14:textId="77777777" w:rsidR="006E3F71" w:rsidRDefault="00D92C21" w:rsidP="001F30B1">
      <w:pPr>
        <w:pStyle w:val="SubmissionNormal"/>
      </w:pPr>
      <w:r>
        <w:t>As the</w:t>
      </w:r>
      <w:r w:rsidR="00242B69">
        <w:t xml:space="preserve"> ALRC points out in its Issues P</w:t>
      </w:r>
      <w:r>
        <w:t xml:space="preserve">aper, </w:t>
      </w:r>
      <w:r w:rsidR="001F30B1">
        <w:t>th</w:t>
      </w:r>
      <w:r w:rsidR="00F047E1">
        <w:t>is</w:t>
      </w:r>
      <w:r w:rsidR="001F30B1">
        <w:t xml:space="preserve"> Review builds on a number of earlier reviews that examined aspects of the family law system</w:t>
      </w:r>
      <w:r>
        <w:t xml:space="preserve">. </w:t>
      </w:r>
      <w:r w:rsidR="006B04FB">
        <w:t xml:space="preserve">There are also several Bills before Parliament proposing amendments to the </w:t>
      </w:r>
      <w:r w:rsidR="006B04FB" w:rsidRPr="006B04FB">
        <w:rPr>
          <w:i/>
        </w:rPr>
        <w:t xml:space="preserve">Family Law Act 1975 </w:t>
      </w:r>
      <w:r w:rsidR="000A5825">
        <w:t>(</w:t>
      </w:r>
      <w:proofErr w:type="spellStart"/>
      <w:r w:rsidR="000A5825">
        <w:t>Cth</w:t>
      </w:r>
      <w:proofErr w:type="spellEnd"/>
      <w:r w:rsidR="000A5825">
        <w:t>) (the Family Law Act), which the Commission has made submissions to in relation to children’s rights.</w:t>
      </w:r>
    </w:p>
    <w:p w14:paraId="6B7A0173" w14:textId="139A4586" w:rsidR="00B34946" w:rsidRPr="00A9717E" w:rsidRDefault="00F816C0" w:rsidP="006B6D88">
      <w:pPr>
        <w:pStyle w:val="SubmissionNormal"/>
      </w:pPr>
      <w:r w:rsidRPr="00A9717E">
        <w:t xml:space="preserve">This submission does not </w:t>
      </w:r>
      <w:r w:rsidR="00A9717E" w:rsidRPr="00A9717E">
        <w:t xml:space="preserve">seek to </w:t>
      </w:r>
      <w:r w:rsidRPr="00A9717E">
        <w:t xml:space="preserve">address every question outlined in the Issues Paper. </w:t>
      </w:r>
      <w:r w:rsidR="00270739" w:rsidRPr="00A9717E">
        <w:t>I</w:t>
      </w:r>
      <w:r w:rsidRPr="00A9717E">
        <w:t xml:space="preserve">t concentrates on </w:t>
      </w:r>
      <w:r w:rsidR="000B71DC" w:rsidRPr="00A9717E">
        <w:t>particular human rights issues</w:t>
      </w:r>
      <w:r w:rsidRPr="00A9717E">
        <w:t xml:space="preserve"> rais</w:t>
      </w:r>
      <w:r w:rsidR="006B04FB" w:rsidRPr="00A9717E">
        <w:t>ed with us by organisations and individuals, including children</w:t>
      </w:r>
      <w:r w:rsidR="00270739" w:rsidRPr="00A9717E">
        <w:t xml:space="preserve">, or </w:t>
      </w:r>
      <w:r w:rsidR="000B71DC" w:rsidRPr="00A9717E">
        <w:t xml:space="preserve">issues </w:t>
      </w:r>
      <w:r w:rsidR="000A5825" w:rsidRPr="00A9717E">
        <w:t xml:space="preserve">examined by the Commission </w:t>
      </w:r>
      <w:r w:rsidR="005A7ED3">
        <w:t>in its previous work</w:t>
      </w:r>
      <w:r w:rsidR="0019644E">
        <w:t>. This includes those</w:t>
      </w:r>
      <w:r w:rsidRPr="00A9717E">
        <w:t xml:space="preserve"> relating to the human rights of</w:t>
      </w:r>
      <w:r w:rsidR="00762ACB">
        <w:t>:</w:t>
      </w:r>
      <w:r w:rsidRPr="00A9717E">
        <w:t xml:space="preserve"> children</w:t>
      </w:r>
      <w:r w:rsidR="00762ACB">
        <w:t>;</w:t>
      </w:r>
      <w:r w:rsidRPr="00A9717E">
        <w:t xml:space="preserve"> Aboriginal and Torres Strait Islander peoples</w:t>
      </w:r>
      <w:r w:rsidR="00762ACB">
        <w:t>;</w:t>
      </w:r>
      <w:r w:rsidRPr="00A9717E">
        <w:t xml:space="preserve"> people with disability</w:t>
      </w:r>
      <w:r w:rsidR="00762ACB">
        <w:t>;</w:t>
      </w:r>
      <w:r w:rsidRPr="00A9717E">
        <w:t xml:space="preserve"> </w:t>
      </w:r>
      <w:r w:rsidR="009B189C" w:rsidRPr="00A9717E">
        <w:t>lesbian, gay, bisexual, tr</w:t>
      </w:r>
      <w:r w:rsidR="00F943B0">
        <w:t>ans</w:t>
      </w:r>
      <w:r w:rsidR="00762ACB">
        <w:t>gender and</w:t>
      </w:r>
      <w:r w:rsidR="00F943B0">
        <w:t xml:space="preserve"> intersex </w:t>
      </w:r>
      <w:r w:rsidR="00762ACB">
        <w:t xml:space="preserve">(LGBTI) </w:t>
      </w:r>
      <w:r w:rsidR="009B189C" w:rsidRPr="00A9717E">
        <w:t>people</w:t>
      </w:r>
      <w:r w:rsidR="00762ACB">
        <w:t>;</w:t>
      </w:r>
      <w:r w:rsidR="009B189C" w:rsidRPr="00A9717E">
        <w:t xml:space="preserve"> </w:t>
      </w:r>
      <w:r w:rsidRPr="00A9717E">
        <w:t xml:space="preserve">people from culturally and linguistically </w:t>
      </w:r>
      <w:r w:rsidR="009B189C" w:rsidRPr="00A9717E">
        <w:t>diver</w:t>
      </w:r>
      <w:r w:rsidR="006B04FB" w:rsidRPr="00A9717E">
        <w:t>se communities</w:t>
      </w:r>
      <w:r w:rsidR="00762ACB">
        <w:t>;</w:t>
      </w:r>
      <w:r w:rsidR="006B04FB" w:rsidRPr="00A9717E">
        <w:t xml:space="preserve"> and </w:t>
      </w:r>
      <w:r w:rsidR="000B71DC" w:rsidRPr="00A9717E">
        <w:t xml:space="preserve">people experiencing </w:t>
      </w:r>
      <w:r w:rsidR="009B189C" w:rsidRPr="00A9717E">
        <w:t>family and domestic violence.</w:t>
      </w:r>
      <w:r w:rsidR="00A9717E" w:rsidRPr="00A9717E">
        <w:t xml:space="preserve"> These </w:t>
      </w:r>
      <w:r w:rsidR="00F047E1">
        <w:t xml:space="preserve">issues </w:t>
      </w:r>
      <w:proofErr w:type="gramStart"/>
      <w:r w:rsidR="00762ACB">
        <w:t>have been dealt with</w:t>
      </w:r>
      <w:proofErr w:type="gramEnd"/>
      <w:r w:rsidR="00762ACB">
        <w:t xml:space="preserve"> in this submission by reference to</w:t>
      </w:r>
      <w:r w:rsidR="00A9717E" w:rsidRPr="00A9717E">
        <w:t xml:space="preserve"> headings </w:t>
      </w:r>
      <w:r w:rsidR="00F047E1">
        <w:t xml:space="preserve">provided </w:t>
      </w:r>
      <w:r w:rsidR="00A9717E" w:rsidRPr="00A9717E">
        <w:t>in the Issues Paper.</w:t>
      </w:r>
    </w:p>
    <w:p w14:paraId="42968DE4" w14:textId="77777777" w:rsidR="00B34946" w:rsidRPr="00DD425D" w:rsidRDefault="00B34946" w:rsidP="00F26833">
      <w:pPr>
        <w:pStyle w:val="Heading1"/>
        <w:numPr>
          <w:ilvl w:val="0"/>
          <w:numId w:val="16"/>
        </w:numPr>
      </w:pPr>
      <w:bookmarkStart w:id="7" w:name="_Toc162769290"/>
      <w:bookmarkStart w:id="8" w:name="_Toc207761831"/>
      <w:bookmarkStart w:id="9" w:name="_Toc209578267"/>
      <w:bookmarkStart w:id="10" w:name="_Toc531787294"/>
      <w:r>
        <w:t>Su</w:t>
      </w:r>
      <w:r w:rsidRPr="00DD425D">
        <w:t>mmary</w:t>
      </w:r>
      <w:bookmarkEnd w:id="7"/>
      <w:bookmarkEnd w:id="8"/>
      <w:bookmarkEnd w:id="9"/>
      <w:bookmarkEnd w:id="10"/>
    </w:p>
    <w:p w14:paraId="24CE3A13" w14:textId="77777777" w:rsidR="0023329E" w:rsidRDefault="00D62ACD" w:rsidP="00843DF9">
      <w:pPr>
        <w:pStyle w:val="SubmissionNormal"/>
      </w:pPr>
      <w:r>
        <w:t xml:space="preserve">As Australia’s </w:t>
      </w:r>
      <w:r w:rsidR="003D1524" w:rsidRPr="00DC1740">
        <w:t>family law syste</w:t>
      </w:r>
      <w:r w:rsidR="005826CC">
        <w:t xml:space="preserve">m becomes ever more complex and </w:t>
      </w:r>
      <w:r w:rsidR="00A15FF9">
        <w:t>needs</w:t>
      </w:r>
      <w:r w:rsidR="003D1524" w:rsidRPr="00DC1740">
        <w:t xml:space="preserve"> to respond to a greater diversity of clients, it is timely to </w:t>
      </w:r>
      <w:r w:rsidR="00353FCD" w:rsidRPr="00DC1740">
        <w:t xml:space="preserve">review </w:t>
      </w:r>
      <w:r w:rsidR="003D1524" w:rsidRPr="00DC1740">
        <w:t>how it protects the human rights of individuals and their families, in particular the most vulnerable in our communities</w:t>
      </w:r>
      <w:r w:rsidR="00353FCD" w:rsidRPr="00DC1740">
        <w:t>,</w:t>
      </w:r>
      <w:r w:rsidR="003D1524" w:rsidRPr="00DC1740">
        <w:t xml:space="preserve"> including children and victims of family and domestic violence.</w:t>
      </w:r>
      <w:r w:rsidR="00DC1740">
        <w:t xml:space="preserve"> </w:t>
      </w:r>
    </w:p>
    <w:p w14:paraId="1696A101" w14:textId="45EA8859" w:rsidR="009B4EDF" w:rsidRPr="00DC1740" w:rsidRDefault="00E478FE" w:rsidP="00745FE7">
      <w:pPr>
        <w:pStyle w:val="SubmissionNormal"/>
      </w:pPr>
      <w:r>
        <w:t xml:space="preserve">The Commission considers that </w:t>
      </w:r>
      <w:r w:rsidR="00ED7495">
        <w:t xml:space="preserve">it is important that changes to the Family Law Act reflect the principles </w:t>
      </w:r>
      <w:r w:rsidR="009B4EDF" w:rsidRPr="00DC1740">
        <w:t xml:space="preserve">set out in international human rights treaties </w:t>
      </w:r>
      <w:proofErr w:type="gramStart"/>
      <w:r w:rsidR="00F77980">
        <w:t xml:space="preserve">that </w:t>
      </w:r>
      <w:r w:rsidR="009B4EDF" w:rsidRPr="00DC1740">
        <w:t xml:space="preserve"> Australia</w:t>
      </w:r>
      <w:proofErr w:type="gramEnd"/>
      <w:r w:rsidR="009B4EDF" w:rsidRPr="00DC1740">
        <w:t xml:space="preserve"> has agreed to</w:t>
      </w:r>
      <w:r w:rsidR="00CF1CF8" w:rsidRPr="00DC1740">
        <w:t xml:space="preserve">. Respect for the family, equality before the law and non-discrimination are important human rights principles relevant to the </w:t>
      </w:r>
      <w:r w:rsidR="006864A7" w:rsidRPr="00DC1740">
        <w:t xml:space="preserve">family law system. </w:t>
      </w:r>
      <w:r w:rsidR="00986714" w:rsidRPr="00DC1740">
        <w:t xml:space="preserve">Protecting the rights of those vulnerable in the system, in particular </w:t>
      </w:r>
      <w:r w:rsidR="00D201B7" w:rsidRPr="00DC1740">
        <w:t xml:space="preserve">children’s </w:t>
      </w:r>
      <w:proofErr w:type="gramStart"/>
      <w:r w:rsidR="00D201B7" w:rsidRPr="00DC1740">
        <w:t>rights</w:t>
      </w:r>
      <w:r w:rsidR="00986714" w:rsidRPr="00DC1740">
        <w:t>,</w:t>
      </w:r>
      <w:proofErr w:type="gramEnd"/>
      <w:r w:rsidR="00986714" w:rsidRPr="00DC1740">
        <w:t xml:space="preserve"> should al</w:t>
      </w:r>
      <w:r w:rsidR="005A7ED3">
        <w:t>so be central principles guiding</w:t>
      </w:r>
      <w:r w:rsidR="00D201B7" w:rsidRPr="00DC1740">
        <w:t xml:space="preserve"> the administration of the Act. </w:t>
      </w:r>
    </w:p>
    <w:p w14:paraId="2BAB5C63" w14:textId="42C1DDB1" w:rsidR="00EE6C74" w:rsidRPr="00DC1740" w:rsidRDefault="00D201B7" w:rsidP="00B34946">
      <w:pPr>
        <w:pStyle w:val="SubmissionNormal"/>
      </w:pPr>
      <w:r w:rsidRPr="00DC1740">
        <w:t xml:space="preserve">An accessible legal system is essential to meet the fundamental principles of equality before the law and non-discrimination. </w:t>
      </w:r>
      <w:r w:rsidR="00EE6C74" w:rsidRPr="00DC1740">
        <w:t xml:space="preserve">Certain groups face barriers in </w:t>
      </w:r>
      <w:r w:rsidRPr="00DC1740">
        <w:t>a</w:t>
      </w:r>
      <w:r w:rsidR="005B6450">
        <w:t xml:space="preserve">ccessing the family law system, in particular </w:t>
      </w:r>
      <w:r w:rsidRPr="00DC1740">
        <w:t>Aboriginal and Torres Strait Islander peoples, people from culturally and linguistically diverse communities, people with disability</w:t>
      </w:r>
      <w:r w:rsidR="005A1016">
        <w:t xml:space="preserve"> and LGBTI people</w:t>
      </w:r>
      <w:r w:rsidR="009937E2" w:rsidRPr="00DC1740">
        <w:t xml:space="preserve">. Culturally sensitive legal assistance and inclusive and supportive court processes are </w:t>
      </w:r>
      <w:r w:rsidR="005826CC">
        <w:t xml:space="preserve">some </w:t>
      </w:r>
      <w:r w:rsidR="009937E2" w:rsidRPr="00DC1740">
        <w:t>key features of improving accessibility.</w:t>
      </w:r>
    </w:p>
    <w:p w14:paraId="6803FE34" w14:textId="77777777" w:rsidR="005B6450" w:rsidRDefault="005B6450" w:rsidP="005B6450">
      <w:pPr>
        <w:pStyle w:val="SubmissionNormal"/>
      </w:pPr>
      <w:r>
        <w:t xml:space="preserve">The Family Law Act currently </w:t>
      </w:r>
      <w:r w:rsidR="005826CC">
        <w:t xml:space="preserve">reflects </w:t>
      </w:r>
      <w:r w:rsidR="00E5487F" w:rsidRPr="00DC1740">
        <w:t>important legal principles in relation to parenting: the best interests of the child, Aboriginal and Torres Strait Islander children’s right to culture and ensuring the safety of victims of family and domestic violence.</w:t>
      </w:r>
      <w:r w:rsidR="008D7A74">
        <w:t xml:space="preserve"> How these </w:t>
      </w:r>
      <w:r w:rsidR="006859AA">
        <w:t xml:space="preserve">principles are set out in the Act, and how they </w:t>
      </w:r>
      <w:proofErr w:type="gramStart"/>
      <w:r w:rsidR="006859AA">
        <w:t>are understood</w:t>
      </w:r>
      <w:proofErr w:type="gramEnd"/>
      <w:r w:rsidR="006859AA">
        <w:t xml:space="preserve"> </w:t>
      </w:r>
      <w:r w:rsidR="00E478FE">
        <w:t xml:space="preserve">and applied by decision-makers, </w:t>
      </w:r>
      <w:r w:rsidR="008D7A74">
        <w:t xml:space="preserve">can be improved </w:t>
      </w:r>
      <w:r w:rsidR="00E478FE">
        <w:t>to better protect t</w:t>
      </w:r>
      <w:r>
        <w:t xml:space="preserve">he rights of children and victims </w:t>
      </w:r>
      <w:r w:rsidR="009371D5">
        <w:t xml:space="preserve">of domestic </w:t>
      </w:r>
      <w:r>
        <w:t>and f</w:t>
      </w:r>
      <w:r w:rsidR="008D7A74">
        <w:t>amily violence.</w:t>
      </w:r>
    </w:p>
    <w:p w14:paraId="7C3C1297" w14:textId="77777777" w:rsidR="009371D5" w:rsidRDefault="005B6450" w:rsidP="00270116">
      <w:pPr>
        <w:pStyle w:val="SubmissionNormal"/>
      </w:pPr>
      <w:r>
        <w:t xml:space="preserve">Safety </w:t>
      </w:r>
      <w:r w:rsidR="009371D5">
        <w:t xml:space="preserve">must be a pre-eminent concern of the family law system. </w:t>
      </w:r>
      <w:r w:rsidR="00124845">
        <w:t xml:space="preserve">Despite </w:t>
      </w:r>
      <w:r w:rsidR="00100CC8">
        <w:t xml:space="preserve">previous </w:t>
      </w:r>
      <w:r w:rsidR="00124845">
        <w:t xml:space="preserve">amendments to the Family Law Act </w:t>
      </w:r>
      <w:proofErr w:type="gramStart"/>
      <w:r w:rsidR="00124845">
        <w:t>to better ensure</w:t>
      </w:r>
      <w:proofErr w:type="gramEnd"/>
      <w:r w:rsidR="00124845">
        <w:t xml:space="preserve"> the safety of victims of viole</w:t>
      </w:r>
      <w:r>
        <w:t>nce and abuse, t</w:t>
      </w:r>
      <w:r w:rsidR="009371D5">
        <w:t xml:space="preserve">he Commission is concerned </w:t>
      </w:r>
      <w:r w:rsidR="00100CC8">
        <w:t xml:space="preserve">at reports that </w:t>
      </w:r>
      <w:r w:rsidR="00100CC8" w:rsidRPr="00C85F80">
        <w:t xml:space="preserve">many separated parents still continue to share parenting responsibility for their children despite allegations of family </w:t>
      </w:r>
      <w:r w:rsidR="00100CC8">
        <w:t xml:space="preserve">and domestic </w:t>
      </w:r>
      <w:r w:rsidR="00100CC8" w:rsidRPr="00C85F80">
        <w:t>violence or child abuse</w:t>
      </w:r>
      <w:r w:rsidR="00100CC8">
        <w:t>.</w:t>
      </w:r>
    </w:p>
    <w:p w14:paraId="27A214CE" w14:textId="4C8B3390" w:rsidR="00331E8C" w:rsidRDefault="00331E8C" w:rsidP="00331E8C">
      <w:pPr>
        <w:pStyle w:val="SubmissionNormal"/>
      </w:pPr>
      <w:r>
        <w:t>The welfare jurisdiction</w:t>
      </w:r>
      <w:r w:rsidRPr="005E4242">
        <w:t xml:space="preserve"> gives the family courts a broad power to make orders rela</w:t>
      </w:r>
      <w:r>
        <w:t xml:space="preserve">ting to the welfare of children, which has included decisions relating to the sterilisation of young people with disability, medical procedures for </w:t>
      </w:r>
      <w:r w:rsidR="00920247">
        <w:t xml:space="preserve">intersex </w:t>
      </w:r>
      <w:r w:rsidR="006E00DE">
        <w:t>children</w:t>
      </w:r>
      <w:r>
        <w:t xml:space="preserve">, and medical procedures for </w:t>
      </w:r>
      <w:r w:rsidR="003A0866">
        <w:t xml:space="preserve">children with </w:t>
      </w:r>
      <w:r>
        <w:t>gender dysphoria.</w:t>
      </w:r>
      <w:r w:rsidRPr="005E4242">
        <w:t xml:space="preserve"> The Commi</w:t>
      </w:r>
      <w:r>
        <w:t xml:space="preserve">ssion continues to be concerned </w:t>
      </w:r>
      <w:r w:rsidRPr="005E4242">
        <w:t>about the steril</w:t>
      </w:r>
      <w:r>
        <w:t xml:space="preserve">isation of young people with disability, </w:t>
      </w:r>
      <w:proofErr w:type="gramStart"/>
      <w:r>
        <w:t>and also</w:t>
      </w:r>
      <w:proofErr w:type="gramEnd"/>
      <w:r>
        <w:t xml:space="preserve"> has some concerns about </w:t>
      </w:r>
      <w:r w:rsidR="004F1267" w:rsidRPr="00065521">
        <w:t xml:space="preserve">the </w:t>
      </w:r>
      <w:r w:rsidR="004F1267">
        <w:t xml:space="preserve">way in which some cases dealing with </w:t>
      </w:r>
      <w:r w:rsidR="00920247">
        <w:t xml:space="preserve">intersex </w:t>
      </w:r>
      <w:r w:rsidR="004F1267">
        <w:t xml:space="preserve">children have been decided and </w:t>
      </w:r>
      <w:r>
        <w:t xml:space="preserve">whether the Family Court is providing appropriate oversight of procedures involving </w:t>
      </w:r>
      <w:r w:rsidR="00C52C27">
        <w:t>such</w:t>
      </w:r>
      <w:r w:rsidR="00482F70">
        <w:t xml:space="preserve"> </w:t>
      </w:r>
      <w:r>
        <w:t>children.</w:t>
      </w:r>
    </w:p>
    <w:p w14:paraId="1004F6AF" w14:textId="436203E1" w:rsidR="00331E8C" w:rsidRPr="004022D8" w:rsidRDefault="00331E8C" w:rsidP="00331E8C">
      <w:pPr>
        <w:pStyle w:val="SubmissionNormal"/>
      </w:pPr>
      <w:r w:rsidRPr="00331E8C">
        <w:t xml:space="preserve">There also needs to be certainty for children from </w:t>
      </w:r>
      <w:r w:rsidR="00A15FF9">
        <w:t xml:space="preserve">a </w:t>
      </w:r>
      <w:r w:rsidRPr="00331E8C">
        <w:t xml:space="preserve">greater diversity of families. </w:t>
      </w:r>
      <w:r>
        <w:t xml:space="preserve">On surrogacy arrangements, if Australia is to take a </w:t>
      </w:r>
      <w:r w:rsidRPr="005B12C0">
        <w:t>regulatory approach</w:t>
      </w:r>
      <w:r>
        <w:t xml:space="preserve">, </w:t>
      </w:r>
      <w:r w:rsidRPr="005B12C0">
        <w:t>a nu</w:t>
      </w:r>
      <w:r>
        <w:t>mber of issues</w:t>
      </w:r>
      <w:r w:rsidR="00905E55">
        <w:t xml:space="preserve"> </w:t>
      </w:r>
      <w:r w:rsidRPr="005B12C0">
        <w:t xml:space="preserve">need to </w:t>
      </w:r>
      <w:proofErr w:type="gramStart"/>
      <w:r w:rsidRPr="005B12C0">
        <w:t>be addressed</w:t>
      </w:r>
      <w:proofErr w:type="gramEnd"/>
      <w:r w:rsidRPr="005B12C0">
        <w:t xml:space="preserve"> at a federal level in order to </w:t>
      </w:r>
      <w:r>
        <w:t xml:space="preserve">protect the human rights of all parties involved, and to ensure legal </w:t>
      </w:r>
      <w:r w:rsidRPr="005B12C0">
        <w:t>clarity about the parent-child relationships that result fr</w:t>
      </w:r>
      <w:r>
        <w:t xml:space="preserve">om the arrangement. </w:t>
      </w:r>
      <w:r w:rsidRPr="001E084F">
        <w:t xml:space="preserve">At present, there is uncertainty about whether the Family Court can or should make a declaration of parentage in such circumstances. </w:t>
      </w:r>
    </w:p>
    <w:p w14:paraId="297854DE" w14:textId="77777777" w:rsidR="00331E8C" w:rsidRDefault="00905E55" w:rsidP="00331E8C">
      <w:pPr>
        <w:pStyle w:val="SubmissionNormal"/>
      </w:pPr>
      <w:r>
        <w:t>Further, a</w:t>
      </w:r>
      <w:r w:rsidR="00331E8C">
        <w:t xml:space="preserve"> lack of clarity with regard to the definition of ‘parent’ under the Family Law Act puts children of same-sex couples </w:t>
      </w:r>
      <w:r w:rsidR="00F45924">
        <w:t xml:space="preserve">at risk of experiencing </w:t>
      </w:r>
      <w:r w:rsidR="00331E8C">
        <w:t>discrimination.</w:t>
      </w:r>
    </w:p>
    <w:p w14:paraId="085C9275" w14:textId="2D88DEC3" w:rsidR="00C96C0B" w:rsidRDefault="00331E8C" w:rsidP="00C96C0B">
      <w:pPr>
        <w:pStyle w:val="SubmissionNormal"/>
      </w:pPr>
      <w:r>
        <w:t>D</w:t>
      </w:r>
      <w:r w:rsidR="005826CC">
        <w:t xml:space="preserve">ispute resolution and adjudication processes </w:t>
      </w:r>
      <w:r w:rsidR="00905E55">
        <w:t>can be in</w:t>
      </w:r>
      <w:r w:rsidR="005826CC">
        <w:t xml:space="preserve">appropriate and inaccessible for victims of family and domestic violence. </w:t>
      </w:r>
      <w:r w:rsidR="00C96C0B">
        <w:t>D</w:t>
      </w:r>
      <w:r w:rsidR="00C96C0B" w:rsidRPr="00EF3797">
        <w:t xml:space="preserve">irect cross-examination by unrepresented parties in family law proceedings, in matters involving </w:t>
      </w:r>
      <w:r w:rsidR="00C52C27">
        <w:t xml:space="preserve">allegations of </w:t>
      </w:r>
      <w:r w:rsidR="00C96C0B" w:rsidRPr="00EF3797">
        <w:t xml:space="preserve">family </w:t>
      </w:r>
      <w:r w:rsidR="00C96C0B">
        <w:t xml:space="preserve">and domestic violence, risks re-traumatising victims of </w:t>
      </w:r>
      <w:r w:rsidR="00C96C0B" w:rsidRPr="00EF3797">
        <w:t>family and domestic violen</w:t>
      </w:r>
      <w:r w:rsidR="00C96C0B">
        <w:t>ce</w:t>
      </w:r>
      <w:r w:rsidR="00905E55">
        <w:t xml:space="preserve">, who are disproportionately </w:t>
      </w:r>
      <w:r w:rsidR="00FC0124">
        <w:t>women</w:t>
      </w:r>
      <w:r w:rsidR="00C96C0B">
        <w:t xml:space="preserve">. </w:t>
      </w:r>
      <w:proofErr w:type="gramStart"/>
      <w:r w:rsidR="00C96C0B">
        <w:t xml:space="preserve">There </w:t>
      </w:r>
      <w:r w:rsidR="00C96C0B" w:rsidRPr="000819C1">
        <w:t>is an ever-growing number of women who are family violence victims and who are falling through the cracks of the legal aid system.</w:t>
      </w:r>
      <w:proofErr w:type="gramEnd"/>
      <w:r w:rsidR="00C96C0B" w:rsidRPr="000819C1">
        <w:t xml:space="preserve"> </w:t>
      </w:r>
      <w:r w:rsidR="00C96C0B">
        <w:t>There needs to be g</w:t>
      </w:r>
      <w:r w:rsidR="00C96C0B" w:rsidRPr="000819C1">
        <w:t xml:space="preserve">reater access to legal aid for parties accessing the family courts, </w:t>
      </w:r>
      <w:r w:rsidR="00C96C0B">
        <w:t xml:space="preserve">and holistic and ongoing support services, </w:t>
      </w:r>
      <w:r w:rsidR="00C96C0B" w:rsidRPr="000819C1">
        <w:t>for women experiencing family and domestic violence.</w:t>
      </w:r>
    </w:p>
    <w:p w14:paraId="626B42C2" w14:textId="77777777" w:rsidR="00C96C0B" w:rsidRPr="00F11D2F" w:rsidRDefault="00331E8C" w:rsidP="00C96C0B">
      <w:pPr>
        <w:pStyle w:val="SubmissionNormal"/>
        <w:rPr>
          <w:lang w:val="en"/>
        </w:rPr>
      </w:pPr>
      <w:r w:rsidRPr="00F45635">
        <w:t xml:space="preserve">Children’s rights and interests in particular need to </w:t>
      </w:r>
      <w:proofErr w:type="gramStart"/>
      <w:r w:rsidRPr="00F45635">
        <w:t>be safeguarded</w:t>
      </w:r>
      <w:proofErr w:type="gramEnd"/>
      <w:r w:rsidRPr="00F45635">
        <w:t xml:space="preserve"> in the family law system. </w:t>
      </w:r>
      <w:r w:rsidR="000F5349" w:rsidRPr="00F45635">
        <w:t>The complexity</w:t>
      </w:r>
      <w:r w:rsidR="000F5349">
        <w:t xml:space="preserve"> of cases involving children and family and domestic violence necessitate</w:t>
      </w:r>
      <w:r w:rsidR="002A4003">
        <w:t>s</w:t>
      </w:r>
      <w:r w:rsidR="000F5349">
        <w:t xml:space="preserve"> </w:t>
      </w:r>
      <w:r w:rsidR="002A4003">
        <w:t xml:space="preserve">a response by a multidisciplinary team of professionals who fully understand the impacts of this type of violence on children and their development, such as </w:t>
      </w:r>
      <w:proofErr w:type="gramStart"/>
      <w:r w:rsidR="002A4003">
        <w:t>is currently provided</w:t>
      </w:r>
      <w:proofErr w:type="gramEnd"/>
      <w:r w:rsidR="002A4003">
        <w:t xml:space="preserve"> by the Family Court’s Magellan Program.</w:t>
      </w:r>
    </w:p>
    <w:p w14:paraId="47ECE56B" w14:textId="01A6D56A" w:rsidR="00EE6C74" w:rsidRPr="003143C8" w:rsidRDefault="00EE6C74" w:rsidP="003A0866">
      <w:pPr>
        <w:pStyle w:val="SubmissionNormal"/>
      </w:pPr>
      <w:r w:rsidRPr="00E24DAB">
        <w:t xml:space="preserve">One </w:t>
      </w:r>
      <w:r w:rsidR="00331E8C" w:rsidRPr="00E24DAB">
        <w:t>of the primary means of protecting children’s rights and interests</w:t>
      </w:r>
      <w:r w:rsidRPr="00E24DAB">
        <w:t xml:space="preserve"> is to en</w:t>
      </w:r>
      <w:r w:rsidR="006859AA" w:rsidRPr="00E24DAB">
        <w:t xml:space="preserve">sure that children are able to express their views and have these taken into account by decision-makers, as guaranteed by the </w:t>
      </w:r>
      <w:r w:rsidR="006859AA" w:rsidRPr="00E24DAB">
        <w:rPr>
          <w:i/>
        </w:rPr>
        <w:t>Convention on the Rights of the Child</w:t>
      </w:r>
      <w:r w:rsidR="00905E55">
        <w:t xml:space="preserve"> (CRC). </w:t>
      </w:r>
      <w:r w:rsidR="00331E8C" w:rsidRPr="00E24DAB">
        <w:t>Children</w:t>
      </w:r>
      <w:r w:rsidRPr="00E24DAB">
        <w:t xml:space="preserve"> </w:t>
      </w:r>
      <w:proofErr w:type="gramStart"/>
      <w:r w:rsidRPr="00E24DAB">
        <w:t xml:space="preserve">are often directly </w:t>
      </w:r>
      <w:r w:rsidR="00C52C27">
        <w:t>affected</w:t>
      </w:r>
      <w:proofErr w:type="gramEnd"/>
      <w:r w:rsidR="00213304" w:rsidRPr="00E24DAB">
        <w:t xml:space="preserve"> by the separation</w:t>
      </w:r>
      <w:r w:rsidR="00C52C27">
        <w:t xml:space="preserve"> of their parents</w:t>
      </w:r>
      <w:r w:rsidR="00213304" w:rsidRPr="00E24DAB">
        <w:t>, and can be the victims of abuse and violence.</w:t>
      </w:r>
      <w:r w:rsidR="00E478FE" w:rsidRPr="00E24DAB">
        <w:t xml:space="preserve"> Children and young people</w:t>
      </w:r>
      <w:r w:rsidR="00E478FE">
        <w:t xml:space="preserve"> consistently say that they would like to have more of a say </w:t>
      </w:r>
      <w:r w:rsidR="009F5022">
        <w:t>in</w:t>
      </w:r>
      <w:r w:rsidR="003A0866">
        <w:t>,</w:t>
      </w:r>
      <w:r w:rsidR="009F5022">
        <w:t xml:space="preserve"> and </w:t>
      </w:r>
      <w:proofErr w:type="gramStart"/>
      <w:r w:rsidR="009F5022">
        <w:t>be informed</w:t>
      </w:r>
      <w:proofErr w:type="gramEnd"/>
      <w:r w:rsidR="009F5022">
        <w:t xml:space="preserve"> about</w:t>
      </w:r>
      <w:r w:rsidR="003A0866">
        <w:t>,</w:t>
      </w:r>
      <w:r w:rsidR="009F5022">
        <w:t xml:space="preserve"> </w:t>
      </w:r>
      <w:r w:rsidR="00E478FE">
        <w:t>legal decisions that affect</w:t>
      </w:r>
      <w:r w:rsidR="009F5022">
        <w:t xml:space="preserve"> them. The National Children’s Commissioner has heard directly from children about this.</w:t>
      </w:r>
      <w:r w:rsidR="00E478FE">
        <w:t xml:space="preserve"> </w:t>
      </w:r>
      <w:r w:rsidR="009F5022">
        <w:t xml:space="preserve">However, </w:t>
      </w:r>
      <w:proofErr w:type="gramStart"/>
      <w:r w:rsidR="009F5022">
        <w:t>there are numerous barriers that</w:t>
      </w:r>
      <w:proofErr w:type="gramEnd"/>
      <w:r w:rsidR="009F5022">
        <w:t xml:space="preserve"> are inhibiting child participation in the family law system. </w:t>
      </w:r>
      <w:r w:rsidR="003A0866">
        <w:t xml:space="preserve">This includes </w:t>
      </w:r>
      <w:proofErr w:type="gramStart"/>
      <w:r w:rsidR="00C52C27">
        <w:t xml:space="preserve">a </w:t>
      </w:r>
      <w:r w:rsidR="009F5022">
        <w:t xml:space="preserve">lack of </w:t>
      </w:r>
      <w:r w:rsidR="009F5022" w:rsidRPr="003143C8">
        <w:t>understanding and concerns about children’s participation and how to facilitate it</w:t>
      </w:r>
      <w:proofErr w:type="gramEnd"/>
      <w:r w:rsidR="009F5022" w:rsidRPr="003143C8">
        <w:t>.</w:t>
      </w:r>
      <w:r w:rsidR="003143C8" w:rsidRPr="003143C8">
        <w:t xml:space="preserve"> While a child should not be compelled to express a view in a family law matter, the Commission considers </w:t>
      </w:r>
      <w:r w:rsidR="00C52C27">
        <w:t xml:space="preserve">that </w:t>
      </w:r>
      <w:r w:rsidR="003143C8" w:rsidRPr="003143C8">
        <w:t xml:space="preserve">children </w:t>
      </w:r>
      <w:proofErr w:type="gramStart"/>
      <w:r w:rsidR="003143C8" w:rsidRPr="003143C8">
        <w:t>should be provided</w:t>
      </w:r>
      <w:proofErr w:type="gramEnd"/>
      <w:r w:rsidR="003143C8" w:rsidRPr="003143C8">
        <w:t xml:space="preserve"> with the opportunity to do so in a manner appropriate to their age and maturity.</w:t>
      </w:r>
      <w:r w:rsidR="003143C8">
        <w:t xml:space="preserve"> This includes children whose parents are involved in alternative dispute resolution processes.</w:t>
      </w:r>
    </w:p>
    <w:p w14:paraId="662A04A6" w14:textId="59C826AF" w:rsidR="00EE6C74" w:rsidRPr="00E24DAB" w:rsidRDefault="004022D8" w:rsidP="00E24DAB">
      <w:pPr>
        <w:pStyle w:val="SubmissionNormal"/>
      </w:pPr>
      <w:r>
        <w:t xml:space="preserve">Qualified professionals are an essential safeguard to guarantee the implementation of </w:t>
      </w:r>
      <w:r w:rsidR="008D7A74">
        <w:t xml:space="preserve">human </w:t>
      </w:r>
      <w:r w:rsidR="008D7A74" w:rsidRPr="00F45635">
        <w:t xml:space="preserve">rights in the family law system. </w:t>
      </w:r>
      <w:r w:rsidR="00F047E1" w:rsidRPr="00F45635">
        <w:t xml:space="preserve">Given the complexity of </w:t>
      </w:r>
      <w:r w:rsidR="00C52C27">
        <w:t xml:space="preserve">many </w:t>
      </w:r>
      <w:r w:rsidR="00F047E1" w:rsidRPr="00F45635">
        <w:t>matter</w:t>
      </w:r>
      <w:r w:rsidRPr="00F45635">
        <w:t xml:space="preserve">s before the </w:t>
      </w:r>
      <w:r w:rsidR="00C52C27">
        <w:t>f</w:t>
      </w:r>
      <w:r w:rsidRPr="00F45635">
        <w:t xml:space="preserve">amily </w:t>
      </w:r>
      <w:r w:rsidR="00C52C27">
        <w:t>c</w:t>
      </w:r>
      <w:r w:rsidRPr="00F45635">
        <w:t>o</w:t>
      </w:r>
      <w:r w:rsidR="00E24DAB" w:rsidRPr="00F45635">
        <w:t>urt</w:t>
      </w:r>
      <w:r w:rsidR="00C52C27">
        <w:t>s</w:t>
      </w:r>
      <w:r w:rsidR="00E24DAB" w:rsidRPr="00F45635">
        <w:t xml:space="preserve">, </w:t>
      </w:r>
      <w:r w:rsidR="008D7A74" w:rsidRPr="00F45635">
        <w:t xml:space="preserve">judicial officers and </w:t>
      </w:r>
      <w:r w:rsidR="00A445DA" w:rsidRPr="00F45635">
        <w:t xml:space="preserve">family law professionals </w:t>
      </w:r>
      <w:r w:rsidR="00E24DAB" w:rsidRPr="00F45635">
        <w:t xml:space="preserve">will need ongoing training and resources </w:t>
      </w:r>
      <w:r w:rsidRPr="00F45635">
        <w:t>on specific</w:t>
      </w:r>
      <w:r w:rsidR="00E24DAB" w:rsidRPr="00F45635">
        <w:t xml:space="preserve"> areas relevant to human rights:</w:t>
      </w:r>
    </w:p>
    <w:p w14:paraId="750138C8" w14:textId="77777777" w:rsidR="00E24DAB" w:rsidRDefault="008D7A74" w:rsidP="007D38CA">
      <w:pPr>
        <w:pStyle w:val="ListParagraph"/>
        <w:numPr>
          <w:ilvl w:val="0"/>
          <w:numId w:val="32"/>
        </w:numPr>
      </w:pPr>
      <w:r w:rsidRPr="00E24DAB">
        <w:t>the impacts of family and domestic viole</w:t>
      </w:r>
      <w:r w:rsidR="00E24DAB">
        <w:t>nce and child abuse on children and child development</w:t>
      </w:r>
    </w:p>
    <w:p w14:paraId="4AEC40C0" w14:textId="77777777" w:rsidR="00F45635" w:rsidRDefault="00F45635" w:rsidP="007D38CA">
      <w:pPr>
        <w:pStyle w:val="ListParagraph"/>
        <w:numPr>
          <w:ilvl w:val="0"/>
          <w:numId w:val="32"/>
        </w:numPr>
      </w:pPr>
      <w:r>
        <w:t>effective communication with children and young people</w:t>
      </w:r>
    </w:p>
    <w:p w14:paraId="647CD566" w14:textId="77777777" w:rsidR="008D7A74" w:rsidRPr="00E24DAB" w:rsidRDefault="00E24DAB" w:rsidP="007D38CA">
      <w:pPr>
        <w:pStyle w:val="ListParagraph"/>
        <w:numPr>
          <w:ilvl w:val="0"/>
          <w:numId w:val="32"/>
        </w:numPr>
      </w:pPr>
      <w:r>
        <w:t>d</w:t>
      </w:r>
      <w:r w:rsidR="008D7A74" w:rsidRPr="00E24DAB">
        <w:t>isability awareness training</w:t>
      </w:r>
    </w:p>
    <w:p w14:paraId="2413871E" w14:textId="77777777" w:rsidR="008D7A74" w:rsidRDefault="00F45635" w:rsidP="007D38CA">
      <w:pPr>
        <w:pStyle w:val="ListParagraph"/>
        <w:numPr>
          <w:ilvl w:val="0"/>
          <w:numId w:val="32"/>
        </w:numPr>
      </w:pPr>
      <w:r>
        <w:t xml:space="preserve">the </w:t>
      </w:r>
      <w:r w:rsidR="008D7A74" w:rsidRPr="00E24DAB">
        <w:t>differences between, and issues faced by, people with intersex variations and people who are lesbian, gay, bisexual, transgender, gender diverse or queer</w:t>
      </w:r>
    </w:p>
    <w:p w14:paraId="1C33544E" w14:textId="77777777" w:rsidR="00F45635" w:rsidRDefault="00F45635" w:rsidP="007D38CA">
      <w:pPr>
        <w:pStyle w:val="ListParagraph"/>
        <w:numPr>
          <w:ilvl w:val="0"/>
          <w:numId w:val="32"/>
        </w:numPr>
      </w:pPr>
      <w:r w:rsidRPr="00F45635">
        <w:t>cultural competency skills, in particular in relation to Aboriginal and Torres Strait Islander peoples</w:t>
      </w:r>
    </w:p>
    <w:p w14:paraId="7835F5F8" w14:textId="1CB36B4E" w:rsidR="00F45635" w:rsidRDefault="00F45635" w:rsidP="007D38CA">
      <w:pPr>
        <w:pStyle w:val="ListParagraph"/>
        <w:numPr>
          <w:ilvl w:val="0"/>
          <w:numId w:val="32"/>
        </w:numPr>
      </w:pPr>
      <w:r w:rsidRPr="00F45635">
        <w:t xml:space="preserve">content and meaning of the provisions of the </w:t>
      </w:r>
      <w:r>
        <w:t xml:space="preserve">CRC and </w:t>
      </w:r>
      <w:r w:rsidRPr="00F45635">
        <w:t xml:space="preserve">the </w:t>
      </w:r>
      <w:r w:rsidRPr="000C6174">
        <w:rPr>
          <w:rFonts w:cs="Arial"/>
          <w:i/>
          <w:szCs w:val="22"/>
        </w:rPr>
        <w:t>United Nations Declaration on the Rights of Indigenous Peoples</w:t>
      </w:r>
    </w:p>
    <w:p w14:paraId="492A2FCB" w14:textId="77777777" w:rsidR="00F45635" w:rsidRDefault="00F45635" w:rsidP="007D38CA">
      <w:pPr>
        <w:pStyle w:val="ListParagraph"/>
        <w:numPr>
          <w:ilvl w:val="0"/>
          <w:numId w:val="32"/>
        </w:numPr>
      </w:pPr>
      <w:proofErr w:type="gramStart"/>
      <w:r w:rsidRPr="00F45635">
        <w:t>trauma-informed</w:t>
      </w:r>
      <w:proofErr w:type="gramEnd"/>
      <w:r w:rsidRPr="00F45635">
        <w:t xml:space="preserve"> practices, in particular in relation to the impact of inter-generational trauma on Aboriginal and Torres Strait Islander peoples.</w:t>
      </w:r>
    </w:p>
    <w:p w14:paraId="72784C98" w14:textId="77777777" w:rsidR="00A15FF9" w:rsidRDefault="00A15FF9" w:rsidP="00A15FF9">
      <w:pPr>
        <w:pStyle w:val="SubmissionNormal"/>
      </w:pPr>
      <w:r>
        <w:t>The Commission makes the following recommendations:</w:t>
      </w:r>
    </w:p>
    <w:p w14:paraId="0C1F58DC" w14:textId="77777777" w:rsidR="00A15FF9" w:rsidRPr="00046F83" w:rsidRDefault="00A15FF9" w:rsidP="00A15FF9">
      <w:pPr>
        <w:pStyle w:val="SubmissionNormal"/>
      </w:pPr>
      <w:r w:rsidRPr="00046F83">
        <w:rPr>
          <w:lang w:val="en"/>
        </w:rPr>
        <w:t xml:space="preserve">Recommendation 1: Protection of children’s rights is included in the overarching principles of the Family Law Act by direct references to the four Guiding Principles and other provisions of the </w:t>
      </w:r>
      <w:r w:rsidRPr="00046F83">
        <w:rPr>
          <w:i/>
          <w:lang w:val="en"/>
        </w:rPr>
        <w:t>Convention on the Rights of the Child</w:t>
      </w:r>
      <w:r w:rsidRPr="00046F83">
        <w:rPr>
          <w:lang w:val="en"/>
        </w:rPr>
        <w:t xml:space="preserve">. </w:t>
      </w:r>
    </w:p>
    <w:p w14:paraId="29A0AA4B" w14:textId="7E850BE9" w:rsidR="00BA7B77" w:rsidRPr="00046F83" w:rsidRDefault="00BA7B77" w:rsidP="00BA7B77">
      <w:pPr>
        <w:pStyle w:val="SubmissionNormal"/>
        <w:rPr>
          <w:lang w:val="en"/>
        </w:rPr>
      </w:pPr>
      <w:r w:rsidRPr="00046F83">
        <w:rPr>
          <w:lang w:val="en"/>
        </w:rPr>
        <w:t xml:space="preserve">Recommendation 2: </w:t>
      </w:r>
      <w:r w:rsidR="00ED7495">
        <w:rPr>
          <w:lang w:val="en"/>
        </w:rPr>
        <w:t>In conducting this review and fulfilling its obligations under s</w:t>
      </w:r>
      <w:r w:rsidR="00465C42">
        <w:rPr>
          <w:lang w:val="en"/>
        </w:rPr>
        <w:t xml:space="preserve"> </w:t>
      </w:r>
      <w:r w:rsidR="00ED7495">
        <w:rPr>
          <w:lang w:val="en"/>
        </w:rPr>
        <w:t xml:space="preserve">24(1) of the </w:t>
      </w:r>
      <w:r w:rsidR="00ED7495" w:rsidRPr="00465C42">
        <w:rPr>
          <w:i/>
          <w:lang w:val="en"/>
        </w:rPr>
        <w:t>Australian Law Reform Commission Act 1996</w:t>
      </w:r>
      <w:r w:rsidR="00ED7495">
        <w:rPr>
          <w:lang w:val="en"/>
        </w:rPr>
        <w:t xml:space="preserve"> (</w:t>
      </w:r>
      <w:proofErr w:type="spellStart"/>
      <w:r w:rsidR="00ED7495">
        <w:rPr>
          <w:lang w:val="en"/>
        </w:rPr>
        <w:t>Cth</w:t>
      </w:r>
      <w:proofErr w:type="spellEnd"/>
      <w:r w:rsidR="00ED7495">
        <w:rPr>
          <w:lang w:val="en"/>
        </w:rPr>
        <w:t>), t</w:t>
      </w:r>
      <w:r w:rsidRPr="00046F83">
        <w:rPr>
          <w:lang w:val="en"/>
        </w:rPr>
        <w:t xml:space="preserve">he ALRC consider </w:t>
      </w:r>
      <w:r w:rsidR="00ED7495">
        <w:rPr>
          <w:lang w:val="en"/>
        </w:rPr>
        <w:t xml:space="preserve">in particular </w:t>
      </w:r>
      <w:r w:rsidRPr="00046F83">
        <w:rPr>
          <w:lang w:val="en"/>
        </w:rPr>
        <w:t>the human rights principles contained in the following international human rights treaties and instruments when evaluating proposed reforms for the Family Law Act:</w:t>
      </w:r>
    </w:p>
    <w:p w14:paraId="13B1C5D5" w14:textId="77777777" w:rsidR="00BA7B77" w:rsidRPr="00C61B9F" w:rsidRDefault="00BA7B77" w:rsidP="00C61B9F">
      <w:pPr>
        <w:pStyle w:val="ListParagraph"/>
        <w:numPr>
          <w:ilvl w:val="0"/>
          <w:numId w:val="42"/>
        </w:numPr>
        <w:rPr>
          <w:lang w:val="en"/>
        </w:rPr>
      </w:pPr>
      <w:r w:rsidRPr="00C61B9F">
        <w:rPr>
          <w:i/>
          <w:lang w:val="en"/>
        </w:rPr>
        <w:t xml:space="preserve">Convention on the Rights of the Child </w:t>
      </w:r>
    </w:p>
    <w:p w14:paraId="25FF33E7" w14:textId="77777777" w:rsidR="00BA7B77" w:rsidRPr="00C61B9F" w:rsidRDefault="00BA7B77" w:rsidP="00C61B9F">
      <w:pPr>
        <w:pStyle w:val="ListParagraph"/>
        <w:numPr>
          <w:ilvl w:val="0"/>
          <w:numId w:val="42"/>
        </w:numPr>
        <w:rPr>
          <w:lang w:val="en"/>
        </w:rPr>
      </w:pPr>
      <w:r w:rsidRPr="00C61B9F">
        <w:rPr>
          <w:i/>
        </w:rPr>
        <w:t>Convention on the Elimination of All Forms of Discrimination Against Women</w:t>
      </w:r>
      <w:r w:rsidR="00046F83">
        <w:t xml:space="preserve"> </w:t>
      </w:r>
    </w:p>
    <w:p w14:paraId="4A76EF3F" w14:textId="77777777" w:rsidR="00BA7B77" w:rsidRPr="00C61B9F" w:rsidRDefault="00BA7B77" w:rsidP="00C61B9F">
      <w:pPr>
        <w:pStyle w:val="ListParagraph"/>
        <w:numPr>
          <w:ilvl w:val="0"/>
          <w:numId w:val="42"/>
        </w:numPr>
        <w:rPr>
          <w:lang w:val="en"/>
        </w:rPr>
      </w:pPr>
      <w:r w:rsidRPr="00C61B9F">
        <w:rPr>
          <w:i/>
        </w:rPr>
        <w:t>Convention on the Righ</w:t>
      </w:r>
      <w:r w:rsidR="00046F83" w:rsidRPr="00C61B9F">
        <w:rPr>
          <w:i/>
        </w:rPr>
        <w:t>ts of Persons with Disabilities</w:t>
      </w:r>
    </w:p>
    <w:p w14:paraId="4FC524EB" w14:textId="77777777" w:rsidR="00BA7B77" w:rsidRPr="00C61B9F" w:rsidRDefault="00BA7B77" w:rsidP="00C61B9F">
      <w:pPr>
        <w:pStyle w:val="ListParagraph"/>
        <w:numPr>
          <w:ilvl w:val="0"/>
          <w:numId w:val="42"/>
        </w:numPr>
        <w:rPr>
          <w:lang w:val="en"/>
        </w:rPr>
      </w:pPr>
      <w:r w:rsidRPr="00C61B9F">
        <w:rPr>
          <w:i/>
        </w:rPr>
        <w:t>Declaration on the Rights of Indigenous Peoples</w:t>
      </w:r>
      <w:r w:rsidRPr="00046F83">
        <w:t xml:space="preserve"> </w:t>
      </w:r>
    </w:p>
    <w:p w14:paraId="59262DD3" w14:textId="77777777" w:rsidR="00BA7B77" w:rsidRPr="00C61B9F" w:rsidRDefault="00BA7B77" w:rsidP="00C61B9F">
      <w:pPr>
        <w:pStyle w:val="ListParagraph"/>
        <w:numPr>
          <w:ilvl w:val="0"/>
          <w:numId w:val="42"/>
        </w:numPr>
        <w:rPr>
          <w:lang w:val="en"/>
        </w:rPr>
      </w:pPr>
      <w:r w:rsidRPr="00C61B9F">
        <w:rPr>
          <w:i/>
        </w:rPr>
        <w:t>International Convention on the Elimination of All Forms of Racial Discrimination</w:t>
      </w:r>
      <w:r w:rsidR="00046F83">
        <w:t>.</w:t>
      </w:r>
    </w:p>
    <w:p w14:paraId="28B8EB6B" w14:textId="77777777" w:rsidR="00BA7B77" w:rsidRPr="00046F83" w:rsidRDefault="00BA7B77" w:rsidP="00BA7B77">
      <w:pPr>
        <w:pStyle w:val="SubmissionNormal"/>
      </w:pPr>
      <w:r w:rsidRPr="00046F83">
        <w:t xml:space="preserve">Recommendation 3: Aboriginal and Torres Strait Islander Legal Services </w:t>
      </w:r>
      <w:proofErr w:type="gramStart"/>
      <w:r w:rsidRPr="00046F83">
        <w:t>are funded</w:t>
      </w:r>
      <w:proofErr w:type="gramEnd"/>
      <w:r w:rsidRPr="00046F83">
        <w:t xml:space="preserve"> to ensure the availability of culturally sensitive legal assistance in family law matters, irrespective of geographic location. </w:t>
      </w:r>
    </w:p>
    <w:p w14:paraId="592C33B3" w14:textId="77777777" w:rsidR="00BA7B77" w:rsidRPr="00046F83" w:rsidRDefault="00BA7B77" w:rsidP="00BA7B77">
      <w:pPr>
        <w:pStyle w:val="SubmissionNormal"/>
      </w:pPr>
      <w:r w:rsidRPr="00046F83">
        <w:t xml:space="preserve">Recommendation 4: The environment, procedures and processes of the family law system are reviewed to ensure appropriate accessibility by people with a disability as required under the </w:t>
      </w:r>
      <w:r w:rsidRPr="00046F83">
        <w:rPr>
          <w:i/>
        </w:rPr>
        <w:t xml:space="preserve">Disability Discrimination Act 1992 </w:t>
      </w:r>
      <w:r w:rsidRPr="00046F83">
        <w:t>(</w:t>
      </w:r>
      <w:proofErr w:type="spellStart"/>
      <w:r w:rsidRPr="00046F83">
        <w:t>Cth</w:t>
      </w:r>
      <w:proofErr w:type="spellEnd"/>
      <w:r w:rsidRPr="00046F83">
        <w:t>).</w:t>
      </w:r>
    </w:p>
    <w:p w14:paraId="0FC82CFA" w14:textId="327403F3" w:rsidR="00BA7B77" w:rsidRPr="00046F83" w:rsidRDefault="00BA7B77" w:rsidP="00BA7B77">
      <w:pPr>
        <w:pStyle w:val="SubmissionNormal"/>
      </w:pPr>
      <w:r w:rsidRPr="00046F83">
        <w:t xml:space="preserve">Recommendation 5: </w:t>
      </w:r>
      <w:r w:rsidR="007E6773">
        <w:t>A</w:t>
      </w:r>
      <w:r w:rsidRPr="00046F83">
        <w:t xml:space="preserve"> person with disability </w:t>
      </w:r>
      <w:proofErr w:type="gramStart"/>
      <w:r w:rsidRPr="00046F83">
        <w:t>is supported</w:t>
      </w:r>
      <w:proofErr w:type="gramEnd"/>
      <w:r w:rsidRPr="00046F83">
        <w:t xml:space="preserve"> to participate in the court process and to make their own decisions in family law proceedings. </w:t>
      </w:r>
    </w:p>
    <w:p w14:paraId="0D722939" w14:textId="078871A8" w:rsidR="00BA7B77" w:rsidRPr="00046F83" w:rsidRDefault="00BA7B77" w:rsidP="00BA7B77">
      <w:pPr>
        <w:pStyle w:val="SubmissionNormal"/>
      </w:pPr>
      <w:r w:rsidRPr="00046F83">
        <w:t xml:space="preserve">Recommendation 6: The Family Law Act is amended </w:t>
      </w:r>
      <w:r w:rsidR="001A50F2">
        <w:t xml:space="preserve">to clarify </w:t>
      </w:r>
      <w:r w:rsidRPr="00046F83">
        <w:t>that the disability of parents not give rise to a presumption that orders should not be made in their favour in relation to residence, contact and parental responsibility.</w:t>
      </w:r>
    </w:p>
    <w:p w14:paraId="6FA41E3C" w14:textId="0A0178B4" w:rsidR="00BA7B77" w:rsidRPr="00046F83" w:rsidRDefault="00BA7B77" w:rsidP="00BA7B77">
      <w:pPr>
        <w:pStyle w:val="SubmissionNormal"/>
      </w:pPr>
      <w:r w:rsidRPr="00046F83">
        <w:t>Recommendation 7: The Family Court makes appropriate accommodations for persons with disabilities in the court processes</w:t>
      </w:r>
      <w:r w:rsidR="004A003D">
        <w:t>.</w:t>
      </w:r>
    </w:p>
    <w:p w14:paraId="689792FE" w14:textId="0C62D6A1" w:rsidR="00BA7B77" w:rsidRPr="00046F83" w:rsidRDefault="00BA7B77" w:rsidP="00BA7B77">
      <w:pPr>
        <w:pStyle w:val="SubmissionNormal"/>
        <w:rPr>
          <w:rStyle w:val="Strong"/>
          <w:b w:val="0"/>
          <w:bCs w:val="0"/>
          <w:lang w:val="en"/>
        </w:rPr>
      </w:pPr>
      <w:r w:rsidRPr="00046F83">
        <w:rPr>
          <w:rStyle w:val="Emphasis"/>
          <w:rFonts w:cs="Arial"/>
          <w:bCs/>
          <w:i w:val="0"/>
          <w:lang w:val="en"/>
        </w:rPr>
        <w:t xml:space="preserve">Recommendation </w:t>
      </w:r>
      <w:r w:rsidR="00F8180F">
        <w:rPr>
          <w:rStyle w:val="Emphasis"/>
          <w:rFonts w:cs="Arial"/>
          <w:bCs/>
          <w:i w:val="0"/>
          <w:lang w:val="en"/>
        </w:rPr>
        <w:t>8</w:t>
      </w:r>
      <w:r w:rsidRPr="00046F83">
        <w:rPr>
          <w:rFonts w:cs="Arial"/>
          <w:lang w:val="en"/>
        </w:rPr>
        <w:t>:</w:t>
      </w:r>
      <w:r w:rsidRPr="00046F83">
        <w:rPr>
          <w:rStyle w:val="Strong"/>
          <w:rFonts w:cs="Arial"/>
          <w:b w:val="0"/>
          <w:lang w:val="en"/>
        </w:rPr>
        <w:t xml:space="preserve"> Consideration of the views of the child is included as a third primary consideration in section 60CC of the Family Law Act.</w:t>
      </w:r>
    </w:p>
    <w:p w14:paraId="19EEF623" w14:textId="4893D863" w:rsidR="00BA7B77" w:rsidRPr="00046F83" w:rsidRDefault="00BA7B77" w:rsidP="00BA7B77">
      <w:pPr>
        <w:pStyle w:val="SubmissionNormal"/>
      </w:pPr>
      <w:r w:rsidRPr="00046F83">
        <w:t xml:space="preserve">Recommendation </w:t>
      </w:r>
      <w:r w:rsidR="00F8180F">
        <w:t>9</w:t>
      </w:r>
      <w:r w:rsidRPr="00046F83">
        <w:t xml:space="preserve">: Section 4 of the Family Law Act </w:t>
      </w:r>
      <w:proofErr w:type="gramStart"/>
      <w:r w:rsidRPr="00046F83">
        <w:t>is amended</w:t>
      </w:r>
      <w:proofErr w:type="gramEnd"/>
      <w:r w:rsidRPr="00046F83">
        <w:t xml:space="preserve"> to include an explanatory note to the definition of ‘family and domestic violence’ to explain the nature, features and dynamics, including the gendered nature, of family and domestic violence. </w:t>
      </w:r>
    </w:p>
    <w:p w14:paraId="7F656AB6" w14:textId="6AE13164" w:rsidR="001C0D69" w:rsidRPr="00046F83" w:rsidRDefault="001C0D69" w:rsidP="001C0D69">
      <w:pPr>
        <w:pStyle w:val="SubmissionNormal"/>
      </w:pPr>
      <w:proofErr w:type="gramStart"/>
      <w:r w:rsidRPr="00046F83">
        <w:t>Recommendation 1</w:t>
      </w:r>
      <w:r w:rsidR="00F8180F">
        <w:t>0</w:t>
      </w:r>
      <w:r w:rsidRPr="00046F83">
        <w:t xml:space="preserve">: The ALRC review the operation of the presumption of equal shared parental responsibility to ensure it is achieving its intended objectives, having particular regard to the findings of the House of Representatives Standing Committee on Social Policy and Legal Affairs’ inquiry, </w:t>
      </w:r>
      <w:r w:rsidRPr="00046F83">
        <w:rPr>
          <w:i/>
        </w:rPr>
        <w:t>A better family law system to support and protect those affected by family violence: recommendations for an accessible, equitable and responsive family law system which better prioritises safety of those affected by family violence.</w:t>
      </w:r>
      <w:proofErr w:type="gramEnd"/>
      <w:r w:rsidRPr="00046F83">
        <w:rPr>
          <w:i/>
        </w:rPr>
        <w:t xml:space="preserve"> </w:t>
      </w:r>
    </w:p>
    <w:p w14:paraId="70BBCBB0" w14:textId="685C55B5" w:rsidR="00F055C5" w:rsidRPr="00046F83" w:rsidRDefault="00F055C5" w:rsidP="00F055C5">
      <w:pPr>
        <w:pStyle w:val="SubmissionNormal"/>
        <w:rPr>
          <w:lang w:val="en"/>
        </w:rPr>
      </w:pPr>
      <w:r w:rsidRPr="00046F83">
        <w:t>Recommendation 1</w:t>
      </w:r>
      <w:r w:rsidR="00F8180F">
        <w:t>1</w:t>
      </w:r>
      <w:r w:rsidRPr="00046F83">
        <w:t>: In the development of any regulatory regime dealing with surrogacy, the following guiding principles are followed:</w:t>
      </w:r>
    </w:p>
    <w:p w14:paraId="6F821DA3" w14:textId="08AD5BFD" w:rsidR="00F055C5" w:rsidRPr="00046F83" w:rsidRDefault="00F055C5" w:rsidP="00F055C5">
      <w:pPr>
        <w:pStyle w:val="ListParagraph"/>
        <w:numPr>
          <w:ilvl w:val="1"/>
          <w:numId w:val="15"/>
        </w:numPr>
      </w:pPr>
      <w:r w:rsidRPr="00046F83">
        <w:t>the best interests of the child are protected (including the child’s safety and wellbeing and the child’s right to know about his or her origins)</w:t>
      </w:r>
    </w:p>
    <w:p w14:paraId="6DB7FC69" w14:textId="77777777" w:rsidR="00F055C5" w:rsidRPr="00046F83" w:rsidRDefault="00F055C5" w:rsidP="00F055C5">
      <w:pPr>
        <w:pStyle w:val="ListParagraph"/>
        <w:numPr>
          <w:ilvl w:val="1"/>
          <w:numId w:val="15"/>
        </w:numPr>
      </w:pPr>
      <w:r w:rsidRPr="00046F83">
        <w:t>the surrogate mother is able to make a free and informed decision about whether to act as a surrogate</w:t>
      </w:r>
    </w:p>
    <w:p w14:paraId="465B2E46" w14:textId="77777777" w:rsidR="00F055C5" w:rsidRPr="00046F83" w:rsidRDefault="00F055C5" w:rsidP="00F055C5">
      <w:pPr>
        <w:pStyle w:val="ListParagraph"/>
        <w:numPr>
          <w:ilvl w:val="1"/>
          <w:numId w:val="15"/>
        </w:numPr>
      </w:pPr>
      <w:r w:rsidRPr="00046F83">
        <w:t>sufficient regulatory protections are in place to protect the surrogate mother from exploitation</w:t>
      </w:r>
    </w:p>
    <w:p w14:paraId="330AFD16" w14:textId="77777777" w:rsidR="00F055C5" w:rsidRPr="00046F83" w:rsidRDefault="00F055C5" w:rsidP="00F055C5">
      <w:pPr>
        <w:pStyle w:val="ListParagraph"/>
        <w:numPr>
          <w:ilvl w:val="1"/>
          <w:numId w:val="15"/>
        </w:numPr>
      </w:pPr>
      <w:proofErr w:type="gramStart"/>
      <w:r w:rsidRPr="00046F83">
        <w:t>there</w:t>
      </w:r>
      <w:proofErr w:type="gramEnd"/>
      <w:r w:rsidRPr="00046F83">
        <w:t xml:space="preserve"> is legal clarity about the parent-child relationships that result from the arrangement.</w:t>
      </w:r>
    </w:p>
    <w:p w14:paraId="479BFDAC" w14:textId="6AA4137E" w:rsidR="00F055C5" w:rsidRPr="00046F83" w:rsidRDefault="00F055C5" w:rsidP="00F055C5">
      <w:pPr>
        <w:pStyle w:val="SubmissionNormal"/>
        <w:rPr>
          <w:lang w:val="en"/>
        </w:rPr>
      </w:pPr>
      <w:r w:rsidRPr="00046F83">
        <w:rPr>
          <w:lang w:val="en"/>
        </w:rPr>
        <w:t>Recommendation 1</w:t>
      </w:r>
      <w:r w:rsidR="00F8180F">
        <w:rPr>
          <w:lang w:val="en"/>
        </w:rPr>
        <w:t>2</w:t>
      </w:r>
      <w:r w:rsidRPr="00046F83">
        <w:rPr>
          <w:lang w:val="en"/>
        </w:rPr>
        <w:t xml:space="preserve">: </w:t>
      </w:r>
      <w:r w:rsidRPr="00046F83">
        <w:t>If the Australian Government decides to permit some form of international surrogacy arrangements, then the following amendments are made to Commonwealth law to clarify parent-child relationships that result from those arrangements:</w:t>
      </w:r>
    </w:p>
    <w:p w14:paraId="465F90AB" w14:textId="77777777" w:rsidR="00F055C5" w:rsidRPr="00046F83" w:rsidRDefault="00F055C5" w:rsidP="00F055C5">
      <w:pPr>
        <w:pStyle w:val="ListParagraph"/>
        <w:numPr>
          <w:ilvl w:val="1"/>
          <w:numId w:val="15"/>
        </w:numPr>
      </w:pPr>
      <w:r w:rsidRPr="00046F83">
        <w:t>a clearer definition of ‘parent’ be inserted into the Family Law Act</w:t>
      </w:r>
    </w:p>
    <w:p w14:paraId="5B3DBA26" w14:textId="77777777" w:rsidR="00F055C5" w:rsidRPr="00046F83" w:rsidRDefault="00F055C5" w:rsidP="00F055C5">
      <w:pPr>
        <w:pStyle w:val="ListParagraph"/>
        <w:numPr>
          <w:ilvl w:val="1"/>
          <w:numId w:val="15"/>
        </w:numPr>
      </w:pPr>
      <w:r w:rsidRPr="00046F83">
        <w:t>a federal Status of Children Act be introduced that:</w:t>
      </w:r>
    </w:p>
    <w:p w14:paraId="6A1B2F53" w14:textId="77777777" w:rsidR="00F055C5" w:rsidRPr="00046F83" w:rsidRDefault="00F055C5" w:rsidP="00F055C5">
      <w:pPr>
        <w:pStyle w:val="ListParagraph"/>
        <w:numPr>
          <w:ilvl w:val="2"/>
          <w:numId w:val="15"/>
        </w:numPr>
      </w:pPr>
      <w:r w:rsidRPr="00046F83">
        <w:t>includes the power to make orders about the status of children and legal parentage for the purpose of all Commonwealth laws; and</w:t>
      </w:r>
    </w:p>
    <w:p w14:paraId="2FF37618" w14:textId="77777777" w:rsidR="00F055C5" w:rsidRPr="00046F83" w:rsidRDefault="00F055C5" w:rsidP="00F055C5">
      <w:pPr>
        <w:pStyle w:val="ListParagraph"/>
        <w:numPr>
          <w:ilvl w:val="2"/>
          <w:numId w:val="15"/>
        </w:numPr>
      </w:pPr>
      <w:r w:rsidRPr="00046F83">
        <w:t>specifically deals with applications for transfer of parentage in surrogacy cases where State and Territory Acts do not apply</w:t>
      </w:r>
    </w:p>
    <w:p w14:paraId="2A06429F" w14:textId="47D5071D" w:rsidR="00F055C5" w:rsidRPr="00046F83" w:rsidRDefault="00F055C5" w:rsidP="00F055C5">
      <w:pPr>
        <w:pStyle w:val="ListParagraph"/>
        <w:numPr>
          <w:ilvl w:val="1"/>
          <w:numId w:val="15"/>
        </w:numPr>
      </w:pPr>
      <w:proofErr w:type="gramStart"/>
      <w:r w:rsidRPr="00046F83">
        <w:t>s</w:t>
      </w:r>
      <w:r w:rsidR="006E02AC">
        <w:t>ection</w:t>
      </w:r>
      <w:proofErr w:type="gramEnd"/>
      <w:r w:rsidRPr="00046F83">
        <w:t xml:space="preserve"> 60H of the Family Law Act be redrafted to make it clear that it does not apply to surrogacy arrangements.</w:t>
      </w:r>
    </w:p>
    <w:p w14:paraId="4D36A7AD" w14:textId="000B3CEB" w:rsidR="00F055C5" w:rsidRPr="00046F83" w:rsidRDefault="00F055C5" w:rsidP="00F055C5">
      <w:pPr>
        <w:pStyle w:val="SubmissionNormal"/>
      </w:pPr>
      <w:r w:rsidRPr="00046F83">
        <w:t>Recommendation 1</w:t>
      </w:r>
      <w:r w:rsidR="00F8180F">
        <w:t>3</w:t>
      </w:r>
      <w:r w:rsidRPr="00046F83">
        <w:t xml:space="preserve">: The Family Law Act </w:t>
      </w:r>
      <w:proofErr w:type="gramStart"/>
      <w:r w:rsidRPr="00046F83">
        <w:t>is amended</w:t>
      </w:r>
      <w:proofErr w:type="gramEnd"/>
      <w:r w:rsidRPr="00046F83">
        <w:t xml:space="preserve"> to include a general definition of parent that is consistent with contemporary understandings of parent-child relationships including de facto partners and non-biological parents.</w:t>
      </w:r>
    </w:p>
    <w:p w14:paraId="44CB707D" w14:textId="288B0A6D" w:rsidR="00F055C5" w:rsidRPr="00046F83" w:rsidRDefault="00F055C5" w:rsidP="00F055C5">
      <w:pPr>
        <w:pStyle w:val="SubmissionNormal"/>
      </w:pPr>
      <w:r w:rsidRPr="00046F83">
        <w:t>Recommendation 1</w:t>
      </w:r>
      <w:r w:rsidR="00F8180F">
        <w:t>4</w:t>
      </w:r>
      <w:r w:rsidRPr="00046F83">
        <w:t xml:space="preserve">:The Family Law Act is amended to prevent direct cross-examination by unrepresented parties in family law proceedings, in matters involving family and domestic violence, having regard to the following matters: </w:t>
      </w:r>
    </w:p>
    <w:p w14:paraId="4BA740AE" w14:textId="77777777" w:rsidR="00F055C5" w:rsidRPr="00046F83" w:rsidRDefault="00F055C5" w:rsidP="00F055C5">
      <w:pPr>
        <w:pStyle w:val="ListParagraph"/>
        <w:numPr>
          <w:ilvl w:val="0"/>
          <w:numId w:val="19"/>
        </w:numPr>
      </w:pPr>
      <w:r w:rsidRPr="00046F83">
        <w:rPr>
          <w:lang w:val="en-GB"/>
        </w:rPr>
        <w:t>the protection of vulnerable witnesses and their capacity to give effective evidence balanced against the right of another party to test evidence adduced by all relevant witnesses</w:t>
      </w:r>
    </w:p>
    <w:p w14:paraId="6A6921CF" w14:textId="77777777" w:rsidR="00F055C5" w:rsidRPr="00046F83" w:rsidRDefault="00F055C5" w:rsidP="00F055C5">
      <w:pPr>
        <w:pStyle w:val="ListParagraph"/>
        <w:numPr>
          <w:ilvl w:val="0"/>
          <w:numId w:val="19"/>
        </w:numPr>
      </w:pPr>
      <w:r w:rsidRPr="00046F83">
        <w:rPr>
          <w:lang w:val="en-GB"/>
        </w:rPr>
        <w:t>the need to take into account the views of the women and children, and the importance of the role of independent children’s lawyers</w:t>
      </w:r>
    </w:p>
    <w:p w14:paraId="5E42F0CB" w14:textId="77777777" w:rsidR="00F055C5" w:rsidRPr="00046F83" w:rsidRDefault="00F055C5" w:rsidP="00F055C5">
      <w:pPr>
        <w:pStyle w:val="ListParagraph"/>
        <w:numPr>
          <w:ilvl w:val="0"/>
          <w:numId w:val="19"/>
        </w:numPr>
      </w:pPr>
      <w:r w:rsidRPr="00046F83">
        <w:rPr>
          <w:lang w:val="en-GB"/>
        </w:rPr>
        <w:t>procedural fairness and potential limitations on the unrepresented party’s ability to effectively examine the witness</w:t>
      </w:r>
    </w:p>
    <w:p w14:paraId="491C797B" w14:textId="77777777" w:rsidR="00F055C5" w:rsidRPr="00046F83" w:rsidRDefault="00F055C5" w:rsidP="00F055C5">
      <w:pPr>
        <w:pStyle w:val="ListParagraph"/>
        <w:numPr>
          <w:ilvl w:val="0"/>
          <w:numId w:val="19"/>
        </w:numPr>
      </w:pPr>
      <w:proofErr w:type="gramStart"/>
      <w:r w:rsidRPr="00046F83">
        <w:rPr>
          <w:lang w:val="en-GB"/>
        </w:rPr>
        <w:t>the</w:t>
      </w:r>
      <w:proofErr w:type="gramEnd"/>
      <w:r w:rsidRPr="00046F83">
        <w:rPr>
          <w:lang w:val="en-GB"/>
        </w:rPr>
        <w:t xml:space="preserve"> particular requirements and role of the court-appointed person.</w:t>
      </w:r>
    </w:p>
    <w:p w14:paraId="646D4670" w14:textId="791BCB70" w:rsidR="00C261D9" w:rsidRPr="00046F83" w:rsidRDefault="00C261D9" w:rsidP="00C261D9">
      <w:pPr>
        <w:pStyle w:val="SubmissionNormal"/>
      </w:pPr>
      <w:proofErr w:type="gramStart"/>
      <w:r w:rsidRPr="00046F83">
        <w:t>Recommendation 1</w:t>
      </w:r>
      <w:r w:rsidR="00F8180F">
        <w:t>5</w:t>
      </w:r>
      <w:r w:rsidRPr="00046F83">
        <w:t xml:space="preserve">: Consideration is given to increasing legal aid funding to promote greater access to legal aid for women who are victims of family and domestic violence, in particular Aboriginal and Torres Strait Islander women, as well as providing funding for specialist family and domestic violence legal and non-legal services to be </w:t>
      </w:r>
      <w:r w:rsidR="005968C7">
        <w:t>e</w:t>
      </w:r>
      <w:r w:rsidRPr="00046F83">
        <w:t>mbedded in the family courts, to better support the needs of parties experiencing family violence</w:t>
      </w:r>
      <w:r w:rsidR="00FF670F">
        <w:t>.</w:t>
      </w:r>
      <w:proofErr w:type="gramEnd"/>
    </w:p>
    <w:p w14:paraId="4F341FF6" w14:textId="0E3F05CF" w:rsidR="00C261D9" w:rsidRPr="00046F83" w:rsidRDefault="00C261D9" w:rsidP="00C261D9">
      <w:pPr>
        <w:pStyle w:val="SubmissionNormal"/>
        <w:rPr>
          <w:lang w:val="en"/>
        </w:rPr>
      </w:pPr>
      <w:r w:rsidRPr="00046F83">
        <w:t>Recommendation 1</w:t>
      </w:r>
      <w:r w:rsidR="006E02AC">
        <w:t>6</w:t>
      </w:r>
      <w:r w:rsidRPr="00046F83">
        <w:t>: Any alternative dispute resolution processes for parenting matters provide children with the opportunity to express their views, in compliance with article 12</w:t>
      </w:r>
      <w:r w:rsidR="00046F83">
        <w:t xml:space="preserve"> of the </w:t>
      </w:r>
      <w:r w:rsidR="00046F83" w:rsidRPr="00046F83">
        <w:rPr>
          <w:i/>
        </w:rPr>
        <w:t>Convention on the Rights of the Child</w:t>
      </w:r>
      <w:r w:rsidRPr="00046F83">
        <w:t>.</w:t>
      </w:r>
    </w:p>
    <w:p w14:paraId="1DBB0213" w14:textId="2362C6D2" w:rsidR="00C261D9" w:rsidRPr="00046F83" w:rsidRDefault="00C261D9" w:rsidP="00C261D9">
      <w:pPr>
        <w:pStyle w:val="SubmissionNormal"/>
        <w:rPr>
          <w:lang w:val="en"/>
        </w:rPr>
      </w:pPr>
      <w:r w:rsidRPr="00046F83">
        <w:t>Recommendation 1</w:t>
      </w:r>
      <w:r w:rsidR="006E02AC">
        <w:t>7</w:t>
      </w:r>
      <w:r w:rsidRPr="00046F83">
        <w:t xml:space="preserve">: The Attorney-General resource and </w:t>
      </w:r>
      <w:r w:rsidR="00FF670F">
        <w:t>support</w:t>
      </w:r>
      <w:r w:rsidR="003C33EA">
        <w:t xml:space="preserve"> </w:t>
      </w:r>
      <w:r w:rsidR="00FF670F">
        <w:t>t</w:t>
      </w:r>
      <w:r w:rsidRPr="00046F83">
        <w:t>he Family Court of Australia to extend the Magellan program to all parenting matters where there are allegations of family and domestic violence.</w:t>
      </w:r>
    </w:p>
    <w:p w14:paraId="2A4B6759" w14:textId="6F4AEF29" w:rsidR="004B1CCF" w:rsidRPr="00046F83" w:rsidRDefault="004B1CCF" w:rsidP="004B1CCF">
      <w:pPr>
        <w:pStyle w:val="SubmissionNormal"/>
      </w:pPr>
      <w:r w:rsidRPr="00046F83">
        <w:t>Recommendation 1</w:t>
      </w:r>
      <w:r w:rsidR="006E02AC">
        <w:t>8</w:t>
      </w:r>
      <w:r w:rsidRPr="00046F83">
        <w:t xml:space="preserve">: The Family Law Act </w:t>
      </w:r>
      <w:proofErr w:type="gramStart"/>
      <w:r w:rsidRPr="00046F83">
        <w:t>is amended</w:t>
      </w:r>
      <w:proofErr w:type="gramEnd"/>
      <w:r w:rsidRPr="00046F83">
        <w:t xml:space="preserve"> to require a judge to provide children with an opportunity to express their views in matters that affect their rights or interests. A child should not be compelled to express a view, but </w:t>
      </w:r>
      <w:proofErr w:type="gramStart"/>
      <w:r w:rsidRPr="00046F83">
        <w:t>should be provided</w:t>
      </w:r>
      <w:proofErr w:type="gramEnd"/>
      <w:r w:rsidRPr="00046F83">
        <w:t xml:space="preserve"> with the opportunity to do so in a manner appropriate to their age and maturity. </w:t>
      </w:r>
    </w:p>
    <w:p w14:paraId="7FA92C45" w14:textId="28688F16" w:rsidR="003E689F" w:rsidRPr="003E689F" w:rsidRDefault="003E689F" w:rsidP="003E689F">
      <w:pPr>
        <w:pStyle w:val="SubmissionNormal"/>
      </w:pPr>
      <w:r w:rsidRPr="003E689F">
        <w:t xml:space="preserve">Recommendation 19: The requirement in section 68P of the Family Law Act to explain to a child court orders or injunctions that are inconsistent with an existing family violence order </w:t>
      </w:r>
      <w:proofErr w:type="gramStart"/>
      <w:r w:rsidRPr="003E689F">
        <w:t>is retained</w:t>
      </w:r>
      <w:proofErr w:type="gramEnd"/>
      <w:r w:rsidRPr="003E689F">
        <w:t>.</w:t>
      </w:r>
    </w:p>
    <w:p w14:paraId="0E496BEE" w14:textId="60E0538D" w:rsidR="004B1CCF" w:rsidRPr="00046F83" w:rsidRDefault="004B1CCF" w:rsidP="004B1CCF">
      <w:pPr>
        <w:pStyle w:val="SubmissionNormal"/>
      </w:pPr>
      <w:r w:rsidRPr="00046F83">
        <w:t xml:space="preserve">Recommendation </w:t>
      </w:r>
      <w:r w:rsidR="003E689F">
        <w:t>20</w:t>
      </w:r>
      <w:r w:rsidRPr="00046F83">
        <w:t xml:space="preserve">: </w:t>
      </w:r>
      <w:r w:rsidR="006A44BD">
        <w:t>C</w:t>
      </w:r>
      <w:r w:rsidRPr="00046F83">
        <w:t xml:space="preserve">hildren </w:t>
      </w:r>
      <w:proofErr w:type="gramStart"/>
      <w:r w:rsidRPr="00046F83">
        <w:t>are informed</w:t>
      </w:r>
      <w:proofErr w:type="gramEnd"/>
      <w:r w:rsidRPr="00046F83">
        <w:t xml:space="preserve"> of their rights in family law proceedings that affect them, including their right to be heard, in a manner appropriate to their age and maturity.</w:t>
      </w:r>
    </w:p>
    <w:p w14:paraId="31BE3CB7" w14:textId="18F225A9" w:rsidR="004B1CCF" w:rsidRPr="00046F83" w:rsidRDefault="004B1CCF" w:rsidP="004B1CCF">
      <w:pPr>
        <w:pStyle w:val="SubmissionNormal"/>
      </w:pPr>
      <w:r w:rsidRPr="00046F83">
        <w:t>Recommendation 2</w:t>
      </w:r>
      <w:r w:rsidR="003E689F">
        <w:t>1</w:t>
      </w:r>
      <w:r w:rsidRPr="00046F83">
        <w:t xml:space="preserve">: </w:t>
      </w:r>
      <w:r w:rsidR="006A44BD">
        <w:t>C</w:t>
      </w:r>
      <w:r w:rsidRPr="00046F83">
        <w:t xml:space="preserve">hildren </w:t>
      </w:r>
      <w:proofErr w:type="gramStart"/>
      <w:r w:rsidRPr="00046F83">
        <w:t>are informed</w:t>
      </w:r>
      <w:proofErr w:type="gramEnd"/>
      <w:r w:rsidRPr="00046F83">
        <w:t xml:space="preserve"> of decisions made in relation to parenting arrangements that affect them, in a manner appropriate to their age and maturity. </w:t>
      </w:r>
    </w:p>
    <w:p w14:paraId="6A2BF53F" w14:textId="7E9775F4" w:rsidR="004B1CCF" w:rsidRPr="00046F83" w:rsidRDefault="004B1CCF" w:rsidP="004B1CCF">
      <w:pPr>
        <w:pStyle w:val="SubmissionNormal"/>
      </w:pPr>
      <w:r w:rsidRPr="00046F83">
        <w:t>Recommendation 2</w:t>
      </w:r>
      <w:r w:rsidR="001774EB">
        <w:t>2</w:t>
      </w:r>
      <w:r w:rsidRPr="00046F83">
        <w:t xml:space="preserve">: Judicial officers and family law professionals, including Independent Children’s Lawyers, family consultants and mediators </w:t>
      </w:r>
      <w:proofErr w:type="gramStart"/>
      <w:r w:rsidRPr="00046F83">
        <w:t>are provided</w:t>
      </w:r>
      <w:proofErr w:type="gramEnd"/>
      <w:r w:rsidRPr="00046F83">
        <w:t xml:space="preserve"> with ongoing training and resources on family law matters relating to children including the impacts of family and domestic violence and child abuse on children, child development and applying the best interests of the child principle in parenting matters.</w:t>
      </w:r>
    </w:p>
    <w:p w14:paraId="336C57A4" w14:textId="76368438" w:rsidR="004B1CCF" w:rsidRPr="00046F83" w:rsidRDefault="004B1CCF" w:rsidP="004B1CCF">
      <w:pPr>
        <w:pStyle w:val="SubmissionNormal"/>
      </w:pPr>
      <w:r w:rsidRPr="00046F83">
        <w:t>Recommendation 2</w:t>
      </w:r>
      <w:r w:rsidR="001774EB">
        <w:t>3</w:t>
      </w:r>
      <w:r w:rsidRPr="00046F83">
        <w:t>: Consis</w:t>
      </w:r>
      <w:r w:rsidR="00046F83">
        <w:t xml:space="preserve">tent with article 13 of the </w:t>
      </w:r>
      <w:r w:rsidR="00046F83" w:rsidRPr="00046F83">
        <w:rPr>
          <w:i/>
        </w:rPr>
        <w:t>Convention on the Rights of Persons with Disabilities</w:t>
      </w:r>
      <w:r w:rsidRPr="00046F83">
        <w:t xml:space="preserve">, judicial officers and other family law professionals are provided with disability awareness training, including </w:t>
      </w:r>
      <w:r w:rsidR="004A003D">
        <w:t>on</w:t>
      </w:r>
      <w:r w:rsidR="00A1004C">
        <w:t xml:space="preserve"> </w:t>
      </w:r>
      <w:r w:rsidRPr="00046F83">
        <w:t>not making assumptions about a person with disability’s parenting capacity.</w:t>
      </w:r>
    </w:p>
    <w:p w14:paraId="5E6AFBAE" w14:textId="2FB031A2" w:rsidR="004B1CCF" w:rsidRPr="00046F83" w:rsidRDefault="004B1CCF" w:rsidP="004B1CCF">
      <w:pPr>
        <w:pStyle w:val="SubmissionNormal"/>
      </w:pPr>
      <w:r w:rsidRPr="00046F83">
        <w:t>Recommendation 2</w:t>
      </w:r>
      <w:r w:rsidR="001774EB">
        <w:t>4</w:t>
      </w:r>
      <w:r w:rsidRPr="00046F83">
        <w:t xml:space="preserve">: Judicial officers </w:t>
      </w:r>
      <w:proofErr w:type="gramStart"/>
      <w:r w:rsidRPr="00046F83">
        <w:t>are provided</w:t>
      </w:r>
      <w:proofErr w:type="gramEnd"/>
      <w:r w:rsidRPr="00046F83">
        <w:t xml:space="preserve"> with training </w:t>
      </w:r>
      <w:r w:rsidR="00CA6391">
        <w:t xml:space="preserve">and resources </w:t>
      </w:r>
      <w:r w:rsidRPr="00046F83">
        <w:t xml:space="preserve">on the differences between, and issues faced by, </w:t>
      </w:r>
      <w:r w:rsidR="00214FDD">
        <w:t xml:space="preserve">intersex </w:t>
      </w:r>
      <w:r w:rsidRPr="00046F83">
        <w:t>people and people who are lesbian, gay, bisexual, transgender, gender diverse or queer.</w:t>
      </w:r>
    </w:p>
    <w:p w14:paraId="49461887" w14:textId="10036B0A" w:rsidR="004B1CCF" w:rsidRPr="00046F83" w:rsidRDefault="004B1CCF" w:rsidP="004B1CCF">
      <w:pPr>
        <w:pStyle w:val="SubmissionNormal"/>
      </w:pPr>
      <w:r w:rsidRPr="00046F83">
        <w:t>Recommendation 2</w:t>
      </w:r>
      <w:r w:rsidR="001774EB">
        <w:t>5</w:t>
      </w:r>
      <w:r w:rsidRPr="00046F83">
        <w:t xml:space="preserve">: Judicial officers and family law professionals, including Independent Children’s Lawyers, family consultants and mediators </w:t>
      </w:r>
      <w:proofErr w:type="gramStart"/>
      <w:r w:rsidRPr="00046F83">
        <w:t>are provided</w:t>
      </w:r>
      <w:proofErr w:type="gramEnd"/>
      <w:r w:rsidRPr="00046F83">
        <w:t xml:space="preserve"> with training and resources to assist them</w:t>
      </w:r>
      <w:r w:rsidR="00CA6391">
        <w:t xml:space="preserve"> to</w:t>
      </w:r>
      <w:r w:rsidRPr="00046F83">
        <w:t xml:space="preserve"> engage and communicate effectively with children about family law matters that concern them. </w:t>
      </w:r>
    </w:p>
    <w:p w14:paraId="2127D67A" w14:textId="162E497E" w:rsidR="00046F83" w:rsidRPr="00046F83" w:rsidRDefault="00046F83" w:rsidP="00046F83">
      <w:pPr>
        <w:pStyle w:val="SubmissionNormal"/>
      </w:pPr>
      <w:r w:rsidRPr="00046F83">
        <w:t>Recommendation 2</w:t>
      </w:r>
      <w:r w:rsidR="001774EB">
        <w:t>6</w:t>
      </w:r>
      <w:r w:rsidRPr="00046F83">
        <w:t xml:space="preserve">: Judicial officers and family law professionals, including Independent Children’s Lawyers, family consultants and mediators </w:t>
      </w:r>
      <w:proofErr w:type="gramStart"/>
      <w:r w:rsidRPr="00046F83">
        <w:t>are provided</w:t>
      </w:r>
      <w:proofErr w:type="gramEnd"/>
      <w:r w:rsidRPr="00046F83">
        <w:t xml:space="preserve"> with training and resources to assist them </w:t>
      </w:r>
      <w:r w:rsidR="00A1004C">
        <w:t xml:space="preserve">to </w:t>
      </w:r>
      <w:r w:rsidRPr="00046F83">
        <w:t xml:space="preserve">have and maintain cultural competency skills, in particular in relation to Aboriginal and Torres Strait Islander peoples. </w:t>
      </w:r>
    </w:p>
    <w:p w14:paraId="105BBB39" w14:textId="27BA4978" w:rsidR="00046F83" w:rsidRPr="00046F83" w:rsidRDefault="00046F83" w:rsidP="00046F83">
      <w:pPr>
        <w:pStyle w:val="SubmissionNormal"/>
        <w:rPr>
          <w:szCs w:val="22"/>
        </w:rPr>
      </w:pPr>
      <w:r w:rsidRPr="00046F83">
        <w:rPr>
          <w:szCs w:val="22"/>
        </w:rPr>
        <w:t>Recommendation 2</w:t>
      </w:r>
      <w:r w:rsidR="001774EB">
        <w:rPr>
          <w:szCs w:val="22"/>
        </w:rPr>
        <w:t>7</w:t>
      </w:r>
      <w:r w:rsidRPr="00046F83">
        <w:rPr>
          <w:szCs w:val="22"/>
        </w:rPr>
        <w:t xml:space="preserve">: Judicial officers </w:t>
      </w:r>
      <w:r w:rsidRPr="00046F83">
        <w:rPr>
          <w:rFonts w:cs="Arial"/>
          <w:szCs w:val="22"/>
        </w:rPr>
        <w:t xml:space="preserve">receive appropriate training on the content and meaning of the provisions of the </w:t>
      </w:r>
      <w:r w:rsidRPr="00046F83">
        <w:rPr>
          <w:rFonts w:cs="Arial"/>
          <w:i/>
          <w:szCs w:val="22"/>
        </w:rPr>
        <w:t>United Nations Declaration on the Rights of Indigenous Peoples</w:t>
      </w:r>
      <w:r w:rsidRPr="00046F83">
        <w:rPr>
          <w:rFonts w:cs="Arial"/>
          <w:szCs w:val="22"/>
        </w:rPr>
        <w:t xml:space="preserve"> and the </w:t>
      </w:r>
      <w:r w:rsidRPr="00046F83">
        <w:rPr>
          <w:rFonts w:cs="Arial"/>
          <w:i/>
          <w:szCs w:val="22"/>
        </w:rPr>
        <w:t>Convention on the Rights of the Child</w:t>
      </w:r>
      <w:r w:rsidRPr="00046F83">
        <w:rPr>
          <w:rFonts w:cs="Arial"/>
          <w:szCs w:val="22"/>
        </w:rPr>
        <w:t xml:space="preserve"> and its Optional Protocols.</w:t>
      </w:r>
    </w:p>
    <w:p w14:paraId="2A2A3653" w14:textId="30A154BD" w:rsidR="00BA7B77" w:rsidRPr="00046F83" w:rsidRDefault="00046F83" w:rsidP="00046F83">
      <w:pPr>
        <w:pStyle w:val="SubmissionNormal"/>
      </w:pPr>
      <w:r w:rsidRPr="00046F83">
        <w:t>Recommendation 2</w:t>
      </w:r>
      <w:r w:rsidR="001774EB">
        <w:t>8</w:t>
      </w:r>
      <w:r w:rsidRPr="00046F83">
        <w:t xml:space="preserve">: Judicial officers and family law professionals, including Independent Children’s Lawyers, family consultants and mediators </w:t>
      </w:r>
      <w:proofErr w:type="gramStart"/>
      <w:r w:rsidRPr="00046F83">
        <w:t>are provided</w:t>
      </w:r>
      <w:proofErr w:type="gramEnd"/>
      <w:r w:rsidRPr="00046F83">
        <w:t xml:space="preserve"> with training and resources on trauma-informed practices, in particular in relation to the impact of inter-generational trauma on Aboriginal and </w:t>
      </w:r>
      <w:r>
        <w:t>Torres Strait Islander peoples.</w:t>
      </w:r>
    </w:p>
    <w:p w14:paraId="3072E5F8" w14:textId="77777777" w:rsidR="001E35D7" w:rsidRDefault="0008175A" w:rsidP="001E35D7">
      <w:pPr>
        <w:pStyle w:val="Heading1"/>
        <w:numPr>
          <w:ilvl w:val="0"/>
          <w:numId w:val="16"/>
        </w:numPr>
      </w:pPr>
      <w:bookmarkStart w:id="11" w:name="_Toc531787295"/>
      <w:r>
        <w:t>Objectives and principles</w:t>
      </w:r>
      <w:bookmarkEnd w:id="11"/>
    </w:p>
    <w:p w14:paraId="42ED3070" w14:textId="7BCA564B" w:rsidR="00082B4C" w:rsidRDefault="00082B4C" w:rsidP="00A92DBB">
      <w:pPr>
        <w:pStyle w:val="Heading2"/>
        <w:numPr>
          <w:ilvl w:val="1"/>
          <w:numId w:val="16"/>
        </w:numPr>
      </w:pPr>
      <w:bookmarkStart w:id="12" w:name="_Toc531787296"/>
      <w:r>
        <w:t xml:space="preserve">Human rights principles to </w:t>
      </w:r>
      <w:r w:rsidR="000041E9">
        <w:t xml:space="preserve">inform amendments to </w:t>
      </w:r>
      <w:r>
        <w:t>the Family Law Act</w:t>
      </w:r>
      <w:bookmarkEnd w:id="12"/>
    </w:p>
    <w:p w14:paraId="20680E42" w14:textId="77777777" w:rsidR="000041E9" w:rsidRDefault="000041E9" w:rsidP="00082B4C">
      <w:pPr>
        <w:pStyle w:val="SubmissionNormal"/>
      </w:pPr>
      <w:r>
        <w:t>In conducting the current inquiry, the ALRC must aim at ensuring that the laws, proposals and recommendations it reviews, considers or makes are, as far as practicable, consistent with Australia’s international obligations that are relevant to the inquiry.</w:t>
      </w:r>
      <w:r>
        <w:rPr>
          <w:rStyle w:val="EndnoteReference"/>
        </w:rPr>
        <w:endnoteReference w:id="1"/>
      </w:r>
    </w:p>
    <w:p w14:paraId="52F7BE16" w14:textId="77777777" w:rsidR="00E00096" w:rsidRDefault="00E00096" w:rsidP="00082B4C">
      <w:pPr>
        <w:pStyle w:val="SubmissionNormal"/>
      </w:pPr>
      <w:r>
        <w:t xml:space="preserve">The Commission considers that Australia’s international human rights obligations are particularly relevant to this inquiry and </w:t>
      </w:r>
      <w:proofErr w:type="gramStart"/>
      <w:r>
        <w:t>should be used</w:t>
      </w:r>
      <w:proofErr w:type="gramEnd"/>
      <w:r>
        <w:t xml:space="preserve"> as a benchmark for assessing reform proposals.</w:t>
      </w:r>
    </w:p>
    <w:p w14:paraId="0B4D5A52" w14:textId="77777777" w:rsidR="006D5A3F" w:rsidRDefault="00182337" w:rsidP="006D5A3F">
      <w:pPr>
        <w:pStyle w:val="SubmissionNormal"/>
      </w:pPr>
      <w:r>
        <w:t xml:space="preserve">There are a number of </w:t>
      </w:r>
      <w:r w:rsidR="00E8286D">
        <w:t xml:space="preserve">human </w:t>
      </w:r>
      <w:proofErr w:type="gramStart"/>
      <w:r>
        <w:t>rights</w:t>
      </w:r>
      <w:r w:rsidR="00E8286D">
        <w:t xml:space="preserve"> </w:t>
      </w:r>
      <w:r>
        <w:t xml:space="preserve">which are particularly relevant to </w:t>
      </w:r>
      <w:r w:rsidR="005B74EF">
        <w:t>the objectives</w:t>
      </w:r>
      <w:proofErr w:type="gramEnd"/>
      <w:r w:rsidR="005B74EF">
        <w:t xml:space="preserve"> and principles </w:t>
      </w:r>
      <w:r>
        <w:t xml:space="preserve">of Australia’s family law system. </w:t>
      </w:r>
    </w:p>
    <w:p w14:paraId="318EBEA0" w14:textId="2A79EF09" w:rsidR="006D5A3F" w:rsidRPr="00E448F7" w:rsidRDefault="000C2835" w:rsidP="003E2B87">
      <w:pPr>
        <w:pStyle w:val="SubmissionNormal"/>
      </w:pPr>
      <w:r>
        <w:t>As a starting point, States Parties must ensure respect for the fami</w:t>
      </w:r>
      <w:r w:rsidR="0037139B">
        <w:t xml:space="preserve">ly unit. Article 23 of the </w:t>
      </w:r>
      <w:r w:rsidR="0037139B" w:rsidRPr="0037139B">
        <w:rPr>
          <w:i/>
        </w:rPr>
        <w:t>International Covenant on Civil and Political Rights</w:t>
      </w:r>
      <w:r w:rsidR="0037139B">
        <w:t xml:space="preserve"> (ICCPR)</w:t>
      </w:r>
      <w:r>
        <w:t xml:space="preserve"> states that </w:t>
      </w:r>
      <w:r w:rsidR="004543B3">
        <w:t>‘the family is the natural and fundamental group unit of society and is entitled to protection by society and the State’.</w:t>
      </w:r>
      <w:r w:rsidR="000C6174">
        <w:rPr>
          <w:rStyle w:val="EndnoteReference"/>
        </w:rPr>
        <w:endnoteReference w:id="2"/>
      </w:r>
      <w:r w:rsidR="006D5A3F">
        <w:t xml:space="preserve"> Si</w:t>
      </w:r>
      <w:r w:rsidR="000C6174">
        <w:t xml:space="preserve">milarly, the preamble to the </w:t>
      </w:r>
      <w:r w:rsidR="00046F83" w:rsidRPr="00046F83">
        <w:rPr>
          <w:i/>
        </w:rPr>
        <w:t>Convention on the Rights of the Child</w:t>
      </w:r>
      <w:r w:rsidR="00046F83">
        <w:t xml:space="preserve"> (</w:t>
      </w:r>
      <w:r w:rsidR="000C6174">
        <w:t>CRC</w:t>
      </w:r>
      <w:r w:rsidR="00046F83">
        <w:t>)</w:t>
      </w:r>
      <w:r w:rsidR="006D5A3F">
        <w:t xml:space="preserve"> recognises the family as ‘</w:t>
      </w:r>
      <w:r w:rsidR="006D5A3F" w:rsidRPr="00E448F7">
        <w:t>as the fundamental group of society and the natural environment for the growth and wellbeing of all its members and particularly children, should be afforded the necessary protection and assistance so that it can fully assume its responsibilities in the c</w:t>
      </w:r>
      <w:r w:rsidR="006D5A3F">
        <w:t>ommunity’.</w:t>
      </w:r>
      <w:r w:rsidR="000C6174">
        <w:rPr>
          <w:rStyle w:val="EndnoteReference"/>
        </w:rPr>
        <w:endnoteReference w:id="3"/>
      </w:r>
    </w:p>
    <w:p w14:paraId="4C33DADD" w14:textId="77777777" w:rsidR="003A3A65" w:rsidRDefault="0083434E" w:rsidP="00837E76">
      <w:pPr>
        <w:pStyle w:val="SubmissionNormal"/>
      </w:pPr>
      <w:r>
        <w:t>I</w:t>
      </w:r>
      <w:r w:rsidR="005368DA">
        <w:t>nternational human rights law sets out the obligati</w:t>
      </w:r>
      <w:r>
        <w:t xml:space="preserve">ons of States Parties to ensure </w:t>
      </w:r>
      <w:r w:rsidR="005368DA">
        <w:t xml:space="preserve">equality before the law (article 26, ICCPR) and </w:t>
      </w:r>
      <w:r>
        <w:t xml:space="preserve">protection from </w:t>
      </w:r>
      <w:r w:rsidR="005368DA">
        <w:t>discrimina</w:t>
      </w:r>
      <w:r>
        <w:t>tion (articles 2 and 26, ICCPR) for all family members.</w:t>
      </w:r>
      <w:r w:rsidR="005368DA">
        <w:t xml:space="preserve"> </w:t>
      </w:r>
      <w:r w:rsidR="0037139B">
        <w:t>On equality and family law specifically</w:t>
      </w:r>
      <w:r>
        <w:t xml:space="preserve">, article 23 </w:t>
      </w:r>
      <w:r w:rsidR="0037139B">
        <w:t xml:space="preserve">of the ICCPR </w:t>
      </w:r>
      <w:r w:rsidR="005368DA">
        <w:t>obliges States Parties to take</w:t>
      </w:r>
      <w:r w:rsidR="006D42CE">
        <w:t xml:space="preserve"> </w:t>
      </w:r>
      <w:r w:rsidR="005368DA">
        <w:t>‘</w:t>
      </w:r>
      <w:r w:rsidR="006D42CE">
        <w:t xml:space="preserve">appropriate steps to ensure </w:t>
      </w:r>
      <w:r w:rsidR="005B74EF">
        <w:t>equality of rights and responsibilities of spouses as to marriage, during marriage and at its dissolution</w:t>
      </w:r>
      <w:r w:rsidR="005368DA">
        <w:t xml:space="preserve">’. </w:t>
      </w:r>
      <w:r w:rsidR="00837E76">
        <w:t>A</w:t>
      </w:r>
      <w:r w:rsidR="00E06DD6">
        <w:t xml:space="preserve">rticle 23 also specifies that provision </w:t>
      </w:r>
      <w:proofErr w:type="gramStart"/>
      <w:r w:rsidR="00E06DD6">
        <w:t>is</w:t>
      </w:r>
      <w:proofErr w:type="gramEnd"/>
      <w:r w:rsidR="00E06DD6">
        <w:t xml:space="preserve"> to be made for the necessary protection of children on the </w:t>
      </w:r>
      <w:r w:rsidR="005368DA">
        <w:t xml:space="preserve">dissolution of </w:t>
      </w:r>
      <w:r w:rsidR="00E06DD6">
        <w:t>any marriage.</w:t>
      </w:r>
      <w:r w:rsidR="005368DA">
        <w:t xml:space="preserve"> </w:t>
      </w:r>
    </w:p>
    <w:p w14:paraId="7C6028D9" w14:textId="77777777" w:rsidR="001F1F6F" w:rsidRDefault="00E06DD6" w:rsidP="006D42CE">
      <w:pPr>
        <w:pStyle w:val="SubmissionNormal"/>
      </w:pPr>
      <w:r>
        <w:t xml:space="preserve">In addition to these general rights for everyone, </w:t>
      </w:r>
      <w:r w:rsidR="003E2B87">
        <w:t>international human rights law recognises the need for protecting the most vulnerable</w:t>
      </w:r>
      <w:r w:rsidR="0037139B">
        <w:t xml:space="preserve"> in our family law system</w:t>
      </w:r>
      <w:r w:rsidR="003E2B87">
        <w:t>. This includes</w:t>
      </w:r>
      <w:r w:rsidR="00837E76">
        <w:t xml:space="preserve"> the rights of</w:t>
      </w:r>
      <w:r w:rsidR="003E2B87">
        <w:t>:</w:t>
      </w:r>
    </w:p>
    <w:p w14:paraId="100C0180" w14:textId="77777777" w:rsidR="00931AF7" w:rsidRDefault="00837E76" w:rsidP="003E689F">
      <w:pPr>
        <w:pStyle w:val="ListParagraph"/>
        <w:numPr>
          <w:ilvl w:val="0"/>
          <w:numId w:val="41"/>
        </w:numPr>
      </w:pPr>
      <w:r>
        <w:t xml:space="preserve">children </w:t>
      </w:r>
      <w:r w:rsidR="00F2782D">
        <w:t>(CRC)</w:t>
      </w:r>
    </w:p>
    <w:p w14:paraId="37A237EF" w14:textId="77777777" w:rsidR="00837E76" w:rsidRDefault="00837E76" w:rsidP="003E689F">
      <w:pPr>
        <w:pStyle w:val="ListParagraph"/>
        <w:numPr>
          <w:ilvl w:val="0"/>
          <w:numId w:val="41"/>
        </w:numPr>
      </w:pPr>
      <w:r>
        <w:t xml:space="preserve">victims of family and domestic violence (articles 1 and 2, </w:t>
      </w:r>
      <w:r w:rsidR="0037139B" w:rsidRPr="003E689F">
        <w:rPr>
          <w:i/>
        </w:rPr>
        <w:t>Convention on the Elimination of All Forms of Discrimination Against Women</w:t>
      </w:r>
      <w:r w:rsidR="0037139B" w:rsidRPr="00246BA5">
        <w:t xml:space="preserve"> (CEDAW)</w:t>
      </w:r>
      <w:r>
        <w:t>; article 19, CRC)</w:t>
      </w:r>
    </w:p>
    <w:p w14:paraId="65489AA6" w14:textId="77777777" w:rsidR="00931AF7" w:rsidRDefault="00931AF7" w:rsidP="003E689F">
      <w:pPr>
        <w:pStyle w:val="ListParagraph"/>
        <w:numPr>
          <w:ilvl w:val="0"/>
          <w:numId w:val="41"/>
        </w:numPr>
      </w:pPr>
      <w:r>
        <w:t>people with disability</w:t>
      </w:r>
      <w:r w:rsidR="005B74EF">
        <w:t xml:space="preserve"> (</w:t>
      </w:r>
      <w:r w:rsidR="005B74EF" w:rsidRPr="003E689F">
        <w:rPr>
          <w:i/>
        </w:rPr>
        <w:t>C</w:t>
      </w:r>
      <w:r w:rsidR="00F2782D" w:rsidRPr="003E689F">
        <w:rPr>
          <w:i/>
        </w:rPr>
        <w:t xml:space="preserve">onvention on the Rights of Persons with Disabilities </w:t>
      </w:r>
      <w:r w:rsidR="00F2782D">
        <w:t>(CRPD))</w:t>
      </w:r>
    </w:p>
    <w:p w14:paraId="773B8D90" w14:textId="788A0873" w:rsidR="00F12D92" w:rsidRDefault="003E2B87" w:rsidP="003E689F">
      <w:pPr>
        <w:pStyle w:val="ListParagraph"/>
        <w:numPr>
          <w:ilvl w:val="0"/>
          <w:numId w:val="41"/>
        </w:numPr>
      </w:pPr>
      <w:r>
        <w:t>Aboriginal and Torres Strait Islander</w:t>
      </w:r>
      <w:r w:rsidR="00931AF7">
        <w:t xml:space="preserve"> peoples</w:t>
      </w:r>
      <w:r w:rsidR="005B74EF">
        <w:t xml:space="preserve"> (</w:t>
      </w:r>
      <w:r w:rsidR="00F2782D" w:rsidRPr="003E689F">
        <w:rPr>
          <w:i/>
        </w:rPr>
        <w:t>United Nations Declaration on the Rights of Indigenous Peoples</w:t>
      </w:r>
      <w:r w:rsidR="00F2782D">
        <w:t xml:space="preserve"> (</w:t>
      </w:r>
      <w:r w:rsidR="00F12D92">
        <w:t>UNDRIP</w:t>
      </w:r>
      <w:r w:rsidR="00F2782D">
        <w:t>))</w:t>
      </w:r>
    </w:p>
    <w:p w14:paraId="2D61AF71" w14:textId="62732627" w:rsidR="005B74EF" w:rsidRDefault="00F12D92" w:rsidP="003E689F">
      <w:pPr>
        <w:pStyle w:val="ListParagraph"/>
        <w:numPr>
          <w:ilvl w:val="0"/>
          <w:numId w:val="41"/>
        </w:numPr>
      </w:pPr>
      <w:r>
        <w:t>LGBTI people (</w:t>
      </w:r>
      <w:r w:rsidRPr="003E689F">
        <w:rPr>
          <w:i/>
        </w:rPr>
        <w:t>Yogyakarta Principles on the Application of International Human Rights Law in Relation to Sexual Orientation and Gender Identity</w:t>
      </w:r>
      <w:r>
        <w:t>).</w:t>
      </w:r>
    </w:p>
    <w:p w14:paraId="1794536D" w14:textId="77777777" w:rsidR="0045125B" w:rsidRPr="0045125B" w:rsidRDefault="008632F5" w:rsidP="00A92DBB">
      <w:pPr>
        <w:pStyle w:val="Heading3"/>
      </w:pPr>
      <w:bookmarkStart w:id="13" w:name="_Toc531787297"/>
      <w:r>
        <w:t>C</w:t>
      </w:r>
      <w:r w:rsidR="0045125B">
        <w:t>hildren’s rights</w:t>
      </w:r>
      <w:bookmarkEnd w:id="13"/>
    </w:p>
    <w:p w14:paraId="30513A1D" w14:textId="532D257F" w:rsidR="008632F5" w:rsidRDefault="008632F5" w:rsidP="000A5825">
      <w:pPr>
        <w:pStyle w:val="SubmissionNormal"/>
        <w:rPr>
          <w:lang w:val="en"/>
        </w:rPr>
      </w:pPr>
      <w:r>
        <w:rPr>
          <w:lang w:val="en"/>
        </w:rPr>
        <w:t xml:space="preserve">The importance of protecting </w:t>
      </w:r>
      <w:r w:rsidR="00C95A55">
        <w:rPr>
          <w:lang w:val="en"/>
        </w:rPr>
        <w:t xml:space="preserve">the rights of </w:t>
      </w:r>
      <w:r>
        <w:rPr>
          <w:lang w:val="en"/>
        </w:rPr>
        <w:t>children</w:t>
      </w:r>
      <w:r w:rsidR="00C95A55">
        <w:rPr>
          <w:lang w:val="en"/>
        </w:rPr>
        <w:t xml:space="preserve"> affected by family law </w:t>
      </w:r>
      <w:proofErr w:type="gramStart"/>
      <w:r w:rsidR="00C95A55">
        <w:rPr>
          <w:lang w:val="en"/>
        </w:rPr>
        <w:t>has been acknowledged</w:t>
      </w:r>
      <w:proofErr w:type="gramEnd"/>
      <w:r w:rsidR="00C95A55">
        <w:rPr>
          <w:lang w:val="en"/>
        </w:rPr>
        <w:t xml:space="preserve"> for decades, in particular </w:t>
      </w:r>
      <w:r w:rsidR="00576C5C">
        <w:rPr>
          <w:lang w:val="en"/>
        </w:rPr>
        <w:t>through the principle that</w:t>
      </w:r>
      <w:r w:rsidR="00A264C7">
        <w:rPr>
          <w:lang w:val="en"/>
        </w:rPr>
        <w:t>,</w:t>
      </w:r>
      <w:r w:rsidR="00576C5C">
        <w:rPr>
          <w:lang w:val="en"/>
        </w:rPr>
        <w:t xml:space="preserve"> in all actions </w:t>
      </w:r>
      <w:r w:rsidR="00A264C7">
        <w:rPr>
          <w:lang w:val="en"/>
        </w:rPr>
        <w:t xml:space="preserve">concerning </w:t>
      </w:r>
      <w:r w:rsidR="00576C5C">
        <w:rPr>
          <w:lang w:val="en"/>
        </w:rPr>
        <w:t>children</w:t>
      </w:r>
      <w:r w:rsidR="00A264C7">
        <w:rPr>
          <w:lang w:val="en"/>
        </w:rPr>
        <w:t>,</w:t>
      </w:r>
      <w:r w:rsidR="00576C5C">
        <w:rPr>
          <w:lang w:val="en"/>
        </w:rPr>
        <w:t xml:space="preserve"> the </w:t>
      </w:r>
      <w:r w:rsidR="00AC1259">
        <w:rPr>
          <w:lang w:val="en"/>
        </w:rPr>
        <w:t>‘</w:t>
      </w:r>
      <w:r w:rsidR="00576C5C">
        <w:rPr>
          <w:lang w:val="en"/>
        </w:rPr>
        <w:t>best interests of the child</w:t>
      </w:r>
      <w:r w:rsidR="00AC1259">
        <w:rPr>
          <w:lang w:val="en"/>
        </w:rPr>
        <w:t>’</w:t>
      </w:r>
      <w:r w:rsidR="00576C5C">
        <w:rPr>
          <w:lang w:val="en"/>
        </w:rPr>
        <w:t xml:space="preserve"> be a primary consideration. </w:t>
      </w:r>
      <w:r w:rsidR="00A264C7">
        <w:rPr>
          <w:lang w:val="en"/>
        </w:rPr>
        <w:t xml:space="preserve">The principle is </w:t>
      </w:r>
      <w:r w:rsidR="00FB1D33">
        <w:rPr>
          <w:lang w:val="en"/>
        </w:rPr>
        <w:t xml:space="preserve">one of Australia’s fundamental </w:t>
      </w:r>
      <w:r w:rsidR="00A264C7">
        <w:rPr>
          <w:lang w:val="en"/>
        </w:rPr>
        <w:t xml:space="preserve">international </w:t>
      </w:r>
      <w:r w:rsidR="00FB1D33">
        <w:rPr>
          <w:lang w:val="en"/>
        </w:rPr>
        <w:t xml:space="preserve">human rights </w:t>
      </w:r>
      <w:r w:rsidR="00A264C7">
        <w:rPr>
          <w:lang w:val="en"/>
        </w:rPr>
        <w:t>obligation</w:t>
      </w:r>
      <w:r w:rsidR="00FB1D33">
        <w:rPr>
          <w:lang w:val="en"/>
        </w:rPr>
        <w:t xml:space="preserve">s, </w:t>
      </w:r>
      <w:r w:rsidR="00D62ACD">
        <w:rPr>
          <w:lang w:val="en"/>
        </w:rPr>
        <w:t xml:space="preserve">and one of the four Guiding Principles </w:t>
      </w:r>
      <w:r w:rsidR="00FB1D33">
        <w:rPr>
          <w:lang w:val="en"/>
        </w:rPr>
        <w:t>in the CRC.</w:t>
      </w:r>
      <w:r w:rsidR="00FB1D33">
        <w:rPr>
          <w:rStyle w:val="EndnoteReference"/>
          <w:lang w:val="en"/>
        </w:rPr>
        <w:endnoteReference w:id="4"/>
      </w:r>
      <w:r w:rsidR="00FB1D33">
        <w:rPr>
          <w:lang w:val="en"/>
        </w:rPr>
        <w:t xml:space="preserve"> </w:t>
      </w:r>
      <w:r w:rsidR="00A264C7">
        <w:rPr>
          <w:lang w:val="en"/>
        </w:rPr>
        <w:t>In domestic law, the principle</w:t>
      </w:r>
      <w:r w:rsidR="00576C5C">
        <w:rPr>
          <w:lang w:val="en"/>
        </w:rPr>
        <w:t xml:space="preserve"> </w:t>
      </w:r>
      <w:proofErr w:type="gramStart"/>
      <w:r w:rsidR="00576C5C">
        <w:rPr>
          <w:lang w:val="en"/>
        </w:rPr>
        <w:t>is reflected</w:t>
      </w:r>
      <w:proofErr w:type="gramEnd"/>
      <w:r w:rsidR="00576C5C">
        <w:rPr>
          <w:lang w:val="en"/>
        </w:rPr>
        <w:t xml:space="preserve"> </w:t>
      </w:r>
      <w:r w:rsidR="00C95A55">
        <w:rPr>
          <w:lang w:val="en"/>
        </w:rPr>
        <w:t>in Part V</w:t>
      </w:r>
      <w:r w:rsidR="00286AB7">
        <w:rPr>
          <w:lang w:val="en"/>
        </w:rPr>
        <w:t>II</w:t>
      </w:r>
      <w:r w:rsidR="00C95A55">
        <w:rPr>
          <w:lang w:val="en"/>
        </w:rPr>
        <w:t xml:space="preserve"> of the Family Law Act</w:t>
      </w:r>
      <w:r w:rsidR="00AC1259">
        <w:rPr>
          <w:lang w:val="en"/>
        </w:rPr>
        <w:t>,</w:t>
      </w:r>
      <w:r w:rsidR="00576C5C">
        <w:rPr>
          <w:lang w:val="en"/>
        </w:rPr>
        <w:t xml:space="preserve"> dealing with children</w:t>
      </w:r>
      <w:r w:rsidR="00C95A55">
        <w:rPr>
          <w:lang w:val="en"/>
        </w:rPr>
        <w:t xml:space="preserve">. </w:t>
      </w:r>
    </w:p>
    <w:p w14:paraId="372F493F" w14:textId="77777777" w:rsidR="00A264C7" w:rsidRDefault="00A264C7" w:rsidP="000A5825">
      <w:pPr>
        <w:pStyle w:val="SubmissionNormal"/>
        <w:rPr>
          <w:lang w:val="en"/>
        </w:rPr>
      </w:pPr>
      <w:r>
        <w:rPr>
          <w:lang w:val="en"/>
        </w:rPr>
        <w:t xml:space="preserve">The principle </w:t>
      </w:r>
      <w:proofErr w:type="gramStart"/>
      <w:r>
        <w:rPr>
          <w:lang w:val="en"/>
        </w:rPr>
        <w:t>is expressed</w:t>
      </w:r>
      <w:proofErr w:type="gramEnd"/>
      <w:r>
        <w:rPr>
          <w:lang w:val="en"/>
        </w:rPr>
        <w:t xml:space="preserve"> even more strongly in </w:t>
      </w:r>
      <w:r w:rsidR="009233B5">
        <w:rPr>
          <w:lang w:val="en"/>
        </w:rPr>
        <w:t xml:space="preserve">the Family Law Act in </w:t>
      </w:r>
      <w:r>
        <w:rPr>
          <w:lang w:val="en"/>
        </w:rPr>
        <w:t>relation to parenting orders. In deciding whether to make a particular parenting order in relation to a child, a court must regard the best interests of the child as the paramount consideration.</w:t>
      </w:r>
      <w:r w:rsidR="00FB1D33">
        <w:rPr>
          <w:rStyle w:val="EndnoteReference"/>
          <w:lang w:val="en"/>
        </w:rPr>
        <w:endnoteReference w:id="5"/>
      </w:r>
      <w:r>
        <w:rPr>
          <w:lang w:val="en"/>
        </w:rPr>
        <w:t xml:space="preserve"> </w:t>
      </w:r>
    </w:p>
    <w:p w14:paraId="2C19C024" w14:textId="675EC32D" w:rsidR="009233B5" w:rsidRDefault="009233B5" w:rsidP="000A5825">
      <w:pPr>
        <w:pStyle w:val="SubmissionNormal"/>
        <w:rPr>
          <w:lang w:val="en"/>
        </w:rPr>
      </w:pPr>
      <w:r>
        <w:rPr>
          <w:lang w:val="en"/>
        </w:rPr>
        <w:t>I</w:t>
      </w:r>
      <w:r w:rsidR="000D79EE" w:rsidRPr="00A828B2">
        <w:rPr>
          <w:lang w:val="en"/>
        </w:rPr>
        <w:t xml:space="preserve">n June 2012, the Family Law Act </w:t>
      </w:r>
      <w:proofErr w:type="gramStart"/>
      <w:r w:rsidR="000D79EE" w:rsidRPr="00A828B2">
        <w:rPr>
          <w:lang w:val="en"/>
        </w:rPr>
        <w:t>was amended</w:t>
      </w:r>
      <w:proofErr w:type="gramEnd"/>
      <w:r w:rsidR="000D79EE" w:rsidRPr="00A828B2">
        <w:rPr>
          <w:lang w:val="en"/>
        </w:rPr>
        <w:t xml:space="preserve"> to include </w:t>
      </w:r>
      <w:r w:rsidR="008057D6">
        <w:rPr>
          <w:lang w:val="en"/>
        </w:rPr>
        <w:t xml:space="preserve">specific </w:t>
      </w:r>
      <w:r w:rsidR="00317571" w:rsidRPr="00A828B2">
        <w:rPr>
          <w:lang w:val="en"/>
        </w:rPr>
        <w:t>reference to the CRC</w:t>
      </w:r>
      <w:r>
        <w:rPr>
          <w:lang w:val="en"/>
        </w:rPr>
        <w:t xml:space="preserve"> more generally</w:t>
      </w:r>
      <w:r w:rsidR="000D79EE" w:rsidRPr="00A828B2">
        <w:rPr>
          <w:lang w:val="en"/>
        </w:rPr>
        <w:t xml:space="preserve">. </w:t>
      </w:r>
      <w:r>
        <w:rPr>
          <w:lang w:val="en"/>
        </w:rPr>
        <w:t xml:space="preserve">Section </w:t>
      </w:r>
      <w:proofErr w:type="gramStart"/>
      <w:r>
        <w:rPr>
          <w:lang w:val="en"/>
        </w:rPr>
        <w:t>60B(</w:t>
      </w:r>
      <w:proofErr w:type="gramEnd"/>
      <w:r>
        <w:rPr>
          <w:lang w:val="en"/>
        </w:rPr>
        <w:t xml:space="preserve">4) of the Family Law Act now provides that an additional object of Part VII is to give effect to the CRC. This is not limited to the </w:t>
      </w:r>
      <w:r w:rsidR="0072395F">
        <w:rPr>
          <w:lang w:val="en"/>
        </w:rPr>
        <w:t>‘</w:t>
      </w:r>
      <w:r>
        <w:rPr>
          <w:lang w:val="en"/>
        </w:rPr>
        <w:t>best interests</w:t>
      </w:r>
      <w:r w:rsidR="0072395F">
        <w:rPr>
          <w:lang w:val="en"/>
        </w:rPr>
        <w:t>’</w:t>
      </w:r>
      <w:r>
        <w:rPr>
          <w:lang w:val="en"/>
        </w:rPr>
        <w:t xml:space="preserve"> principle in article 3 of the CRC.</w:t>
      </w:r>
    </w:p>
    <w:p w14:paraId="72ECFF24" w14:textId="7DA13EFF" w:rsidR="000B71DC" w:rsidRPr="00A828B2" w:rsidRDefault="00FA706B" w:rsidP="000A5825">
      <w:pPr>
        <w:pStyle w:val="SubmissionNormal"/>
        <w:rPr>
          <w:lang w:val="en"/>
        </w:rPr>
      </w:pPr>
      <w:r>
        <w:rPr>
          <w:lang w:val="en"/>
        </w:rPr>
        <w:t>T</w:t>
      </w:r>
      <w:r w:rsidR="000D79EE" w:rsidRPr="00A828B2">
        <w:rPr>
          <w:lang w:val="en"/>
        </w:rPr>
        <w:t>he Commission wel</w:t>
      </w:r>
      <w:r w:rsidR="00A73C09">
        <w:rPr>
          <w:lang w:val="en"/>
        </w:rPr>
        <w:t>comed this inclusion</w:t>
      </w:r>
      <w:r>
        <w:rPr>
          <w:lang w:val="en"/>
        </w:rPr>
        <w:t>.</w:t>
      </w:r>
      <w:r w:rsidR="00A73C09">
        <w:rPr>
          <w:rStyle w:val="EndnoteReference"/>
          <w:lang w:val="en"/>
        </w:rPr>
        <w:endnoteReference w:id="6"/>
      </w:r>
      <w:r>
        <w:rPr>
          <w:lang w:val="en"/>
        </w:rPr>
        <w:t xml:space="preserve"> It also considers that the principles in the CRC </w:t>
      </w:r>
      <w:proofErr w:type="gramStart"/>
      <w:r>
        <w:rPr>
          <w:lang w:val="en"/>
        </w:rPr>
        <w:t>should be applied</w:t>
      </w:r>
      <w:proofErr w:type="gramEnd"/>
      <w:r>
        <w:rPr>
          <w:lang w:val="en"/>
        </w:rPr>
        <w:t xml:space="preserve"> to other parts of the Family Law Act that affect the rights and interests of children. </w:t>
      </w:r>
    </w:p>
    <w:p w14:paraId="0904EEA9" w14:textId="77777777" w:rsidR="00C95A55" w:rsidRDefault="006B5BA2" w:rsidP="00457B15">
      <w:pPr>
        <w:pStyle w:val="SubmissionNormal"/>
        <w:rPr>
          <w:lang w:val="en"/>
        </w:rPr>
      </w:pPr>
      <w:r w:rsidRPr="00A828B2">
        <w:rPr>
          <w:lang w:val="en"/>
        </w:rPr>
        <w:t xml:space="preserve">The Commission considers that the </w:t>
      </w:r>
      <w:r w:rsidR="000D79EE" w:rsidRPr="00A828B2">
        <w:rPr>
          <w:lang w:val="en"/>
        </w:rPr>
        <w:t xml:space="preserve">rights contained in the CRC, in particular the four </w:t>
      </w:r>
      <w:r w:rsidRPr="00A828B2">
        <w:rPr>
          <w:lang w:val="en"/>
        </w:rPr>
        <w:t xml:space="preserve">Guiding Principles, should </w:t>
      </w:r>
      <w:r w:rsidR="000D79EE" w:rsidRPr="00A828B2">
        <w:rPr>
          <w:lang w:val="en"/>
        </w:rPr>
        <w:t>guide the administration of the</w:t>
      </w:r>
      <w:r w:rsidR="003F2DD9" w:rsidRPr="00A828B2">
        <w:rPr>
          <w:lang w:val="en"/>
        </w:rPr>
        <w:t xml:space="preserve"> Family Law</w:t>
      </w:r>
      <w:r w:rsidR="000D79EE" w:rsidRPr="00A828B2">
        <w:rPr>
          <w:lang w:val="en"/>
        </w:rPr>
        <w:t xml:space="preserve"> Act in </w:t>
      </w:r>
      <w:r w:rsidR="0048016B">
        <w:rPr>
          <w:lang w:val="en"/>
        </w:rPr>
        <w:t>all areas where the rights and interests of children are affected</w:t>
      </w:r>
      <w:r w:rsidR="000D79EE" w:rsidRPr="00A828B2">
        <w:rPr>
          <w:lang w:val="en"/>
        </w:rPr>
        <w:t>.</w:t>
      </w:r>
    </w:p>
    <w:p w14:paraId="1D447023" w14:textId="77777777" w:rsidR="00451CB9" w:rsidRPr="00082B4C" w:rsidRDefault="00C95A55" w:rsidP="00451CB9">
      <w:pPr>
        <w:pStyle w:val="SubmissionNormal"/>
        <w:rPr>
          <w:lang w:val="en"/>
        </w:rPr>
      </w:pPr>
      <w:r>
        <w:rPr>
          <w:lang w:val="en"/>
        </w:rPr>
        <w:t xml:space="preserve">These four Guiding Principles </w:t>
      </w:r>
      <w:r w:rsidR="00451CB9">
        <w:rPr>
          <w:lang w:val="en"/>
        </w:rPr>
        <w:t>ar</w:t>
      </w:r>
      <w:r w:rsidR="00C54F48">
        <w:rPr>
          <w:lang w:val="en"/>
        </w:rPr>
        <w:t xml:space="preserve">e core requirements for </w:t>
      </w:r>
      <w:r w:rsidR="00451CB9">
        <w:rPr>
          <w:lang w:val="en"/>
        </w:rPr>
        <w:t>all of the rights contained in the CRC.</w:t>
      </w:r>
      <w:r w:rsidR="000D79EE" w:rsidRPr="00A828B2">
        <w:rPr>
          <w:lang w:val="en"/>
        </w:rPr>
        <w:t xml:space="preserve"> </w:t>
      </w:r>
      <w:r w:rsidR="00451CB9">
        <w:rPr>
          <w:lang w:val="en"/>
        </w:rPr>
        <w:t>They are</w:t>
      </w:r>
      <w:r w:rsidR="008057D6">
        <w:rPr>
          <w:lang w:val="en"/>
        </w:rPr>
        <w:t>:</w:t>
      </w:r>
    </w:p>
    <w:p w14:paraId="658E9EAB" w14:textId="77777777" w:rsidR="00451CB9" w:rsidRPr="00CA4288" w:rsidRDefault="00451CB9" w:rsidP="007D38CA">
      <w:pPr>
        <w:pStyle w:val="ListParagraph"/>
        <w:numPr>
          <w:ilvl w:val="0"/>
          <w:numId w:val="29"/>
        </w:numPr>
      </w:pPr>
      <w:r w:rsidRPr="00CA4288">
        <w:t>the right of all children to enjoy a</w:t>
      </w:r>
      <w:r>
        <w:t xml:space="preserve">ll the rights of the CRC </w:t>
      </w:r>
      <w:r w:rsidRPr="00CA4288">
        <w:t>with</w:t>
      </w:r>
      <w:r>
        <w:t>out discrimination of any kind (article 2)</w:t>
      </w:r>
    </w:p>
    <w:p w14:paraId="2B69E98D" w14:textId="77777777" w:rsidR="00451CB9" w:rsidRPr="00CA4288" w:rsidRDefault="00451CB9" w:rsidP="007D38CA">
      <w:pPr>
        <w:pStyle w:val="ListParagraph"/>
        <w:numPr>
          <w:ilvl w:val="0"/>
          <w:numId w:val="29"/>
        </w:numPr>
      </w:pPr>
      <w:r w:rsidRPr="00CA4288">
        <w:t xml:space="preserve">respect for the best interests of the child as a primary consideration </w:t>
      </w:r>
      <w:r>
        <w:t>(article 3)</w:t>
      </w:r>
    </w:p>
    <w:p w14:paraId="1931A17D" w14:textId="77777777" w:rsidR="00451CB9" w:rsidRDefault="00451CB9" w:rsidP="007D38CA">
      <w:pPr>
        <w:pStyle w:val="ListParagraph"/>
        <w:numPr>
          <w:ilvl w:val="0"/>
          <w:numId w:val="29"/>
        </w:numPr>
      </w:pPr>
      <w:r w:rsidRPr="00CA4288">
        <w:t xml:space="preserve">the right to survival and development </w:t>
      </w:r>
      <w:r>
        <w:t>(article 6)</w:t>
      </w:r>
    </w:p>
    <w:p w14:paraId="200CF508" w14:textId="77777777" w:rsidR="00451CB9" w:rsidRPr="00082B4C" w:rsidRDefault="00451CB9" w:rsidP="007D38CA">
      <w:pPr>
        <w:pStyle w:val="ListParagraph"/>
        <w:numPr>
          <w:ilvl w:val="0"/>
          <w:numId w:val="29"/>
        </w:numPr>
      </w:pPr>
      <w:r w:rsidRPr="00CA4288">
        <w:t xml:space="preserve">the right of all children to express their views freely on all matters affecting them </w:t>
      </w:r>
      <w:r>
        <w:t>(article 12)</w:t>
      </w:r>
    </w:p>
    <w:p w14:paraId="2C20E55C" w14:textId="77777777" w:rsidR="006B5BA2" w:rsidRPr="00A828B2" w:rsidRDefault="00082B4C" w:rsidP="00457B15">
      <w:pPr>
        <w:pStyle w:val="SubmissionNormal"/>
        <w:rPr>
          <w:lang w:val="en"/>
        </w:rPr>
      </w:pPr>
      <w:r>
        <w:rPr>
          <w:lang w:val="en"/>
        </w:rPr>
        <w:t>T</w:t>
      </w:r>
      <w:r w:rsidR="00FB511C">
        <w:rPr>
          <w:lang w:val="en"/>
        </w:rPr>
        <w:t xml:space="preserve">he Commission notes that </w:t>
      </w:r>
      <w:r w:rsidR="000D79EE" w:rsidRPr="00A828B2">
        <w:rPr>
          <w:lang w:val="en"/>
        </w:rPr>
        <w:t xml:space="preserve">areas </w:t>
      </w:r>
      <w:r w:rsidR="00FB511C">
        <w:rPr>
          <w:lang w:val="en"/>
        </w:rPr>
        <w:t>other than Part VII of t</w:t>
      </w:r>
      <w:r w:rsidR="000D79EE" w:rsidRPr="00A828B2">
        <w:rPr>
          <w:lang w:val="en"/>
        </w:rPr>
        <w:t xml:space="preserve">he </w:t>
      </w:r>
      <w:r w:rsidR="003F2DD9" w:rsidRPr="00A828B2">
        <w:rPr>
          <w:lang w:val="en"/>
        </w:rPr>
        <w:t xml:space="preserve">Family Law </w:t>
      </w:r>
      <w:r w:rsidR="000D79EE" w:rsidRPr="00A828B2">
        <w:rPr>
          <w:lang w:val="en"/>
        </w:rPr>
        <w:t>Act cover matters that concern children</w:t>
      </w:r>
      <w:r w:rsidR="00FB511C">
        <w:rPr>
          <w:lang w:val="en"/>
        </w:rPr>
        <w:t>. For example, Part III deals with</w:t>
      </w:r>
      <w:r w:rsidR="000D79EE" w:rsidRPr="00A828B2">
        <w:rPr>
          <w:lang w:val="en"/>
        </w:rPr>
        <w:t xml:space="preserve"> family consultants who may meet with children and report their views to</w:t>
      </w:r>
      <w:r w:rsidR="00FB511C">
        <w:rPr>
          <w:lang w:val="en"/>
        </w:rPr>
        <w:t xml:space="preserve"> the Court. Part VIII focuses on</w:t>
      </w:r>
      <w:r w:rsidR="000D79EE" w:rsidRPr="00A828B2">
        <w:rPr>
          <w:lang w:val="en"/>
        </w:rPr>
        <w:t xml:space="preserve"> property, spousal maintenance and maintenance </w:t>
      </w:r>
      <w:proofErr w:type="gramStart"/>
      <w:r w:rsidR="000D79EE" w:rsidRPr="00A828B2">
        <w:rPr>
          <w:lang w:val="en"/>
        </w:rPr>
        <w:t>agreements also</w:t>
      </w:r>
      <w:proofErr w:type="gramEnd"/>
      <w:r w:rsidR="000D79EE" w:rsidRPr="00A828B2">
        <w:rPr>
          <w:lang w:val="en"/>
        </w:rPr>
        <w:t xml:space="preserve"> may cover decisions which have a direct impact on children.</w:t>
      </w:r>
    </w:p>
    <w:p w14:paraId="050BCFC5" w14:textId="71E2BC9D" w:rsidR="006B5BA2" w:rsidRPr="00A828B2" w:rsidRDefault="005637B0" w:rsidP="00317571">
      <w:pPr>
        <w:pStyle w:val="SubmissionNormal"/>
        <w:rPr>
          <w:lang w:val="en"/>
        </w:rPr>
      </w:pPr>
      <w:r>
        <w:rPr>
          <w:lang w:val="en"/>
        </w:rPr>
        <w:t xml:space="preserve">Further, </w:t>
      </w:r>
      <w:r w:rsidR="00BD424B">
        <w:rPr>
          <w:lang w:val="en"/>
        </w:rPr>
        <w:t xml:space="preserve">Professor </w:t>
      </w:r>
      <w:r w:rsidR="000D79EE" w:rsidRPr="00A828B2">
        <w:rPr>
          <w:lang w:val="en"/>
        </w:rPr>
        <w:t xml:space="preserve">Patrick Parkinson </w:t>
      </w:r>
      <w:r w:rsidR="006B5BA2" w:rsidRPr="00A828B2">
        <w:rPr>
          <w:lang w:val="en"/>
        </w:rPr>
        <w:t xml:space="preserve">has </w:t>
      </w:r>
      <w:r w:rsidR="000D79EE" w:rsidRPr="00A828B2">
        <w:rPr>
          <w:lang w:val="en"/>
        </w:rPr>
        <w:t xml:space="preserve">suggested </w:t>
      </w:r>
      <w:r w:rsidR="0048016B">
        <w:rPr>
          <w:lang w:val="en"/>
        </w:rPr>
        <w:t xml:space="preserve">that </w:t>
      </w:r>
      <w:r w:rsidR="000D79EE" w:rsidRPr="00A828B2">
        <w:rPr>
          <w:lang w:val="en"/>
        </w:rPr>
        <w:t>listing the CRC as an ‘additional object’ in Part VII could lead to an interpretation that it is a secondary consideration only.</w:t>
      </w:r>
      <w:r w:rsidR="00BD424B" w:rsidRPr="00A828B2">
        <w:rPr>
          <w:rStyle w:val="EndnoteReference"/>
          <w:lang w:val="en"/>
        </w:rPr>
        <w:endnoteReference w:id="7"/>
      </w:r>
      <w:r w:rsidR="0048016B">
        <w:rPr>
          <w:lang w:val="en"/>
        </w:rPr>
        <w:t xml:space="preserve"> To avoid the potential for such an interpretation, it would be better not to make a distinction between objects and ‘additional objects’.</w:t>
      </w:r>
    </w:p>
    <w:p w14:paraId="312E67C6" w14:textId="700449B8" w:rsidR="000D79EE" w:rsidRPr="00CE3A07" w:rsidRDefault="000D79EE" w:rsidP="00317571">
      <w:pPr>
        <w:pStyle w:val="SubmissionNormal"/>
      </w:pPr>
      <w:r w:rsidRPr="003E3891">
        <w:rPr>
          <w:lang w:val="en"/>
        </w:rPr>
        <w:t>As outlined in the Issues Paper, currently section 43 of the Family Law Act provides</w:t>
      </w:r>
      <w:r w:rsidRPr="00A828B2">
        <w:rPr>
          <w:lang w:val="en"/>
        </w:rPr>
        <w:t xml:space="preserve"> principles to </w:t>
      </w:r>
      <w:proofErr w:type="gramStart"/>
      <w:r w:rsidRPr="00A828B2">
        <w:rPr>
          <w:lang w:val="en"/>
        </w:rPr>
        <w:t>be applied</w:t>
      </w:r>
      <w:proofErr w:type="gramEnd"/>
      <w:r w:rsidRPr="00A828B2">
        <w:rPr>
          <w:lang w:val="en"/>
        </w:rPr>
        <w:t xml:space="preserve"> by the courts in the exercise of their jurisdiction under the Act, and several of these principles refer to the protection of children. Section 43(c) </w:t>
      </w:r>
      <w:r w:rsidR="0094084B" w:rsidRPr="00A828B2">
        <w:rPr>
          <w:lang w:val="en"/>
        </w:rPr>
        <w:t xml:space="preserve">specifically </w:t>
      </w:r>
      <w:r w:rsidRPr="00A828B2">
        <w:rPr>
          <w:lang w:val="en"/>
        </w:rPr>
        <w:t>includes the ‘need to protect the rights of children</w:t>
      </w:r>
      <w:r w:rsidR="0094084B" w:rsidRPr="00A828B2">
        <w:rPr>
          <w:lang w:val="en"/>
        </w:rPr>
        <w:t xml:space="preserve"> </w:t>
      </w:r>
      <w:r w:rsidR="000A5825" w:rsidRPr="00A828B2">
        <w:rPr>
          <w:lang w:val="en"/>
        </w:rPr>
        <w:t>and to promote their welfare’. H</w:t>
      </w:r>
      <w:r w:rsidR="0094084B" w:rsidRPr="00A828B2">
        <w:rPr>
          <w:lang w:val="en"/>
        </w:rPr>
        <w:t xml:space="preserve">owever, it does not </w:t>
      </w:r>
      <w:r w:rsidR="00906382" w:rsidRPr="00A828B2">
        <w:rPr>
          <w:lang w:val="en"/>
        </w:rPr>
        <w:t>refer</w:t>
      </w:r>
      <w:r w:rsidR="00906382">
        <w:rPr>
          <w:lang w:val="en"/>
        </w:rPr>
        <w:t xml:space="preserve"> to</w:t>
      </w:r>
      <w:r w:rsidR="00906382" w:rsidRPr="00A828B2">
        <w:rPr>
          <w:lang w:val="en"/>
        </w:rPr>
        <w:t xml:space="preserve"> </w:t>
      </w:r>
      <w:r w:rsidR="0094084B" w:rsidRPr="00A828B2">
        <w:rPr>
          <w:lang w:val="en"/>
        </w:rPr>
        <w:t xml:space="preserve">the CRC. </w:t>
      </w:r>
      <w:r w:rsidR="00E97F7F">
        <w:rPr>
          <w:lang w:val="en"/>
        </w:rPr>
        <w:t xml:space="preserve">By </w:t>
      </w:r>
      <w:r w:rsidR="003E3891">
        <w:rPr>
          <w:lang w:val="en"/>
        </w:rPr>
        <w:t xml:space="preserve">including specific </w:t>
      </w:r>
      <w:r w:rsidR="00D65E43">
        <w:rPr>
          <w:lang w:val="en"/>
        </w:rPr>
        <w:t>reference to the CRC in overarching objectives or principles</w:t>
      </w:r>
      <w:r w:rsidRPr="00A828B2">
        <w:rPr>
          <w:lang w:val="en"/>
        </w:rPr>
        <w:t xml:space="preserve">, rather than as an ‘additional object’ in Part VII only, </w:t>
      </w:r>
      <w:r w:rsidR="00906382">
        <w:rPr>
          <w:lang w:val="en"/>
        </w:rPr>
        <w:t>Australia is</w:t>
      </w:r>
      <w:r w:rsidRPr="00A828B2">
        <w:rPr>
          <w:lang w:val="en"/>
        </w:rPr>
        <w:t xml:space="preserve"> more comprehensively giving effect to </w:t>
      </w:r>
      <w:r w:rsidR="00906382">
        <w:rPr>
          <w:lang w:val="en"/>
        </w:rPr>
        <w:t xml:space="preserve">its </w:t>
      </w:r>
      <w:r w:rsidRPr="00A828B2">
        <w:rPr>
          <w:lang w:val="en"/>
        </w:rPr>
        <w:t xml:space="preserve">obligations to protect the rights of children and providing guidance on how this is to be achieved. </w:t>
      </w:r>
    </w:p>
    <w:p w14:paraId="5C4FDB0A" w14:textId="77777777" w:rsidR="00CE3A07" w:rsidRPr="00CD7EB5" w:rsidRDefault="00CE3A07" w:rsidP="00CE3A07">
      <w:pPr>
        <w:pStyle w:val="SubmissionNormal"/>
        <w:rPr>
          <w:b/>
          <w:lang w:val="en"/>
        </w:rPr>
      </w:pPr>
      <w:r w:rsidRPr="00CD7EB5">
        <w:rPr>
          <w:b/>
          <w:lang w:val="en"/>
        </w:rPr>
        <w:t xml:space="preserve">Recommendation 1: </w:t>
      </w:r>
      <w:r w:rsidR="00C54F48" w:rsidRPr="00CD7EB5">
        <w:rPr>
          <w:b/>
          <w:lang w:val="en"/>
        </w:rPr>
        <w:t>Pr</w:t>
      </w:r>
      <w:r w:rsidR="00FB511C" w:rsidRPr="00CD7EB5">
        <w:rPr>
          <w:b/>
          <w:lang w:val="en"/>
        </w:rPr>
        <w:t>otection of children’s rights is</w:t>
      </w:r>
      <w:r w:rsidR="00C54F48" w:rsidRPr="00CD7EB5">
        <w:rPr>
          <w:b/>
          <w:lang w:val="en"/>
        </w:rPr>
        <w:t xml:space="preserve"> included in the overarching principles of</w:t>
      </w:r>
      <w:r w:rsidR="00FB511C" w:rsidRPr="00CD7EB5">
        <w:rPr>
          <w:b/>
          <w:lang w:val="en"/>
        </w:rPr>
        <w:t xml:space="preserve"> the Family Law Act by</w:t>
      </w:r>
      <w:r w:rsidR="00C54F48" w:rsidRPr="00CD7EB5">
        <w:rPr>
          <w:b/>
          <w:lang w:val="en"/>
        </w:rPr>
        <w:t xml:space="preserve"> direct references to the </w:t>
      </w:r>
      <w:r w:rsidR="003E3891" w:rsidRPr="00CD7EB5">
        <w:rPr>
          <w:b/>
          <w:lang w:val="en"/>
        </w:rPr>
        <w:t xml:space="preserve">four Guiding Principles </w:t>
      </w:r>
      <w:r w:rsidR="00C54F48" w:rsidRPr="00CD7EB5">
        <w:rPr>
          <w:b/>
          <w:lang w:val="en"/>
        </w:rPr>
        <w:t xml:space="preserve">and other provisions </w:t>
      </w:r>
      <w:r w:rsidR="003E3891" w:rsidRPr="00CD7EB5">
        <w:rPr>
          <w:b/>
          <w:lang w:val="en"/>
        </w:rPr>
        <w:t xml:space="preserve">of the </w:t>
      </w:r>
      <w:r w:rsidR="00C54F48" w:rsidRPr="00CD7EB5">
        <w:rPr>
          <w:b/>
          <w:i/>
          <w:lang w:val="en"/>
        </w:rPr>
        <w:t>Convention on the Rights of the Child</w:t>
      </w:r>
      <w:r w:rsidR="00C54F48" w:rsidRPr="00CD7EB5">
        <w:rPr>
          <w:b/>
          <w:lang w:val="en"/>
        </w:rPr>
        <w:t xml:space="preserve">. </w:t>
      </w:r>
    </w:p>
    <w:p w14:paraId="7E92ECBD" w14:textId="77777777" w:rsidR="00EB1A12" w:rsidRDefault="00451CB9" w:rsidP="00A92DBB">
      <w:pPr>
        <w:pStyle w:val="Heading3"/>
      </w:pPr>
      <w:bookmarkStart w:id="14" w:name="_Toc531787298"/>
      <w:r>
        <w:t>D</w:t>
      </w:r>
      <w:r w:rsidR="00EB1A12">
        <w:t>iscrimination against women</w:t>
      </w:r>
      <w:bookmarkEnd w:id="14"/>
    </w:p>
    <w:p w14:paraId="65911441" w14:textId="0855564F" w:rsidR="007E148A" w:rsidRDefault="007E148A" w:rsidP="00DE3A03">
      <w:pPr>
        <w:pStyle w:val="SubmissionNormal"/>
      </w:pPr>
      <w:r>
        <w:t xml:space="preserve">The Commission submits that the rights </w:t>
      </w:r>
      <w:r w:rsidR="00C54F48">
        <w:t xml:space="preserve">set out </w:t>
      </w:r>
      <w:r>
        <w:t xml:space="preserve">in </w:t>
      </w:r>
      <w:r w:rsidR="00C54F48">
        <w:t xml:space="preserve">the </w:t>
      </w:r>
      <w:r w:rsidR="00C54F48" w:rsidRPr="003C33EA">
        <w:rPr>
          <w:i/>
        </w:rPr>
        <w:t xml:space="preserve">Convention on the Elimination of All Forms of Discrimination </w:t>
      </w:r>
      <w:proofErr w:type="gramStart"/>
      <w:r w:rsidR="00C54F48" w:rsidRPr="003C33EA">
        <w:rPr>
          <w:i/>
        </w:rPr>
        <w:t>Against</w:t>
      </w:r>
      <w:proofErr w:type="gramEnd"/>
      <w:r w:rsidR="00C54F48" w:rsidRPr="003C33EA">
        <w:rPr>
          <w:i/>
        </w:rPr>
        <w:t xml:space="preserve"> Women</w:t>
      </w:r>
      <w:r w:rsidR="00C54F48">
        <w:t xml:space="preserve"> (CEDAW) should </w:t>
      </w:r>
      <w:r>
        <w:t xml:space="preserve">also be </w:t>
      </w:r>
      <w:r w:rsidR="00E00096">
        <w:t>considered when assessing proposals for reform of</w:t>
      </w:r>
      <w:r>
        <w:t xml:space="preserve"> the Family Law Act.</w:t>
      </w:r>
    </w:p>
    <w:p w14:paraId="09C2FCB9" w14:textId="24BD2F85" w:rsidR="00C54F48" w:rsidRDefault="00C54F48" w:rsidP="00C54F48">
      <w:pPr>
        <w:pStyle w:val="SubmissionNormal"/>
      </w:pPr>
      <w:r>
        <w:t xml:space="preserve">Women often experience economic disadvantage </w:t>
      </w:r>
      <w:r w:rsidR="00311B10">
        <w:t>throughout</w:t>
      </w:r>
      <w:r>
        <w:t xml:space="preserve"> </w:t>
      </w:r>
      <w:r w:rsidR="00906382">
        <w:t>their lives</w:t>
      </w:r>
      <w:r>
        <w:t xml:space="preserve"> due to a </w:t>
      </w:r>
      <w:r w:rsidR="00311B10">
        <w:t>number of factors</w:t>
      </w:r>
      <w:r w:rsidR="004F7557">
        <w:t>,</w:t>
      </w:r>
      <w:r w:rsidR="00311B10">
        <w:t xml:space="preserve"> including the gender pay gap,</w:t>
      </w:r>
      <w:r w:rsidR="00311B10">
        <w:rPr>
          <w:rStyle w:val="EndnoteReference"/>
        </w:rPr>
        <w:endnoteReference w:id="8"/>
      </w:r>
      <w:r w:rsidR="00311B10">
        <w:t xml:space="preserve"> women’s underrepresentation in the workforce,</w:t>
      </w:r>
      <w:r w:rsidR="00311B10">
        <w:rPr>
          <w:rStyle w:val="EndnoteReference"/>
        </w:rPr>
        <w:endnoteReference w:id="9"/>
      </w:r>
      <w:r w:rsidR="00311B10">
        <w:t xml:space="preserve"> and the greater amount of time spent on unpaid domestic and care work as compared to men.</w:t>
      </w:r>
      <w:r w:rsidR="00311B10">
        <w:rPr>
          <w:rStyle w:val="EndnoteReference"/>
        </w:rPr>
        <w:endnoteReference w:id="10"/>
      </w:r>
      <w:r w:rsidR="00311B10">
        <w:t xml:space="preserve"> </w:t>
      </w:r>
      <w:r>
        <w:t xml:space="preserve">They are also more likely to be victims of </w:t>
      </w:r>
      <w:r w:rsidR="00311B10">
        <w:t xml:space="preserve">family and domestic </w:t>
      </w:r>
      <w:r>
        <w:t>violence.</w:t>
      </w:r>
      <w:r w:rsidR="00311B10">
        <w:rPr>
          <w:rStyle w:val="EndnoteReference"/>
        </w:rPr>
        <w:endnoteReference w:id="11"/>
      </w:r>
    </w:p>
    <w:p w14:paraId="18660965" w14:textId="7608F4E0" w:rsidR="00DE3A03" w:rsidRDefault="00500223" w:rsidP="001D00E8">
      <w:pPr>
        <w:pStyle w:val="SubmissionNormal"/>
        <w:numPr>
          <w:ilvl w:val="0"/>
          <w:numId w:val="15"/>
        </w:numPr>
        <w:ind w:left="720"/>
      </w:pPr>
      <w:r>
        <w:t>T</w:t>
      </w:r>
      <w:r w:rsidR="00343A85" w:rsidRPr="00A828B2">
        <w:t xml:space="preserve">he safety of the child </w:t>
      </w:r>
      <w:proofErr w:type="gramStart"/>
      <w:r w:rsidR="00343A85" w:rsidRPr="00A828B2">
        <w:t xml:space="preserve">is </w:t>
      </w:r>
      <w:r w:rsidR="00C54F48">
        <w:t xml:space="preserve">also </w:t>
      </w:r>
      <w:r w:rsidR="00343A85" w:rsidRPr="00A828B2">
        <w:t>inextricably linked</w:t>
      </w:r>
      <w:proofErr w:type="gramEnd"/>
      <w:r w:rsidR="00343A85" w:rsidRPr="00A828B2">
        <w:t xml:space="preserve"> to the safety and protection of the primary care-giver of the child.</w:t>
      </w:r>
      <w:r w:rsidR="00311B10">
        <w:rPr>
          <w:rStyle w:val="EndnoteReference"/>
        </w:rPr>
        <w:endnoteReference w:id="12"/>
      </w:r>
      <w:r w:rsidR="00343A85">
        <w:t xml:space="preserve"> Women are generally the primary care-givers of children. At the same time</w:t>
      </w:r>
      <w:r w:rsidR="00FB511C">
        <w:t>,</w:t>
      </w:r>
      <w:r w:rsidR="00343A85">
        <w:t xml:space="preserve"> women are far more likely to be victims </w:t>
      </w:r>
      <w:r w:rsidR="00D3771D">
        <w:t>of domestic and family violence</w:t>
      </w:r>
      <w:r w:rsidR="00343A85">
        <w:t>.</w:t>
      </w:r>
      <w:r w:rsidR="00343A85">
        <w:rPr>
          <w:rStyle w:val="EndnoteReference"/>
        </w:rPr>
        <w:endnoteReference w:id="13"/>
      </w:r>
      <w:r w:rsidR="00D3771D">
        <w:t xml:space="preserve"> </w:t>
      </w:r>
      <w:r w:rsidR="00343A85">
        <w:t xml:space="preserve">Violence against women seriously </w:t>
      </w:r>
      <w:r w:rsidR="00906382">
        <w:t>affects</w:t>
      </w:r>
      <w:r w:rsidR="00343A85">
        <w:t xml:space="preserve"> the capacity and ability of a woman to care for a child, contrary to th</w:t>
      </w:r>
      <w:r w:rsidR="00DE3A03">
        <w:t xml:space="preserve">e best interests of the child. </w:t>
      </w:r>
      <w:r w:rsidR="001D00E8">
        <w:t xml:space="preserve">In particular, the Commission draws the ALRC’s attention to research conducted by Australia’s National Research Organisation for Women’s Safety (ANROWS), which examines the impact of family and domestic violence on parenting. </w:t>
      </w:r>
      <w:r w:rsidR="004F7557">
        <w:t>T</w:t>
      </w:r>
      <w:r w:rsidR="001D00E8">
        <w:t>he research provides a clear indication of the links between family and domestic violence, poorer parental wellbeing and poorer outcomes for children.</w:t>
      </w:r>
      <w:r w:rsidR="001D00E8">
        <w:rPr>
          <w:rStyle w:val="EndnoteReference"/>
        </w:rPr>
        <w:endnoteReference w:id="14"/>
      </w:r>
    </w:p>
    <w:p w14:paraId="1D832669" w14:textId="0A5CC779" w:rsidR="00392FF1" w:rsidRDefault="007E148A" w:rsidP="00A14E75">
      <w:pPr>
        <w:pStyle w:val="SubmissionNormal"/>
      </w:pPr>
      <w:r>
        <w:t>G</w:t>
      </w:r>
      <w:r w:rsidR="00343A85">
        <w:t xml:space="preserve">ender-based violence is a form of discrimination prohibited under </w:t>
      </w:r>
      <w:r>
        <w:t>CEDAW</w:t>
      </w:r>
      <w:r w:rsidR="00343A85">
        <w:t>:</w:t>
      </w:r>
      <w:r w:rsidR="00392FF1" w:rsidRPr="002C2086">
        <w:t xml:space="preserve"> </w:t>
      </w:r>
      <w:r w:rsidR="00343A85" w:rsidRPr="002C2086">
        <w:t xml:space="preserve">Article 1 </w:t>
      </w:r>
      <w:r w:rsidR="00A14E75">
        <w:t xml:space="preserve">of CEDAW </w:t>
      </w:r>
      <w:r w:rsidR="00343A85" w:rsidRPr="002C2086">
        <w:t xml:space="preserve">defines ‘discrimination against women’ as </w:t>
      </w:r>
      <w:r w:rsidR="00A14E75">
        <w:t>‘</w:t>
      </w:r>
      <w:r w:rsidR="00343A85" w:rsidRPr="002C2086">
        <w:t>any distinction, exclusion or restriction made on the basis of sex which has the effect or purpose of impairing or nullifying the recognition, enjoyment or exercise by women</w:t>
      </w:r>
      <w:r w:rsidR="00392FF1">
        <w:t>’</w:t>
      </w:r>
      <w:r w:rsidR="00343A85" w:rsidRPr="002C2086">
        <w:t>, of human rights and fundamental freedoms</w:t>
      </w:r>
      <w:r w:rsidR="005E03F3">
        <w:t>.</w:t>
      </w:r>
      <w:r w:rsidR="00392FF1">
        <w:rPr>
          <w:rStyle w:val="EndnoteReference"/>
        </w:rPr>
        <w:endnoteReference w:id="15"/>
      </w:r>
      <w:r w:rsidR="00343A85" w:rsidRPr="002C2086">
        <w:t xml:space="preserve"> Article 2 requires</w:t>
      </w:r>
      <w:r w:rsidR="00392FF1">
        <w:t xml:space="preserve"> State</w:t>
      </w:r>
      <w:r w:rsidR="00906382">
        <w:t>s</w:t>
      </w:r>
      <w:r w:rsidR="00392FF1">
        <w:t xml:space="preserve"> Parties to agree to </w:t>
      </w:r>
      <w:r w:rsidR="00343A85" w:rsidRPr="002C2086">
        <w:t>pursue by all appropriate means and</w:t>
      </w:r>
      <w:r w:rsidR="00FB511C">
        <w:t>,</w:t>
      </w:r>
      <w:r w:rsidR="00343A85" w:rsidRPr="002C2086">
        <w:t xml:space="preserve"> </w:t>
      </w:r>
      <w:proofErr w:type="gramStart"/>
      <w:r w:rsidR="00343A85" w:rsidRPr="002C2086">
        <w:t>without delay</w:t>
      </w:r>
      <w:proofErr w:type="gramEnd"/>
      <w:r w:rsidR="00FB511C">
        <w:t>,</w:t>
      </w:r>
      <w:r w:rsidR="00343A85" w:rsidRPr="002C2086">
        <w:t xml:space="preserve"> a policy of eliminating discrimination against women. </w:t>
      </w:r>
    </w:p>
    <w:p w14:paraId="4B653EE5" w14:textId="77777777" w:rsidR="00343A85" w:rsidRDefault="00392FF1" w:rsidP="00A14E75">
      <w:pPr>
        <w:pStyle w:val="SubmissionNormal"/>
      </w:pPr>
      <w:r>
        <w:t xml:space="preserve">The CEDAW Committee, in General Recommendation 19, </w:t>
      </w:r>
      <w:r w:rsidR="00343A85" w:rsidRPr="002C2086">
        <w:t>specifically recognises that family violence impairs the ability of women to participate in family life on a basis of equality and recommends that States Parties ensure that laws against family violence and abuse give adequate protection to all women.</w:t>
      </w:r>
      <w:r w:rsidR="00343A85">
        <w:rPr>
          <w:rStyle w:val="EndnoteReference"/>
        </w:rPr>
        <w:endnoteReference w:id="16"/>
      </w:r>
      <w:r w:rsidR="00343A85">
        <w:t xml:space="preserve"> </w:t>
      </w:r>
    </w:p>
    <w:p w14:paraId="062AAC3D" w14:textId="77777777" w:rsidR="00500223" w:rsidRDefault="00F7557B" w:rsidP="00A92DBB">
      <w:pPr>
        <w:pStyle w:val="Heading3"/>
      </w:pPr>
      <w:bookmarkStart w:id="15" w:name="_Toc531787299"/>
      <w:r>
        <w:t>T</w:t>
      </w:r>
      <w:r w:rsidR="00EB1A12">
        <w:t>he rights of p</w:t>
      </w:r>
      <w:r>
        <w:t>eople</w:t>
      </w:r>
      <w:r w:rsidR="00EB1A12">
        <w:t xml:space="preserve"> with disability</w:t>
      </w:r>
      <w:bookmarkEnd w:id="15"/>
    </w:p>
    <w:p w14:paraId="0B2ADBBE" w14:textId="77777777" w:rsidR="003E53F0" w:rsidRDefault="003E53F0" w:rsidP="003E53F0">
      <w:pPr>
        <w:pStyle w:val="SubmissionNormal"/>
        <w:numPr>
          <w:ilvl w:val="0"/>
          <w:numId w:val="15"/>
        </w:numPr>
        <w:ind w:left="720"/>
      </w:pPr>
      <w:r>
        <w:t xml:space="preserve">Article 7(1) of the CRPD obliges States Parties to take all necessary measures to ensure children with disabilities enjoy their human rights and fundamental freedoms on an equal basis with other children. Further, parents with disabilities </w:t>
      </w:r>
      <w:proofErr w:type="gramStart"/>
      <w:r>
        <w:t>should be supported</w:t>
      </w:r>
      <w:proofErr w:type="gramEnd"/>
      <w:r>
        <w:t xml:space="preserve"> to ensure their children also enjoy their human rights and fundamental freedoms on an equal basis with other children. </w:t>
      </w:r>
    </w:p>
    <w:p w14:paraId="5D69FB27" w14:textId="77777777" w:rsidR="000D23B9" w:rsidRDefault="00343A85" w:rsidP="000D23B9">
      <w:pPr>
        <w:pStyle w:val="SubmissionNormal"/>
      </w:pPr>
      <w:r w:rsidRPr="00EB1A12">
        <w:t>A</w:t>
      </w:r>
      <w:r w:rsidR="007150B4">
        <w:t>rticle 16(1) of the CRPD obliges States Parties to t</w:t>
      </w:r>
      <w:r w:rsidRPr="00EB1A12">
        <w:t>ake all appropriate legislative and other measures to protect persons with disabilities from all forms of exploitation, violence and abuse, including their gender-based aspects.</w:t>
      </w:r>
    </w:p>
    <w:p w14:paraId="45D4E3C8" w14:textId="43A4D951" w:rsidR="000D23B9" w:rsidRDefault="00343A85" w:rsidP="000D23B9">
      <w:pPr>
        <w:pStyle w:val="SubmissionNormal"/>
      </w:pPr>
      <w:r w:rsidRPr="00EB1A12">
        <w:t>Article 23</w:t>
      </w:r>
      <w:r w:rsidR="000D23B9">
        <w:t xml:space="preserve"> </w:t>
      </w:r>
      <w:r w:rsidR="00141A5B">
        <w:t xml:space="preserve">of the CRPD </w:t>
      </w:r>
      <w:r w:rsidR="000D23B9">
        <w:t xml:space="preserve">refers specifically to </w:t>
      </w:r>
      <w:r w:rsidR="00093FE0">
        <w:t xml:space="preserve">the obligations of </w:t>
      </w:r>
      <w:r w:rsidR="000D23B9">
        <w:t>States Parties to eliminate discrimination against persons with disabilities in all matters relating to marriage, family, parenthood and relationships:</w:t>
      </w:r>
    </w:p>
    <w:p w14:paraId="1333369E" w14:textId="77777777" w:rsidR="000D23B9" w:rsidRDefault="005637B0" w:rsidP="007D38CA">
      <w:pPr>
        <w:pStyle w:val="ListParagraph"/>
        <w:numPr>
          <w:ilvl w:val="0"/>
          <w:numId w:val="30"/>
        </w:numPr>
      </w:pPr>
      <w:r>
        <w:t>A</w:t>
      </w:r>
      <w:r w:rsidR="000D23B9">
        <w:t>rticle 23(2) provides that States Parties render ‘</w:t>
      </w:r>
      <w:r w:rsidR="000D23B9" w:rsidRPr="00EB1A12">
        <w:t>app</w:t>
      </w:r>
      <w:r w:rsidR="000D23B9">
        <w:t xml:space="preserve">ropriate assistance </w:t>
      </w:r>
      <w:r w:rsidR="000D23B9" w:rsidRPr="00EB1A12">
        <w:t xml:space="preserve">to persons with disabilities in performance of their </w:t>
      </w:r>
      <w:r w:rsidR="000D23B9">
        <w:t>child-rearing responsibilities’.</w:t>
      </w:r>
    </w:p>
    <w:p w14:paraId="2EC2FF66" w14:textId="77777777" w:rsidR="00F2782D" w:rsidRPr="00F2782D" w:rsidRDefault="005637B0" w:rsidP="007D38CA">
      <w:pPr>
        <w:pStyle w:val="ListParagraph"/>
        <w:numPr>
          <w:ilvl w:val="0"/>
          <w:numId w:val="30"/>
        </w:numPr>
      </w:pPr>
      <w:r>
        <w:t>A</w:t>
      </w:r>
      <w:r w:rsidR="000D23B9">
        <w:t xml:space="preserve">rticle 23(3) provides that </w:t>
      </w:r>
      <w:r w:rsidR="000D23B9" w:rsidRPr="00F2782D">
        <w:rPr>
          <w:rFonts w:cs="Arial"/>
        </w:rPr>
        <w:t>‘</w:t>
      </w:r>
      <w:r w:rsidR="000D23B9" w:rsidRPr="00F2782D">
        <w:rPr>
          <w:rFonts w:cs="Arial"/>
          <w:color w:val="000000"/>
          <w:lang w:val="en"/>
        </w:rPr>
        <w:t xml:space="preserve">to prevent concealment, abandonment, neglect and segregation of children with disabilities, States Parties shall undertake to provide early and comprehensive information, services and support to children with disabilities and their families’. </w:t>
      </w:r>
    </w:p>
    <w:p w14:paraId="09CCC825" w14:textId="77777777" w:rsidR="00343A85" w:rsidRPr="00EB1A12" w:rsidRDefault="005637B0" w:rsidP="007D38CA">
      <w:pPr>
        <w:pStyle w:val="ListParagraph"/>
        <w:numPr>
          <w:ilvl w:val="0"/>
          <w:numId w:val="30"/>
        </w:numPr>
      </w:pPr>
      <w:r>
        <w:t>A</w:t>
      </w:r>
      <w:r w:rsidR="000D23B9">
        <w:t>rticle 23(4) states that ‘I</w:t>
      </w:r>
      <w:r w:rsidR="00343A85" w:rsidRPr="00EB1A12">
        <w:t>n no case shall a child be separated from parents on the basis of a disability of either the child or one or both of the parents</w:t>
      </w:r>
      <w:r w:rsidR="000D23B9">
        <w:t>’</w:t>
      </w:r>
      <w:r w:rsidR="00343A85" w:rsidRPr="00EB1A12">
        <w:t>.</w:t>
      </w:r>
      <w:r w:rsidR="00343A85" w:rsidRPr="00EB1A12">
        <w:rPr>
          <w:rStyle w:val="EndnoteReference"/>
          <w:sz w:val="22"/>
          <w:szCs w:val="22"/>
        </w:rPr>
        <w:endnoteReference w:id="17"/>
      </w:r>
      <w:r w:rsidR="00343A85" w:rsidRPr="00EB1A12">
        <w:t xml:space="preserve"> </w:t>
      </w:r>
    </w:p>
    <w:p w14:paraId="1026EFFD" w14:textId="30AC7AA5" w:rsidR="000F5E14" w:rsidRDefault="00343A85" w:rsidP="000F5E14">
      <w:pPr>
        <w:pStyle w:val="SubmissionNormal"/>
      </w:pPr>
      <w:r w:rsidRPr="000F5E14">
        <w:t xml:space="preserve">Given the greater risks experienced by </w:t>
      </w:r>
      <w:r w:rsidR="005637B0">
        <w:t xml:space="preserve">people </w:t>
      </w:r>
      <w:r w:rsidRPr="000F5E14">
        <w:t>with disability</w:t>
      </w:r>
      <w:r w:rsidR="00DE3A03" w:rsidRPr="000F5E14">
        <w:t xml:space="preserve"> to</w:t>
      </w:r>
      <w:r w:rsidR="00DE3A03">
        <w:t xml:space="preserve"> violence and abuse,</w:t>
      </w:r>
      <w:r w:rsidR="00141A5B">
        <w:rPr>
          <w:rStyle w:val="EndnoteReference"/>
        </w:rPr>
        <w:endnoteReference w:id="18"/>
      </w:r>
      <w:r w:rsidR="00DE3A03">
        <w:t xml:space="preserve"> the Commission</w:t>
      </w:r>
      <w:r>
        <w:t xml:space="preserve"> recomm</w:t>
      </w:r>
      <w:r w:rsidR="00A63966">
        <w:t xml:space="preserve">ends </w:t>
      </w:r>
      <w:r w:rsidR="008C4FD5">
        <w:t xml:space="preserve">that </w:t>
      </w:r>
      <w:r w:rsidR="008676D2">
        <w:t xml:space="preserve">these principles in </w:t>
      </w:r>
      <w:r w:rsidR="00EB1A12">
        <w:t xml:space="preserve">the </w:t>
      </w:r>
      <w:r w:rsidR="00C04E14">
        <w:t xml:space="preserve">CRPD </w:t>
      </w:r>
      <w:r w:rsidR="008057D6">
        <w:t xml:space="preserve">also </w:t>
      </w:r>
      <w:r w:rsidR="000F5E14">
        <w:t xml:space="preserve">be considered </w:t>
      </w:r>
      <w:r w:rsidR="008676D2">
        <w:t xml:space="preserve">when assessing proposals for reform </w:t>
      </w:r>
      <w:r w:rsidR="008057D6">
        <w:t>of the Family Law Act.</w:t>
      </w:r>
      <w:r w:rsidR="000F5E14" w:rsidDel="000F5E14">
        <w:t xml:space="preserve"> </w:t>
      </w:r>
    </w:p>
    <w:p w14:paraId="40D16765" w14:textId="77777777" w:rsidR="00F7557B" w:rsidRDefault="00F7557B" w:rsidP="000F5E14">
      <w:pPr>
        <w:pStyle w:val="Heading3"/>
      </w:pPr>
      <w:bookmarkStart w:id="16" w:name="_Toc531787300"/>
      <w:r>
        <w:t>Aboriginal and Torres Strait Islander peoples</w:t>
      </w:r>
      <w:bookmarkEnd w:id="16"/>
    </w:p>
    <w:p w14:paraId="3C786728" w14:textId="1BAB13E8" w:rsidR="000F5E14" w:rsidRDefault="00093FE0" w:rsidP="005637B0">
      <w:pPr>
        <w:pStyle w:val="SubmissionNormal"/>
      </w:pPr>
      <w:r>
        <w:t>UNDRIP</w:t>
      </w:r>
      <w:r w:rsidR="00D16CA9">
        <w:t xml:space="preserve"> </w:t>
      </w:r>
      <w:r w:rsidR="00D16CA9" w:rsidRPr="005F7CD0">
        <w:t>sets out the minimum standards for the survival, dignity, wellbeing and rights of t</w:t>
      </w:r>
      <w:r w:rsidR="00D16CA9">
        <w:t>he world’s Indigenous peoples.</w:t>
      </w:r>
      <w:r w:rsidR="00D16CA9">
        <w:rPr>
          <w:rStyle w:val="EndnoteReference"/>
        </w:rPr>
        <w:endnoteReference w:id="19"/>
      </w:r>
      <w:r w:rsidR="00F2782D">
        <w:t xml:space="preserve"> </w:t>
      </w:r>
      <w:r>
        <w:t>UNDRIP</w:t>
      </w:r>
      <w:r w:rsidR="00D16CA9">
        <w:t xml:space="preserve"> articulates how substantive rights and principles in international human rights law apply to the specific circumstances of Indigenous peoples. A number of these rights and principles are engaged by the family law system, </w:t>
      </w:r>
      <w:proofErr w:type="gramStart"/>
      <w:r w:rsidR="00D16CA9">
        <w:t>including</w:t>
      </w:r>
      <w:r>
        <w:t>:</w:t>
      </w:r>
      <w:proofErr w:type="gramEnd"/>
      <w:r w:rsidR="00D16CA9">
        <w:t xml:space="preserve"> the right to culture</w:t>
      </w:r>
      <w:r>
        <w:t>;</w:t>
      </w:r>
      <w:r w:rsidR="00D16CA9">
        <w:t xml:space="preserve"> the rights of the child</w:t>
      </w:r>
      <w:r>
        <w:t>;</w:t>
      </w:r>
      <w:r w:rsidR="00D16CA9">
        <w:t xml:space="preserve"> and the right to be free from discrimination in legal and judicial proceedings. Although </w:t>
      </w:r>
      <w:r>
        <w:t>UNDRIP</w:t>
      </w:r>
      <w:r w:rsidR="00D16CA9">
        <w:t xml:space="preserve"> is not </w:t>
      </w:r>
      <w:r w:rsidR="00C128DB">
        <w:t xml:space="preserve">itself </w:t>
      </w:r>
      <w:r w:rsidR="00D16CA9">
        <w:t xml:space="preserve">a formally binding treaty, it contains rights and freedoms that are set out in </w:t>
      </w:r>
      <w:r w:rsidR="00C128DB">
        <w:t xml:space="preserve">other </w:t>
      </w:r>
      <w:r w:rsidR="00D16CA9">
        <w:t>binding international human rights treaty law, some of which may be considered customary international law.</w:t>
      </w:r>
      <w:r w:rsidR="00D16CA9">
        <w:rPr>
          <w:rStyle w:val="EndnoteReference"/>
        </w:rPr>
        <w:endnoteReference w:id="20"/>
      </w:r>
    </w:p>
    <w:p w14:paraId="721A3EB9" w14:textId="72CCDB85" w:rsidR="000B2D9E" w:rsidRPr="00B86DD1" w:rsidRDefault="000B2D9E" w:rsidP="000B2D9E">
      <w:pPr>
        <w:pStyle w:val="SubmissionNormal"/>
      </w:pPr>
      <w:r w:rsidRPr="00B86DD1">
        <w:t>Article</w:t>
      </w:r>
      <w:r>
        <w:t xml:space="preserve"> 27 of the ICCPR</w:t>
      </w:r>
      <w:r w:rsidRPr="00B86DD1">
        <w:t xml:space="preserve"> recognises that ethnic, religious or linguistic minorities </w:t>
      </w:r>
      <w:proofErr w:type="gramStart"/>
      <w:r w:rsidRPr="00B86DD1">
        <w:t>shall not be denied</w:t>
      </w:r>
      <w:proofErr w:type="gramEnd"/>
      <w:r w:rsidRPr="00B86DD1">
        <w:t xml:space="preserve"> the right to enjoy their own culture, to profess and practise their own religion, or to use their own language.</w:t>
      </w:r>
      <w:r>
        <w:rPr>
          <w:rStyle w:val="EndnoteReference"/>
        </w:rPr>
        <w:endnoteReference w:id="21"/>
      </w:r>
      <w:r w:rsidRPr="00B86DD1">
        <w:t xml:space="preserve"> The </w:t>
      </w:r>
      <w:r>
        <w:t xml:space="preserve">UN </w:t>
      </w:r>
      <w:r w:rsidRPr="00B86DD1">
        <w:t>H</w:t>
      </w:r>
      <w:r w:rsidR="009C44CF">
        <w:t xml:space="preserve">uman Rights Committee </w:t>
      </w:r>
      <w:r w:rsidRPr="00B86DD1">
        <w:t xml:space="preserve">has recognised that members of </w:t>
      </w:r>
      <w:r w:rsidR="00093FE0">
        <w:t>I</w:t>
      </w:r>
      <w:r w:rsidR="00093FE0" w:rsidRPr="00B86DD1">
        <w:t xml:space="preserve">ndigenous </w:t>
      </w:r>
      <w:r w:rsidRPr="00B86DD1">
        <w:t xml:space="preserve">communities are capable of constituting minorities protected by article 27 and that that the right to self-determination is relevant when interpreting </w:t>
      </w:r>
      <w:r w:rsidR="00093FE0" w:rsidRPr="00B86DD1">
        <w:t>article</w:t>
      </w:r>
      <w:r w:rsidR="00093FE0">
        <w:t> </w:t>
      </w:r>
      <w:r w:rsidRPr="00B86DD1">
        <w:t>27.</w:t>
      </w:r>
      <w:r>
        <w:rPr>
          <w:rStyle w:val="EndnoteReference"/>
        </w:rPr>
        <w:endnoteReference w:id="22"/>
      </w:r>
      <w:r w:rsidRPr="00B86DD1">
        <w:t xml:space="preserve"> </w:t>
      </w:r>
    </w:p>
    <w:p w14:paraId="73E52D33" w14:textId="53BDAA2A" w:rsidR="000B2D9E" w:rsidRPr="006279F9" w:rsidRDefault="000B2D9E" w:rsidP="000B2D9E">
      <w:pPr>
        <w:pStyle w:val="SubmissionNormal"/>
      </w:pPr>
      <w:r w:rsidRPr="00B86DD1">
        <w:t xml:space="preserve">The Committee on the Elimination of Racial Discrimination has consistently affirmed that discrimination against </w:t>
      </w:r>
      <w:r w:rsidR="00093FE0">
        <w:t>I</w:t>
      </w:r>
      <w:r w:rsidR="00093FE0" w:rsidRPr="00B86DD1">
        <w:t xml:space="preserve">ndigenous </w:t>
      </w:r>
      <w:r w:rsidRPr="00B86DD1">
        <w:t>peoples falls within</w:t>
      </w:r>
      <w:r>
        <w:t xml:space="preserve"> the scope of </w:t>
      </w:r>
      <w:r w:rsidR="005637B0">
        <w:t xml:space="preserve">the </w:t>
      </w:r>
      <w:r w:rsidR="005637B0" w:rsidRPr="005637B0">
        <w:rPr>
          <w:i/>
        </w:rPr>
        <w:t>International Convention on the Elimination of All Forms of Racial Discrimination</w:t>
      </w:r>
      <w:r w:rsidR="005637B0" w:rsidRPr="00B86DD1">
        <w:t xml:space="preserve"> (ICERD)</w:t>
      </w:r>
      <w:r w:rsidR="005637B0">
        <w:t>,</w:t>
      </w:r>
      <w:r w:rsidRPr="00B86DD1">
        <w:t xml:space="preserve"> and that all appropriate means </w:t>
      </w:r>
      <w:proofErr w:type="gramStart"/>
      <w:r w:rsidRPr="00B86DD1">
        <w:t>must be taken</w:t>
      </w:r>
      <w:proofErr w:type="gramEnd"/>
      <w:r w:rsidRPr="00B86DD1">
        <w:t xml:space="preserve"> to combat and eliminate such discrimination.</w:t>
      </w:r>
      <w:r>
        <w:rPr>
          <w:rStyle w:val="EndnoteReference"/>
        </w:rPr>
        <w:endnoteReference w:id="23"/>
      </w:r>
      <w:r w:rsidRPr="00B86DD1">
        <w:t xml:space="preserve"> In particular, article 5 of ICERD contains the obligation of States </w:t>
      </w:r>
      <w:r w:rsidR="001822EF">
        <w:t>P</w:t>
      </w:r>
      <w:r w:rsidR="001822EF" w:rsidRPr="00B86DD1">
        <w:t xml:space="preserve">arties </w:t>
      </w:r>
      <w:r w:rsidRPr="00B86DD1">
        <w:t>to guarantee the enjoyment of civil, political, economic, social and cultural rights and freedoms without racial discrimination.</w:t>
      </w:r>
      <w:r>
        <w:rPr>
          <w:rStyle w:val="EndnoteReference"/>
        </w:rPr>
        <w:endnoteReference w:id="24"/>
      </w:r>
      <w:r w:rsidRPr="00B86DD1">
        <w:t xml:space="preserve"> This includes the right to equal treatment before tribunals and all other organs administering justice, which is to </w:t>
      </w:r>
      <w:proofErr w:type="gramStart"/>
      <w:r w:rsidRPr="00B86DD1">
        <w:t>be enjoyed</w:t>
      </w:r>
      <w:proofErr w:type="gramEnd"/>
      <w:r w:rsidRPr="00B86DD1">
        <w:t xml:space="preserve"> by all persons living in a given State</w:t>
      </w:r>
      <w:r w:rsidRPr="00B86DD1">
        <w:rPr>
          <w:rFonts w:eastAsia="MS Mincho"/>
        </w:rPr>
        <w:t>.</w:t>
      </w:r>
      <w:r>
        <w:rPr>
          <w:rStyle w:val="EndnoteReference"/>
          <w:rFonts w:eastAsia="MS Mincho"/>
        </w:rPr>
        <w:endnoteReference w:id="25"/>
      </w:r>
    </w:p>
    <w:p w14:paraId="599A51FB" w14:textId="055CE86B" w:rsidR="00337FED" w:rsidRDefault="00337FED" w:rsidP="004D09F7">
      <w:pPr>
        <w:pStyle w:val="Heading3"/>
      </w:pPr>
      <w:bookmarkStart w:id="17" w:name="_Toc531787301"/>
      <w:r>
        <w:t>Lesbian, gay, bisexual, trans</w:t>
      </w:r>
      <w:r w:rsidR="00C64FD7">
        <w:t>gender</w:t>
      </w:r>
      <w:r>
        <w:t xml:space="preserve"> and intersex people</w:t>
      </w:r>
      <w:bookmarkEnd w:id="17"/>
    </w:p>
    <w:p w14:paraId="0C956996" w14:textId="77777777" w:rsidR="0057405B" w:rsidRDefault="00E94581" w:rsidP="004D09F7">
      <w:pPr>
        <w:pStyle w:val="SubmissionNormal"/>
      </w:pPr>
      <w:r>
        <w:t>While t</w:t>
      </w:r>
      <w:r w:rsidRPr="00BC2196">
        <w:t>here is no dedicated international treaty that deals with the human rights con</w:t>
      </w:r>
      <w:r>
        <w:t>cerns of LGBTI people, all human rights in existing treaties apply equally to LGBTI people.</w:t>
      </w:r>
      <w:r w:rsidRPr="00BC2196">
        <w:t xml:space="preserve"> The human rights principle of equality before the law </w:t>
      </w:r>
      <w:r>
        <w:t xml:space="preserve">is especially relevant for LGBTI people. </w:t>
      </w:r>
    </w:p>
    <w:p w14:paraId="465AA74A" w14:textId="28A7156F" w:rsidR="0057405B" w:rsidRDefault="00E94581" w:rsidP="0057405B">
      <w:pPr>
        <w:pStyle w:val="SubmissionNormal"/>
      </w:pPr>
      <w:r>
        <w:t>Further, t</w:t>
      </w:r>
      <w:r w:rsidRPr="007D350E">
        <w:t xml:space="preserve">he </w:t>
      </w:r>
      <w:r w:rsidRPr="0057405B">
        <w:rPr>
          <w:i/>
        </w:rPr>
        <w:t>Yogyakarta Principles on the Application of International Human Rights Law in Relation to Sexual Orientation and Gender Identity</w:t>
      </w:r>
      <w:r w:rsidRPr="00BC2196">
        <w:t xml:space="preserve"> </w:t>
      </w:r>
      <w:r>
        <w:t xml:space="preserve">sets out the </w:t>
      </w:r>
      <w:r w:rsidRPr="007D350E">
        <w:t>principles</w:t>
      </w:r>
      <w:r>
        <w:t xml:space="preserve"> that apply existing international human rights law in the contexts of </w:t>
      </w:r>
      <w:r w:rsidRPr="007D350E">
        <w:t>sexual orientation, gender identity, gender expression and sex characteristics</w:t>
      </w:r>
      <w:r>
        <w:t>.</w:t>
      </w:r>
      <w:r w:rsidR="00F823D3">
        <w:rPr>
          <w:rStyle w:val="EndnoteReference"/>
        </w:rPr>
        <w:endnoteReference w:id="26"/>
      </w:r>
      <w:r>
        <w:t xml:space="preserve"> </w:t>
      </w:r>
      <w:r w:rsidR="0029411C">
        <w:t>These Principles</w:t>
      </w:r>
      <w:r>
        <w:t xml:space="preserve"> </w:t>
      </w:r>
      <w:r w:rsidRPr="00BC2196">
        <w:t>are persuasive in shaping our understanding of how existing binding human rights obligations apply and relate to people who are sex and gender diverse.</w:t>
      </w:r>
      <w:r w:rsidRPr="00F35D7F">
        <w:t xml:space="preserve"> </w:t>
      </w:r>
      <w:r w:rsidR="004E2B5D">
        <w:t xml:space="preserve">The </w:t>
      </w:r>
      <w:r w:rsidR="004E2B5D" w:rsidRPr="004E2B5D">
        <w:rPr>
          <w:i/>
        </w:rPr>
        <w:t xml:space="preserve">Yogyakarta Principles </w:t>
      </w:r>
      <w:r w:rsidR="007444D6">
        <w:rPr>
          <w:i/>
        </w:rPr>
        <w:t>p</w:t>
      </w:r>
      <w:r w:rsidR="004E2B5D" w:rsidRPr="004E2B5D">
        <w:rPr>
          <w:i/>
        </w:rPr>
        <w:t>lus 10</w:t>
      </w:r>
      <w:r w:rsidR="007444D6">
        <w:t xml:space="preserve"> </w:t>
      </w:r>
      <w:proofErr w:type="gramStart"/>
      <w:r w:rsidR="004E2B5D">
        <w:t>supplement</w:t>
      </w:r>
      <w:proofErr w:type="gramEnd"/>
      <w:r w:rsidR="004E2B5D">
        <w:t xml:space="preserve"> the Principles.</w:t>
      </w:r>
      <w:r w:rsidR="007444D6">
        <w:rPr>
          <w:rStyle w:val="EndnoteReference"/>
        </w:rPr>
        <w:endnoteReference w:id="27"/>
      </w:r>
    </w:p>
    <w:p w14:paraId="1B4D5A25" w14:textId="27D909E6" w:rsidR="0057405B" w:rsidRDefault="00E94581" w:rsidP="0057405B">
      <w:pPr>
        <w:pStyle w:val="SubmissionNormal"/>
      </w:pPr>
      <w:r>
        <w:t>LGBT</w:t>
      </w:r>
      <w:r w:rsidR="00FD74B3">
        <w:t>I people continue to experience</w:t>
      </w:r>
      <w:r>
        <w:t xml:space="preserve"> discrimination in Austral</w:t>
      </w:r>
      <w:r w:rsidR="00FD74B3">
        <w:t>ia today</w:t>
      </w:r>
      <w:r w:rsidR="0029411C">
        <w:t xml:space="preserve">, including in the context of </w:t>
      </w:r>
      <w:r w:rsidR="003919FC">
        <w:t>family issues,</w:t>
      </w:r>
      <w:r w:rsidR="00FD74B3">
        <w:rPr>
          <w:rStyle w:val="EndnoteReference"/>
        </w:rPr>
        <w:endnoteReference w:id="28"/>
      </w:r>
      <w:r w:rsidR="003919FC">
        <w:t xml:space="preserve"> although there have been some key societal advances. I</w:t>
      </w:r>
      <w:r w:rsidR="0029411C">
        <w:t>n particular</w:t>
      </w:r>
      <w:r w:rsidR="003919FC">
        <w:t>,</w:t>
      </w:r>
      <w:r w:rsidR="0029411C">
        <w:t xml:space="preserve"> </w:t>
      </w:r>
      <w:r w:rsidR="003919FC">
        <w:t xml:space="preserve">the Commission has welcomed </w:t>
      </w:r>
      <w:r w:rsidR="0029411C">
        <w:t xml:space="preserve">the </w:t>
      </w:r>
      <w:r w:rsidR="00337FED">
        <w:t xml:space="preserve">recent passage of the </w:t>
      </w:r>
      <w:r w:rsidR="00337FED" w:rsidRPr="004D09F7">
        <w:rPr>
          <w:i/>
        </w:rPr>
        <w:t>Marriage Amendment (Definition and Religious Freedoms) Act 2017</w:t>
      </w:r>
      <w:r w:rsidR="00337FED">
        <w:t xml:space="preserve"> (</w:t>
      </w:r>
      <w:proofErr w:type="spellStart"/>
      <w:r w:rsidR="00337FED">
        <w:t>Cth</w:t>
      </w:r>
      <w:proofErr w:type="spellEnd"/>
      <w:r w:rsidR="00337FED">
        <w:t xml:space="preserve">) </w:t>
      </w:r>
      <w:r w:rsidR="0029411C">
        <w:t xml:space="preserve">which </w:t>
      </w:r>
      <w:r w:rsidR="00337FED">
        <w:t xml:space="preserve">has meant that </w:t>
      </w:r>
      <w:proofErr w:type="gramStart"/>
      <w:r w:rsidR="00337FED">
        <w:t>LGBTI people who are married</w:t>
      </w:r>
      <w:proofErr w:type="gramEnd"/>
      <w:r w:rsidR="00337FED">
        <w:t xml:space="preserve"> will be treated the same way as heterosexual people who are married for the purposes of the Family Law Act.</w:t>
      </w:r>
      <w:r w:rsidR="0029411C">
        <w:rPr>
          <w:rStyle w:val="EndnoteReference"/>
        </w:rPr>
        <w:endnoteReference w:id="29"/>
      </w:r>
      <w:r w:rsidR="00337FED">
        <w:t xml:space="preserve"> </w:t>
      </w:r>
    </w:p>
    <w:p w14:paraId="590B8472" w14:textId="30BE9B02" w:rsidR="003919FC" w:rsidRDefault="00337FED" w:rsidP="0057405B">
      <w:pPr>
        <w:pStyle w:val="SubmissionNormal"/>
      </w:pPr>
      <w:r>
        <w:t xml:space="preserve">However, </w:t>
      </w:r>
      <w:r w:rsidR="00F00304">
        <w:t xml:space="preserve">LGBTI people </w:t>
      </w:r>
      <w:proofErr w:type="gramStart"/>
      <w:r w:rsidR="00F00304">
        <w:t>are affected</w:t>
      </w:r>
      <w:proofErr w:type="gramEnd"/>
      <w:r w:rsidR="00F00304">
        <w:t xml:space="preserve"> by other issues, </w:t>
      </w:r>
      <w:r>
        <w:t>outside of marriage</w:t>
      </w:r>
      <w:r w:rsidR="00F00304">
        <w:t xml:space="preserve">, which are </w:t>
      </w:r>
      <w:r>
        <w:t>covered by the Family Law Act</w:t>
      </w:r>
      <w:r w:rsidR="00F00304">
        <w:t>.</w:t>
      </w:r>
      <w:r w:rsidR="0057405B">
        <w:t xml:space="preserve"> </w:t>
      </w:r>
      <w:r w:rsidR="00EB7413">
        <w:t>These include</w:t>
      </w:r>
      <w:r w:rsidR="003919FC">
        <w:t>:</w:t>
      </w:r>
    </w:p>
    <w:p w14:paraId="24C91878" w14:textId="77777777" w:rsidR="003919FC" w:rsidRDefault="003919FC" w:rsidP="004D09F7">
      <w:pPr>
        <w:pStyle w:val="ListParagraph"/>
        <w:numPr>
          <w:ilvl w:val="0"/>
          <w:numId w:val="40"/>
        </w:numPr>
      </w:pPr>
      <w:proofErr w:type="gramStart"/>
      <w:r>
        <w:t>the</w:t>
      </w:r>
      <w:proofErr w:type="gramEnd"/>
      <w:r>
        <w:t xml:space="preserve"> </w:t>
      </w:r>
      <w:r w:rsidR="00F00304" w:rsidRPr="00F35D7F">
        <w:t>risk of unnecessary medical intervent</w:t>
      </w:r>
      <w:r>
        <w:t>ions for intersex people</w:t>
      </w:r>
      <w:r w:rsidRPr="00F35D7F">
        <w:t>, particularly children and those wit</w:t>
      </w:r>
      <w:r>
        <w:t xml:space="preserve">hout legal capacity to consent. </w:t>
      </w:r>
    </w:p>
    <w:p w14:paraId="3243E8C1" w14:textId="77777777" w:rsidR="0057405B" w:rsidRDefault="0057405B" w:rsidP="004D09F7">
      <w:pPr>
        <w:pStyle w:val="ListParagraph"/>
        <w:numPr>
          <w:ilvl w:val="0"/>
          <w:numId w:val="40"/>
        </w:numPr>
      </w:pPr>
      <w:r>
        <w:t xml:space="preserve">until recently, the requirement for Family Court authorisation for children seeking medical interventions relating to gender dysphoria </w:t>
      </w:r>
    </w:p>
    <w:p w14:paraId="4C190E61" w14:textId="1CF1A11D" w:rsidR="00D61AEB" w:rsidRDefault="0057405B" w:rsidP="004D09F7">
      <w:pPr>
        <w:pStyle w:val="ListParagraph"/>
        <w:numPr>
          <w:ilvl w:val="0"/>
          <w:numId w:val="40"/>
        </w:numPr>
      </w:pPr>
      <w:proofErr w:type="gramStart"/>
      <w:r>
        <w:t>a</w:t>
      </w:r>
      <w:proofErr w:type="gramEnd"/>
      <w:r>
        <w:t xml:space="preserve"> lack of clarity with regard to the definition of parent in the Family Law Act for s</w:t>
      </w:r>
      <w:r w:rsidR="00E962E3">
        <w:t>ame-sex couples and their childre</w:t>
      </w:r>
      <w:r>
        <w:t>n.</w:t>
      </w:r>
    </w:p>
    <w:p w14:paraId="2FC4AD79" w14:textId="77777777" w:rsidR="00DF6DA3" w:rsidRPr="00DF6DA3" w:rsidRDefault="0057405B" w:rsidP="00DF6DA3">
      <w:pPr>
        <w:pStyle w:val="SubmissionNormal"/>
      </w:pPr>
      <w:r w:rsidRPr="00DF6DA3">
        <w:t xml:space="preserve">These </w:t>
      </w:r>
      <w:proofErr w:type="gramStart"/>
      <w:r w:rsidRPr="00DF6DA3">
        <w:t>are discussed</w:t>
      </w:r>
      <w:proofErr w:type="gramEnd"/>
      <w:r w:rsidRPr="00DF6DA3">
        <w:t xml:space="preserve"> further in this submission.</w:t>
      </w:r>
    </w:p>
    <w:p w14:paraId="3A03F03E" w14:textId="70CE2740" w:rsidR="000A1495" w:rsidRPr="00DF6DA3" w:rsidRDefault="000A1495" w:rsidP="00DF6DA3">
      <w:pPr>
        <w:pStyle w:val="SubmissionNormal"/>
        <w:rPr>
          <w:b/>
        </w:rPr>
      </w:pPr>
      <w:r w:rsidRPr="00DF6DA3">
        <w:rPr>
          <w:b/>
          <w:lang w:val="en"/>
        </w:rPr>
        <w:t xml:space="preserve">Recommendation 2: </w:t>
      </w:r>
      <w:r w:rsidR="00ED7495" w:rsidRPr="00DF6DA3">
        <w:rPr>
          <w:b/>
          <w:lang w:val="en"/>
        </w:rPr>
        <w:t>In conducting this review and fulfilling its obligations under s</w:t>
      </w:r>
      <w:r w:rsidR="00A25C2E" w:rsidRPr="00DF6DA3">
        <w:rPr>
          <w:b/>
          <w:lang w:val="en"/>
        </w:rPr>
        <w:t xml:space="preserve"> </w:t>
      </w:r>
      <w:r w:rsidR="00ED7495" w:rsidRPr="00DF6DA3">
        <w:rPr>
          <w:b/>
          <w:lang w:val="en"/>
        </w:rPr>
        <w:t xml:space="preserve">24(1) of the </w:t>
      </w:r>
      <w:r w:rsidR="00ED7495" w:rsidRPr="00DF6DA3">
        <w:rPr>
          <w:b/>
          <w:i/>
          <w:lang w:val="en"/>
        </w:rPr>
        <w:t>Australian Law Reform Commission Act 1996</w:t>
      </w:r>
      <w:r w:rsidR="00ED7495" w:rsidRPr="00DF6DA3">
        <w:rPr>
          <w:b/>
          <w:lang w:val="en"/>
        </w:rPr>
        <w:t xml:space="preserve"> (</w:t>
      </w:r>
      <w:proofErr w:type="spellStart"/>
      <w:r w:rsidR="00ED7495" w:rsidRPr="00DF6DA3">
        <w:rPr>
          <w:b/>
          <w:lang w:val="en"/>
        </w:rPr>
        <w:t>Cth</w:t>
      </w:r>
      <w:proofErr w:type="spellEnd"/>
      <w:r w:rsidR="00ED7495" w:rsidRPr="00DF6DA3">
        <w:rPr>
          <w:b/>
          <w:lang w:val="en"/>
        </w:rPr>
        <w:t>), t</w:t>
      </w:r>
      <w:r w:rsidR="00E854E6" w:rsidRPr="00DF6DA3">
        <w:rPr>
          <w:b/>
          <w:lang w:val="en"/>
        </w:rPr>
        <w:t xml:space="preserve">he ALRC consider </w:t>
      </w:r>
      <w:r w:rsidR="00ED7495" w:rsidRPr="00DF6DA3">
        <w:rPr>
          <w:b/>
          <w:lang w:val="en"/>
        </w:rPr>
        <w:t xml:space="preserve">in particular </w:t>
      </w:r>
      <w:r w:rsidR="00E854E6" w:rsidRPr="00DF6DA3">
        <w:rPr>
          <w:b/>
          <w:lang w:val="en"/>
        </w:rPr>
        <w:t xml:space="preserve">the human rights principles contained in the </w:t>
      </w:r>
      <w:r w:rsidRPr="00DF6DA3">
        <w:rPr>
          <w:b/>
          <w:lang w:val="en"/>
        </w:rPr>
        <w:t>following international human rights treaties</w:t>
      </w:r>
      <w:r w:rsidR="000D086C" w:rsidRPr="00DF6DA3">
        <w:rPr>
          <w:b/>
          <w:lang w:val="en"/>
        </w:rPr>
        <w:t xml:space="preserve"> and instruments</w:t>
      </w:r>
      <w:r w:rsidR="00FB511C" w:rsidRPr="00DF6DA3">
        <w:rPr>
          <w:b/>
          <w:lang w:val="en"/>
        </w:rPr>
        <w:t xml:space="preserve"> </w:t>
      </w:r>
      <w:r w:rsidR="00E854E6" w:rsidRPr="00DF6DA3">
        <w:rPr>
          <w:b/>
          <w:lang w:val="en"/>
        </w:rPr>
        <w:t>when evaluating proposed reforms for the Family Law Act</w:t>
      </w:r>
      <w:r w:rsidRPr="00DF6DA3">
        <w:rPr>
          <w:b/>
          <w:lang w:val="en"/>
        </w:rPr>
        <w:t>:</w:t>
      </w:r>
    </w:p>
    <w:p w14:paraId="442457F6" w14:textId="77777777" w:rsidR="00471539" w:rsidRPr="00A25C2E" w:rsidRDefault="00451CB9" w:rsidP="007D38CA">
      <w:pPr>
        <w:pStyle w:val="ListParagraph"/>
        <w:numPr>
          <w:ilvl w:val="0"/>
          <w:numId w:val="34"/>
        </w:numPr>
        <w:rPr>
          <w:b/>
          <w:i/>
          <w:lang w:val="en"/>
        </w:rPr>
      </w:pPr>
      <w:r w:rsidRPr="00A25C2E">
        <w:rPr>
          <w:b/>
          <w:i/>
          <w:lang w:val="en"/>
        </w:rPr>
        <w:t xml:space="preserve">Convention on the Rights of the Child </w:t>
      </w:r>
    </w:p>
    <w:p w14:paraId="414F3F40" w14:textId="77777777" w:rsidR="000A1495" w:rsidRPr="00A25C2E" w:rsidRDefault="00F7557B" w:rsidP="007D38CA">
      <w:pPr>
        <w:pStyle w:val="ListParagraph"/>
        <w:numPr>
          <w:ilvl w:val="0"/>
          <w:numId w:val="34"/>
        </w:numPr>
        <w:rPr>
          <w:b/>
          <w:i/>
          <w:lang w:val="en"/>
        </w:rPr>
      </w:pPr>
      <w:r w:rsidRPr="00A25C2E">
        <w:rPr>
          <w:b/>
          <w:i/>
        </w:rPr>
        <w:t xml:space="preserve">Convention on the Elimination of </w:t>
      </w:r>
      <w:r w:rsidR="000D086C" w:rsidRPr="00A25C2E">
        <w:rPr>
          <w:b/>
          <w:i/>
        </w:rPr>
        <w:t xml:space="preserve">All Forms of </w:t>
      </w:r>
      <w:r w:rsidRPr="00A25C2E">
        <w:rPr>
          <w:b/>
          <w:i/>
        </w:rPr>
        <w:t>Discrimination Against Women</w:t>
      </w:r>
      <w:r w:rsidR="00046F83" w:rsidRPr="00A25C2E">
        <w:rPr>
          <w:b/>
          <w:i/>
        </w:rPr>
        <w:t xml:space="preserve"> </w:t>
      </w:r>
    </w:p>
    <w:p w14:paraId="183A4DA6" w14:textId="77777777" w:rsidR="000A1495" w:rsidRPr="00A25C2E" w:rsidRDefault="0096414B" w:rsidP="007D38CA">
      <w:pPr>
        <w:pStyle w:val="ListParagraph"/>
        <w:numPr>
          <w:ilvl w:val="0"/>
          <w:numId w:val="34"/>
        </w:numPr>
        <w:rPr>
          <w:b/>
          <w:i/>
          <w:lang w:val="en"/>
        </w:rPr>
      </w:pPr>
      <w:r w:rsidRPr="00A25C2E">
        <w:rPr>
          <w:b/>
          <w:i/>
        </w:rPr>
        <w:t xml:space="preserve">Convention on the Rights of Persons with Disabilities </w:t>
      </w:r>
    </w:p>
    <w:p w14:paraId="0FC19327" w14:textId="77777777" w:rsidR="00F7557B" w:rsidRPr="00A25C2E" w:rsidRDefault="00F7557B" w:rsidP="007D38CA">
      <w:pPr>
        <w:pStyle w:val="ListParagraph"/>
        <w:numPr>
          <w:ilvl w:val="0"/>
          <w:numId w:val="34"/>
        </w:numPr>
        <w:rPr>
          <w:b/>
          <w:i/>
          <w:lang w:val="en"/>
        </w:rPr>
      </w:pPr>
      <w:r w:rsidRPr="00A25C2E">
        <w:rPr>
          <w:b/>
          <w:i/>
        </w:rPr>
        <w:t xml:space="preserve">Declaration on the Rights of Indigenous Peoples </w:t>
      </w:r>
    </w:p>
    <w:p w14:paraId="1036FB57" w14:textId="77777777" w:rsidR="00471539" w:rsidRPr="007D38CA" w:rsidRDefault="00471539" w:rsidP="007D38CA">
      <w:pPr>
        <w:pStyle w:val="ListParagraph"/>
        <w:numPr>
          <w:ilvl w:val="0"/>
          <w:numId w:val="34"/>
        </w:numPr>
        <w:rPr>
          <w:b/>
          <w:lang w:val="en"/>
        </w:rPr>
      </w:pPr>
      <w:r w:rsidRPr="00A25C2E">
        <w:rPr>
          <w:b/>
          <w:i/>
        </w:rPr>
        <w:t>International Convention on the Elimination of All Forms of Racial Discrimination</w:t>
      </w:r>
      <w:r w:rsidR="00046F83">
        <w:rPr>
          <w:b/>
        </w:rPr>
        <w:t>.</w:t>
      </w:r>
    </w:p>
    <w:p w14:paraId="2854E69D" w14:textId="77777777" w:rsidR="0008175A" w:rsidRPr="00246BA5" w:rsidRDefault="0008175A" w:rsidP="00246BA5">
      <w:pPr>
        <w:pStyle w:val="Heading1"/>
        <w:numPr>
          <w:ilvl w:val="0"/>
          <w:numId w:val="16"/>
        </w:numPr>
      </w:pPr>
      <w:bookmarkStart w:id="18" w:name="_Toc531787302"/>
      <w:r w:rsidRPr="00246BA5">
        <w:t>Access and engagement</w:t>
      </w:r>
      <w:bookmarkEnd w:id="18"/>
    </w:p>
    <w:p w14:paraId="5C1FDCBD" w14:textId="0099C18A" w:rsidR="00230BE6" w:rsidRPr="00230BE6" w:rsidRDefault="00230BE6" w:rsidP="00230BE6">
      <w:pPr>
        <w:pStyle w:val="SubmissionNormal"/>
      </w:pPr>
      <w:r w:rsidRPr="001013E3">
        <w:t xml:space="preserve">Equality before the law </w:t>
      </w:r>
      <w:r>
        <w:t xml:space="preserve">and non-discrimination </w:t>
      </w:r>
      <w:r w:rsidR="00F17F6F">
        <w:t>are</w:t>
      </w:r>
      <w:r w:rsidRPr="001013E3">
        <w:t xml:space="preserve"> basic tenet</w:t>
      </w:r>
      <w:r w:rsidR="00F17F6F">
        <w:t>s</w:t>
      </w:r>
      <w:r w:rsidRPr="001013E3">
        <w:t xml:space="preserve"> of human rights</w:t>
      </w:r>
      <w:r w:rsidR="001822EF">
        <w:t xml:space="preserve"> law</w:t>
      </w:r>
      <w:r w:rsidRPr="001013E3">
        <w:t>. An accessible legal sys</w:t>
      </w:r>
      <w:r>
        <w:t>tem is essential to realise these</w:t>
      </w:r>
      <w:r w:rsidRPr="001013E3">
        <w:t xml:space="preserve"> right</w:t>
      </w:r>
      <w:r>
        <w:t>s</w:t>
      </w:r>
      <w:r w:rsidRPr="001013E3">
        <w:t xml:space="preserve">. </w:t>
      </w:r>
    </w:p>
    <w:p w14:paraId="4D643858" w14:textId="77777777" w:rsidR="000724D2" w:rsidRPr="000724D2" w:rsidRDefault="0008175A" w:rsidP="00246BA5">
      <w:pPr>
        <w:pStyle w:val="Heading2"/>
        <w:numPr>
          <w:ilvl w:val="1"/>
          <w:numId w:val="16"/>
        </w:numPr>
      </w:pPr>
      <w:bookmarkStart w:id="19" w:name="_Toc531787303"/>
      <w:r w:rsidRPr="00246BA5">
        <w:t>Accessibility</w:t>
      </w:r>
      <w:r w:rsidRPr="009349EB">
        <w:t xml:space="preserve"> for Aboriginal and Torres Strait Islander people</w:t>
      </w:r>
      <w:bookmarkEnd w:id="19"/>
    </w:p>
    <w:p w14:paraId="18D26136" w14:textId="350213EF" w:rsidR="00D16CA9" w:rsidRDefault="00D16CA9" w:rsidP="00D16CA9">
      <w:pPr>
        <w:pStyle w:val="SubmissionNormal"/>
      </w:pPr>
      <w:r w:rsidRPr="000724D2">
        <w:t xml:space="preserve">The principles of non-discrimination and equality are central to </w:t>
      </w:r>
      <w:r w:rsidR="001822EF">
        <w:t>UNDRIP</w:t>
      </w:r>
      <w:r w:rsidRPr="000724D2">
        <w:t xml:space="preserve">, which sets out the minimum standards for the survival, dignity and wellbeing of the world’s Indigenous peoples, and </w:t>
      </w:r>
      <w:proofErr w:type="gramStart"/>
      <w:r w:rsidRPr="000724D2">
        <w:t>is recognised</w:t>
      </w:r>
      <w:proofErr w:type="gramEnd"/>
      <w:r w:rsidRPr="000724D2">
        <w:t xml:space="preserve"> as reflecting a global consensus on Indigenous peoples’ rights. </w:t>
      </w:r>
    </w:p>
    <w:p w14:paraId="59E814E8" w14:textId="2F1438F4" w:rsidR="00D16CA9" w:rsidRPr="00F7557B" w:rsidRDefault="001822EF" w:rsidP="00D16CA9">
      <w:pPr>
        <w:pStyle w:val="SubmissionNormal"/>
      </w:pPr>
      <w:r>
        <w:t>UNDRIP</w:t>
      </w:r>
      <w:r w:rsidR="00D16CA9" w:rsidRPr="000724D2">
        <w:t xml:space="preserve"> </w:t>
      </w:r>
      <w:r w:rsidR="00D16CA9">
        <w:t>states that Indigenous peoples ‘</w:t>
      </w:r>
      <w:r w:rsidR="00D16CA9" w:rsidRPr="000724D2">
        <w:t>have the right to be free from any kind of discrimination, in the exercise of their rights, in particular that based on their Indigenous origi</w:t>
      </w:r>
      <w:r w:rsidR="00D16CA9">
        <w:t>n or identity’</w:t>
      </w:r>
      <w:r w:rsidR="00D16CA9" w:rsidRPr="000724D2">
        <w:t>.</w:t>
      </w:r>
      <w:r w:rsidR="00D16CA9" w:rsidRPr="00FD6FF6">
        <w:rPr>
          <w:rStyle w:val="EndnoteReference"/>
          <w:rFonts w:cs="Arial"/>
          <w:sz w:val="24"/>
        </w:rPr>
        <w:endnoteReference w:id="30"/>
      </w:r>
      <w:r w:rsidR="00D16CA9" w:rsidRPr="000724D2">
        <w:t xml:space="preserve"> The principles of non-discrimination and equality also extend to interactions between Aboriginal and Torres Strait Islander peoples and legal and judi</w:t>
      </w:r>
      <w:r w:rsidR="00D16CA9">
        <w:t>cial proceedings. For example, a</w:t>
      </w:r>
      <w:r w:rsidR="00D16CA9" w:rsidRPr="000724D2">
        <w:t>rticle 13(2) requires measures be taken to ensure that Indigenous peoples can understand and be understood in political, legal and administrative proceedings and that interpretation faciliti</w:t>
      </w:r>
      <w:r w:rsidR="00D16CA9">
        <w:t>es be provided where necessary.</w:t>
      </w:r>
    </w:p>
    <w:p w14:paraId="3776DC47" w14:textId="77777777" w:rsidR="00CA0B20" w:rsidRDefault="000724D2" w:rsidP="00516694">
      <w:pPr>
        <w:pStyle w:val="SubmissionNormal"/>
        <w:rPr>
          <w:rFonts w:cs="Arial"/>
        </w:rPr>
      </w:pPr>
      <w:r w:rsidRPr="000724D2">
        <w:rPr>
          <w:rFonts w:cs="Arial"/>
        </w:rPr>
        <w:t>As stated in the Issues Paper, Aboriginal and Torres Strait Islander peoples encounter a range of barriers that affect their access to the family law system, including issues of cost, language, cultural safety, literacy and geographic accessibility. Aboriginal and Torres Strait Islander people who live in rural,</w:t>
      </w:r>
      <w:r w:rsidR="00246057">
        <w:rPr>
          <w:rFonts w:cs="Arial"/>
        </w:rPr>
        <w:t xml:space="preserve"> regional and remote areas </w:t>
      </w:r>
      <w:r w:rsidRPr="000724D2">
        <w:rPr>
          <w:rFonts w:cs="Arial"/>
        </w:rPr>
        <w:t xml:space="preserve">face additional barriers due to poorer socio-economic, health and education outcomes. These barriers </w:t>
      </w:r>
      <w:proofErr w:type="gramStart"/>
      <w:r w:rsidRPr="000724D2">
        <w:rPr>
          <w:rFonts w:cs="Arial"/>
        </w:rPr>
        <w:t>must be addressed</w:t>
      </w:r>
      <w:proofErr w:type="gramEnd"/>
      <w:r w:rsidRPr="000724D2">
        <w:rPr>
          <w:rFonts w:cs="Arial"/>
        </w:rPr>
        <w:t xml:space="preserve"> in order for the family law system to be consistent with the principles of equality and non-discrimination under international human rights law. </w:t>
      </w:r>
    </w:p>
    <w:p w14:paraId="65ED5B05" w14:textId="64BDF845" w:rsidR="000724D2" w:rsidRPr="00516694" w:rsidRDefault="000724D2" w:rsidP="00516694">
      <w:pPr>
        <w:pStyle w:val="SubmissionNormal"/>
        <w:rPr>
          <w:rFonts w:cs="Arial"/>
        </w:rPr>
      </w:pPr>
      <w:r w:rsidRPr="000724D2">
        <w:rPr>
          <w:rFonts w:cs="Arial"/>
        </w:rPr>
        <w:t xml:space="preserve">It is also critical that any measures to improve accessibility apply </w:t>
      </w:r>
      <w:r w:rsidR="00A816D4">
        <w:rPr>
          <w:rFonts w:cs="Arial"/>
        </w:rPr>
        <w:t>an integrated</w:t>
      </w:r>
      <w:r w:rsidRPr="000724D2">
        <w:rPr>
          <w:rFonts w:cs="Arial"/>
        </w:rPr>
        <w:t xml:space="preserve"> approach, as the legal needs of Aboriginal and Torres Strait Islander peoples are complex, and many of the barriers that they face within the Australian legal system are interrelated. In particular, it is important that measures acknowledge that Aboriginal and Torres Strait Islander peoples access the family law system within a context of entrenched disadvantage, discrimination and inter-generational trauma, and that these factors constitute significant barriers to Aboriginal and Torres Strait Islander peoples participating in the family l</w:t>
      </w:r>
      <w:r w:rsidR="00516694">
        <w:rPr>
          <w:rFonts w:cs="Arial"/>
        </w:rPr>
        <w:t xml:space="preserve">aw system in an effective way. </w:t>
      </w:r>
    </w:p>
    <w:p w14:paraId="5DC9B6BE" w14:textId="61DE5DC5" w:rsidR="000724D2" w:rsidRPr="00516694" w:rsidRDefault="000724D2" w:rsidP="00516694">
      <w:pPr>
        <w:pStyle w:val="SubmissionNormal"/>
        <w:rPr>
          <w:rFonts w:cs="Arial"/>
        </w:rPr>
      </w:pPr>
      <w:r w:rsidRPr="000724D2">
        <w:rPr>
          <w:rFonts w:cs="Arial"/>
        </w:rPr>
        <w:t>Creating an environment of</w:t>
      </w:r>
      <w:r w:rsidR="00246057">
        <w:rPr>
          <w:rFonts w:cs="Arial"/>
        </w:rPr>
        <w:t xml:space="preserve"> cultural safety is essential to </w:t>
      </w:r>
      <w:r w:rsidRPr="000724D2">
        <w:rPr>
          <w:rFonts w:cs="Arial"/>
        </w:rPr>
        <w:t xml:space="preserve">improving accessibility of the family law system for Aboriginal and Torres Strait Islander peoples. As stated by Mick </w:t>
      </w:r>
      <w:proofErr w:type="spellStart"/>
      <w:r w:rsidRPr="000724D2">
        <w:rPr>
          <w:rFonts w:cs="Arial"/>
        </w:rPr>
        <w:t>Gooda</w:t>
      </w:r>
      <w:proofErr w:type="spellEnd"/>
      <w:r w:rsidRPr="000724D2">
        <w:rPr>
          <w:rFonts w:cs="Arial"/>
        </w:rPr>
        <w:t>, the former Aboriginal and Torres Strait Islande</w:t>
      </w:r>
      <w:r w:rsidR="00516694">
        <w:rPr>
          <w:rFonts w:cs="Arial"/>
        </w:rPr>
        <w:t>r Social Justice Commissioner, ‘</w:t>
      </w:r>
      <w:r w:rsidRPr="000724D2">
        <w:rPr>
          <w:rFonts w:cs="Arial"/>
        </w:rPr>
        <w:t xml:space="preserve">for Aboriginal and Torres Strait Islander peoples a culturally safe environment is one where we feel safe and secure in our </w:t>
      </w:r>
      <w:r w:rsidR="00516694">
        <w:rPr>
          <w:rFonts w:cs="Arial"/>
        </w:rPr>
        <w:t>identity, culture and community’</w:t>
      </w:r>
      <w:r w:rsidRPr="000724D2">
        <w:rPr>
          <w:rFonts w:cs="Arial"/>
        </w:rPr>
        <w:t>.</w:t>
      </w:r>
      <w:r w:rsidR="00E831F2">
        <w:rPr>
          <w:rStyle w:val="EndnoteReference"/>
          <w:rFonts w:cs="Arial"/>
        </w:rPr>
        <w:endnoteReference w:id="31"/>
      </w:r>
      <w:r w:rsidR="00E831F2" w:rsidRPr="000724D2">
        <w:rPr>
          <w:rFonts w:cs="Arial"/>
        </w:rPr>
        <w:t xml:space="preserve"> </w:t>
      </w:r>
      <w:r w:rsidRPr="000724D2">
        <w:rPr>
          <w:rFonts w:cs="Arial"/>
        </w:rPr>
        <w:t>Cultural safety requires the creation of cultural competency by those who engage with Aboriginal and Torres Strait Islander communities. Impro</w:t>
      </w:r>
      <w:r w:rsidR="00246057">
        <w:rPr>
          <w:rFonts w:cs="Arial"/>
        </w:rPr>
        <w:t xml:space="preserve">ving the cultural </w:t>
      </w:r>
      <w:r w:rsidR="00A816D4">
        <w:rPr>
          <w:rFonts w:cs="Arial"/>
        </w:rPr>
        <w:t xml:space="preserve">competency </w:t>
      </w:r>
      <w:r w:rsidR="00246057">
        <w:rPr>
          <w:rFonts w:cs="Arial"/>
        </w:rPr>
        <w:t>of</w:t>
      </w:r>
      <w:r w:rsidRPr="000724D2">
        <w:rPr>
          <w:rFonts w:cs="Arial"/>
        </w:rPr>
        <w:t xml:space="preserve"> family law </w:t>
      </w:r>
      <w:r w:rsidR="00246057">
        <w:rPr>
          <w:rFonts w:cs="Arial"/>
        </w:rPr>
        <w:t>professionals</w:t>
      </w:r>
      <w:r w:rsidRPr="000724D2">
        <w:rPr>
          <w:rFonts w:cs="Arial"/>
        </w:rPr>
        <w:t xml:space="preserve"> </w:t>
      </w:r>
      <w:proofErr w:type="gramStart"/>
      <w:r w:rsidRPr="000724D2">
        <w:rPr>
          <w:rFonts w:cs="Arial"/>
        </w:rPr>
        <w:t>is explored</w:t>
      </w:r>
      <w:proofErr w:type="gramEnd"/>
      <w:r w:rsidRPr="000724D2">
        <w:rPr>
          <w:rFonts w:cs="Arial"/>
        </w:rPr>
        <w:t xml:space="preserve"> further in </w:t>
      </w:r>
      <w:r w:rsidR="00FB1CDA">
        <w:rPr>
          <w:rFonts w:cs="Arial"/>
        </w:rPr>
        <w:t xml:space="preserve">the </w:t>
      </w:r>
      <w:r w:rsidRPr="000724D2">
        <w:rPr>
          <w:rFonts w:cs="Arial"/>
        </w:rPr>
        <w:t>section</w:t>
      </w:r>
      <w:r w:rsidR="00FB1CDA">
        <w:rPr>
          <w:rFonts w:cs="Arial"/>
        </w:rPr>
        <w:t xml:space="preserve"> on Professional skills</w:t>
      </w:r>
      <w:r w:rsidRPr="000724D2">
        <w:rPr>
          <w:rFonts w:cs="Arial"/>
        </w:rPr>
        <w:t xml:space="preserve"> </w:t>
      </w:r>
      <w:r w:rsidR="00516694">
        <w:rPr>
          <w:rFonts w:cs="Arial"/>
        </w:rPr>
        <w:t xml:space="preserve">below. </w:t>
      </w:r>
    </w:p>
    <w:p w14:paraId="1E746E64" w14:textId="06951989" w:rsidR="000724D2" w:rsidRPr="00516694" w:rsidRDefault="000724D2" w:rsidP="00516694">
      <w:pPr>
        <w:pStyle w:val="SubmissionNormal"/>
        <w:rPr>
          <w:rFonts w:cs="Arial"/>
        </w:rPr>
      </w:pPr>
      <w:r w:rsidRPr="000724D2">
        <w:rPr>
          <w:rFonts w:cs="Arial"/>
        </w:rPr>
        <w:t xml:space="preserve">The Commission welcomes the inclusion in the Issues Paper </w:t>
      </w:r>
      <w:r w:rsidR="0068141F">
        <w:rPr>
          <w:rFonts w:cs="Arial"/>
        </w:rPr>
        <w:t xml:space="preserve">of the need to improve </w:t>
      </w:r>
      <w:r w:rsidRPr="000724D2">
        <w:rPr>
          <w:rFonts w:cs="Arial"/>
        </w:rPr>
        <w:t>the availability and quality of interpretation services for Aboriginal and Torres Strait Islander peoples who speak English as a second</w:t>
      </w:r>
      <w:r w:rsidR="00A816D4">
        <w:rPr>
          <w:rFonts w:cs="Arial"/>
        </w:rPr>
        <w:t xml:space="preserve"> or other</w:t>
      </w:r>
      <w:r w:rsidRPr="000724D2">
        <w:rPr>
          <w:rFonts w:cs="Arial"/>
        </w:rPr>
        <w:t xml:space="preserve"> l</w:t>
      </w:r>
      <w:r w:rsidR="0068141F">
        <w:rPr>
          <w:rFonts w:cs="Arial"/>
        </w:rPr>
        <w:t>anguage</w:t>
      </w:r>
      <w:r w:rsidRPr="000724D2">
        <w:rPr>
          <w:rFonts w:cs="Arial"/>
        </w:rPr>
        <w:t>, in particular in regional and remote locations.</w:t>
      </w:r>
      <w:r w:rsidR="00E831F2">
        <w:rPr>
          <w:rStyle w:val="EndnoteReference"/>
          <w:rFonts w:cs="Arial"/>
        </w:rPr>
        <w:endnoteReference w:id="32"/>
      </w:r>
      <w:r w:rsidR="00E831F2" w:rsidRPr="000724D2">
        <w:rPr>
          <w:rFonts w:cs="Arial"/>
        </w:rPr>
        <w:t xml:space="preserve"> </w:t>
      </w:r>
      <w:r w:rsidRPr="000724D2">
        <w:rPr>
          <w:rFonts w:cs="Arial"/>
        </w:rPr>
        <w:t>It is important that interpreters are culturally competent and have experience working with Aboriginal and Torres Strait Islander clients in order to ensure that further communication breakdowns do not occur. As stated above, this approach is consistent with article 13(2</w:t>
      </w:r>
      <w:r w:rsidR="00652E90">
        <w:rPr>
          <w:rFonts w:cs="Arial"/>
        </w:rPr>
        <w:t xml:space="preserve">) of the Declaration. The UN Committee on the Rights of the Child </w:t>
      </w:r>
      <w:r w:rsidRPr="000724D2">
        <w:rPr>
          <w:rFonts w:cs="Arial"/>
        </w:rPr>
        <w:t>has also stated that, in th</w:t>
      </w:r>
      <w:r w:rsidR="00516694">
        <w:rPr>
          <w:rFonts w:cs="Arial"/>
        </w:rPr>
        <w:t>e case of Indigenous children:</w:t>
      </w:r>
    </w:p>
    <w:p w14:paraId="73BBC439" w14:textId="77777777" w:rsidR="000724D2" w:rsidRPr="00516694" w:rsidRDefault="000724D2" w:rsidP="00516694">
      <w:pPr>
        <w:ind w:left="1440"/>
      </w:pPr>
      <w:r w:rsidRPr="00652E90">
        <w:rPr>
          <w:sz w:val="22"/>
          <w:szCs w:val="22"/>
        </w:rPr>
        <w:t>States parties should adopt measures to ensure that an interpreter is provided free of charge if required and that the child is guaranteed legal assistance, in a culturally sensitive manner</w:t>
      </w:r>
      <w:r w:rsidRPr="000724D2">
        <w:t>.</w:t>
      </w:r>
      <w:r w:rsidR="00E831F2">
        <w:rPr>
          <w:rStyle w:val="EndnoteReference"/>
        </w:rPr>
        <w:endnoteReference w:id="33"/>
      </w:r>
    </w:p>
    <w:p w14:paraId="0563AD01" w14:textId="276B57F0" w:rsidR="00F7420F" w:rsidRDefault="000724D2" w:rsidP="00516694">
      <w:pPr>
        <w:pStyle w:val="SubmissionNormal"/>
        <w:rPr>
          <w:rFonts w:cs="Arial"/>
        </w:rPr>
      </w:pPr>
      <w:r w:rsidRPr="000724D2">
        <w:rPr>
          <w:rFonts w:cs="Arial"/>
        </w:rPr>
        <w:t xml:space="preserve">The availability of </w:t>
      </w:r>
      <w:proofErr w:type="gramStart"/>
      <w:r w:rsidRPr="000724D2">
        <w:rPr>
          <w:rFonts w:cs="Arial"/>
        </w:rPr>
        <w:t>culturally</w:t>
      </w:r>
      <w:r w:rsidR="00A816D4">
        <w:rPr>
          <w:rFonts w:cs="Arial"/>
        </w:rPr>
        <w:t>-</w:t>
      </w:r>
      <w:r w:rsidRPr="000724D2">
        <w:rPr>
          <w:rFonts w:cs="Arial"/>
        </w:rPr>
        <w:t>sensitive</w:t>
      </w:r>
      <w:proofErr w:type="gramEnd"/>
      <w:r w:rsidRPr="000724D2">
        <w:rPr>
          <w:rFonts w:cs="Arial"/>
        </w:rPr>
        <w:t xml:space="preserve"> lega</w:t>
      </w:r>
      <w:r w:rsidR="00246057">
        <w:rPr>
          <w:rFonts w:cs="Arial"/>
        </w:rPr>
        <w:t xml:space="preserve">l assistance, for both </w:t>
      </w:r>
      <w:r w:rsidRPr="000724D2">
        <w:rPr>
          <w:rFonts w:cs="Arial"/>
        </w:rPr>
        <w:t>children and ad</w:t>
      </w:r>
      <w:r w:rsidR="00F7420F">
        <w:rPr>
          <w:rFonts w:cs="Arial"/>
        </w:rPr>
        <w:t xml:space="preserve">ults, is a critical component of creating a </w:t>
      </w:r>
      <w:r w:rsidRPr="000724D2">
        <w:rPr>
          <w:rFonts w:cs="Arial"/>
        </w:rPr>
        <w:t>cultural</w:t>
      </w:r>
      <w:r w:rsidR="00F7420F">
        <w:rPr>
          <w:rFonts w:cs="Arial"/>
        </w:rPr>
        <w:t>ly safe environment</w:t>
      </w:r>
      <w:r w:rsidRPr="000724D2">
        <w:rPr>
          <w:rFonts w:cs="Arial"/>
        </w:rPr>
        <w:t xml:space="preserve"> and improving the accessibility of the family law system for Aboriginal and Torres Strait Islander peoples. Aboriginal and Torres Strait </w:t>
      </w:r>
      <w:r w:rsidR="00224747">
        <w:rPr>
          <w:rFonts w:cs="Arial"/>
        </w:rPr>
        <w:t xml:space="preserve">Islander </w:t>
      </w:r>
      <w:r w:rsidRPr="000724D2">
        <w:rPr>
          <w:rFonts w:cs="Arial"/>
        </w:rPr>
        <w:t>Legal Services and the network of the Aboriginal Family Violence Prevention Legal Services are experts in delivering culturally competent legal assistance services, and they are the preferred providers for Aboriginal and Torres Strait Islander peoples. Access to these services is particularly important</w:t>
      </w:r>
      <w:r w:rsidR="00A816D4">
        <w:rPr>
          <w:rFonts w:cs="Arial"/>
        </w:rPr>
        <w:t>,</w:t>
      </w:r>
      <w:r w:rsidRPr="000724D2">
        <w:rPr>
          <w:rFonts w:cs="Arial"/>
        </w:rPr>
        <w:t xml:space="preserve"> given that the formality and cost of the family law system is often a barrier for Aboriginal and Torres Strait Islander peoples accessing the system.</w:t>
      </w:r>
      <w:r w:rsidR="00E831F2">
        <w:rPr>
          <w:rStyle w:val="EndnoteReference"/>
          <w:rFonts w:cs="Arial"/>
        </w:rPr>
        <w:endnoteReference w:id="34"/>
      </w:r>
    </w:p>
    <w:p w14:paraId="5BF0C139" w14:textId="77777777" w:rsidR="000724D2" w:rsidRPr="00516694" w:rsidRDefault="000724D2" w:rsidP="00516694">
      <w:pPr>
        <w:pStyle w:val="SubmissionNormal"/>
        <w:rPr>
          <w:rFonts w:cs="Arial"/>
        </w:rPr>
      </w:pPr>
      <w:r w:rsidRPr="000724D2">
        <w:rPr>
          <w:rFonts w:cs="Arial"/>
        </w:rPr>
        <w:t xml:space="preserve">Legal advice is expensive, and Aboriginal and Torres Strait Islander peoples have, on average, a much lower income than non-Indigenous </w:t>
      </w:r>
      <w:proofErr w:type="gramStart"/>
      <w:r w:rsidRPr="000724D2">
        <w:rPr>
          <w:rFonts w:cs="Arial"/>
        </w:rPr>
        <w:t>Australians</w:t>
      </w:r>
      <w:proofErr w:type="gramEnd"/>
      <w:r w:rsidRPr="000724D2">
        <w:rPr>
          <w:rFonts w:cs="Arial"/>
        </w:rPr>
        <w:t>.</w:t>
      </w:r>
      <w:r w:rsidR="00E831F2">
        <w:rPr>
          <w:rStyle w:val="EndnoteReference"/>
          <w:rFonts w:cs="Arial"/>
        </w:rPr>
        <w:endnoteReference w:id="35"/>
      </w:r>
      <w:r w:rsidR="00E831F2" w:rsidRPr="000724D2">
        <w:rPr>
          <w:rFonts w:cs="Arial"/>
        </w:rPr>
        <w:t xml:space="preserve"> </w:t>
      </w:r>
      <w:r w:rsidRPr="000724D2">
        <w:rPr>
          <w:rFonts w:cs="Arial"/>
        </w:rPr>
        <w:t>Literacy levels amongst Aboriginal and Torres Strait Islander peoples are also often lower than non-Indigenous Australian, which presents procedural issues for Indigenous peoples such as filling out forms. Adequate and sustainable funding and resourcing for Aboriginal and Torres Strait Islander community controlled legal services is therefore essential to ensuring the availability of culturally sensitive legal assistance, irres</w:t>
      </w:r>
      <w:r w:rsidR="00516694">
        <w:rPr>
          <w:rFonts w:cs="Arial"/>
        </w:rPr>
        <w:t>pective of geographic location.</w:t>
      </w:r>
    </w:p>
    <w:p w14:paraId="3E319AF2" w14:textId="77777777" w:rsidR="000724D2" w:rsidRPr="00516694" w:rsidRDefault="000724D2" w:rsidP="00516694">
      <w:pPr>
        <w:pStyle w:val="SubmissionNormal"/>
        <w:rPr>
          <w:rFonts w:cs="Arial"/>
        </w:rPr>
      </w:pPr>
      <w:r w:rsidRPr="000724D2">
        <w:rPr>
          <w:rFonts w:cs="Arial"/>
        </w:rPr>
        <w:t xml:space="preserve">In November 2017, the </w:t>
      </w:r>
      <w:r w:rsidR="00516694">
        <w:rPr>
          <w:rFonts w:cs="Arial"/>
        </w:rPr>
        <w:t xml:space="preserve">UN </w:t>
      </w:r>
      <w:r w:rsidRPr="000724D2">
        <w:rPr>
          <w:rFonts w:cs="Arial"/>
        </w:rPr>
        <w:t xml:space="preserve">Human Rights Committee noted its concern that access </w:t>
      </w:r>
      <w:proofErr w:type="gramStart"/>
      <w:r w:rsidRPr="000724D2">
        <w:rPr>
          <w:rFonts w:cs="Arial"/>
        </w:rPr>
        <w:t>to culturally appropriate</w:t>
      </w:r>
      <w:proofErr w:type="gramEnd"/>
      <w:r w:rsidRPr="000724D2">
        <w:rPr>
          <w:rFonts w:cs="Arial"/>
        </w:rPr>
        <w:t xml:space="preserve"> legal assistance services in Australia, including interpretation and translation services for Aboriginal and Torres Strait Islander peoples, remains insufficient.</w:t>
      </w:r>
      <w:r w:rsidR="00E831F2">
        <w:rPr>
          <w:rStyle w:val="EndnoteReference"/>
          <w:rFonts w:cs="Arial"/>
        </w:rPr>
        <w:endnoteReference w:id="36"/>
      </w:r>
      <w:r w:rsidRPr="000724D2">
        <w:rPr>
          <w:rFonts w:cs="Arial"/>
        </w:rPr>
        <w:t xml:space="preserve"> The Commit</w:t>
      </w:r>
      <w:r w:rsidR="00516694">
        <w:rPr>
          <w:rFonts w:cs="Arial"/>
        </w:rPr>
        <w:t>tee recommended that Australia ‘</w:t>
      </w:r>
      <w:r w:rsidRPr="000724D2">
        <w:rPr>
          <w:rFonts w:cs="Arial"/>
        </w:rPr>
        <w:t>ensure adequate, culturally-appropriate, and accessible legal services for Aboriginal an</w:t>
      </w:r>
      <w:r w:rsidR="00516694">
        <w:rPr>
          <w:rFonts w:cs="Arial"/>
        </w:rPr>
        <w:t>d Torres Strait Islander people’</w:t>
      </w:r>
      <w:r w:rsidRPr="000724D2">
        <w:rPr>
          <w:rFonts w:cs="Arial"/>
        </w:rPr>
        <w:t>.</w:t>
      </w:r>
      <w:r w:rsidR="00E831F2">
        <w:rPr>
          <w:rStyle w:val="EndnoteReference"/>
          <w:rFonts w:cs="Arial"/>
        </w:rPr>
        <w:endnoteReference w:id="37"/>
      </w:r>
    </w:p>
    <w:p w14:paraId="10121DB1" w14:textId="3A8C40B7" w:rsidR="000724D2" w:rsidRDefault="00F7420F" w:rsidP="000724D2">
      <w:pPr>
        <w:pStyle w:val="SubmissionNormal"/>
        <w:rPr>
          <w:rFonts w:cs="Arial"/>
        </w:rPr>
      </w:pPr>
      <w:r>
        <w:rPr>
          <w:rFonts w:cs="Arial"/>
        </w:rPr>
        <w:t>It is also important</w:t>
      </w:r>
      <w:r w:rsidR="000724D2" w:rsidRPr="000724D2">
        <w:rPr>
          <w:rFonts w:cs="Arial"/>
        </w:rPr>
        <w:t xml:space="preserve"> that the family law system </w:t>
      </w:r>
      <w:proofErr w:type="gramStart"/>
      <w:r w:rsidR="000724D2" w:rsidRPr="000724D2">
        <w:rPr>
          <w:rFonts w:cs="Arial"/>
        </w:rPr>
        <w:t>continues</w:t>
      </w:r>
      <w:proofErr w:type="gramEnd"/>
      <w:r w:rsidR="000724D2" w:rsidRPr="000724D2">
        <w:rPr>
          <w:rFonts w:cs="Arial"/>
        </w:rPr>
        <w:t xml:space="preserve"> to </w:t>
      </w:r>
      <w:r>
        <w:rPr>
          <w:rFonts w:cs="Arial"/>
        </w:rPr>
        <w:t xml:space="preserve">emphasise respect </w:t>
      </w:r>
      <w:r w:rsidR="00A816D4">
        <w:rPr>
          <w:rFonts w:cs="Arial"/>
        </w:rPr>
        <w:t xml:space="preserve">for </w:t>
      </w:r>
      <w:r w:rsidR="000724D2" w:rsidRPr="000724D2">
        <w:rPr>
          <w:rFonts w:cs="Arial"/>
        </w:rPr>
        <w:t>Aboriginal and Torres Strait Islander kinship systems and child</w:t>
      </w:r>
      <w:r w:rsidR="00A816D4">
        <w:rPr>
          <w:rFonts w:cs="Arial"/>
        </w:rPr>
        <w:t>-</w:t>
      </w:r>
      <w:r w:rsidR="000724D2" w:rsidRPr="000724D2">
        <w:rPr>
          <w:rFonts w:cs="Arial"/>
        </w:rPr>
        <w:t xml:space="preserve">rearing practices, in particular in the context of parenting orders. The Commission welcomes the acknowledgement of these systems and practices in the Issues Paper. In Indigenous communities, extended family members </w:t>
      </w:r>
      <w:r w:rsidR="00A816D4">
        <w:rPr>
          <w:rFonts w:cs="Arial"/>
        </w:rPr>
        <w:t xml:space="preserve">often </w:t>
      </w:r>
      <w:r w:rsidR="000724D2" w:rsidRPr="000724D2">
        <w:rPr>
          <w:rFonts w:cs="Arial"/>
        </w:rPr>
        <w:t>play a central role in childrearing and often have significant responsibilities and obligations for the care, welfare and development of children. These arrangements often stand in contrast to Anglo-European understandings of fami</w:t>
      </w:r>
      <w:r>
        <w:rPr>
          <w:rFonts w:cs="Arial"/>
        </w:rPr>
        <w:t xml:space="preserve">ly organisation, which </w:t>
      </w:r>
      <w:r w:rsidR="000724D2" w:rsidRPr="000724D2">
        <w:rPr>
          <w:rFonts w:cs="Arial"/>
        </w:rPr>
        <w:t>emphasis</w:t>
      </w:r>
      <w:r>
        <w:rPr>
          <w:rFonts w:cs="Arial"/>
        </w:rPr>
        <w:t xml:space="preserve">e </w:t>
      </w:r>
      <w:r w:rsidR="000724D2" w:rsidRPr="000724D2">
        <w:rPr>
          <w:rFonts w:cs="Arial"/>
        </w:rPr>
        <w:t>the nuclear familiar paradigm.</w:t>
      </w:r>
      <w:r w:rsidR="00B56A0D">
        <w:rPr>
          <w:rStyle w:val="EndnoteReference"/>
          <w:rFonts w:cs="Arial"/>
        </w:rPr>
        <w:endnoteReference w:id="38"/>
      </w:r>
      <w:r w:rsidR="000724D2" w:rsidRPr="000724D2">
        <w:rPr>
          <w:rFonts w:cs="Arial"/>
        </w:rPr>
        <w:t xml:space="preserve"> It is therefore important for the family law system to be aware of this distinction in order to avoid bias towards the nuclear family structure, which comes at the expense of Aboriginal and Torres Strait Islander peoples’ understandings of childrearing, kinship systems and so</w:t>
      </w:r>
      <w:r w:rsidR="00DC0538">
        <w:rPr>
          <w:rFonts w:cs="Arial"/>
        </w:rPr>
        <w:t xml:space="preserve">cial and family organisations. </w:t>
      </w:r>
    </w:p>
    <w:p w14:paraId="081EFDD5" w14:textId="77777777" w:rsidR="00C61B9F" w:rsidRPr="00C61B9F" w:rsidRDefault="00C61B9F" w:rsidP="00C61B9F">
      <w:pPr>
        <w:pStyle w:val="SubmissionNormal"/>
        <w:rPr>
          <w:b/>
        </w:rPr>
      </w:pPr>
      <w:r w:rsidRPr="00C61B9F">
        <w:rPr>
          <w:b/>
        </w:rPr>
        <w:t xml:space="preserve">Recommendation 3: Aboriginal and Torres Strait Islander Legal Services </w:t>
      </w:r>
      <w:proofErr w:type="gramStart"/>
      <w:r w:rsidRPr="00C61B9F">
        <w:rPr>
          <w:b/>
        </w:rPr>
        <w:t>are funded</w:t>
      </w:r>
      <w:proofErr w:type="gramEnd"/>
      <w:r w:rsidRPr="00C61B9F">
        <w:rPr>
          <w:b/>
        </w:rPr>
        <w:t xml:space="preserve"> to ensure the availability of culturally sensitive legal assistance in family law matters, irrespective of geographic location. </w:t>
      </w:r>
    </w:p>
    <w:p w14:paraId="6ECC5812" w14:textId="77777777" w:rsidR="0008175A" w:rsidRDefault="0008175A" w:rsidP="00AF4216">
      <w:pPr>
        <w:pStyle w:val="Heading2"/>
        <w:numPr>
          <w:ilvl w:val="1"/>
          <w:numId w:val="16"/>
        </w:numPr>
      </w:pPr>
      <w:bookmarkStart w:id="20" w:name="_Toc531787304"/>
      <w:r w:rsidRPr="00A92DBB">
        <w:t>Accessibility</w:t>
      </w:r>
      <w:r w:rsidRPr="009349EB">
        <w:t xml:space="preserve"> for people from culturally and linguistically diverse </w:t>
      </w:r>
      <w:r w:rsidRPr="00230BE6">
        <w:t>communities</w:t>
      </w:r>
      <w:bookmarkEnd w:id="20"/>
    </w:p>
    <w:p w14:paraId="305B9816" w14:textId="5456FC23" w:rsidR="00BC550F" w:rsidRDefault="00BC550F" w:rsidP="00DC70F8">
      <w:pPr>
        <w:pStyle w:val="SubmissionNormal"/>
      </w:pPr>
      <w:r>
        <w:t xml:space="preserve">Australia has a significant culturally and linguistically diverse </w:t>
      </w:r>
      <w:r w:rsidR="00230BE6">
        <w:t xml:space="preserve">(CALD) </w:t>
      </w:r>
      <w:r>
        <w:t xml:space="preserve">population. </w:t>
      </w:r>
      <w:r w:rsidRPr="007669E8">
        <w:t>The Issues Paper notes that</w:t>
      </w:r>
      <w:r w:rsidR="00836609">
        <w:t>,</w:t>
      </w:r>
      <w:r w:rsidRPr="007669E8">
        <w:t xml:space="preserve"> according to the 2016 Census, more than one quarter of Australians were born overseas, and almost half had at least one parent born overseas. Further, more than one-fifth spoke a language other than English at home.</w:t>
      </w:r>
      <w:r>
        <w:rPr>
          <w:rStyle w:val="EndnoteReference"/>
          <w:rFonts w:cs="Arial"/>
        </w:rPr>
        <w:endnoteReference w:id="39"/>
      </w:r>
      <w:r w:rsidRPr="007669E8">
        <w:t xml:space="preserve"> </w:t>
      </w:r>
    </w:p>
    <w:p w14:paraId="44E64D0C" w14:textId="7A6FDF9E" w:rsidR="00BC550F" w:rsidRPr="00BC550F" w:rsidRDefault="00BC550F" w:rsidP="00BC550F">
      <w:pPr>
        <w:pStyle w:val="SubmissionNormal"/>
      </w:pPr>
      <w:r w:rsidRPr="00BC550F">
        <w:rPr>
          <w:rFonts w:cs="Arial"/>
        </w:rPr>
        <w:t xml:space="preserve">Culturally and linguistically diverse Australians face particular challenges as they relate to the accessibility of family law. </w:t>
      </w:r>
      <w:proofErr w:type="gramStart"/>
      <w:r w:rsidRPr="00BC550F">
        <w:rPr>
          <w:rFonts w:cs="Arial"/>
        </w:rPr>
        <w:t>These challenges may be more acutely felt by recently arrived migrants and refugees, noting, for instance, that the resettlem</w:t>
      </w:r>
      <w:r w:rsidR="00230BE6">
        <w:rPr>
          <w:rFonts w:cs="Arial"/>
        </w:rPr>
        <w:t>ent process may ‘</w:t>
      </w:r>
      <w:r w:rsidRPr="00BC550F">
        <w:rPr>
          <w:rFonts w:cs="Arial"/>
        </w:rPr>
        <w:t>pose serious challenges to the st</w:t>
      </w:r>
      <w:r w:rsidR="00230BE6">
        <w:rPr>
          <w:rFonts w:cs="Arial"/>
        </w:rPr>
        <w:t>ability of family relationships’</w:t>
      </w:r>
      <w:proofErr w:type="gramEnd"/>
      <w:r w:rsidRPr="00BC550F">
        <w:rPr>
          <w:rFonts w:cs="Arial"/>
        </w:rPr>
        <w:t>.</w:t>
      </w:r>
      <w:r>
        <w:rPr>
          <w:rStyle w:val="EndnoteReference"/>
          <w:rFonts w:cs="Arial"/>
        </w:rPr>
        <w:endnoteReference w:id="40"/>
      </w:r>
      <w:r w:rsidRPr="00BC550F">
        <w:rPr>
          <w:rFonts w:cs="Arial"/>
        </w:rPr>
        <w:t xml:space="preserve"> The Family Law Council’s substantial 2012 report on improving the family law system for clients from CALD backgrounds identifies barriers </w:t>
      </w:r>
      <w:proofErr w:type="gramStart"/>
      <w:r w:rsidRPr="00BC550F">
        <w:rPr>
          <w:rFonts w:cs="Arial"/>
        </w:rPr>
        <w:t>including</w:t>
      </w:r>
      <w:r w:rsidR="00836609">
        <w:rPr>
          <w:rFonts w:cs="Arial"/>
        </w:rPr>
        <w:t>:</w:t>
      </w:r>
      <w:proofErr w:type="gramEnd"/>
      <w:r w:rsidR="003008CF">
        <w:rPr>
          <w:rFonts w:cs="Arial"/>
        </w:rPr>
        <w:t xml:space="preserve"> </w:t>
      </w:r>
      <w:r w:rsidRPr="00BC550F">
        <w:rPr>
          <w:rFonts w:cs="Arial"/>
        </w:rPr>
        <w:t>a lack of knowledge of the relevant law</w:t>
      </w:r>
      <w:r w:rsidR="00836609">
        <w:rPr>
          <w:rFonts w:cs="Arial"/>
        </w:rPr>
        <w:t>;</w:t>
      </w:r>
      <w:r w:rsidRPr="00BC550F">
        <w:rPr>
          <w:rFonts w:cs="Arial"/>
        </w:rPr>
        <w:t xml:space="preserve"> language and literacy barriers</w:t>
      </w:r>
      <w:r w:rsidR="00836609">
        <w:rPr>
          <w:rFonts w:cs="Arial"/>
        </w:rPr>
        <w:t>;</w:t>
      </w:r>
      <w:r w:rsidRPr="00BC550F">
        <w:rPr>
          <w:rFonts w:cs="Arial"/>
        </w:rPr>
        <w:t xml:space="preserve"> and a lack of culturally safe and responsive services.</w:t>
      </w:r>
      <w:r>
        <w:rPr>
          <w:rStyle w:val="EndnoteReference"/>
          <w:rFonts w:cs="Arial"/>
        </w:rPr>
        <w:endnoteReference w:id="41"/>
      </w:r>
      <w:r w:rsidRPr="00BC550F">
        <w:rPr>
          <w:rFonts w:cs="Arial"/>
        </w:rPr>
        <w:t xml:space="preserve"> It </w:t>
      </w:r>
      <w:r w:rsidR="00836609" w:rsidRPr="00BC550F">
        <w:rPr>
          <w:rFonts w:cs="Arial"/>
        </w:rPr>
        <w:t>ma</w:t>
      </w:r>
      <w:r w:rsidR="00836609">
        <w:rPr>
          <w:rFonts w:cs="Arial"/>
        </w:rPr>
        <w:t>de</w:t>
      </w:r>
      <w:r w:rsidR="00836609" w:rsidRPr="00BC550F">
        <w:rPr>
          <w:rFonts w:cs="Arial"/>
        </w:rPr>
        <w:t xml:space="preserve"> </w:t>
      </w:r>
      <w:r w:rsidRPr="00BC550F">
        <w:rPr>
          <w:rFonts w:cs="Arial"/>
        </w:rPr>
        <w:t>numerous recommendations with respect to improving accessibility.</w:t>
      </w:r>
    </w:p>
    <w:p w14:paraId="5226A305" w14:textId="712C87EE" w:rsidR="00BC550F" w:rsidRPr="00BC550F" w:rsidRDefault="00BC550F" w:rsidP="00BC550F">
      <w:pPr>
        <w:pStyle w:val="SubmissionNormal"/>
      </w:pPr>
      <w:r w:rsidRPr="00BC550F">
        <w:rPr>
          <w:rFonts w:cs="Arial"/>
        </w:rPr>
        <w:t>The Commission notes new initiatives aimed at addressing some of the identified issues, including the introduction</w:t>
      </w:r>
      <w:r w:rsidR="009B7465">
        <w:rPr>
          <w:rFonts w:cs="Arial"/>
        </w:rPr>
        <w:t xml:space="preserve"> in 2017</w:t>
      </w:r>
      <w:r w:rsidR="005B6DAA">
        <w:rPr>
          <w:rFonts w:cs="Arial"/>
        </w:rPr>
        <w:t xml:space="preserve"> </w:t>
      </w:r>
      <w:r w:rsidRPr="00BC550F">
        <w:rPr>
          <w:rFonts w:cs="Arial"/>
        </w:rPr>
        <w:t>of pilots of legally-assisted and culturally-appropriate dispute resolution through ‘Family Relationship</w:t>
      </w:r>
      <w:r w:rsidR="00230BE6">
        <w:rPr>
          <w:rFonts w:cs="Arial"/>
        </w:rPr>
        <w:t xml:space="preserve"> Centres’</w:t>
      </w:r>
      <w:r w:rsidR="009B7465">
        <w:rPr>
          <w:rFonts w:cs="Arial"/>
        </w:rPr>
        <w:t>.</w:t>
      </w:r>
      <w:r w:rsidR="00230BE6">
        <w:rPr>
          <w:rFonts w:cs="Arial"/>
        </w:rPr>
        <w:t xml:space="preserve"> The objective is to ‘</w:t>
      </w:r>
      <w:r w:rsidRPr="00BC550F">
        <w:rPr>
          <w:rFonts w:cs="Arial"/>
        </w:rPr>
        <w:t>deliver a service model … to better support separating or separated families experiencing family violence who are from Indigenous or [CALD] backgrounds. This early intervention and client-centred initiative will provide frontline services to victims of family violence, by giving them a safe and empowering way to resolve family law dispu</w:t>
      </w:r>
      <w:r w:rsidR="00230BE6">
        <w:rPr>
          <w:rFonts w:cs="Arial"/>
        </w:rPr>
        <w:t>tes without resorting to court.’</w:t>
      </w:r>
      <w:r>
        <w:rPr>
          <w:rStyle w:val="EndnoteReference"/>
          <w:rFonts w:cs="Arial"/>
        </w:rPr>
        <w:endnoteReference w:id="42"/>
      </w:r>
      <w:r>
        <w:rPr>
          <w:rFonts w:cs="Arial"/>
        </w:rPr>
        <w:t xml:space="preserve"> </w:t>
      </w:r>
    </w:p>
    <w:p w14:paraId="2F48D29B" w14:textId="77777777" w:rsidR="00BC550F" w:rsidRDefault="00BC550F" w:rsidP="00BC550F">
      <w:pPr>
        <w:pStyle w:val="SubmissionNormal"/>
        <w:rPr>
          <w:rFonts w:cs="Arial"/>
        </w:rPr>
      </w:pPr>
      <w:r>
        <w:rPr>
          <w:rFonts w:cs="Arial"/>
        </w:rPr>
        <w:t>Pilots commenced in June 2017, and will be evaluated by the ANU’s National Centre for Indigenous Studies in 2019 (the pilots also relate to Indigenous families).</w:t>
      </w:r>
      <w:r>
        <w:rPr>
          <w:rStyle w:val="EndnoteReference"/>
          <w:rFonts w:cs="Arial"/>
        </w:rPr>
        <w:endnoteReference w:id="43"/>
      </w:r>
      <w:r>
        <w:rPr>
          <w:rFonts w:cs="Arial"/>
        </w:rPr>
        <w:t xml:space="preserve"> </w:t>
      </w:r>
      <w:r w:rsidRPr="00576D4E">
        <w:rPr>
          <w:rFonts w:cs="Arial"/>
        </w:rPr>
        <w:t xml:space="preserve">Pilots </w:t>
      </w:r>
      <w:proofErr w:type="gramStart"/>
      <w:r w:rsidRPr="00576D4E">
        <w:rPr>
          <w:rFonts w:cs="Arial"/>
        </w:rPr>
        <w:t>should be closely monitored then, if deemed successful, expanded</w:t>
      </w:r>
      <w:proofErr w:type="gramEnd"/>
      <w:r w:rsidRPr="00576D4E">
        <w:rPr>
          <w:rFonts w:cs="Arial"/>
        </w:rPr>
        <w:t xml:space="preserve">. As noted above, Australia has a significant culturally and linguistically diverse population that may benefit from </w:t>
      </w:r>
      <w:proofErr w:type="gramStart"/>
      <w:r w:rsidRPr="00576D4E">
        <w:rPr>
          <w:rFonts w:cs="Arial"/>
        </w:rPr>
        <w:t>culturally-appropriate</w:t>
      </w:r>
      <w:proofErr w:type="gramEnd"/>
      <w:r w:rsidRPr="00576D4E">
        <w:rPr>
          <w:rFonts w:cs="Arial"/>
        </w:rPr>
        <w:t xml:space="preserve"> services.</w:t>
      </w:r>
    </w:p>
    <w:p w14:paraId="17C44B58" w14:textId="77777777" w:rsidR="009349EB" w:rsidRDefault="009349EB" w:rsidP="00AF4216">
      <w:pPr>
        <w:pStyle w:val="Heading2"/>
        <w:numPr>
          <w:ilvl w:val="1"/>
          <w:numId w:val="16"/>
        </w:numPr>
      </w:pPr>
      <w:bookmarkStart w:id="21" w:name="_Toc531787305"/>
      <w:r w:rsidRPr="00BC550F">
        <w:t>Accessibility</w:t>
      </w:r>
      <w:r w:rsidRPr="009349EB">
        <w:t xml:space="preserve"> </w:t>
      </w:r>
      <w:r w:rsidRPr="00A92DBB">
        <w:t>for</w:t>
      </w:r>
      <w:r w:rsidRPr="009349EB">
        <w:t xml:space="preserve"> people with disability</w:t>
      </w:r>
      <w:bookmarkEnd w:id="21"/>
    </w:p>
    <w:p w14:paraId="608B29F0" w14:textId="77777777" w:rsidR="001013E3" w:rsidRPr="001013E3" w:rsidRDefault="001013E3" w:rsidP="00F047E1">
      <w:pPr>
        <w:pStyle w:val="Heading3"/>
        <w:numPr>
          <w:ilvl w:val="2"/>
          <w:numId w:val="16"/>
        </w:numPr>
      </w:pPr>
      <w:bookmarkStart w:id="22" w:name="_Toc531787306"/>
      <w:r w:rsidRPr="00230BE6">
        <w:t>Participation</w:t>
      </w:r>
      <w:r w:rsidRPr="001013E3">
        <w:t xml:space="preserve"> in court</w:t>
      </w:r>
      <w:bookmarkEnd w:id="22"/>
    </w:p>
    <w:p w14:paraId="55D4B427" w14:textId="281E7DF9" w:rsidR="001013E3" w:rsidRDefault="001013E3" w:rsidP="001013E3">
      <w:pPr>
        <w:pStyle w:val="SubmissionNormal"/>
      </w:pPr>
      <w:r w:rsidRPr="001013E3">
        <w:t xml:space="preserve">Consultations undertaken by the Commission as part of its </w:t>
      </w:r>
      <w:r w:rsidRPr="001013E3">
        <w:rPr>
          <w:i/>
        </w:rPr>
        <w:t xml:space="preserve">Equal </w:t>
      </w:r>
      <w:proofErr w:type="gramStart"/>
      <w:r w:rsidRPr="001013E3">
        <w:rPr>
          <w:i/>
        </w:rPr>
        <w:t>Before</w:t>
      </w:r>
      <w:proofErr w:type="gramEnd"/>
      <w:r w:rsidRPr="001013E3">
        <w:rPr>
          <w:i/>
        </w:rPr>
        <w:t xml:space="preserve"> the Law</w:t>
      </w:r>
      <w:r w:rsidRPr="001013E3">
        <w:t xml:space="preserve"> report</w:t>
      </w:r>
      <w:r w:rsidR="00836609">
        <w:t>,</w:t>
      </w:r>
      <w:r w:rsidRPr="001013E3">
        <w:t xml:space="preserve"> found that people with disability often face barriers to participating in court</w:t>
      </w:r>
      <w:r>
        <w:t>.</w:t>
      </w:r>
      <w:r w:rsidRPr="001013E3">
        <w:rPr>
          <w:rStyle w:val="EndnoteReference"/>
          <w:rFonts w:cs="Arial"/>
          <w:sz w:val="24"/>
        </w:rPr>
        <w:endnoteReference w:id="44"/>
      </w:r>
      <w:r w:rsidRPr="001013E3">
        <w:t xml:space="preserve"> </w:t>
      </w:r>
      <w:r w:rsidR="006D1EAC">
        <w:t>The Commission found that a</w:t>
      </w:r>
      <w:r w:rsidRPr="001013E3">
        <w:t xml:space="preserve"> key difficulty is being able to access the necessary supports or appropriate adjustments to participate effectively in proceedings and give instructions to legal representatives. This could include access to communication supports or devices, the timely appointment of a guardian or volunteer court support. </w:t>
      </w:r>
    </w:p>
    <w:p w14:paraId="5C101F72" w14:textId="77777777" w:rsidR="001013E3" w:rsidRDefault="006D1EAC" w:rsidP="001013E3">
      <w:pPr>
        <w:pStyle w:val="SubmissionNormal"/>
      </w:pPr>
      <w:r>
        <w:t>As noted in the Issues Paper, t</w:t>
      </w:r>
      <w:r w:rsidR="001013E3" w:rsidRPr="001013E3">
        <w:t xml:space="preserve">he level of understanding of disability held by judicial officers, legal practitioners and other professionals working in the family law system </w:t>
      </w:r>
      <w:proofErr w:type="gramStart"/>
      <w:r w:rsidR="001013E3" w:rsidRPr="001013E3">
        <w:t>may</w:t>
      </w:r>
      <w:proofErr w:type="gramEnd"/>
      <w:r w:rsidR="001013E3" w:rsidRPr="001013E3">
        <w:t xml:space="preserve"> also act as a barrier to access to justice. </w:t>
      </w:r>
    </w:p>
    <w:p w14:paraId="71934C1A" w14:textId="34CD3726" w:rsidR="001013E3" w:rsidRPr="001013E3" w:rsidRDefault="001013E3" w:rsidP="001013E3">
      <w:pPr>
        <w:pStyle w:val="SubmissionNormal"/>
      </w:pPr>
      <w:r w:rsidRPr="001013E3">
        <w:t>The CRPD commits State Parties to provide people with disabilities with the necessary modifications and adjustments in order to obtain effective access to justice and to exercise their legal capacity.</w:t>
      </w:r>
      <w:r w:rsidRPr="001013E3">
        <w:rPr>
          <w:rStyle w:val="EndnoteReference"/>
          <w:rFonts w:cs="Arial"/>
          <w:sz w:val="24"/>
        </w:rPr>
        <w:endnoteReference w:id="45"/>
      </w:r>
      <w:r w:rsidRPr="001013E3">
        <w:t xml:space="preserve"> This </w:t>
      </w:r>
      <w:proofErr w:type="gramStart"/>
      <w:r w:rsidRPr="001013E3">
        <w:t>is often referred</w:t>
      </w:r>
      <w:proofErr w:type="gramEnd"/>
      <w:r w:rsidRPr="001013E3">
        <w:t xml:space="preserve"> to as ‘reasonable accommodation’. This may include, but is not limited </w:t>
      </w:r>
      <w:proofErr w:type="gramStart"/>
      <w:r w:rsidRPr="001013E3">
        <w:t>to:</w:t>
      </w:r>
      <w:proofErr w:type="gramEnd"/>
      <w:r w:rsidRPr="001013E3">
        <w:t xml:space="preserve"> physical access to court buildings</w:t>
      </w:r>
      <w:r w:rsidR="00836609">
        <w:t>;</w:t>
      </w:r>
      <w:r w:rsidRPr="001013E3">
        <w:t xml:space="preserve"> provision of accessible information</w:t>
      </w:r>
      <w:r w:rsidR="00836609">
        <w:t>;</w:t>
      </w:r>
      <w:r w:rsidRPr="001013E3">
        <w:t xml:space="preserve"> adjustments in court proceedings</w:t>
      </w:r>
      <w:r w:rsidR="00836609">
        <w:t>;</w:t>
      </w:r>
      <w:r w:rsidRPr="001013E3">
        <w:t xml:space="preserve"> and the use of language which can be understood by a person with disability.</w:t>
      </w:r>
    </w:p>
    <w:p w14:paraId="3ADB6CAB" w14:textId="77777777" w:rsidR="001013E3" w:rsidRPr="001013E3" w:rsidRDefault="001013E3" w:rsidP="00F047E1">
      <w:pPr>
        <w:pStyle w:val="Heading3"/>
        <w:numPr>
          <w:ilvl w:val="2"/>
          <w:numId w:val="16"/>
        </w:numPr>
        <w:rPr>
          <w:iCs/>
        </w:rPr>
      </w:pPr>
      <w:bookmarkStart w:id="23" w:name="_Toc531787307"/>
      <w:r w:rsidRPr="00230BE6">
        <w:t>Improving</w:t>
      </w:r>
      <w:r w:rsidRPr="001013E3">
        <w:t xml:space="preserve"> the inclusiveness of the family law system</w:t>
      </w:r>
      <w:bookmarkEnd w:id="23"/>
    </w:p>
    <w:p w14:paraId="0EE4B344" w14:textId="77777777" w:rsidR="001013E3" w:rsidRDefault="001013E3" w:rsidP="001013E3">
      <w:pPr>
        <w:pStyle w:val="SubmissionNormal"/>
      </w:pPr>
      <w:r w:rsidRPr="001013E3">
        <w:t>The Commission suggests a human right</w:t>
      </w:r>
      <w:r w:rsidR="00230BE6">
        <w:t>s</w:t>
      </w:r>
      <w:r w:rsidRPr="001013E3">
        <w:t xml:space="preserve"> approach to improve the accessibility of the family law system for people with disability, where people with disabilities </w:t>
      </w:r>
      <w:proofErr w:type="gramStart"/>
      <w:r w:rsidRPr="001013E3">
        <w:t>are viewed as rights-holders in court and afforded dignity</w:t>
      </w:r>
      <w:proofErr w:type="gramEnd"/>
      <w:r w:rsidRPr="001013E3">
        <w:t>. This approach includes:</w:t>
      </w:r>
    </w:p>
    <w:p w14:paraId="76BDF4B1" w14:textId="10522D2C" w:rsidR="00230BE6" w:rsidRPr="001013E3" w:rsidRDefault="00836609" w:rsidP="00C61B9F">
      <w:pPr>
        <w:pStyle w:val="ListParagraph"/>
        <w:numPr>
          <w:ilvl w:val="0"/>
          <w:numId w:val="43"/>
        </w:numPr>
      </w:pPr>
      <w:r>
        <w:t>R</w:t>
      </w:r>
      <w:r w:rsidRPr="001013E3">
        <w:t xml:space="preserve">eviewing </w:t>
      </w:r>
      <w:r w:rsidR="001013E3" w:rsidRPr="001013E3">
        <w:t xml:space="preserve">the court environment, procedures and processes to ensure appropriate accessibility by people with a disability as required under the </w:t>
      </w:r>
      <w:r w:rsidR="001013E3" w:rsidRPr="00C61B9F">
        <w:rPr>
          <w:i/>
        </w:rPr>
        <w:t xml:space="preserve">Disability Discrimination Act 1992 </w:t>
      </w:r>
      <w:r w:rsidR="006D1EAC">
        <w:t>(</w:t>
      </w:r>
      <w:proofErr w:type="spellStart"/>
      <w:r w:rsidR="006D1EAC">
        <w:t>Cth</w:t>
      </w:r>
      <w:proofErr w:type="spellEnd"/>
      <w:r w:rsidR="006D1EAC">
        <w:t>)</w:t>
      </w:r>
      <w:r>
        <w:t>.</w:t>
      </w:r>
    </w:p>
    <w:p w14:paraId="706124F5" w14:textId="5D1AF360" w:rsidR="00230BE6" w:rsidRPr="001013E3" w:rsidRDefault="00836609" w:rsidP="00C61B9F">
      <w:pPr>
        <w:pStyle w:val="ListParagraph"/>
        <w:numPr>
          <w:ilvl w:val="0"/>
          <w:numId w:val="43"/>
        </w:numPr>
      </w:pPr>
      <w:r>
        <w:t>I</w:t>
      </w:r>
      <w:r w:rsidRPr="001013E3">
        <w:t xml:space="preserve">ncorporating </w:t>
      </w:r>
      <w:r w:rsidR="001013E3" w:rsidRPr="00C61B9F">
        <w:rPr>
          <w:iCs/>
        </w:rPr>
        <w:t>supported</w:t>
      </w:r>
      <w:r w:rsidR="001013E3" w:rsidRPr="00C61B9F">
        <w:rPr>
          <w:i/>
          <w:iCs/>
        </w:rPr>
        <w:t xml:space="preserve"> </w:t>
      </w:r>
      <w:r w:rsidR="001013E3" w:rsidRPr="001013E3">
        <w:t xml:space="preserve">decision-making in family law processes, where a person with disability </w:t>
      </w:r>
      <w:proofErr w:type="gramStart"/>
      <w:r w:rsidR="001013E3" w:rsidRPr="001013E3">
        <w:t>is supported</w:t>
      </w:r>
      <w:proofErr w:type="gramEnd"/>
      <w:r w:rsidR="001013E3" w:rsidRPr="001013E3">
        <w:t xml:space="preserve"> to participate in the court process and to make their own decisions in family law proceedings. Supported deci</w:t>
      </w:r>
      <w:r w:rsidR="0044483D">
        <w:t>sion-making is consistent with article 12 of the CRPD:</w:t>
      </w:r>
      <w:r w:rsidR="001013E3" w:rsidRPr="001013E3">
        <w:t xml:space="preserve"> </w:t>
      </w:r>
      <w:r w:rsidR="001013E3" w:rsidRPr="00C61B9F">
        <w:rPr>
          <w:i/>
        </w:rPr>
        <w:t>‘</w:t>
      </w:r>
      <w:r w:rsidR="001013E3" w:rsidRPr="0044483D">
        <w:t xml:space="preserve">people with disability enjoy legal capacity on an equal basis with others and </w:t>
      </w:r>
      <w:proofErr w:type="gramStart"/>
      <w:r w:rsidR="001013E3" w:rsidRPr="0044483D">
        <w:t>should be provided</w:t>
      </w:r>
      <w:proofErr w:type="gramEnd"/>
      <w:r w:rsidR="001013E3" w:rsidRPr="0044483D">
        <w:t xml:space="preserve"> with access to the support they require to exercise their legal capacity’</w:t>
      </w:r>
      <w:r w:rsidR="001013E3" w:rsidRPr="001013E3">
        <w:t>.</w:t>
      </w:r>
      <w:r w:rsidR="001013E3" w:rsidRPr="001013E3">
        <w:rPr>
          <w:rStyle w:val="EndnoteReference"/>
          <w:rFonts w:cs="Arial"/>
          <w:sz w:val="24"/>
        </w:rPr>
        <w:endnoteReference w:id="46"/>
      </w:r>
    </w:p>
    <w:p w14:paraId="59D3B22E" w14:textId="7EF89F6D" w:rsidR="00726238" w:rsidRDefault="00836609" w:rsidP="00C61B9F">
      <w:pPr>
        <w:pStyle w:val="ListParagraph"/>
        <w:numPr>
          <w:ilvl w:val="0"/>
          <w:numId w:val="43"/>
        </w:numPr>
      </w:pPr>
      <w:r>
        <w:t>C</w:t>
      </w:r>
      <w:r w:rsidRPr="001013E3">
        <w:t xml:space="preserve">onducting </w:t>
      </w:r>
      <w:r w:rsidR="001013E3" w:rsidRPr="001013E3">
        <w:t>disability awareness training for judicial officers, legal practitioners and other professionals working in the family law system.</w:t>
      </w:r>
      <w:r w:rsidR="0044483D">
        <w:t xml:space="preserve"> This would be consistent with article 13 of the CRPD:</w:t>
      </w:r>
      <w:r w:rsidR="001013E3" w:rsidRPr="00C61B9F">
        <w:rPr>
          <w:i/>
        </w:rPr>
        <w:t xml:space="preserve"> </w:t>
      </w:r>
      <w:r w:rsidR="001013E3" w:rsidRPr="001013E3">
        <w:t>‘</w:t>
      </w:r>
      <w:r w:rsidR="001013E3" w:rsidRPr="0044483D">
        <w:t>in order to help to ensure effective access to justice for persons with disabilities, States Parties shall promote appropriate training for those working in the field of administration of justice’</w:t>
      </w:r>
      <w:r>
        <w:t>.</w:t>
      </w:r>
      <w:r w:rsidR="009C44CF">
        <w:rPr>
          <w:rStyle w:val="EndnoteReference"/>
        </w:rPr>
        <w:endnoteReference w:id="47"/>
      </w:r>
      <w:r w:rsidR="00726238">
        <w:t xml:space="preserve"> </w:t>
      </w:r>
    </w:p>
    <w:p w14:paraId="45FB05B5" w14:textId="77777777" w:rsidR="00C61B9F" w:rsidRPr="00C61B9F" w:rsidRDefault="00C61B9F" w:rsidP="00C61B9F">
      <w:pPr>
        <w:pStyle w:val="SubmissionNormal"/>
        <w:rPr>
          <w:b/>
        </w:rPr>
      </w:pPr>
      <w:r w:rsidRPr="00C61B9F">
        <w:rPr>
          <w:b/>
        </w:rPr>
        <w:t xml:space="preserve">Recommendation 4: The environment, procedures and processes of the family law system are reviewed to ensure appropriate accessibility by people with a disability as required under the </w:t>
      </w:r>
      <w:r w:rsidRPr="00C61B9F">
        <w:rPr>
          <w:b/>
          <w:i/>
        </w:rPr>
        <w:t xml:space="preserve">Disability Discrimination Act 1992 </w:t>
      </w:r>
      <w:r w:rsidRPr="00C61B9F">
        <w:rPr>
          <w:b/>
        </w:rPr>
        <w:t>(</w:t>
      </w:r>
      <w:proofErr w:type="spellStart"/>
      <w:r w:rsidRPr="00C61B9F">
        <w:rPr>
          <w:b/>
        </w:rPr>
        <w:t>Cth</w:t>
      </w:r>
      <w:proofErr w:type="spellEnd"/>
      <w:r w:rsidRPr="00C61B9F">
        <w:rPr>
          <w:b/>
        </w:rPr>
        <w:t>).</w:t>
      </w:r>
    </w:p>
    <w:p w14:paraId="4A16C067" w14:textId="77777777" w:rsidR="00C61B9F" w:rsidRPr="00C61B9F" w:rsidRDefault="00C61B9F" w:rsidP="00C61B9F">
      <w:pPr>
        <w:pStyle w:val="SubmissionNormal"/>
        <w:rPr>
          <w:b/>
        </w:rPr>
      </w:pPr>
      <w:r w:rsidRPr="00C61B9F">
        <w:rPr>
          <w:b/>
        </w:rPr>
        <w:t xml:space="preserve">Recommendation 5: A person with disability </w:t>
      </w:r>
      <w:proofErr w:type="gramStart"/>
      <w:r w:rsidRPr="00C61B9F">
        <w:rPr>
          <w:b/>
        </w:rPr>
        <w:t>is supported</w:t>
      </w:r>
      <w:proofErr w:type="gramEnd"/>
      <w:r w:rsidRPr="00C61B9F">
        <w:rPr>
          <w:b/>
        </w:rPr>
        <w:t xml:space="preserve"> to participate in the court process and to make their own decisions in family law proceedings. </w:t>
      </w:r>
    </w:p>
    <w:p w14:paraId="277661CE" w14:textId="77777777" w:rsidR="00941936" w:rsidRDefault="00D70E3F" w:rsidP="00941936">
      <w:pPr>
        <w:pStyle w:val="SubmissionNormal"/>
      </w:pPr>
      <w:r>
        <w:t xml:space="preserve">A recommendation on disability awareness training for judicial officers and other professionals is included in the section </w:t>
      </w:r>
      <w:r w:rsidR="009C2578">
        <w:t xml:space="preserve">below </w:t>
      </w:r>
      <w:r>
        <w:t>on Professional skills.</w:t>
      </w:r>
    </w:p>
    <w:p w14:paraId="0392DB01" w14:textId="77777777" w:rsidR="001013E3" w:rsidRPr="001013E3" w:rsidRDefault="001013E3" w:rsidP="00F047E1">
      <w:pPr>
        <w:pStyle w:val="Heading3"/>
        <w:numPr>
          <w:ilvl w:val="2"/>
          <w:numId w:val="16"/>
        </w:numPr>
      </w:pPr>
      <w:bookmarkStart w:id="24" w:name="_Toc531787308"/>
      <w:r w:rsidRPr="001013E3">
        <w:t>Discrimination against parents with disability</w:t>
      </w:r>
      <w:bookmarkEnd w:id="24"/>
    </w:p>
    <w:p w14:paraId="33E86D90" w14:textId="613EB41B" w:rsidR="001013E3" w:rsidRDefault="001013E3" w:rsidP="00294E23">
      <w:pPr>
        <w:pStyle w:val="SubmissionNormal"/>
      </w:pPr>
      <w:r w:rsidRPr="001013E3">
        <w:t>The Commission is concerned about reports of discrimination against parents with disability in the family court system</w:t>
      </w:r>
      <w:r>
        <w:t>.</w:t>
      </w:r>
      <w:r w:rsidRPr="001013E3">
        <w:rPr>
          <w:rStyle w:val="EndnoteReference"/>
          <w:rFonts w:cs="Arial"/>
          <w:sz w:val="24"/>
        </w:rPr>
        <w:endnoteReference w:id="48"/>
      </w:r>
      <w:r w:rsidRPr="001013E3">
        <w:t xml:space="preserve"> Common themes </w:t>
      </w:r>
      <w:proofErr w:type="gramStart"/>
      <w:r w:rsidRPr="001013E3">
        <w:t>include</w:t>
      </w:r>
      <w:r w:rsidR="00836609">
        <w:t>:</w:t>
      </w:r>
      <w:proofErr w:type="gramEnd"/>
      <w:r w:rsidRPr="001013E3">
        <w:t xml:space="preserve"> not knowing their rights</w:t>
      </w:r>
      <w:r w:rsidR="00836609">
        <w:t>:</w:t>
      </w:r>
      <w:r w:rsidRPr="001013E3">
        <w:t xml:space="preserve"> not having support</w:t>
      </w:r>
      <w:r w:rsidR="00836609">
        <w:t>:</w:t>
      </w:r>
      <w:r w:rsidRPr="001013E3">
        <w:t xml:space="preserve"> </w:t>
      </w:r>
      <w:r w:rsidR="00836609">
        <w:t xml:space="preserve">and </w:t>
      </w:r>
      <w:r w:rsidRPr="001013E3">
        <w:t>being afraid to ask for help for fear of being judged and negative assumptions about their ability to parent.</w:t>
      </w:r>
    </w:p>
    <w:p w14:paraId="76BFE9A0" w14:textId="77777777" w:rsidR="001013E3" w:rsidRDefault="001013E3" w:rsidP="00DC70F8">
      <w:pPr>
        <w:pStyle w:val="SubmissionNormal"/>
      </w:pPr>
      <w:r w:rsidRPr="001013E3">
        <w:t xml:space="preserve">Assumptions about a person with disability’s parenting capacity or capacity to manage the stresses of litigation creates the potential for parents with disability to be disadvantaged in achieving orders for the care of children in family law proceedings, and may see a parent lose their care role, or be persuaded to consent to limited contact arrangements. </w:t>
      </w:r>
    </w:p>
    <w:p w14:paraId="3B72A7CB" w14:textId="77777777" w:rsidR="003C36BF" w:rsidRDefault="001013E3" w:rsidP="001013E3">
      <w:pPr>
        <w:pStyle w:val="SubmissionNormal"/>
      </w:pPr>
      <w:r w:rsidRPr="001013E3">
        <w:t>Article 23 of the</w:t>
      </w:r>
      <w:r w:rsidR="003C36BF">
        <w:t xml:space="preserve"> CRPD states that </w:t>
      </w:r>
      <w:r w:rsidR="009F7B5E">
        <w:t xml:space="preserve">States </w:t>
      </w:r>
      <w:r w:rsidR="003C36BF">
        <w:t>Parties shall:</w:t>
      </w:r>
    </w:p>
    <w:p w14:paraId="389BFC93" w14:textId="77777777" w:rsidR="005366B2" w:rsidRDefault="001013E3" w:rsidP="003C36BF">
      <w:pPr>
        <w:ind w:left="1440"/>
        <w:rPr>
          <w:sz w:val="22"/>
          <w:szCs w:val="22"/>
        </w:rPr>
      </w:pPr>
      <w:proofErr w:type="gramStart"/>
      <w:r w:rsidRPr="003C36BF">
        <w:rPr>
          <w:sz w:val="22"/>
          <w:szCs w:val="22"/>
        </w:rPr>
        <w:t>take</w:t>
      </w:r>
      <w:proofErr w:type="gramEnd"/>
      <w:r w:rsidRPr="003C36BF">
        <w:rPr>
          <w:sz w:val="22"/>
          <w:szCs w:val="22"/>
        </w:rPr>
        <w:t xml:space="preserve"> effective and appropriate measures to eliminate discrimination against persons with disabilities in all matters relating to marriage, family, parenthood and relationships, on an equal basis with others </w:t>
      </w:r>
    </w:p>
    <w:p w14:paraId="53356779" w14:textId="77777777" w:rsidR="005366B2" w:rsidRPr="003C2D9E" w:rsidRDefault="001013E3" w:rsidP="003C2D9E">
      <w:pPr>
        <w:ind w:firstLine="720"/>
        <w:rPr>
          <w:szCs w:val="22"/>
        </w:rPr>
      </w:pPr>
      <w:proofErr w:type="gramStart"/>
      <w:r w:rsidRPr="003C2D9E">
        <w:rPr>
          <w:szCs w:val="22"/>
        </w:rPr>
        <w:t>and</w:t>
      </w:r>
      <w:proofErr w:type="gramEnd"/>
      <w:r w:rsidRPr="003C2D9E">
        <w:rPr>
          <w:szCs w:val="22"/>
        </w:rPr>
        <w:t xml:space="preserve"> that States Parties shall</w:t>
      </w:r>
      <w:r w:rsidR="005366B2" w:rsidRPr="003C2D9E">
        <w:rPr>
          <w:szCs w:val="22"/>
        </w:rPr>
        <w:t>:</w:t>
      </w:r>
    </w:p>
    <w:p w14:paraId="42CF5F27" w14:textId="77777777" w:rsidR="003C36BF" w:rsidRDefault="001013E3" w:rsidP="000F0800">
      <w:pPr>
        <w:ind w:left="1440"/>
        <w:rPr>
          <w:sz w:val="22"/>
          <w:szCs w:val="22"/>
        </w:rPr>
      </w:pPr>
      <w:proofErr w:type="gramStart"/>
      <w:r w:rsidRPr="003C36BF">
        <w:rPr>
          <w:sz w:val="22"/>
          <w:szCs w:val="22"/>
        </w:rPr>
        <w:t>render</w:t>
      </w:r>
      <w:proofErr w:type="gramEnd"/>
      <w:r w:rsidRPr="003C36BF">
        <w:rPr>
          <w:sz w:val="22"/>
          <w:szCs w:val="22"/>
        </w:rPr>
        <w:t xml:space="preserve"> appropriate assistance to persons with disabilities in the performance of their child-rearing responsibilities. </w:t>
      </w:r>
    </w:p>
    <w:p w14:paraId="28823EF9" w14:textId="1BB54128" w:rsidR="001013E3" w:rsidRPr="003C36BF" w:rsidRDefault="001013E3" w:rsidP="003C36BF">
      <w:pPr>
        <w:pStyle w:val="SubmissionNormal"/>
      </w:pPr>
      <w:r w:rsidRPr="003C36BF">
        <w:t>It further states that</w:t>
      </w:r>
      <w:r w:rsidR="000925B6">
        <w:t>,</w:t>
      </w:r>
      <w:r w:rsidRPr="003C36BF">
        <w:t xml:space="preserve"> ‘in no case shall a child be separated from parents on the basis of a disability of either the child or one or both of the parents’.</w:t>
      </w:r>
      <w:r w:rsidRPr="003C36BF">
        <w:rPr>
          <w:rStyle w:val="EndnoteReference"/>
          <w:rFonts w:cs="Arial"/>
          <w:sz w:val="22"/>
          <w:szCs w:val="22"/>
        </w:rPr>
        <w:endnoteReference w:id="49"/>
      </w:r>
    </w:p>
    <w:p w14:paraId="550FFE0D" w14:textId="77777777" w:rsidR="00C61B9F" w:rsidRPr="00C61B9F" w:rsidRDefault="00C61B9F" w:rsidP="00C61B9F">
      <w:pPr>
        <w:pStyle w:val="SubmissionNormal"/>
        <w:rPr>
          <w:b/>
        </w:rPr>
      </w:pPr>
      <w:r w:rsidRPr="00C61B9F">
        <w:rPr>
          <w:b/>
        </w:rPr>
        <w:t>Recommendation 6: The Family Law Act is amended to clarify that the disability of parents not give rise to a presumption that orders should not be made in their favour in relation to residence, contact and parental responsibility.</w:t>
      </w:r>
    </w:p>
    <w:p w14:paraId="619212B6" w14:textId="77777777" w:rsidR="00C61B9F" w:rsidRPr="00C61B9F" w:rsidRDefault="00C61B9F" w:rsidP="00C61B9F">
      <w:pPr>
        <w:pStyle w:val="SubmissionNormal"/>
        <w:rPr>
          <w:b/>
        </w:rPr>
      </w:pPr>
      <w:r w:rsidRPr="00C61B9F">
        <w:rPr>
          <w:b/>
        </w:rPr>
        <w:t>Recommendation 7: The Family Court makes appropriate accommodations for persons with disabilities in the court processes.</w:t>
      </w:r>
    </w:p>
    <w:p w14:paraId="58C54768" w14:textId="77777777" w:rsidR="00535D4F" w:rsidRDefault="00535D4F" w:rsidP="009C2578">
      <w:pPr>
        <w:pStyle w:val="Heading1"/>
        <w:numPr>
          <w:ilvl w:val="0"/>
          <w:numId w:val="16"/>
        </w:numPr>
      </w:pPr>
      <w:bookmarkStart w:id="25" w:name="_Toc531787309"/>
      <w:r w:rsidRPr="00535D4F">
        <w:t xml:space="preserve">Legal </w:t>
      </w:r>
      <w:r w:rsidR="005D7014" w:rsidRPr="00535D4F">
        <w:t>principles in relation to parenting and property</w:t>
      </w:r>
      <w:bookmarkEnd w:id="25"/>
    </w:p>
    <w:p w14:paraId="2351426A" w14:textId="77777777" w:rsidR="00535D4F" w:rsidRDefault="00863878" w:rsidP="009C2578">
      <w:pPr>
        <w:pStyle w:val="Heading2"/>
        <w:numPr>
          <w:ilvl w:val="1"/>
          <w:numId w:val="16"/>
        </w:numPr>
      </w:pPr>
      <w:bookmarkStart w:id="26" w:name="_Toc531787310"/>
      <w:r w:rsidRPr="00535D4F">
        <w:t>Parenting</w:t>
      </w:r>
      <w:bookmarkEnd w:id="26"/>
    </w:p>
    <w:p w14:paraId="7F6DA9FB" w14:textId="77777777" w:rsidR="00F26833" w:rsidRPr="00535D4F" w:rsidRDefault="00F26833" w:rsidP="009C2578">
      <w:pPr>
        <w:pStyle w:val="Heading3"/>
        <w:numPr>
          <w:ilvl w:val="2"/>
          <w:numId w:val="16"/>
        </w:numPr>
      </w:pPr>
      <w:bookmarkStart w:id="27" w:name="_Toc531787311"/>
      <w:r w:rsidRPr="00535D4F">
        <w:t>Best interests of the child in parenting matters</w:t>
      </w:r>
      <w:bookmarkEnd w:id="27"/>
    </w:p>
    <w:p w14:paraId="2D1EFB58" w14:textId="3FC49A0D" w:rsidR="00BA6E9C" w:rsidRDefault="00EA6A09" w:rsidP="003F720B">
      <w:pPr>
        <w:pStyle w:val="SubmissionNormal"/>
      </w:pPr>
      <w:r>
        <w:t xml:space="preserve">The </w:t>
      </w:r>
      <w:r w:rsidR="006F321E">
        <w:t xml:space="preserve">UN </w:t>
      </w:r>
      <w:r>
        <w:t xml:space="preserve">Committee </w:t>
      </w:r>
      <w:r w:rsidR="006F321E">
        <w:t xml:space="preserve">on the Rights of the Child </w:t>
      </w:r>
      <w:r w:rsidR="003F720B">
        <w:t xml:space="preserve">has stated that </w:t>
      </w:r>
      <w:r w:rsidR="005D78A9">
        <w:t>it is useful to draw up a non-exhaustive and non-hierarchical list of elements that could be included by any decision-maker to d</w:t>
      </w:r>
      <w:r w:rsidR="001E7E74">
        <w:t xml:space="preserve">etermine the </w:t>
      </w:r>
      <w:r w:rsidR="000925B6">
        <w:t>‘</w:t>
      </w:r>
      <w:r w:rsidR="003F720B">
        <w:t>best interests</w:t>
      </w:r>
      <w:r w:rsidR="000925B6">
        <w:t>’</w:t>
      </w:r>
      <w:r w:rsidR="006F321E">
        <w:t xml:space="preserve"> of the child</w:t>
      </w:r>
      <w:r w:rsidR="003F720B">
        <w:t>. These</w:t>
      </w:r>
      <w:r w:rsidR="005D78A9">
        <w:t xml:space="preserve"> </w:t>
      </w:r>
      <w:proofErr w:type="gramStart"/>
      <w:r w:rsidR="005D78A9">
        <w:t>must be taken into consideration and balanced in light of each situation</w:t>
      </w:r>
      <w:proofErr w:type="gramEnd"/>
      <w:r w:rsidR="006F321E">
        <w:t>.</w:t>
      </w:r>
      <w:r w:rsidR="006F321E">
        <w:rPr>
          <w:rStyle w:val="EndnoteReference"/>
          <w:szCs w:val="20"/>
        </w:rPr>
        <w:endnoteReference w:id="50"/>
      </w:r>
    </w:p>
    <w:p w14:paraId="189D2DDF" w14:textId="3426227B" w:rsidR="005D78A9" w:rsidRDefault="00D21A50" w:rsidP="006F321E">
      <w:pPr>
        <w:pStyle w:val="SubmissionNormal"/>
      </w:pPr>
      <w:r>
        <w:rPr>
          <w:lang w:val="en"/>
        </w:rPr>
        <w:t>S</w:t>
      </w:r>
      <w:r w:rsidR="006F321E">
        <w:rPr>
          <w:lang w:val="en"/>
        </w:rPr>
        <w:t xml:space="preserve">ection </w:t>
      </w:r>
      <w:r w:rsidR="006F321E" w:rsidRPr="00BA6E9C">
        <w:rPr>
          <w:lang w:val="en"/>
        </w:rPr>
        <w:t xml:space="preserve">60CC of the Family Law </w:t>
      </w:r>
      <w:r w:rsidR="006F321E">
        <w:rPr>
          <w:lang w:val="en"/>
        </w:rPr>
        <w:t>Act sets out a</w:t>
      </w:r>
      <w:r w:rsidR="006F321E" w:rsidRPr="00BA6E9C">
        <w:rPr>
          <w:lang w:val="en"/>
        </w:rPr>
        <w:t xml:space="preserve"> range of considerations appropriate to determining what is in the child’s </w:t>
      </w:r>
      <w:r w:rsidR="000925B6">
        <w:rPr>
          <w:lang w:val="en"/>
        </w:rPr>
        <w:t>‘</w:t>
      </w:r>
      <w:r w:rsidR="006F321E" w:rsidRPr="00BA6E9C">
        <w:rPr>
          <w:lang w:val="en"/>
        </w:rPr>
        <w:t>best</w:t>
      </w:r>
      <w:r w:rsidR="006F321E">
        <w:rPr>
          <w:lang w:val="en"/>
        </w:rPr>
        <w:t xml:space="preserve"> interests.</w:t>
      </w:r>
      <w:r w:rsidR="000925B6">
        <w:rPr>
          <w:lang w:val="en"/>
        </w:rPr>
        <w:t>’</w:t>
      </w:r>
      <w:r w:rsidR="006F321E">
        <w:rPr>
          <w:lang w:val="en"/>
        </w:rPr>
        <w:t xml:space="preserve"> </w:t>
      </w:r>
      <w:r w:rsidR="00EA6A09">
        <w:t>In particular, the Commissi</w:t>
      </w:r>
      <w:r w:rsidR="001E7E74">
        <w:t xml:space="preserve">on supports </w:t>
      </w:r>
      <w:r w:rsidR="00EA6A09">
        <w:t xml:space="preserve">the </w:t>
      </w:r>
      <w:r w:rsidR="005C573E">
        <w:t xml:space="preserve">inclusion of a requirement for the court to consider </w:t>
      </w:r>
      <w:r w:rsidR="005D78A9">
        <w:t>‘any views expressed by the child and any factors (such as the child’s maturity or level of understanding) that the court thinks are relevant to the weight it should give the child’ views’.</w:t>
      </w:r>
      <w:r w:rsidR="003F720B">
        <w:rPr>
          <w:rStyle w:val="EndnoteReference"/>
        </w:rPr>
        <w:endnoteReference w:id="51"/>
      </w:r>
      <w:r w:rsidR="005D78A9">
        <w:t xml:space="preserve"> </w:t>
      </w:r>
    </w:p>
    <w:p w14:paraId="60F581C0" w14:textId="0B6D597B" w:rsidR="00BA6E9C" w:rsidRPr="005D4CEA" w:rsidRDefault="00D21A50" w:rsidP="00BA6E9C">
      <w:pPr>
        <w:pStyle w:val="SubmissionNormal"/>
        <w:rPr>
          <w:lang w:val="en"/>
        </w:rPr>
      </w:pPr>
      <w:r>
        <w:rPr>
          <w:rFonts w:cs="Arial"/>
          <w:lang w:val="en"/>
        </w:rPr>
        <w:t>T</w:t>
      </w:r>
      <w:r w:rsidR="00EA6A09">
        <w:rPr>
          <w:rFonts w:cs="Arial"/>
          <w:lang w:val="en"/>
        </w:rPr>
        <w:t xml:space="preserve">he Commission notes that, </w:t>
      </w:r>
      <w:r w:rsidR="00BA6E9C">
        <w:rPr>
          <w:rFonts w:cs="Arial"/>
          <w:lang w:val="en"/>
        </w:rPr>
        <w:t xml:space="preserve">following amendments to the Family Law Act in 2006, this section </w:t>
      </w:r>
      <w:r w:rsidR="00BA6E9C" w:rsidRPr="005D4CEA">
        <w:rPr>
          <w:lang w:val="en"/>
        </w:rPr>
        <w:t xml:space="preserve">draws a distinction between </w:t>
      </w:r>
      <w:r w:rsidR="000925B6">
        <w:rPr>
          <w:lang w:val="en"/>
        </w:rPr>
        <w:t>‘</w:t>
      </w:r>
      <w:r w:rsidR="00BA6E9C" w:rsidRPr="005D4CEA">
        <w:rPr>
          <w:lang w:val="en"/>
        </w:rPr>
        <w:t>primary considerations</w:t>
      </w:r>
      <w:r w:rsidR="000925B6">
        <w:rPr>
          <w:lang w:val="en"/>
        </w:rPr>
        <w:t>’</w:t>
      </w:r>
      <w:r w:rsidR="00BA6E9C" w:rsidRPr="005D4CEA">
        <w:rPr>
          <w:lang w:val="en"/>
        </w:rPr>
        <w:t xml:space="preserve"> and ‘additional considerations’</w:t>
      </w:r>
      <w:r w:rsidR="00EA6A09">
        <w:rPr>
          <w:lang w:val="en"/>
        </w:rPr>
        <w:t xml:space="preserve">, which appear to </w:t>
      </w:r>
      <w:proofErr w:type="spellStart"/>
      <w:r w:rsidR="00EA6A09">
        <w:rPr>
          <w:lang w:val="en"/>
        </w:rPr>
        <w:t>prioritise</w:t>
      </w:r>
      <w:proofErr w:type="spellEnd"/>
      <w:r w:rsidR="00EA6A09">
        <w:rPr>
          <w:lang w:val="en"/>
        </w:rPr>
        <w:t xml:space="preserve"> certain considerations over others. T</w:t>
      </w:r>
      <w:r w:rsidR="00BA6E9C" w:rsidRPr="005D4CEA">
        <w:rPr>
          <w:rFonts w:cs="Arial"/>
          <w:lang w:val="en"/>
        </w:rPr>
        <w:t>he primary considerations are:</w:t>
      </w:r>
    </w:p>
    <w:p w14:paraId="457F965D" w14:textId="77777777" w:rsidR="00BA6E9C" w:rsidRPr="000C1670" w:rsidRDefault="00BA6E9C" w:rsidP="00BA6E9C">
      <w:pPr>
        <w:pStyle w:val="ListParagraph"/>
        <w:numPr>
          <w:ilvl w:val="0"/>
          <w:numId w:val="17"/>
        </w:numPr>
        <w:rPr>
          <w:sz w:val="22"/>
          <w:szCs w:val="22"/>
          <w:lang w:val="en"/>
        </w:rPr>
      </w:pPr>
      <w:r w:rsidRPr="000C1670">
        <w:rPr>
          <w:rFonts w:cs="Arial"/>
          <w:sz w:val="22"/>
          <w:szCs w:val="22"/>
          <w:lang w:val="en"/>
        </w:rPr>
        <w:t xml:space="preserve">the benefit to the child of having a meaningful relationship with both the child’s parents; and </w:t>
      </w:r>
    </w:p>
    <w:p w14:paraId="4AB8520A" w14:textId="77777777" w:rsidR="00BA6E9C" w:rsidRPr="00A53A09" w:rsidRDefault="00BA6E9C" w:rsidP="00BA6E9C">
      <w:pPr>
        <w:pStyle w:val="ListParagraph"/>
        <w:numPr>
          <w:ilvl w:val="0"/>
          <w:numId w:val="17"/>
        </w:numPr>
        <w:rPr>
          <w:sz w:val="22"/>
          <w:szCs w:val="22"/>
          <w:lang w:val="en"/>
        </w:rPr>
      </w:pPr>
      <w:proofErr w:type="gramStart"/>
      <w:r w:rsidRPr="000C1670">
        <w:rPr>
          <w:rFonts w:cs="Arial"/>
          <w:sz w:val="22"/>
          <w:szCs w:val="22"/>
          <w:lang w:val="en"/>
        </w:rPr>
        <w:t>the</w:t>
      </w:r>
      <w:proofErr w:type="gramEnd"/>
      <w:r w:rsidRPr="000C1670">
        <w:rPr>
          <w:rFonts w:cs="Arial"/>
          <w:sz w:val="22"/>
          <w:szCs w:val="22"/>
          <w:lang w:val="en"/>
        </w:rPr>
        <w:t xml:space="preserve"> </w:t>
      </w:r>
      <w:r>
        <w:rPr>
          <w:rFonts w:cs="Arial"/>
          <w:sz w:val="22"/>
          <w:szCs w:val="22"/>
          <w:lang w:val="en"/>
        </w:rPr>
        <w:t xml:space="preserve">need to </w:t>
      </w:r>
      <w:r w:rsidRPr="000C1670">
        <w:rPr>
          <w:rFonts w:cs="Arial"/>
          <w:sz w:val="22"/>
          <w:szCs w:val="22"/>
          <w:lang w:val="en"/>
        </w:rPr>
        <w:t xml:space="preserve">protect the child from physical or psychological harm from being subjected to, or exposed to, abuse, neglect or family violence. </w:t>
      </w:r>
    </w:p>
    <w:p w14:paraId="1C3024D3" w14:textId="77C69BDC" w:rsidR="00D21A50" w:rsidRPr="00E60081" w:rsidRDefault="00D21A50" w:rsidP="00D21A50">
      <w:pPr>
        <w:pStyle w:val="SubmissionNormal"/>
        <w:rPr>
          <w:lang w:val="en"/>
        </w:rPr>
      </w:pPr>
      <w:r w:rsidRPr="00E60081">
        <w:rPr>
          <w:lang w:val="en"/>
        </w:rPr>
        <w:t xml:space="preserve">In applying these primary considerations, the court </w:t>
      </w:r>
      <w:proofErr w:type="gramStart"/>
      <w:r w:rsidRPr="00E60081">
        <w:rPr>
          <w:lang w:val="en"/>
        </w:rPr>
        <w:t>is directed</w:t>
      </w:r>
      <w:proofErr w:type="gramEnd"/>
      <w:r w:rsidRPr="00E60081">
        <w:rPr>
          <w:lang w:val="en"/>
        </w:rPr>
        <w:t xml:space="preserve"> to give greater weight to the second of them.</w:t>
      </w:r>
      <w:r w:rsidRPr="00E60081">
        <w:rPr>
          <w:rStyle w:val="EndnoteReference"/>
          <w:lang w:val="en"/>
        </w:rPr>
        <w:endnoteReference w:id="52"/>
      </w:r>
      <w:r w:rsidRPr="00E60081">
        <w:rPr>
          <w:lang w:val="en"/>
        </w:rPr>
        <w:t xml:space="preserve"> The Commission considers this is appropriate</w:t>
      </w:r>
      <w:r w:rsidR="000925B6">
        <w:rPr>
          <w:lang w:val="en"/>
        </w:rPr>
        <w:t>,</w:t>
      </w:r>
      <w:r w:rsidRPr="00E60081">
        <w:rPr>
          <w:lang w:val="en"/>
        </w:rPr>
        <w:t xml:space="preserve"> given the prevalence and serious effects of family violence and abuse on children.</w:t>
      </w:r>
      <w:r w:rsidRPr="00E60081">
        <w:rPr>
          <w:rStyle w:val="EndnoteReference"/>
          <w:lang w:val="en"/>
        </w:rPr>
        <w:endnoteReference w:id="53"/>
      </w:r>
    </w:p>
    <w:p w14:paraId="7E01684C" w14:textId="77777777" w:rsidR="00D21A50" w:rsidRPr="00D21A50" w:rsidRDefault="00E60081" w:rsidP="00D21A50">
      <w:pPr>
        <w:pStyle w:val="SubmissionNormal"/>
        <w:rPr>
          <w:lang w:val="en"/>
        </w:rPr>
      </w:pPr>
      <w:r>
        <w:rPr>
          <w:lang w:val="en"/>
        </w:rPr>
        <w:t>The Commission notes that, in</w:t>
      </w:r>
      <w:r w:rsidR="00A46D6C">
        <w:rPr>
          <w:lang w:val="en"/>
        </w:rPr>
        <w:t xml:space="preserve"> contrast to the importance attached to the views of the child under the CRC, children’s vi</w:t>
      </w:r>
      <w:r w:rsidR="00D21A50">
        <w:rPr>
          <w:lang w:val="en"/>
        </w:rPr>
        <w:t>ews under section</w:t>
      </w:r>
      <w:r>
        <w:rPr>
          <w:lang w:val="en"/>
        </w:rPr>
        <w:t xml:space="preserve"> 60CC </w:t>
      </w:r>
      <w:proofErr w:type="gramStart"/>
      <w:r>
        <w:rPr>
          <w:lang w:val="en"/>
        </w:rPr>
        <w:t>are not given</w:t>
      </w:r>
      <w:proofErr w:type="gramEnd"/>
      <w:r>
        <w:rPr>
          <w:lang w:val="en"/>
        </w:rPr>
        <w:t xml:space="preserve"> the status o</w:t>
      </w:r>
      <w:r w:rsidR="00D21A50">
        <w:rPr>
          <w:lang w:val="en"/>
        </w:rPr>
        <w:t>f a primary consideration.</w:t>
      </w:r>
    </w:p>
    <w:p w14:paraId="170B2DEA" w14:textId="74E78E67" w:rsidR="00A46D6C" w:rsidRDefault="00A46D6C" w:rsidP="00A46D6C">
      <w:pPr>
        <w:pStyle w:val="SubmissionNormal"/>
      </w:pPr>
      <w:r>
        <w:t xml:space="preserve">Article 12 of </w:t>
      </w:r>
      <w:r w:rsidR="00E60081">
        <w:t xml:space="preserve">the </w:t>
      </w:r>
      <w:r>
        <w:t>CR</w:t>
      </w:r>
      <w:r w:rsidRPr="00557404">
        <w:t xml:space="preserve">C sets out the </w:t>
      </w:r>
      <w:r w:rsidR="000925B6" w:rsidRPr="00557404">
        <w:t>child</w:t>
      </w:r>
      <w:r w:rsidR="000925B6">
        <w:t>’</w:t>
      </w:r>
      <w:r w:rsidR="000925B6" w:rsidRPr="00557404">
        <w:t xml:space="preserve">s </w:t>
      </w:r>
      <w:r w:rsidRPr="00557404">
        <w:t>right to participate in judicial</w:t>
      </w:r>
      <w:r w:rsidR="003B754D">
        <w:t xml:space="preserve"> and adm</w:t>
      </w:r>
      <w:r w:rsidR="0015710C">
        <w:t>inistrative proceedings. O</w:t>
      </w:r>
      <w:r w:rsidR="003B754D">
        <w:t>ne of the fou</w:t>
      </w:r>
      <w:r w:rsidR="0015710C">
        <w:t>r Guiding Principles of the CRC, article 12</w:t>
      </w:r>
      <w:r w:rsidRPr="00557404">
        <w:t xml:space="preserve"> requires that a child capable of forming </w:t>
      </w:r>
      <w:r w:rsidR="000925B6">
        <w:t>their</w:t>
      </w:r>
      <w:r w:rsidRPr="00557404">
        <w:t xml:space="preserve"> own views has the right to express those views freely in all matters affecting the child and that they be given due weight in accordance with the </w:t>
      </w:r>
      <w:r w:rsidR="000925B6" w:rsidRPr="00557404">
        <w:t>child</w:t>
      </w:r>
      <w:r w:rsidR="000925B6">
        <w:t>’</w:t>
      </w:r>
      <w:r w:rsidR="000925B6" w:rsidRPr="00557404">
        <w:t xml:space="preserve">s </w:t>
      </w:r>
      <w:r w:rsidRPr="00557404">
        <w:t>age and maturity. Further, it requires that the child be provided with the opportunity to be heard in any judicial and administrative pr</w:t>
      </w:r>
      <w:r w:rsidR="00E60081">
        <w:t>oceedings affecting the child—</w:t>
      </w:r>
      <w:r w:rsidRPr="00557404">
        <w:t>this being either directly or through a representative or appropriate body.</w:t>
      </w:r>
    </w:p>
    <w:p w14:paraId="22ED18B1" w14:textId="365AC3F0" w:rsidR="00A46D6C" w:rsidRPr="005D78A9" w:rsidRDefault="00A46D6C" w:rsidP="00A46D6C">
      <w:pPr>
        <w:pStyle w:val="SubmissionNormal"/>
      </w:pPr>
      <w:r>
        <w:t xml:space="preserve">The UN Committee </w:t>
      </w:r>
      <w:r w:rsidR="000925B6">
        <w:t xml:space="preserve">pointed </w:t>
      </w:r>
      <w:r>
        <w:t>out that ‘</w:t>
      </w:r>
      <w:r w:rsidRPr="00471D4A">
        <w:t>simply listening to the child is insufficient; the views of the child have</w:t>
      </w:r>
      <w:r>
        <w:t xml:space="preserve"> </w:t>
      </w:r>
      <w:r w:rsidRPr="00471D4A">
        <w:t xml:space="preserve">to be </w:t>
      </w:r>
      <w:r w:rsidRPr="002B6BA0">
        <w:rPr>
          <w:i/>
        </w:rPr>
        <w:t>seriously</w:t>
      </w:r>
      <w:r w:rsidRPr="00471D4A">
        <w:t xml:space="preserve"> considered when the child is capable of forming her or his </w:t>
      </w:r>
      <w:r>
        <w:t>own views’</w:t>
      </w:r>
      <w:r w:rsidR="000925B6">
        <w:t xml:space="preserve"> (emphasis added)</w:t>
      </w:r>
      <w:r>
        <w:t xml:space="preserve">. Article 12 makes it clear that the views of the child need to be assessed on a </w:t>
      </w:r>
      <w:proofErr w:type="gramStart"/>
      <w:r>
        <w:t>case by case</w:t>
      </w:r>
      <w:proofErr w:type="gramEnd"/>
      <w:r>
        <w:t xml:space="preserve"> basis.</w:t>
      </w:r>
    </w:p>
    <w:p w14:paraId="7CD8F7FE" w14:textId="531B9FC9" w:rsidR="00293676" w:rsidRDefault="00A46D6C" w:rsidP="00A46D6C">
      <w:pPr>
        <w:pStyle w:val="SubmissionNormal"/>
        <w:rPr>
          <w:lang w:val="en"/>
        </w:rPr>
      </w:pPr>
      <w:r>
        <w:rPr>
          <w:lang w:val="en"/>
        </w:rPr>
        <w:t xml:space="preserve">In a </w:t>
      </w:r>
      <w:r w:rsidR="005D78A9">
        <w:rPr>
          <w:lang w:val="en"/>
        </w:rPr>
        <w:t>submission to the Senate Legal and Cons</w:t>
      </w:r>
      <w:r w:rsidR="005C573E">
        <w:rPr>
          <w:lang w:val="en"/>
        </w:rPr>
        <w:t>tituti</w:t>
      </w:r>
      <w:r w:rsidR="005D78A9">
        <w:rPr>
          <w:lang w:val="en"/>
        </w:rPr>
        <w:t>onal Committee’</w:t>
      </w:r>
      <w:r w:rsidR="005C573E">
        <w:rPr>
          <w:lang w:val="en"/>
        </w:rPr>
        <w:t xml:space="preserve">s Inquiry in </w:t>
      </w:r>
      <w:r w:rsidR="005D78A9">
        <w:rPr>
          <w:lang w:val="en"/>
        </w:rPr>
        <w:t xml:space="preserve">the provisions of the Family </w:t>
      </w:r>
      <w:r w:rsidR="005C573E">
        <w:rPr>
          <w:lang w:val="en"/>
        </w:rPr>
        <w:t>Law Amendment (Shared Parental R</w:t>
      </w:r>
      <w:r>
        <w:rPr>
          <w:lang w:val="en"/>
        </w:rPr>
        <w:t xml:space="preserve">esponsibility) Bill 2005, the Commission </w:t>
      </w:r>
      <w:r w:rsidR="005C573E">
        <w:rPr>
          <w:lang w:val="en"/>
        </w:rPr>
        <w:t>expressed its disapp</w:t>
      </w:r>
      <w:r w:rsidR="005D78A9">
        <w:rPr>
          <w:lang w:val="en"/>
        </w:rPr>
        <w:t>ointment that t</w:t>
      </w:r>
      <w:r w:rsidR="0015710C">
        <w:rPr>
          <w:lang w:val="en"/>
        </w:rPr>
        <w:t xml:space="preserve">he views of the child </w:t>
      </w:r>
      <w:proofErr w:type="gramStart"/>
      <w:r w:rsidR="0015710C">
        <w:rPr>
          <w:lang w:val="en"/>
        </w:rPr>
        <w:t xml:space="preserve">were </w:t>
      </w:r>
      <w:r w:rsidR="005D78A9">
        <w:rPr>
          <w:lang w:val="en"/>
        </w:rPr>
        <w:t>given</w:t>
      </w:r>
      <w:proofErr w:type="gramEnd"/>
      <w:r w:rsidR="000925B6">
        <w:rPr>
          <w:lang w:val="en"/>
        </w:rPr>
        <w:t xml:space="preserve"> only</w:t>
      </w:r>
      <w:r w:rsidR="005D78A9">
        <w:rPr>
          <w:lang w:val="en"/>
        </w:rPr>
        <w:t xml:space="preserve"> secondary weight.</w:t>
      </w:r>
      <w:r w:rsidR="002007F8">
        <w:rPr>
          <w:rStyle w:val="EndnoteReference"/>
          <w:lang w:val="en"/>
        </w:rPr>
        <w:endnoteReference w:id="54"/>
      </w:r>
      <w:r w:rsidR="005D78A9">
        <w:rPr>
          <w:lang w:val="en"/>
        </w:rPr>
        <w:t xml:space="preserve"> </w:t>
      </w:r>
    </w:p>
    <w:p w14:paraId="2AAEC63B" w14:textId="1F902566" w:rsidR="002007F8" w:rsidRPr="00A46D6C" w:rsidRDefault="000925B6" w:rsidP="00A46D6C">
      <w:pPr>
        <w:pStyle w:val="SubmissionNormal"/>
        <w:rPr>
          <w:lang w:val="en"/>
        </w:rPr>
      </w:pPr>
      <w:r>
        <w:t xml:space="preserve">The Commission </w:t>
      </w:r>
      <w:r w:rsidR="002007F8">
        <w:t>recommended at that time</w:t>
      </w:r>
      <w:r w:rsidR="002007F8" w:rsidRPr="002B2BDB">
        <w:t xml:space="preserve"> that</w:t>
      </w:r>
      <w:r>
        <w:t>:</w:t>
      </w:r>
      <w:r w:rsidR="002007F8" w:rsidRPr="002B2BDB">
        <w:t xml:space="preserve"> either the list of matters to be considered in deciding on the best interests of the child all be given equal</w:t>
      </w:r>
      <w:r w:rsidR="002007F8">
        <w:t xml:space="preserve"> weight</w:t>
      </w:r>
      <w:r>
        <w:t>;</w:t>
      </w:r>
      <w:r w:rsidR="002007F8">
        <w:t xml:space="preserve"> </w:t>
      </w:r>
      <w:r w:rsidR="002007F8" w:rsidRPr="002B2BDB">
        <w:t>or that the views of the child be included as a third primary consideration of the child’s bes</w:t>
      </w:r>
      <w:r w:rsidR="002007F8">
        <w:t>t interest</w:t>
      </w:r>
      <w:r w:rsidR="002007F8" w:rsidRPr="002B2BDB">
        <w:t>.</w:t>
      </w:r>
    </w:p>
    <w:p w14:paraId="0DF7A220" w14:textId="48EC20AB" w:rsidR="00EA6A09" w:rsidRPr="00E60081" w:rsidRDefault="00BA7B77" w:rsidP="00EA6A09">
      <w:pPr>
        <w:pStyle w:val="SubmissionNormal"/>
        <w:rPr>
          <w:rStyle w:val="Strong"/>
          <w:b w:val="0"/>
          <w:bCs w:val="0"/>
          <w:lang w:val="en"/>
        </w:rPr>
      </w:pPr>
      <w:r>
        <w:rPr>
          <w:rStyle w:val="Emphasis"/>
          <w:rFonts w:cs="Arial"/>
          <w:b/>
          <w:bCs/>
          <w:i w:val="0"/>
          <w:lang w:val="en"/>
        </w:rPr>
        <w:t xml:space="preserve">Recommendation </w:t>
      </w:r>
      <w:r w:rsidR="000260EE">
        <w:rPr>
          <w:rStyle w:val="Emphasis"/>
          <w:rFonts w:cs="Arial"/>
          <w:b/>
          <w:bCs/>
          <w:i w:val="0"/>
          <w:lang w:val="en"/>
        </w:rPr>
        <w:t>8</w:t>
      </w:r>
      <w:r w:rsidR="00EA6A09" w:rsidRPr="00E60081">
        <w:rPr>
          <w:rFonts w:cs="Arial"/>
          <w:lang w:val="en"/>
        </w:rPr>
        <w:t>:</w:t>
      </w:r>
      <w:r w:rsidR="00293676" w:rsidRPr="00E60081">
        <w:rPr>
          <w:rStyle w:val="Strong"/>
          <w:rFonts w:cs="Arial"/>
          <w:lang w:val="en"/>
        </w:rPr>
        <w:t xml:space="preserve"> Consid</w:t>
      </w:r>
      <w:r w:rsidR="00E60081">
        <w:rPr>
          <w:rStyle w:val="Strong"/>
          <w:rFonts w:cs="Arial"/>
          <w:lang w:val="en"/>
        </w:rPr>
        <w:t xml:space="preserve">eration of </w:t>
      </w:r>
      <w:r w:rsidR="00293676" w:rsidRPr="00E60081">
        <w:rPr>
          <w:rStyle w:val="Strong"/>
          <w:rFonts w:cs="Arial"/>
          <w:lang w:val="en"/>
        </w:rPr>
        <w:t>the v</w:t>
      </w:r>
      <w:r w:rsidR="00A46D6C" w:rsidRPr="00E60081">
        <w:rPr>
          <w:rStyle w:val="Strong"/>
          <w:rFonts w:cs="Arial"/>
          <w:lang w:val="en"/>
        </w:rPr>
        <w:t xml:space="preserve">iews of </w:t>
      </w:r>
      <w:r w:rsidR="000D377D" w:rsidRPr="00E60081">
        <w:rPr>
          <w:rStyle w:val="Strong"/>
          <w:rFonts w:cs="Arial"/>
          <w:lang w:val="en"/>
        </w:rPr>
        <w:t>the child is</w:t>
      </w:r>
      <w:r w:rsidR="00E02C6C" w:rsidRPr="00E60081">
        <w:rPr>
          <w:rStyle w:val="Strong"/>
          <w:rFonts w:cs="Arial"/>
          <w:lang w:val="en"/>
        </w:rPr>
        <w:t xml:space="preserve"> included as a third primary consideration</w:t>
      </w:r>
      <w:r w:rsidR="006864A7" w:rsidRPr="00E60081">
        <w:rPr>
          <w:rStyle w:val="Strong"/>
          <w:rFonts w:cs="Arial"/>
          <w:lang w:val="en"/>
        </w:rPr>
        <w:t xml:space="preserve"> in section 60CC</w:t>
      </w:r>
      <w:r w:rsidR="00293676" w:rsidRPr="00E60081">
        <w:rPr>
          <w:rStyle w:val="Strong"/>
          <w:rFonts w:cs="Arial"/>
          <w:lang w:val="en"/>
        </w:rPr>
        <w:t xml:space="preserve"> of the Family Law Act.</w:t>
      </w:r>
    </w:p>
    <w:p w14:paraId="70134D2F" w14:textId="77777777" w:rsidR="001826C9" w:rsidRPr="00590615" w:rsidRDefault="003E647F" w:rsidP="00716BFC">
      <w:pPr>
        <w:pStyle w:val="Heading3"/>
        <w:numPr>
          <w:ilvl w:val="2"/>
          <w:numId w:val="16"/>
        </w:numPr>
      </w:pPr>
      <w:bookmarkStart w:id="28" w:name="_Toc531787312"/>
      <w:r>
        <w:t xml:space="preserve">Indigenous </w:t>
      </w:r>
      <w:r w:rsidR="009937E2">
        <w:t>c</w:t>
      </w:r>
      <w:r w:rsidR="00985462" w:rsidRPr="00590615">
        <w:t>hild’s right to enjoy their culture</w:t>
      </w:r>
      <w:bookmarkEnd w:id="28"/>
    </w:p>
    <w:p w14:paraId="2F8500AE" w14:textId="77777777" w:rsidR="001826C9" w:rsidRPr="00FD6FF6" w:rsidRDefault="001826C9" w:rsidP="00230BE6">
      <w:pPr>
        <w:pStyle w:val="SubmissionNormal"/>
      </w:pPr>
      <w:r w:rsidRPr="00FD6FF6">
        <w:t>Article 3</w:t>
      </w:r>
      <w:r w:rsidR="00E66990">
        <w:t>0</w:t>
      </w:r>
      <w:r w:rsidRPr="00FD6FF6">
        <w:t xml:space="preserve"> of the CRC explicitly recognises the right of </w:t>
      </w:r>
      <w:r>
        <w:t>Indigenous</w:t>
      </w:r>
      <w:r w:rsidRPr="00FD6FF6">
        <w:t xml:space="preserve"> children to culture, language and religion, and states that: </w:t>
      </w:r>
    </w:p>
    <w:p w14:paraId="1C77EFC0" w14:textId="77777777" w:rsidR="001826C9" w:rsidRPr="00590615" w:rsidRDefault="001826C9" w:rsidP="00590615">
      <w:pPr>
        <w:ind w:left="1440"/>
        <w:rPr>
          <w:sz w:val="22"/>
          <w:szCs w:val="22"/>
        </w:rPr>
      </w:pPr>
      <w:proofErr w:type="gramStart"/>
      <w:r w:rsidRPr="00590615">
        <w:rPr>
          <w:sz w:val="22"/>
          <w:szCs w:val="22"/>
        </w:rPr>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roofErr w:type="gramEnd"/>
    </w:p>
    <w:p w14:paraId="403558BD" w14:textId="5BDD6326" w:rsidR="001826C9" w:rsidRPr="00FD6FF6" w:rsidRDefault="001826C9" w:rsidP="00230BE6">
      <w:pPr>
        <w:pStyle w:val="SubmissionNormal"/>
      </w:pPr>
      <w:r w:rsidRPr="00FD6FF6">
        <w:t xml:space="preserve">Under section </w:t>
      </w:r>
      <w:proofErr w:type="gramStart"/>
      <w:r w:rsidRPr="00FD6FF6">
        <w:t>60CC(</w:t>
      </w:r>
      <w:proofErr w:type="gramEnd"/>
      <w:r w:rsidRPr="00FD6FF6">
        <w:t xml:space="preserve">3)(h) of the Family Law Act, </w:t>
      </w:r>
      <w:r>
        <w:t>the court, w</w:t>
      </w:r>
      <w:r w:rsidRPr="00FD6FF6">
        <w:t xml:space="preserve">hen </w:t>
      </w:r>
      <w:r>
        <w:t>determining</w:t>
      </w:r>
      <w:r w:rsidRPr="00FD6FF6">
        <w:t xml:space="preserve"> </w:t>
      </w:r>
      <w:r>
        <w:t xml:space="preserve">an </w:t>
      </w:r>
      <w:r w:rsidRPr="00FD6FF6">
        <w:t xml:space="preserve">Aboriginal </w:t>
      </w:r>
      <w:r>
        <w:t>or</w:t>
      </w:r>
      <w:r w:rsidRPr="00FD6FF6">
        <w:t xml:space="preserve"> Torres Strait Islander </w:t>
      </w:r>
      <w:r>
        <w:t>child’s best interest</w:t>
      </w:r>
      <w:r w:rsidR="000925B6">
        <w:t>s</w:t>
      </w:r>
      <w:r>
        <w:t>, must consider</w:t>
      </w:r>
      <w:r w:rsidRPr="00FD6FF6">
        <w:t xml:space="preserve"> the child</w:t>
      </w:r>
      <w:r w:rsidR="00E66990">
        <w:t>’</w:t>
      </w:r>
      <w:r w:rsidRPr="00FD6FF6">
        <w:t xml:space="preserve">s right to enjoy </w:t>
      </w:r>
      <w:r w:rsidR="000925B6">
        <w:t>their</w:t>
      </w:r>
      <w:r w:rsidRPr="00FD6FF6">
        <w:t xml:space="preserve"> Aboriginal or Torres Strait Islander culture</w:t>
      </w:r>
      <w:r>
        <w:t xml:space="preserve">. </w:t>
      </w:r>
      <w:r w:rsidRPr="00FD6FF6">
        <w:t xml:space="preserve">Section </w:t>
      </w:r>
      <w:proofErr w:type="gramStart"/>
      <w:r w:rsidRPr="00FD6FF6">
        <w:t>60CC(</w:t>
      </w:r>
      <w:proofErr w:type="gramEnd"/>
      <w:r w:rsidRPr="00FD6FF6">
        <w:t>3)(h) falls under Part VII of the Family Law Act which, amongst other</w:t>
      </w:r>
      <w:r w:rsidR="00E66990">
        <w:t xml:space="preserve"> things</w:t>
      </w:r>
      <w:r w:rsidRPr="00FD6FF6">
        <w:t>, vests power in the relevant courts to make ‘parenting orders’ about the care of children.</w:t>
      </w:r>
    </w:p>
    <w:p w14:paraId="599A2925" w14:textId="22F1D428" w:rsidR="001826C9" w:rsidRDefault="001826C9" w:rsidP="00230BE6">
      <w:pPr>
        <w:pStyle w:val="SubmissionNormal"/>
      </w:pPr>
      <w:r w:rsidRPr="00FD6FF6">
        <w:t xml:space="preserve">For Aboriginal and Torres Strait Islander children, a fundamental link </w:t>
      </w:r>
      <w:r>
        <w:t xml:space="preserve">exists </w:t>
      </w:r>
      <w:r w:rsidRPr="00FD6FF6">
        <w:t xml:space="preserve">between the ability to enjoy </w:t>
      </w:r>
      <w:r w:rsidR="00880271">
        <w:t>their</w:t>
      </w:r>
      <w:r w:rsidRPr="00FD6FF6">
        <w:t xml:space="preserve"> own culture and growing up with continuity to </w:t>
      </w:r>
      <w:r w:rsidR="00880271">
        <w:t>their</w:t>
      </w:r>
      <w:r w:rsidRPr="00FD6FF6">
        <w:t xml:space="preserve"> Indigenous </w:t>
      </w:r>
      <w:r>
        <w:t>culture</w:t>
      </w:r>
      <w:r w:rsidRPr="00FD6FF6">
        <w:t xml:space="preserve">. The importance of this </w:t>
      </w:r>
      <w:r>
        <w:t>link</w:t>
      </w:r>
      <w:r w:rsidRPr="00FD6FF6">
        <w:t xml:space="preserve"> is the foundation of the Aboriginal and Torres Strait Islander Ch</w:t>
      </w:r>
      <w:r w:rsidR="00590615">
        <w:t>ild Placement Principle, which ‘</w:t>
      </w:r>
      <w:r w:rsidRPr="00FD6FF6">
        <w:t>was developed in recognition of the devastating effects of forced separation of Indigenous children from fa</w:t>
      </w:r>
      <w:r w:rsidR="00590615">
        <w:t>milies, communities and culture’</w:t>
      </w:r>
      <w:r w:rsidRPr="00FD6FF6">
        <w:t>.</w:t>
      </w:r>
      <w:r w:rsidRPr="00FD6FF6">
        <w:rPr>
          <w:rStyle w:val="EndnoteReference"/>
          <w:rFonts w:cs="Arial"/>
        </w:rPr>
        <w:endnoteReference w:id="55"/>
      </w:r>
      <w:r w:rsidRPr="00FD6FF6">
        <w:t xml:space="preserve"> When determining what is in the Indigenous child’s best interests, regard </w:t>
      </w:r>
      <w:proofErr w:type="gramStart"/>
      <w:r w:rsidRPr="00FD6FF6">
        <w:t>should therefore be given</w:t>
      </w:r>
      <w:proofErr w:type="gramEnd"/>
      <w:r w:rsidRPr="00FD6FF6">
        <w:t xml:space="preserve"> to preventing the loss of cultural identity by ensuring that the child maintains connection with </w:t>
      </w:r>
      <w:r>
        <w:t>his or her Indigenous</w:t>
      </w:r>
      <w:r w:rsidRPr="00FD6FF6">
        <w:t xml:space="preserve"> cultural identity.</w:t>
      </w:r>
      <w:r w:rsidR="00B2199A">
        <w:rPr>
          <w:rStyle w:val="EndnoteReference"/>
        </w:rPr>
        <w:endnoteReference w:id="56"/>
      </w:r>
      <w:r>
        <w:t xml:space="preserve"> As stated by June Oscar, the Aboriginal and Torres Strait Islander Social Justice Commissioner: </w:t>
      </w:r>
    </w:p>
    <w:p w14:paraId="0A294C28" w14:textId="77777777" w:rsidR="001826C9" w:rsidRPr="001826C9" w:rsidRDefault="001826C9" w:rsidP="001826C9">
      <w:pPr>
        <w:ind w:left="1440"/>
        <w:rPr>
          <w:sz w:val="22"/>
          <w:szCs w:val="22"/>
        </w:rPr>
      </w:pPr>
      <w:r w:rsidRPr="001826C9">
        <w:rPr>
          <w:sz w:val="22"/>
          <w:szCs w:val="22"/>
        </w:rPr>
        <w:t xml:space="preserve">Our sense of a strong and respected Aboriginal and Torres Strait Islander identity is fundamental to supporting our cultural </w:t>
      </w:r>
      <w:proofErr w:type="gramStart"/>
      <w:r w:rsidRPr="001826C9">
        <w:rPr>
          <w:sz w:val="22"/>
          <w:szCs w:val="22"/>
        </w:rPr>
        <w:t>life which</w:t>
      </w:r>
      <w:proofErr w:type="gramEnd"/>
      <w:r w:rsidRPr="001826C9">
        <w:rPr>
          <w:sz w:val="22"/>
          <w:szCs w:val="22"/>
        </w:rPr>
        <w:t xml:space="preserve"> in turn is vital to our health and wellbeing. The freedom to express who we are and practice our culture in all parts of our life is evidenced to alleviate health issues, to keeping children at home, in their communities and in school, it promotes resilience, it protects against ill health and psychological damage, and it is a predicate for post-school qualifications and for entering the workforce.</w:t>
      </w:r>
      <w:r w:rsidR="00B2199A">
        <w:rPr>
          <w:rStyle w:val="EndnoteReference"/>
          <w:szCs w:val="22"/>
        </w:rPr>
        <w:endnoteReference w:id="57"/>
      </w:r>
    </w:p>
    <w:p w14:paraId="6D5B5A98" w14:textId="6E3AB47D" w:rsidR="001826C9" w:rsidRPr="00FD6FF6" w:rsidRDefault="001826C9" w:rsidP="00230BE6">
      <w:pPr>
        <w:pStyle w:val="SubmissionNormal"/>
      </w:pPr>
      <w:r w:rsidRPr="00FD6FF6">
        <w:t xml:space="preserve">When assessing the best interests of an </w:t>
      </w:r>
      <w:r>
        <w:t>Indigenous</w:t>
      </w:r>
      <w:r w:rsidRPr="00FD6FF6">
        <w:t xml:space="preserve"> child, the </w:t>
      </w:r>
      <w:r>
        <w:t>CRC</w:t>
      </w:r>
      <w:r w:rsidRPr="00FD6FF6">
        <w:t xml:space="preserve"> has </w:t>
      </w:r>
      <w:r w:rsidR="00445FF2">
        <w:t xml:space="preserve">underlined that the child’s best interests need to be conceived both as an individual and collective right. As a result, consideration needs to </w:t>
      </w:r>
      <w:proofErr w:type="gramStart"/>
      <w:r w:rsidR="00445FF2">
        <w:t>be given</w:t>
      </w:r>
      <w:proofErr w:type="gramEnd"/>
      <w:r w:rsidR="00445FF2">
        <w:t xml:space="preserve"> to </w:t>
      </w:r>
      <w:r w:rsidRPr="00FD6FF6">
        <w:t xml:space="preserve">the cultural rights of the </w:t>
      </w:r>
      <w:r>
        <w:t>Indigenous</w:t>
      </w:r>
      <w:r w:rsidRPr="00FD6FF6">
        <w:t xml:space="preserve"> child and </w:t>
      </w:r>
      <w:r w:rsidR="00880271">
        <w:t>their</w:t>
      </w:r>
      <w:r w:rsidRPr="00FD6FF6">
        <w:t xml:space="preserve"> need to exercise such rights collectively with members of their group.</w:t>
      </w:r>
      <w:r w:rsidR="00B2199A">
        <w:rPr>
          <w:rStyle w:val="EndnoteReference"/>
        </w:rPr>
        <w:endnoteReference w:id="58"/>
      </w:r>
      <w:r w:rsidR="00B2199A">
        <w:t xml:space="preserve"> </w:t>
      </w:r>
      <w:r w:rsidRPr="00FD6FF6">
        <w:t xml:space="preserve">It </w:t>
      </w:r>
      <w:r>
        <w:t xml:space="preserve">has </w:t>
      </w:r>
      <w:r w:rsidRPr="00FD6FF6">
        <w:t xml:space="preserve">stated that: </w:t>
      </w:r>
    </w:p>
    <w:p w14:paraId="64AF5EAB" w14:textId="77777777" w:rsidR="001826C9" w:rsidRPr="001826C9" w:rsidRDefault="001826C9" w:rsidP="001826C9">
      <w:pPr>
        <w:ind w:left="1440"/>
        <w:rPr>
          <w:sz w:val="22"/>
          <w:szCs w:val="22"/>
        </w:rPr>
      </w:pPr>
      <w:r w:rsidRPr="001826C9">
        <w:rPr>
          <w:sz w:val="22"/>
          <w:szCs w:val="22"/>
        </w:rPr>
        <w:t xml:space="preserve">States should always ensure that the principle of the best interests of the child is the paramount consideration in any alternative care placement of indigenous children and in accordance with article 20(3) of the Convention pay due regard to the desirability of continuity in the child’s upbringing and to the child’s ethnic, religious, cultural and linguistic background. In States parties where indigenous children are overrepresented among children separated from their family environment, specially targeted policy measures </w:t>
      </w:r>
      <w:proofErr w:type="gramStart"/>
      <w:r w:rsidRPr="001826C9">
        <w:rPr>
          <w:sz w:val="22"/>
          <w:szCs w:val="22"/>
        </w:rPr>
        <w:t>should be developed</w:t>
      </w:r>
      <w:proofErr w:type="gramEnd"/>
      <w:r w:rsidRPr="001826C9">
        <w:rPr>
          <w:sz w:val="22"/>
          <w:szCs w:val="22"/>
        </w:rPr>
        <w:t xml:space="preserve"> in consultation with indigenous communities in order to reduce the number of indigenous children in alternative care and prevent the loss of their cultural identity.</w:t>
      </w:r>
      <w:r w:rsidR="00B2199A">
        <w:rPr>
          <w:rStyle w:val="EndnoteReference"/>
          <w:szCs w:val="22"/>
        </w:rPr>
        <w:endnoteReference w:id="59"/>
      </w:r>
    </w:p>
    <w:p w14:paraId="36CFC43A" w14:textId="5E6EB7BE" w:rsidR="00D16CA9" w:rsidRPr="00716BFC" w:rsidRDefault="00716BFC" w:rsidP="00D16CA9">
      <w:pPr>
        <w:pStyle w:val="SubmissionNormal"/>
      </w:pPr>
      <w:r>
        <w:t>T</w:t>
      </w:r>
      <w:r w:rsidR="00D16CA9" w:rsidRPr="00FD6FF6">
        <w:t xml:space="preserve">he Commission </w:t>
      </w:r>
      <w:r w:rsidR="00880271">
        <w:t>considers</w:t>
      </w:r>
      <w:r w:rsidR="00D16CA9" w:rsidRPr="00FD6FF6">
        <w:t xml:space="preserve"> that the </w:t>
      </w:r>
      <w:r w:rsidR="00D16CA9">
        <w:t xml:space="preserve">five core elements of the </w:t>
      </w:r>
      <w:r w:rsidR="00D16CA9" w:rsidRPr="00FD6FF6">
        <w:t>Aboriginal and Torres Strait Islander Child Placement Principle</w:t>
      </w:r>
      <w:r w:rsidR="0015710C">
        <w:t xml:space="preserve"> </w:t>
      </w:r>
      <w:r w:rsidR="009C5F17" w:rsidRPr="00716BFC">
        <w:t xml:space="preserve">could provide </w:t>
      </w:r>
      <w:r w:rsidR="00D16CA9" w:rsidRPr="00716BFC">
        <w:t xml:space="preserve">the court </w:t>
      </w:r>
      <w:r w:rsidR="009C5F17" w:rsidRPr="00716BFC">
        <w:t xml:space="preserve">with some guidance </w:t>
      </w:r>
      <w:r w:rsidR="00D16CA9" w:rsidRPr="00716BFC">
        <w:t xml:space="preserve">when considering the matters set out in section 60CC(3)(h): </w:t>
      </w:r>
    </w:p>
    <w:p w14:paraId="5BA7B372" w14:textId="77777777" w:rsidR="00D16CA9" w:rsidRPr="00716BFC" w:rsidRDefault="00D16CA9" w:rsidP="007D38CA">
      <w:pPr>
        <w:pStyle w:val="ListParagraph"/>
        <w:numPr>
          <w:ilvl w:val="0"/>
          <w:numId w:val="28"/>
        </w:numPr>
        <w:spacing w:before="100" w:beforeAutospacing="1" w:after="100" w:afterAutospacing="1"/>
        <w:rPr>
          <w:rFonts w:cs="Arial"/>
          <w:sz w:val="23"/>
          <w:szCs w:val="23"/>
        </w:rPr>
      </w:pPr>
      <w:r w:rsidRPr="00716BFC">
        <w:rPr>
          <w:rFonts w:cs="Arial"/>
          <w:sz w:val="23"/>
          <w:szCs w:val="23"/>
        </w:rPr>
        <w:t xml:space="preserve">Prevention: Protecting children’s rights to grow up in family, community and culture by redressing the causes of child protection intervention </w:t>
      </w:r>
    </w:p>
    <w:p w14:paraId="4B9BF61A" w14:textId="77777777" w:rsidR="00D16CA9" w:rsidRPr="00716BFC" w:rsidRDefault="00D16CA9" w:rsidP="007D38CA">
      <w:pPr>
        <w:pStyle w:val="ListParagraph"/>
        <w:numPr>
          <w:ilvl w:val="0"/>
          <w:numId w:val="28"/>
        </w:numPr>
        <w:spacing w:before="100" w:beforeAutospacing="1" w:after="100" w:afterAutospacing="1"/>
        <w:rPr>
          <w:rFonts w:cs="Arial"/>
          <w:sz w:val="23"/>
          <w:szCs w:val="23"/>
        </w:rPr>
      </w:pPr>
      <w:r w:rsidRPr="00716BFC">
        <w:rPr>
          <w:rFonts w:cs="Arial"/>
          <w:sz w:val="23"/>
          <w:szCs w:val="23"/>
        </w:rPr>
        <w:t xml:space="preserve">Partnership: Ensuring the participation of community representatives in service design, delivery and individual case decisions </w:t>
      </w:r>
    </w:p>
    <w:p w14:paraId="393D2D8B" w14:textId="77777777" w:rsidR="00D16CA9" w:rsidRPr="00716BFC" w:rsidRDefault="00D16CA9" w:rsidP="007D38CA">
      <w:pPr>
        <w:pStyle w:val="ListParagraph"/>
        <w:numPr>
          <w:ilvl w:val="0"/>
          <w:numId w:val="28"/>
        </w:numPr>
        <w:spacing w:before="100" w:beforeAutospacing="1" w:after="100" w:afterAutospacing="1"/>
        <w:rPr>
          <w:rFonts w:cs="Arial"/>
          <w:sz w:val="23"/>
          <w:szCs w:val="23"/>
        </w:rPr>
      </w:pPr>
      <w:r w:rsidRPr="00716BFC">
        <w:rPr>
          <w:rFonts w:cs="Arial"/>
          <w:sz w:val="23"/>
          <w:szCs w:val="23"/>
        </w:rPr>
        <w:t>Connection: Maintaining and supporting connections to family, community, culture and country for children in out-of-home care</w:t>
      </w:r>
    </w:p>
    <w:p w14:paraId="7B090F20" w14:textId="77777777" w:rsidR="00D16CA9" w:rsidRPr="00716BFC" w:rsidRDefault="00D16CA9" w:rsidP="007D38CA">
      <w:pPr>
        <w:pStyle w:val="ListParagraph"/>
        <w:numPr>
          <w:ilvl w:val="0"/>
          <w:numId w:val="28"/>
        </w:numPr>
        <w:spacing w:before="100" w:beforeAutospacing="1" w:after="100" w:afterAutospacing="1"/>
        <w:rPr>
          <w:rFonts w:cs="Arial"/>
          <w:sz w:val="23"/>
          <w:szCs w:val="23"/>
        </w:rPr>
      </w:pPr>
      <w:r w:rsidRPr="00716BFC">
        <w:rPr>
          <w:rFonts w:cs="Arial"/>
          <w:sz w:val="23"/>
          <w:szCs w:val="23"/>
        </w:rPr>
        <w:t>Participation: Ensuring the participation of children, parents and family members in decisions regarding the care and protection of their children</w:t>
      </w:r>
    </w:p>
    <w:p w14:paraId="25963277" w14:textId="77777777" w:rsidR="00D16CA9" w:rsidRPr="00716BFC" w:rsidRDefault="00D16CA9" w:rsidP="007D38CA">
      <w:pPr>
        <w:pStyle w:val="ListParagraph"/>
        <w:numPr>
          <w:ilvl w:val="0"/>
          <w:numId w:val="28"/>
        </w:numPr>
        <w:spacing w:before="100" w:beforeAutospacing="1" w:after="100" w:afterAutospacing="1"/>
        <w:rPr>
          <w:rFonts w:cs="Arial"/>
          <w:sz w:val="23"/>
          <w:szCs w:val="23"/>
        </w:rPr>
      </w:pPr>
      <w:r w:rsidRPr="00716BFC">
        <w:rPr>
          <w:rFonts w:cs="Arial"/>
          <w:sz w:val="23"/>
          <w:szCs w:val="23"/>
        </w:rPr>
        <w:t>Placement: Placing children in out-of-home care in accordance with the established ATSICPP placement hierarchy.</w:t>
      </w:r>
      <w:r w:rsidR="0015710C">
        <w:rPr>
          <w:rStyle w:val="EndnoteReference"/>
          <w:rFonts w:cs="Arial"/>
          <w:szCs w:val="23"/>
        </w:rPr>
        <w:endnoteReference w:id="60"/>
      </w:r>
    </w:p>
    <w:p w14:paraId="0E1AD22E" w14:textId="05899CD1" w:rsidR="00D16CA9" w:rsidRPr="00CC0C85" w:rsidRDefault="00D16CA9" w:rsidP="00D16CA9">
      <w:pPr>
        <w:pStyle w:val="SubmissionNormal"/>
      </w:pPr>
      <w:r>
        <w:t xml:space="preserve">The </w:t>
      </w:r>
      <w:r w:rsidRPr="00CC0C85">
        <w:t>Secretariat of National Aboriginal and Islander Child Care</w:t>
      </w:r>
      <w:r>
        <w:t xml:space="preserve"> has provided a detailed description of each of these five elements, which draws on research and the guidance of Aboriginal and Torres Strait Islander leaders in the child and family services sector.</w:t>
      </w:r>
      <w:r>
        <w:rPr>
          <w:rStyle w:val="EndnoteReference"/>
        </w:rPr>
        <w:endnoteReference w:id="61"/>
      </w:r>
    </w:p>
    <w:p w14:paraId="35FDE51C" w14:textId="5F389514" w:rsidR="00D16CA9" w:rsidRDefault="00D16CA9" w:rsidP="00D16CA9">
      <w:pPr>
        <w:pStyle w:val="SubmissionNormal"/>
      </w:pPr>
      <w:r>
        <w:t>T</w:t>
      </w:r>
      <w:r w:rsidRPr="00FD6FF6">
        <w:t>he child</w:t>
      </w:r>
      <w:r w:rsidR="006C42CA">
        <w:t>’</w:t>
      </w:r>
      <w:r w:rsidRPr="00FD6FF6">
        <w:t xml:space="preserve">s right to enjoy his or her culture under section </w:t>
      </w:r>
      <w:proofErr w:type="gramStart"/>
      <w:r w:rsidRPr="00FD6FF6">
        <w:t>60CC(</w:t>
      </w:r>
      <w:proofErr w:type="gramEnd"/>
      <w:r w:rsidRPr="00FD6FF6">
        <w:t xml:space="preserve">3)(h) of the Family Law Act should </w:t>
      </w:r>
      <w:r>
        <w:t xml:space="preserve">also </w:t>
      </w:r>
      <w:r w:rsidRPr="00FD6FF6">
        <w:t xml:space="preserve">be interpreted in a manner consistent with international human rights </w:t>
      </w:r>
      <w:r>
        <w:t>standards</w:t>
      </w:r>
      <w:r w:rsidRPr="00FD6FF6">
        <w:t xml:space="preserve">, in particular the CRC. </w:t>
      </w:r>
      <w:r>
        <w:t>This is consistent with s</w:t>
      </w:r>
      <w:r w:rsidR="006C42CA">
        <w:t>ection</w:t>
      </w:r>
      <w:r>
        <w:t xml:space="preserve"> </w:t>
      </w:r>
      <w:proofErr w:type="gramStart"/>
      <w:r>
        <w:t>60B(</w:t>
      </w:r>
      <w:proofErr w:type="gramEnd"/>
      <w:r>
        <w:t xml:space="preserve">4) of the Family Law Act. </w:t>
      </w:r>
    </w:p>
    <w:p w14:paraId="684B3810" w14:textId="77777777" w:rsidR="009E7557" w:rsidRPr="00EC3A55" w:rsidRDefault="00343A85" w:rsidP="00716BFC">
      <w:pPr>
        <w:pStyle w:val="Heading3"/>
        <w:numPr>
          <w:ilvl w:val="2"/>
          <w:numId w:val="16"/>
        </w:numPr>
      </w:pPr>
      <w:bookmarkStart w:id="29" w:name="_Toc531787313"/>
      <w:r w:rsidRPr="00EC3A55">
        <w:t>F</w:t>
      </w:r>
      <w:r w:rsidR="009E7557" w:rsidRPr="00EC3A55">
        <w:t xml:space="preserve">amily </w:t>
      </w:r>
      <w:r w:rsidR="00911C48">
        <w:t xml:space="preserve">and domestic </w:t>
      </w:r>
      <w:r w:rsidR="009E7557" w:rsidRPr="00EC3A55">
        <w:t>violence</w:t>
      </w:r>
      <w:r w:rsidR="00C407B9" w:rsidRPr="00EC3A55">
        <w:t xml:space="preserve"> and parenting orders</w:t>
      </w:r>
      <w:bookmarkEnd w:id="29"/>
    </w:p>
    <w:p w14:paraId="28B2B64D" w14:textId="77777777" w:rsidR="00343A85" w:rsidRPr="00343A85" w:rsidRDefault="00343A85" w:rsidP="00716BFC">
      <w:pPr>
        <w:pStyle w:val="Heading4"/>
      </w:pPr>
      <w:bookmarkStart w:id="30" w:name="_Toc531787314"/>
      <w:r>
        <w:t xml:space="preserve">Definitions of </w:t>
      </w:r>
      <w:r w:rsidRPr="00716BFC">
        <w:t>family</w:t>
      </w:r>
      <w:r>
        <w:t xml:space="preserve"> </w:t>
      </w:r>
      <w:r w:rsidR="00911C48">
        <w:t xml:space="preserve">and domestic </w:t>
      </w:r>
      <w:r>
        <w:t>violence</w:t>
      </w:r>
      <w:bookmarkEnd w:id="30"/>
    </w:p>
    <w:p w14:paraId="6B085E71" w14:textId="1D218FBF" w:rsidR="00476002" w:rsidRPr="00406E4C" w:rsidRDefault="000E107C" w:rsidP="00230BE6">
      <w:pPr>
        <w:pStyle w:val="SubmissionNormal"/>
        <w:rPr>
          <w:rFonts w:cs="Arial"/>
        </w:rPr>
      </w:pPr>
      <w:r>
        <w:rPr>
          <w:rFonts w:cs="Arial"/>
        </w:rPr>
        <w:t xml:space="preserve">In </w:t>
      </w:r>
      <w:r w:rsidR="00880271">
        <w:rPr>
          <w:rFonts w:cs="Arial"/>
        </w:rPr>
        <w:t xml:space="preserve">the </w:t>
      </w:r>
      <w:r w:rsidRPr="00736ADA">
        <w:rPr>
          <w:rFonts w:cs="Arial"/>
          <w:i/>
        </w:rPr>
        <w:t>Children’s Rights Report 2015</w:t>
      </w:r>
      <w:r>
        <w:rPr>
          <w:rFonts w:cs="Arial"/>
        </w:rPr>
        <w:t xml:space="preserve">, the National Children’s Commissioner </w:t>
      </w:r>
      <w:r w:rsidR="00476002">
        <w:rPr>
          <w:rFonts w:cs="Arial"/>
        </w:rPr>
        <w:t xml:space="preserve">pointed out that there are </w:t>
      </w:r>
      <w:r w:rsidRPr="000E107C">
        <w:rPr>
          <w:rFonts w:cs="Arial"/>
        </w:rPr>
        <w:t>there are no consistent definitions, legal frameworks or co</w:t>
      </w:r>
      <w:r w:rsidR="00476002">
        <w:rPr>
          <w:rFonts w:cs="Arial"/>
        </w:rPr>
        <w:t>mmon methods used to identify family and domestic violence</w:t>
      </w:r>
      <w:r w:rsidRPr="000E107C">
        <w:rPr>
          <w:rFonts w:cs="Arial"/>
        </w:rPr>
        <w:t>.</w:t>
      </w:r>
      <w:r w:rsidR="009078BD">
        <w:rPr>
          <w:rStyle w:val="EndnoteReference"/>
          <w:rFonts w:cs="Arial"/>
        </w:rPr>
        <w:endnoteReference w:id="62"/>
      </w:r>
      <w:r w:rsidR="00684075">
        <w:rPr>
          <w:rFonts w:cs="Arial"/>
        </w:rPr>
        <w:t xml:space="preserve"> </w:t>
      </w:r>
      <w:r w:rsidRPr="000E107C">
        <w:rPr>
          <w:rFonts w:cs="Arial"/>
        </w:rPr>
        <w:t xml:space="preserve">Combined with this, different terms </w:t>
      </w:r>
      <w:proofErr w:type="gramStart"/>
      <w:r w:rsidRPr="000E107C">
        <w:rPr>
          <w:rFonts w:cs="Arial"/>
        </w:rPr>
        <w:t>are used</w:t>
      </w:r>
      <w:proofErr w:type="gramEnd"/>
      <w:r w:rsidRPr="000E107C">
        <w:rPr>
          <w:rFonts w:cs="Arial"/>
        </w:rPr>
        <w:t xml:space="preserve"> to describe the wide range of behaviours associated with it. </w:t>
      </w:r>
      <w:r w:rsidR="00F23BEB">
        <w:rPr>
          <w:rFonts w:cs="Arial"/>
        </w:rPr>
        <w:t xml:space="preserve">The use of varied terms, </w:t>
      </w:r>
      <w:r w:rsidR="008F5981">
        <w:rPr>
          <w:rFonts w:cs="Arial"/>
        </w:rPr>
        <w:t>different definitions and the dis</w:t>
      </w:r>
      <w:r w:rsidR="00F23BEB">
        <w:rPr>
          <w:rFonts w:cs="Arial"/>
        </w:rPr>
        <w:t>p</w:t>
      </w:r>
      <w:r w:rsidR="008F5981">
        <w:rPr>
          <w:rFonts w:cs="Arial"/>
        </w:rPr>
        <w:t>arate means of identifyin</w:t>
      </w:r>
      <w:r w:rsidR="00F23BEB">
        <w:rPr>
          <w:rFonts w:cs="Arial"/>
        </w:rPr>
        <w:t xml:space="preserve">g family and </w:t>
      </w:r>
      <w:r w:rsidR="008F5981">
        <w:rPr>
          <w:rFonts w:cs="Arial"/>
        </w:rPr>
        <w:t>domestic violence is particula</w:t>
      </w:r>
      <w:r w:rsidR="00F23BEB">
        <w:rPr>
          <w:rFonts w:cs="Arial"/>
        </w:rPr>
        <w:t>rly challenging in terms of establishing prevalence data and difficult for those working in the field.</w:t>
      </w:r>
    </w:p>
    <w:p w14:paraId="3B1C1747" w14:textId="77777777" w:rsidR="00476002" w:rsidRPr="00476002" w:rsidRDefault="00476002" w:rsidP="00230BE6">
      <w:pPr>
        <w:pStyle w:val="SubmissionNormal"/>
        <w:rPr>
          <w:rFonts w:cs="Arial"/>
        </w:rPr>
      </w:pPr>
      <w:r w:rsidRPr="00476002">
        <w:rPr>
          <w:rFonts w:cs="Arial"/>
        </w:rPr>
        <w:t xml:space="preserve">The Australian </w:t>
      </w:r>
      <w:r w:rsidR="0002711B">
        <w:rPr>
          <w:rFonts w:cs="Arial"/>
        </w:rPr>
        <w:t xml:space="preserve">Bureau of Statistics (ABS) </w:t>
      </w:r>
      <w:r w:rsidRPr="00476002">
        <w:rPr>
          <w:rFonts w:cs="Arial"/>
        </w:rPr>
        <w:t>uses the term ‘family and domestic violence’ because it:</w:t>
      </w:r>
    </w:p>
    <w:p w14:paraId="3FB5CCF2" w14:textId="77777777" w:rsidR="00476002" w:rsidRPr="00476002" w:rsidRDefault="00476002" w:rsidP="00476002">
      <w:pPr>
        <w:ind w:left="1440"/>
        <w:rPr>
          <w:sz w:val="22"/>
          <w:szCs w:val="22"/>
        </w:rPr>
      </w:pPr>
      <w:proofErr w:type="gramStart"/>
      <w:r w:rsidRPr="00476002">
        <w:rPr>
          <w:sz w:val="22"/>
          <w:szCs w:val="22"/>
        </w:rPr>
        <w:t>reflect[</w:t>
      </w:r>
      <w:proofErr w:type="gramEnd"/>
      <w:r w:rsidRPr="00476002">
        <w:rPr>
          <w:sz w:val="22"/>
          <w:szCs w:val="22"/>
        </w:rPr>
        <w:t xml:space="preserve">s] the mixed use of the terms </w:t>
      </w:r>
      <w:r w:rsidR="006C42CA">
        <w:rPr>
          <w:sz w:val="22"/>
          <w:szCs w:val="22"/>
        </w:rPr>
        <w:t>‘</w:t>
      </w:r>
      <w:r w:rsidRPr="00476002">
        <w:rPr>
          <w:sz w:val="22"/>
          <w:szCs w:val="22"/>
        </w:rPr>
        <w:t>Family Violence</w:t>
      </w:r>
      <w:r w:rsidR="006C42CA">
        <w:rPr>
          <w:sz w:val="22"/>
          <w:szCs w:val="22"/>
        </w:rPr>
        <w:t>’</w:t>
      </w:r>
      <w:r w:rsidRPr="00476002">
        <w:rPr>
          <w:sz w:val="22"/>
          <w:szCs w:val="22"/>
        </w:rPr>
        <w:t xml:space="preserve"> and </w:t>
      </w:r>
      <w:r w:rsidR="006C42CA">
        <w:rPr>
          <w:sz w:val="22"/>
          <w:szCs w:val="22"/>
        </w:rPr>
        <w:t>‘</w:t>
      </w:r>
      <w:r w:rsidRPr="00476002">
        <w:rPr>
          <w:sz w:val="22"/>
          <w:szCs w:val="22"/>
        </w:rPr>
        <w:t>Domestic Violence</w:t>
      </w:r>
      <w:r w:rsidR="006C42CA">
        <w:rPr>
          <w:sz w:val="22"/>
          <w:szCs w:val="22"/>
        </w:rPr>
        <w:t>’</w:t>
      </w:r>
      <w:r w:rsidRPr="00476002">
        <w:rPr>
          <w:sz w:val="22"/>
          <w:szCs w:val="22"/>
        </w:rPr>
        <w:t xml:space="preserve"> and is a combination of the various contextual elements implicit in these individual terms, including relationships, location of offences, and/or domestic arrangements.</w:t>
      </w:r>
      <w:r w:rsidR="009078BD">
        <w:rPr>
          <w:rStyle w:val="EndnoteReference"/>
          <w:szCs w:val="22"/>
        </w:rPr>
        <w:endnoteReference w:id="63"/>
      </w:r>
    </w:p>
    <w:p w14:paraId="3C8424B3" w14:textId="2B945693" w:rsidR="00A15FF9" w:rsidRDefault="00476002" w:rsidP="00A15FF9">
      <w:pPr>
        <w:pStyle w:val="SubmissionNormal"/>
      </w:pPr>
      <w:r w:rsidRPr="00EE7E54">
        <w:t xml:space="preserve">Consistent with the ABS, </w:t>
      </w:r>
      <w:r w:rsidR="0002711B">
        <w:t>i</w:t>
      </w:r>
      <w:r w:rsidR="00961756">
        <w:t xml:space="preserve">n </w:t>
      </w:r>
      <w:r w:rsidR="00880271">
        <w:t xml:space="preserve">the </w:t>
      </w:r>
      <w:r w:rsidR="0002711B">
        <w:t>2015 R</w:t>
      </w:r>
      <w:r w:rsidR="00961756">
        <w:t xml:space="preserve">eport the </w:t>
      </w:r>
      <w:r w:rsidR="0002711B">
        <w:t xml:space="preserve">National Children’s </w:t>
      </w:r>
      <w:r w:rsidR="00961756">
        <w:t>Commissioner used the term ‘family and domestic violence’ as an overarching term, while acknowledging that i</w:t>
      </w:r>
      <w:r w:rsidR="00961756" w:rsidRPr="00476002">
        <w:t xml:space="preserve">n Aboriginal and Torres Strait Islander communities the term ‘family violence’ is more commonly used. </w:t>
      </w:r>
      <w:r w:rsidR="0002711B">
        <w:t>T</w:t>
      </w:r>
      <w:r w:rsidRPr="00EE7E54">
        <w:t xml:space="preserve">he term ‘family and domestic violence’ </w:t>
      </w:r>
      <w:r w:rsidR="0002711B">
        <w:t xml:space="preserve">was used </w:t>
      </w:r>
      <w:r w:rsidRPr="00EE7E54">
        <w:t>to describe: physical violence, sexual abuse, emotional abuse, verbal abuse and intimidation, economic and social deprivation, damage of personal property, and abuse of power which can occur within spouse and de-facto relationships, ex-spouse and ex-de-facto relationships, cultural and kinship relationships, parent-child relationships, sibling relationships, and foster and guardian relationships.</w:t>
      </w:r>
      <w:r w:rsidR="0002711B">
        <w:rPr>
          <w:rStyle w:val="EndnoteReference"/>
        </w:rPr>
        <w:endnoteReference w:id="64"/>
      </w:r>
    </w:p>
    <w:p w14:paraId="3480B720" w14:textId="77777777" w:rsidR="00FC0124" w:rsidRPr="00BA7B77" w:rsidRDefault="00FC0124" w:rsidP="00BA7B77">
      <w:pPr>
        <w:pStyle w:val="SubmissionNormal"/>
      </w:pPr>
      <w:r w:rsidRPr="00BA7B77">
        <w:t>The Commission supports a consistent use of terminology for family and domestic violence in line with the ABS definition.</w:t>
      </w:r>
    </w:p>
    <w:p w14:paraId="48FE2722" w14:textId="77777777" w:rsidR="00343A85" w:rsidRPr="00036CF7" w:rsidRDefault="00343A85" w:rsidP="00684075">
      <w:pPr>
        <w:pStyle w:val="Heading4"/>
      </w:pPr>
      <w:bookmarkStart w:id="31" w:name="_Toc531787315"/>
      <w:r w:rsidRPr="00036CF7">
        <w:t>Explain</w:t>
      </w:r>
      <w:r w:rsidR="00C407B9">
        <w:t>ing</w:t>
      </w:r>
      <w:r w:rsidRPr="00036CF7">
        <w:t xml:space="preserve"> the </w:t>
      </w:r>
      <w:r w:rsidRPr="0002711B">
        <w:t>nature</w:t>
      </w:r>
      <w:r w:rsidRPr="00036CF7">
        <w:t xml:space="preserve"> of </w:t>
      </w:r>
      <w:r w:rsidRPr="00684075">
        <w:t>family</w:t>
      </w:r>
      <w:r w:rsidRPr="00036CF7">
        <w:t xml:space="preserve"> </w:t>
      </w:r>
      <w:r w:rsidR="0023290A">
        <w:t xml:space="preserve">and domestic </w:t>
      </w:r>
      <w:r w:rsidRPr="00036CF7">
        <w:t>violence</w:t>
      </w:r>
      <w:bookmarkEnd w:id="31"/>
    </w:p>
    <w:p w14:paraId="59301B64" w14:textId="77777777" w:rsidR="00B97E1B" w:rsidRDefault="0002711B" w:rsidP="00230BE6">
      <w:pPr>
        <w:pStyle w:val="SubmissionNormal"/>
      </w:pPr>
      <w:r>
        <w:t xml:space="preserve">The Commission </w:t>
      </w:r>
      <w:r w:rsidR="00343A85">
        <w:t xml:space="preserve">supports the </w:t>
      </w:r>
      <w:r w:rsidR="00343A85" w:rsidRPr="007A09CC">
        <w:t>A</w:t>
      </w:r>
      <w:r>
        <w:t xml:space="preserve">LRC’s </w:t>
      </w:r>
      <w:r w:rsidR="00343A85">
        <w:t>Report:</w:t>
      </w:r>
      <w:r w:rsidR="00343A85" w:rsidRPr="007A09CC">
        <w:t xml:space="preserve"> </w:t>
      </w:r>
      <w:r w:rsidR="00343A85" w:rsidRPr="002C2086">
        <w:rPr>
          <w:i/>
        </w:rPr>
        <w:t>Famil</w:t>
      </w:r>
      <w:r w:rsidR="00BA7B77">
        <w:rPr>
          <w:i/>
        </w:rPr>
        <w:t>y Violence—</w:t>
      </w:r>
      <w:r w:rsidR="00343A85" w:rsidRPr="002C2086">
        <w:rPr>
          <w:i/>
        </w:rPr>
        <w:t>A National Legal Response</w:t>
      </w:r>
      <w:r w:rsidR="00343A85" w:rsidRPr="007A09CC">
        <w:t xml:space="preserve"> (2010)</w:t>
      </w:r>
      <w:r w:rsidR="00343A85">
        <w:t xml:space="preserve"> </w:t>
      </w:r>
      <w:r w:rsidR="00BA7B77">
        <w:t>(ALRC Report) Recommendations 7–</w:t>
      </w:r>
      <w:r w:rsidR="00343A85">
        <w:t>2 a</w:t>
      </w:r>
      <w:r w:rsidR="00BA7B77">
        <w:t>nd 7–</w:t>
      </w:r>
      <w:r>
        <w:t xml:space="preserve">3, which state that the Family Law </w:t>
      </w:r>
      <w:proofErr w:type="gramStart"/>
      <w:r>
        <w:t>Act</w:t>
      </w:r>
      <w:proofErr w:type="gramEnd"/>
      <w:r w:rsidR="00343A85">
        <w:t xml:space="preserve"> should contain ‘a provision that explains the nature, features and dynamics of family violence’.</w:t>
      </w:r>
      <w:r w:rsidR="00343A85">
        <w:rPr>
          <w:rStyle w:val="EndnoteReference"/>
        </w:rPr>
        <w:endnoteReference w:id="65"/>
      </w:r>
    </w:p>
    <w:p w14:paraId="2597B594" w14:textId="77777777" w:rsidR="00B97E1B" w:rsidRDefault="00343A85" w:rsidP="00230BE6">
      <w:pPr>
        <w:pStyle w:val="SubmissionNormal"/>
      </w:pPr>
      <w:r>
        <w:t xml:space="preserve">Further, consistent with ALRC Report Recommendations 7–2 and 7–3, </w:t>
      </w:r>
      <w:r w:rsidR="006C42CA">
        <w:t xml:space="preserve">the </w:t>
      </w:r>
      <w:r w:rsidR="0002711B">
        <w:t>Commission considers that an explanation will prompt</w:t>
      </w:r>
      <w:r>
        <w:t xml:space="preserve"> judges to consider the </w:t>
      </w:r>
      <w:r w:rsidRPr="002E4CB5">
        <w:t>particular impact</w:t>
      </w:r>
      <w:r w:rsidR="0002711B">
        <w:t>s</w:t>
      </w:r>
      <w:r w:rsidRPr="002E4CB5">
        <w:t xml:space="preserve"> of family </w:t>
      </w:r>
      <w:r w:rsidR="00911C48">
        <w:t xml:space="preserve">and domestic </w:t>
      </w:r>
      <w:r w:rsidRPr="002E4CB5">
        <w:t>violence on</w:t>
      </w:r>
      <w:r>
        <w:t xml:space="preserve"> persons from minority groups in Australia.</w:t>
      </w:r>
    </w:p>
    <w:p w14:paraId="481DB7F8" w14:textId="2A7D485C" w:rsidR="00B97E1B" w:rsidRDefault="0002711B" w:rsidP="00230BE6">
      <w:pPr>
        <w:pStyle w:val="SubmissionNormal"/>
      </w:pPr>
      <w:r>
        <w:t xml:space="preserve">The Commission </w:t>
      </w:r>
      <w:r w:rsidR="00343A85">
        <w:t>acknowledges that f</w:t>
      </w:r>
      <w:r w:rsidR="00343A85" w:rsidRPr="001D37FA">
        <w:t xml:space="preserve">amily and domestic violence in Australia remains endemic and continues </w:t>
      </w:r>
      <w:proofErr w:type="gramStart"/>
      <w:r w:rsidR="00343A85" w:rsidRPr="001D37FA">
        <w:t xml:space="preserve">to </w:t>
      </w:r>
      <w:r w:rsidR="00343A85">
        <w:t>dispropor</w:t>
      </w:r>
      <w:r w:rsidR="00FC0124">
        <w:t>tionately affect</w:t>
      </w:r>
      <w:proofErr w:type="gramEnd"/>
      <w:r w:rsidR="00FC0124">
        <w:t xml:space="preserve"> women</w:t>
      </w:r>
      <w:r w:rsidR="00343A85">
        <w:t>. The Australian Bureau of Statistics 2016 Personal Safety Survey reported that 17% of women and 6% of men had experienced violence by a partner since the age of 15.</w:t>
      </w:r>
      <w:r w:rsidR="00343A85">
        <w:rPr>
          <w:rStyle w:val="EndnoteReference"/>
        </w:rPr>
        <w:endnoteReference w:id="66"/>
      </w:r>
      <w:r w:rsidR="00343A85">
        <w:t xml:space="preserve"> Further, the intersection of gender with other forms of inequality results in w</w:t>
      </w:r>
      <w:r w:rsidR="00343A85" w:rsidRPr="00E23DBD">
        <w:t>omen</w:t>
      </w:r>
      <w:r w:rsidR="00343A85" w:rsidRPr="00B97E1B">
        <w:rPr>
          <w:color w:val="FF0000"/>
        </w:rPr>
        <w:t xml:space="preserve"> </w:t>
      </w:r>
      <w:r w:rsidR="00343A85" w:rsidRPr="00E23DBD">
        <w:t xml:space="preserve">with </w:t>
      </w:r>
      <w:r w:rsidR="00343A85">
        <w:t>disability</w:t>
      </w:r>
      <w:r w:rsidR="00343A85" w:rsidRPr="00E23DBD">
        <w:t xml:space="preserve">, Aboriginal and Torres Strait Islander women, </w:t>
      </w:r>
      <w:r w:rsidR="00AC52D8">
        <w:t xml:space="preserve">LGBTI women </w:t>
      </w:r>
      <w:r w:rsidR="00343A85" w:rsidRPr="00E23DBD">
        <w:t>and women from culturally and linguistic</w:t>
      </w:r>
      <w:r w:rsidR="00343A85">
        <w:t>ally diverse backgrounds experiencing</w:t>
      </w:r>
      <w:r w:rsidR="00343A85" w:rsidRPr="00FF6BDC">
        <w:t xml:space="preserve"> higher rates of </w:t>
      </w:r>
      <w:r w:rsidR="00343A85">
        <w:t>family and domestic violence</w:t>
      </w:r>
      <w:r w:rsidR="00343A85" w:rsidRPr="00FF6BDC">
        <w:t xml:space="preserve"> and additional barriers to seeking help and support</w:t>
      </w:r>
      <w:r w:rsidR="00343A85">
        <w:t>, including a</w:t>
      </w:r>
      <w:r w:rsidR="00B97E1B">
        <w:t xml:space="preserve">ccess to the family law system. </w:t>
      </w:r>
    </w:p>
    <w:p w14:paraId="372790B1" w14:textId="77777777" w:rsidR="00343A85" w:rsidRDefault="00D3771D" w:rsidP="00230BE6">
      <w:pPr>
        <w:pStyle w:val="SubmissionNormal"/>
      </w:pPr>
      <w:r>
        <w:t>The Commission</w:t>
      </w:r>
      <w:r w:rsidR="00343A85">
        <w:t xml:space="preserve"> recommends that an </w:t>
      </w:r>
      <w:r>
        <w:t>explanatory provision in the Family Law Act</w:t>
      </w:r>
      <w:r w:rsidR="00343A85">
        <w:t xml:space="preserve"> be worded to the effect that: </w:t>
      </w:r>
    </w:p>
    <w:p w14:paraId="03E6A9DA" w14:textId="77777777" w:rsidR="00343A85" w:rsidRPr="00B97E1B" w:rsidRDefault="00343A85" w:rsidP="00B97E1B">
      <w:pPr>
        <w:ind w:left="1440"/>
        <w:rPr>
          <w:sz w:val="22"/>
          <w:szCs w:val="22"/>
        </w:rPr>
      </w:pPr>
      <w:r w:rsidRPr="00B97E1B">
        <w:rPr>
          <w:sz w:val="22"/>
          <w:szCs w:val="22"/>
        </w:rPr>
        <w:t>While anyone may be a victim of family violence, or may use family violence, it is predominantly committed by me</w:t>
      </w:r>
      <w:r w:rsidR="0030022C">
        <w:rPr>
          <w:sz w:val="22"/>
          <w:szCs w:val="22"/>
        </w:rPr>
        <w:t>n against women and their children,</w:t>
      </w:r>
      <w:r w:rsidRPr="00B97E1B">
        <w:rPr>
          <w:sz w:val="22"/>
          <w:szCs w:val="22"/>
        </w:rPr>
        <w:t xml:space="preserve"> it can occur in all sectors of society; it can involve exploitation of power imbalances; its incidence is underreported; and it has a detrimental impact on children. Family violence has a particular impact </w:t>
      </w:r>
      <w:proofErr w:type="gramStart"/>
      <w:r w:rsidRPr="00B97E1B">
        <w:rPr>
          <w:sz w:val="22"/>
          <w:szCs w:val="22"/>
        </w:rPr>
        <w:t>on: Indigenous</w:t>
      </w:r>
      <w:proofErr w:type="gramEnd"/>
      <w:r w:rsidRPr="00B97E1B">
        <w:rPr>
          <w:sz w:val="22"/>
          <w:szCs w:val="22"/>
        </w:rPr>
        <w:t xml:space="preserve"> persons; those from a culturally and linguistically diverse background; those from the gay, lesbian, bisexual, transgender and intersex communities; older persons; and people with disabilities.</w:t>
      </w:r>
      <w:r w:rsidR="0030022C">
        <w:rPr>
          <w:rStyle w:val="EndnoteReference"/>
          <w:szCs w:val="22"/>
        </w:rPr>
        <w:endnoteReference w:id="67"/>
      </w:r>
    </w:p>
    <w:p w14:paraId="430EB19D" w14:textId="77777777" w:rsidR="00343A85" w:rsidRPr="002E4CB5" w:rsidRDefault="00343A85" w:rsidP="00F45924">
      <w:pPr>
        <w:pStyle w:val="SubmissionNormal"/>
      </w:pPr>
      <w:r>
        <w:t>This explanation should be included as a note to the definition of ‘family viole</w:t>
      </w:r>
      <w:r w:rsidR="00B97E1B">
        <w:t>nce’ in s</w:t>
      </w:r>
      <w:r w:rsidR="00922D75">
        <w:t>ection 4 of the Family Law Act</w:t>
      </w:r>
      <w:r w:rsidR="00B97E1B">
        <w:t>. The note</w:t>
      </w:r>
      <w:r>
        <w:t xml:space="preserve"> should act as an interpretive aid to identifying cases o</w:t>
      </w:r>
      <w:r w:rsidR="00922D75">
        <w:t xml:space="preserve">f family </w:t>
      </w:r>
      <w:r w:rsidR="00911C48">
        <w:t xml:space="preserve">and domestic </w:t>
      </w:r>
      <w:r w:rsidR="00922D75">
        <w:t>violence, supporting a</w:t>
      </w:r>
      <w:r>
        <w:t xml:space="preserve"> precautionary approach. </w:t>
      </w:r>
    </w:p>
    <w:p w14:paraId="65BE5A9E" w14:textId="77777777" w:rsidR="000260EE" w:rsidRPr="000260EE" w:rsidRDefault="000260EE" w:rsidP="000260EE">
      <w:pPr>
        <w:pStyle w:val="SubmissionNormal"/>
        <w:rPr>
          <w:b/>
        </w:rPr>
      </w:pPr>
      <w:r w:rsidRPr="000260EE">
        <w:rPr>
          <w:b/>
        </w:rPr>
        <w:t xml:space="preserve">Recommendation 9: Section 4 of the Family Law Act </w:t>
      </w:r>
      <w:proofErr w:type="gramStart"/>
      <w:r w:rsidRPr="000260EE">
        <w:rPr>
          <w:b/>
        </w:rPr>
        <w:t>is amended</w:t>
      </w:r>
      <w:proofErr w:type="gramEnd"/>
      <w:r w:rsidRPr="000260EE">
        <w:rPr>
          <w:b/>
        </w:rPr>
        <w:t xml:space="preserve"> to include an explanatory note to the definition of ‘family and domestic violence’ to explain the nature, features and dynamics, including the gendered nature, of family and domestic violence. </w:t>
      </w:r>
    </w:p>
    <w:p w14:paraId="6BEC7B45" w14:textId="77777777" w:rsidR="00C407B9" w:rsidRPr="005B550A" w:rsidRDefault="00C407B9" w:rsidP="00684075">
      <w:pPr>
        <w:pStyle w:val="Heading4"/>
      </w:pPr>
      <w:bookmarkStart w:id="32" w:name="_Toc531787316"/>
      <w:r w:rsidRPr="005B550A">
        <w:t xml:space="preserve">Equal shared </w:t>
      </w:r>
      <w:r w:rsidRPr="00684075">
        <w:t>parental</w:t>
      </w:r>
      <w:r w:rsidRPr="005B550A">
        <w:t xml:space="preserve"> responsibility</w:t>
      </w:r>
      <w:bookmarkEnd w:id="32"/>
    </w:p>
    <w:p w14:paraId="6A41ED17" w14:textId="0FC53E97" w:rsidR="00C407B9" w:rsidRDefault="00C407B9" w:rsidP="00230BE6">
      <w:pPr>
        <w:pStyle w:val="SubmissionNormal"/>
      </w:pPr>
      <w:proofErr w:type="gramStart"/>
      <w:r>
        <w:t>T</w:t>
      </w:r>
      <w:r w:rsidR="00922D75">
        <w:t>he Commission draws the ALRC’</w:t>
      </w:r>
      <w:r>
        <w:t>s</w:t>
      </w:r>
      <w:r w:rsidRPr="005B550A">
        <w:t xml:space="preserve"> attention to the </w:t>
      </w:r>
      <w:r w:rsidR="00922D75">
        <w:t xml:space="preserve">discussion concerning equal shared parental responsibility in the </w:t>
      </w:r>
      <w:r w:rsidR="00C85F80">
        <w:t>Report of the House of Representatives Standing Committee on Social Policy and Legal Affairs (the Committee) Inquiry into</w:t>
      </w:r>
      <w:r w:rsidR="00922D75">
        <w:t xml:space="preserve"> </w:t>
      </w:r>
      <w:r w:rsidR="001C0D69" w:rsidRPr="00FC4AD3">
        <w:rPr>
          <w:i/>
        </w:rPr>
        <w:t xml:space="preserve">A better family law system to support and protect those affected by family violence: recommendations for an accessible, equitable and responsive family law system which better prioritises safety of those affected by family </w:t>
      </w:r>
      <w:r w:rsidR="001C0D69" w:rsidRPr="001C0D69">
        <w:t>violence</w:t>
      </w:r>
      <w:r w:rsidR="001C0D69">
        <w:t xml:space="preserve"> (</w:t>
      </w:r>
      <w:r w:rsidRPr="001C0D69">
        <w:rPr>
          <w:i/>
        </w:rPr>
        <w:t xml:space="preserve">A </w:t>
      </w:r>
      <w:r w:rsidR="00C85F80" w:rsidRPr="001C0D69">
        <w:rPr>
          <w:i/>
        </w:rPr>
        <w:t>better family law system</w:t>
      </w:r>
      <w:r w:rsidR="001C0D69" w:rsidRPr="001C0D69">
        <w:rPr>
          <w:i/>
        </w:rPr>
        <w:t xml:space="preserve"> Inquiry</w:t>
      </w:r>
      <w:r w:rsidR="001C0D69">
        <w:t>)</w:t>
      </w:r>
      <w:r w:rsidR="0063080C">
        <w:t>.</w:t>
      </w:r>
      <w:r w:rsidRPr="000D2FD2">
        <w:rPr>
          <w:rStyle w:val="EndnoteReference"/>
          <w:color w:val="44546A" w:themeColor="text2"/>
        </w:rPr>
        <w:endnoteReference w:id="68"/>
      </w:r>
      <w:proofErr w:type="gramEnd"/>
    </w:p>
    <w:p w14:paraId="7E318243" w14:textId="77777777" w:rsidR="00C407B9" w:rsidRPr="00684075" w:rsidRDefault="00C407B9" w:rsidP="00684075">
      <w:pPr>
        <w:pStyle w:val="SubmissionNormal"/>
        <w:rPr>
          <w:lang w:val="en"/>
        </w:rPr>
      </w:pPr>
      <w:r w:rsidRPr="00822DF6">
        <w:t>In partic</w:t>
      </w:r>
      <w:r w:rsidR="00922D75">
        <w:t xml:space="preserve">ular, </w:t>
      </w:r>
      <w:r w:rsidR="00C85F80">
        <w:t>the Committee noted</w:t>
      </w:r>
      <w:r>
        <w:t xml:space="preserve"> that it </w:t>
      </w:r>
      <w:r w:rsidRPr="00822DF6">
        <w:t>received considerable evidence that the presumption in the Family Law Act of equal shared parental responsibility is leading to unjust outcomes and compromising the safety of children, particularly where there is evidence of family violence.</w:t>
      </w:r>
      <w:r w:rsidRPr="00822DF6">
        <w:rPr>
          <w:rStyle w:val="EndnoteReference"/>
        </w:rPr>
        <w:endnoteReference w:id="69"/>
      </w:r>
      <w:r w:rsidRPr="00822DF6">
        <w:t xml:space="preserve"> </w:t>
      </w:r>
      <w:r>
        <w:t>It also heard concerns about misinterpretations of the presumption for equal shared parental responsibility as a presumption for equal shared time.</w:t>
      </w:r>
      <w:r>
        <w:rPr>
          <w:rStyle w:val="EndnoteReference"/>
        </w:rPr>
        <w:endnoteReference w:id="70"/>
      </w:r>
    </w:p>
    <w:p w14:paraId="4C5F4EA8" w14:textId="77777777" w:rsidR="00C407B9" w:rsidRDefault="00C85F80" w:rsidP="00230BE6">
      <w:pPr>
        <w:pStyle w:val="SubmissionNormal"/>
      </w:pPr>
      <w:r>
        <w:t>The Committee also noted</w:t>
      </w:r>
      <w:r w:rsidR="00C407B9" w:rsidRPr="00822DF6">
        <w:t xml:space="preserve"> that the </w:t>
      </w:r>
      <w:proofErr w:type="gramStart"/>
      <w:r w:rsidR="00C407B9" w:rsidRPr="00822DF6">
        <w:t xml:space="preserve">presumption of equal shared parental responsibility, which was first introduced in amendments to the </w:t>
      </w:r>
      <w:r w:rsidR="00C407B9">
        <w:t>Family Law Act</w:t>
      </w:r>
      <w:r w:rsidR="00C407B9" w:rsidRPr="00822DF6">
        <w:t xml:space="preserve"> in 2006, was evaluated by the Australian Institute of Family Studies (AIFS)</w:t>
      </w:r>
      <w:proofErr w:type="gramEnd"/>
      <w:r w:rsidR="00C407B9" w:rsidRPr="00822DF6">
        <w:t xml:space="preserve"> in 2009, and again in 2015, when it reviewed reforms introduced in 2012. In both </w:t>
      </w:r>
      <w:proofErr w:type="gramStart"/>
      <w:r w:rsidR="00C407B9" w:rsidRPr="00822DF6">
        <w:t>cases</w:t>
      </w:r>
      <w:proofErr w:type="gramEnd"/>
      <w:r w:rsidR="00C407B9" w:rsidRPr="00822DF6">
        <w:t xml:space="preserve"> the </w:t>
      </w:r>
      <w:r w:rsidR="00C407B9" w:rsidRPr="00C85F80">
        <w:t>AIFS found that the provisions were not achieving their intended outcomes.</w:t>
      </w:r>
      <w:r w:rsidR="00C407B9" w:rsidRPr="00C85F80">
        <w:rPr>
          <w:rStyle w:val="EndnoteReference"/>
        </w:rPr>
        <w:endnoteReference w:id="71"/>
      </w:r>
      <w:r w:rsidR="00C407B9" w:rsidRPr="00C85F80">
        <w:t xml:space="preserve"> It found that many separated </w:t>
      </w:r>
      <w:proofErr w:type="gramStart"/>
      <w:r w:rsidR="00C407B9" w:rsidRPr="00C85F80">
        <w:t>parents still</w:t>
      </w:r>
      <w:proofErr w:type="gramEnd"/>
      <w:r w:rsidR="00C407B9" w:rsidRPr="00C85F80">
        <w:t xml:space="preserve"> continue to share parenting responsibility for t</w:t>
      </w:r>
      <w:r w:rsidRPr="00C85F80">
        <w:t xml:space="preserve">heir children despite allegations </w:t>
      </w:r>
      <w:r w:rsidR="00C407B9" w:rsidRPr="00C85F80">
        <w:t xml:space="preserve">of family </w:t>
      </w:r>
      <w:r w:rsidR="00911C48">
        <w:t xml:space="preserve">and domestic </w:t>
      </w:r>
      <w:r w:rsidR="00C407B9" w:rsidRPr="00C85F80">
        <w:t>violence or child abuse.</w:t>
      </w:r>
      <w:r w:rsidR="00C407B9" w:rsidRPr="00C85F80">
        <w:rPr>
          <w:rStyle w:val="EndnoteReference"/>
        </w:rPr>
        <w:endnoteReference w:id="72"/>
      </w:r>
      <w:r w:rsidR="00C407B9">
        <w:t xml:space="preserve"> </w:t>
      </w:r>
    </w:p>
    <w:p w14:paraId="7F5968DB" w14:textId="77777777" w:rsidR="00C407B9" w:rsidRPr="00240CA5" w:rsidRDefault="00C407B9" w:rsidP="00230BE6">
      <w:pPr>
        <w:pStyle w:val="SubmissionNormal"/>
      </w:pPr>
      <w:r>
        <w:t>The Committee recommended</w:t>
      </w:r>
      <w:r w:rsidR="00C85F80">
        <w:t xml:space="preserve"> that the </w:t>
      </w:r>
      <w:r>
        <w:t xml:space="preserve">ALRC </w:t>
      </w:r>
      <w:r w:rsidR="00C85F80">
        <w:t xml:space="preserve">in this Review </w:t>
      </w:r>
      <w:r w:rsidRPr="00736A32">
        <w:t>consider removing the presumption of equal shared parental re</w:t>
      </w:r>
      <w:r w:rsidR="00C66A5F">
        <w:t>sponsibility</w:t>
      </w:r>
      <w:r w:rsidRPr="00736A32">
        <w:t>.</w:t>
      </w:r>
      <w:r w:rsidR="00C66A5F">
        <w:rPr>
          <w:rStyle w:val="EndnoteReference"/>
        </w:rPr>
        <w:endnoteReference w:id="73"/>
      </w:r>
    </w:p>
    <w:p w14:paraId="241893FE" w14:textId="77777777" w:rsidR="00C407B9" w:rsidRPr="009E7557" w:rsidRDefault="00C407B9" w:rsidP="00230BE6">
      <w:pPr>
        <w:pStyle w:val="SubmissionNormal"/>
        <w:rPr>
          <w:lang w:val="en"/>
        </w:rPr>
      </w:pPr>
      <w:r>
        <w:t>The Commission also notes that the UN Committee on the Rights of the Child considers that while shared parenting is generally in a child’s best interests, it should not be automatically applied:</w:t>
      </w:r>
    </w:p>
    <w:p w14:paraId="5DF2499E" w14:textId="77777777" w:rsidR="00C407B9" w:rsidRDefault="00C407B9" w:rsidP="00C407B9">
      <w:pPr>
        <w:ind w:left="1440"/>
        <w:rPr>
          <w:sz w:val="22"/>
          <w:szCs w:val="22"/>
        </w:rPr>
      </w:pPr>
      <w:r w:rsidRPr="009E7557">
        <w:rPr>
          <w:sz w:val="22"/>
          <w:szCs w:val="22"/>
        </w:rPr>
        <w:t>The Committee is of the view that shared parental responsibilities are generally in the child</w:t>
      </w:r>
      <w:r w:rsidR="003B3CC6">
        <w:rPr>
          <w:sz w:val="22"/>
          <w:szCs w:val="22"/>
        </w:rPr>
        <w:t>’</w:t>
      </w:r>
      <w:r w:rsidRPr="009E7557">
        <w:rPr>
          <w:sz w:val="22"/>
          <w:szCs w:val="22"/>
        </w:rPr>
        <w:t>s best interests. However, in decisions regarding parental responsibilities, the only criterion shall be what is in the best interests of the particular child. It is contrary to those interests if the law automatically gives parental responsibilities to either or both parents. In assessing the child</w:t>
      </w:r>
      <w:r w:rsidR="003B3CC6">
        <w:rPr>
          <w:sz w:val="22"/>
          <w:szCs w:val="22"/>
        </w:rPr>
        <w:t>’</w:t>
      </w:r>
      <w:r w:rsidRPr="009E7557">
        <w:rPr>
          <w:sz w:val="22"/>
          <w:szCs w:val="22"/>
        </w:rPr>
        <w:t>s best interests, the judge must take into consideration the right of the child to preserve his or her relationship with both parents, together with the other elements relevant to the case.</w:t>
      </w:r>
      <w:r w:rsidRPr="009E7557">
        <w:rPr>
          <w:rStyle w:val="EndnoteReference"/>
          <w:rFonts w:eastAsia="Times New Roman"/>
          <w:sz w:val="22"/>
          <w:szCs w:val="22"/>
        </w:rPr>
        <w:endnoteReference w:id="74"/>
      </w:r>
    </w:p>
    <w:p w14:paraId="32FF2424" w14:textId="77777777" w:rsidR="00C407B9" w:rsidRPr="00C53FF8" w:rsidRDefault="00C407B9" w:rsidP="00230BE6">
      <w:pPr>
        <w:pStyle w:val="SubmissionNormal"/>
        <w:rPr>
          <w:lang w:val="en"/>
        </w:rPr>
      </w:pPr>
      <w:r>
        <w:t xml:space="preserve">The Commission is concerned that the presumption of equal shared parenting responsibilities in the Family Law Act may lead judicial officers </w:t>
      </w:r>
      <w:proofErr w:type="gramStart"/>
      <w:r>
        <w:t>to automatically apply</w:t>
      </w:r>
      <w:proofErr w:type="gramEnd"/>
      <w:r>
        <w:t xml:space="preserve"> shared parenting at the expense of child safety or other important considerations such as the views of the child.</w:t>
      </w:r>
    </w:p>
    <w:p w14:paraId="3A145828" w14:textId="77777777" w:rsidR="000260EE" w:rsidRPr="000260EE" w:rsidRDefault="000260EE" w:rsidP="000260EE">
      <w:pPr>
        <w:pStyle w:val="SubmissionNormal"/>
        <w:rPr>
          <w:b/>
        </w:rPr>
      </w:pPr>
      <w:proofErr w:type="gramStart"/>
      <w:r w:rsidRPr="000260EE">
        <w:rPr>
          <w:b/>
        </w:rPr>
        <w:t xml:space="preserve">Recommendation 10: The ALRC review the operation of the presumption of equal shared parental responsibility to ensure it is achieving its intended objectives, having particular regard to the findings of the House of Representatives Standing Committee on Social Policy and Legal Affairs’ inquiry, </w:t>
      </w:r>
      <w:r w:rsidRPr="000260EE">
        <w:rPr>
          <w:b/>
          <w:i/>
        </w:rPr>
        <w:t>A better family law system to support and protect those affected by family violence: recommendations for an accessible, equitable and responsive family law system which better prioritises safety of those affected by family violence.</w:t>
      </w:r>
      <w:proofErr w:type="gramEnd"/>
      <w:r w:rsidRPr="000260EE">
        <w:rPr>
          <w:b/>
          <w:i/>
        </w:rPr>
        <w:t xml:space="preserve"> </w:t>
      </w:r>
    </w:p>
    <w:p w14:paraId="685F24E3" w14:textId="77777777" w:rsidR="00C66A5F" w:rsidRDefault="00EF4161" w:rsidP="00684075">
      <w:pPr>
        <w:pStyle w:val="Heading2"/>
        <w:numPr>
          <w:ilvl w:val="1"/>
          <w:numId w:val="16"/>
        </w:numPr>
      </w:pPr>
      <w:bookmarkStart w:id="33" w:name="_Toc531787317"/>
      <w:r>
        <w:t>The welfare jurisdiction</w:t>
      </w:r>
      <w:bookmarkEnd w:id="33"/>
    </w:p>
    <w:p w14:paraId="2517117A" w14:textId="77777777" w:rsidR="00EF4161" w:rsidRDefault="00DB2D95" w:rsidP="00F047E1">
      <w:pPr>
        <w:pStyle w:val="Heading3"/>
        <w:numPr>
          <w:ilvl w:val="2"/>
          <w:numId w:val="16"/>
        </w:numPr>
      </w:pPr>
      <w:bookmarkStart w:id="34" w:name="_Toc531787318"/>
      <w:r w:rsidRPr="00C66A5F">
        <w:t>Forced s</w:t>
      </w:r>
      <w:r w:rsidR="00EF4161" w:rsidRPr="00C66A5F">
        <w:t>terilisation of people with disability</w:t>
      </w:r>
      <w:bookmarkEnd w:id="34"/>
    </w:p>
    <w:p w14:paraId="010641AD" w14:textId="77777777" w:rsidR="00C66A5F" w:rsidRDefault="001C0D69" w:rsidP="00C66A5F">
      <w:pPr>
        <w:pStyle w:val="SubmissionNormal"/>
      </w:pPr>
      <w:r>
        <w:t xml:space="preserve">As noted in the </w:t>
      </w:r>
      <w:r w:rsidR="00C66A5F" w:rsidRPr="005E4242">
        <w:t xml:space="preserve">Issues Paper, children with disability may be involved </w:t>
      </w:r>
      <w:proofErr w:type="gramStart"/>
      <w:r w:rsidR="00C66A5F" w:rsidRPr="005E4242">
        <w:t>in the family law system, either</w:t>
      </w:r>
      <w:proofErr w:type="gramEnd"/>
      <w:r w:rsidR="00C66A5F" w:rsidRPr="005E4242">
        <w:t xml:space="preserve"> as the subject of disputes in relation to their care, or in the exercise of the Family Court’s welfare jurisdiction. The Issues Paper asks what changes might be made to the legislative provisions governing decisions about children’s care arrangements and the court’s welfare jurisdiction.</w:t>
      </w:r>
      <w:r w:rsidR="00C66A5F">
        <w:rPr>
          <w:rStyle w:val="EndnoteReference"/>
        </w:rPr>
        <w:endnoteReference w:id="75"/>
      </w:r>
    </w:p>
    <w:p w14:paraId="681240D8" w14:textId="447AB3D6" w:rsidR="00FC1CF4" w:rsidRDefault="00C66A5F" w:rsidP="00C66A5F">
      <w:pPr>
        <w:pStyle w:val="SubmissionNormal"/>
      </w:pPr>
      <w:r w:rsidRPr="005E4242">
        <w:t xml:space="preserve">The Commission continues to have concerns about </w:t>
      </w:r>
      <w:r w:rsidR="005112C5">
        <w:t xml:space="preserve">the application of </w:t>
      </w:r>
      <w:r w:rsidRPr="005E4242">
        <w:t>the Family Law Act’s welfare jurisdiction</w:t>
      </w:r>
      <w:r w:rsidR="001F04B6">
        <w:t xml:space="preserve"> in certain </w:t>
      </w:r>
      <w:r w:rsidR="005E5163">
        <w:t xml:space="preserve">kinds of </w:t>
      </w:r>
      <w:r w:rsidR="001F04B6">
        <w:t>cases. The welfare jurisdiction</w:t>
      </w:r>
      <w:r w:rsidRPr="005E4242">
        <w:t xml:space="preserve"> gives the family courts a broad power to make orders relating to the welfare of children. This includes </w:t>
      </w:r>
      <w:r w:rsidR="001F04B6">
        <w:t xml:space="preserve">deciding cases about whether or not to </w:t>
      </w:r>
      <w:r w:rsidRPr="005E4242">
        <w:t>authoris</w:t>
      </w:r>
      <w:r w:rsidR="001F04B6">
        <w:t>e</w:t>
      </w:r>
      <w:r w:rsidRPr="005E4242">
        <w:t xml:space="preserve"> the sterilisation of a young person</w:t>
      </w:r>
      <w:r w:rsidR="00A61CFC">
        <w:t xml:space="preserve">, including </w:t>
      </w:r>
      <w:r w:rsidR="000260EE">
        <w:t xml:space="preserve">intersex </w:t>
      </w:r>
      <w:r w:rsidR="00A61CFC">
        <w:t>children</w:t>
      </w:r>
      <w:r w:rsidR="000260EE">
        <w:t>,</w:t>
      </w:r>
      <w:r w:rsidR="00A61CFC">
        <w:t xml:space="preserve"> as discussed in this submission further below.</w:t>
      </w:r>
    </w:p>
    <w:p w14:paraId="1F4E84C0" w14:textId="49E75A59" w:rsidR="00C66A5F" w:rsidRPr="005E4242" w:rsidRDefault="00C66A5F" w:rsidP="00C66A5F">
      <w:pPr>
        <w:pStyle w:val="SubmissionNormal"/>
      </w:pPr>
      <w:r w:rsidRPr="005E4242">
        <w:t xml:space="preserve">Involuntary or forced sterilisation is a serious violation of human rights. </w:t>
      </w:r>
      <w:r w:rsidR="00141A5B">
        <w:t>In 2013, the UN Committee on the Rights of Persons with Disabilities released its concluding observations on Australia’s compliance with the CRPD. The Committee raise serious concerns about the involuntary sterilisation of people with disabilities and urged Australia to adopt uniform national legislation prohibiting the sterilisation of people with disabilities in the absence of their prior, fully informed and free consent.</w:t>
      </w:r>
      <w:r w:rsidR="00141A5B">
        <w:rPr>
          <w:rStyle w:val="EndnoteReference"/>
        </w:rPr>
        <w:endnoteReference w:id="76"/>
      </w:r>
      <w:r w:rsidR="00141A5B">
        <w:t xml:space="preserve"> </w:t>
      </w:r>
      <w:r w:rsidR="00141A5B" w:rsidRPr="005E4242">
        <w:t xml:space="preserve">In 2017, the UN Human Rights Committee released its </w:t>
      </w:r>
      <w:r w:rsidR="00141A5B">
        <w:t>concluding observations</w:t>
      </w:r>
      <w:r w:rsidR="00141A5B" w:rsidRPr="005E4242">
        <w:t xml:space="preserve"> from its review of Australia’s compliance with the </w:t>
      </w:r>
      <w:r w:rsidR="00141A5B">
        <w:t>ICCPR.</w:t>
      </w:r>
      <w:r w:rsidR="00141A5B" w:rsidRPr="005E4242">
        <w:t xml:space="preserve"> </w:t>
      </w:r>
      <w:r w:rsidRPr="005E4242">
        <w:t xml:space="preserve">In 2017, the UN Human Rights Committee released its </w:t>
      </w:r>
      <w:r w:rsidR="00E21290">
        <w:t>concluding observations</w:t>
      </w:r>
      <w:r w:rsidR="00E21290" w:rsidRPr="005E4242">
        <w:t xml:space="preserve"> </w:t>
      </w:r>
      <w:r w:rsidRPr="005E4242">
        <w:t xml:space="preserve">from its review of Australia’s compliance with the </w:t>
      </w:r>
      <w:r w:rsidR="001C0D69">
        <w:t>ICCPR.</w:t>
      </w:r>
      <w:r w:rsidRPr="005E4242">
        <w:t xml:space="preserve"> It </w:t>
      </w:r>
      <w:r w:rsidR="00141A5B">
        <w:t xml:space="preserve">also </w:t>
      </w:r>
      <w:r w:rsidRPr="005E4242">
        <w:t>raised concerns about the involuntary sterilisation of women/girls with intellectual/cognitive disabilities and recommended that Australia eliminate this practice</w:t>
      </w:r>
      <w:r w:rsidR="00FC1CF4">
        <w:t>.</w:t>
      </w:r>
      <w:r w:rsidR="00FC1CF4">
        <w:rPr>
          <w:rStyle w:val="EndnoteReference"/>
        </w:rPr>
        <w:endnoteReference w:id="77"/>
      </w:r>
      <w:r w:rsidR="00FC1CF4">
        <w:t xml:space="preserve"> </w:t>
      </w:r>
    </w:p>
    <w:p w14:paraId="2247765E" w14:textId="77777777" w:rsidR="00C66A5F" w:rsidRPr="00FC1CF4" w:rsidRDefault="00C66A5F" w:rsidP="00FC1CF4">
      <w:pPr>
        <w:ind w:left="1440"/>
        <w:rPr>
          <w:b/>
          <w:sz w:val="22"/>
          <w:szCs w:val="22"/>
        </w:rPr>
      </w:pPr>
      <w:r w:rsidRPr="00FC1CF4">
        <w:rPr>
          <w:b/>
          <w:sz w:val="22"/>
          <w:szCs w:val="22"/>
        </w:rPr>
        <w:t>Concluding observations on the sixth periodic report of Australia: Non-therapeutic sterilisation of persons with disabilities</w:t>
      </w:r>
    </w:p>
    <w:p w14:paraId="2A94CBF7" w14:textId="77777777" w:rsidR="00C66A5F" w:rsidRPr="00FC1CF4" w:rsidRDefault="00C66A5F" w:rsidP="00FC1CF4">
      <w:pPr>
        <w:ind w:left="1440"/>
        <w:rPr>
          <w:sz w:val="22"/>
          <w:szCs w:val="22"/>
        </w:rPr>
      </w:pPr>
      <w:proofErr w:type="gramStart"/>
      <w:r w:rsidRPr="00FC1CF4">
        <w:rPr>
          <w:sz w:val="22"/>
          <w:szCs w:val="22"/>
        </w:rPr>
        <w:t>23. While noting that the Senate Standing Committee on Community Affairs recommended limiting the practice of sterilisation of persons for psychosocial reasons and strengthening the safeguards against abuse in its inquiry report of July 2013, the Committee remains concerned about the compatibility of the practice of involuntary non-therapeutic sterilisation of women and girls with intellectual disability and/or cognitive impairment with the Covenant, in particular the prohibition against cruel, inhuman and degrading treatment, the right to privacy and equality before the law (arts. 2, 7, 17, 24 and 26).</w:t>
      </w:r>
      <w:proofErr w:type="gramEnd"/>
    </w:p>
    <w:p w14:paraId="29619813" w14:textId="77777777" w:rsidR="00AE6892" w:rsidRPr="00AE6892" w:rsidRDefault="00C66A5F" w:rsidP="00AE6892">
      <w:pPr>
        <w:ind w:left="1440"/>
        <w:rPr>
          <w:sz w:val="22"/>
          <w:szCs w:val="22"/>
        </w:rPr>
      </w:pPr>
      <w:r w:rsidRPr="00FC1CF4">
        <w:rPr>
          <w:sz w:val="22"/>
          <w:szCs w:val="22"/>
        </w:rPr>
        <w:t>24. The State party should abolish the practice of involuntary non-therapeutic sterilisation of women and girls with intellectual disability and/or cognitive impairment.</w:t>
      </w:r>
    </w:p>
    <w:p w14:paraId="2013E679" w14:textId="77777777" w:rsidR="00A61CFC" w:rsidRPr="00ED1B03" w:rsidRDefault="00C66A5F" w:rsidP="00C91887">
      <w:pPr>
        <w:pStyle w:val="SubmissionNormal"/>
      </w:pPr>
      <w:r w:rsidRPr="005E4242">
        <w:t xml:space="preserve">The Commission </w:t>
      </w:r>
      <w:r w:rsidR="00A61CFC">
        <w:t>draws the ALRC’s attention to the</w:t>
      </w:r>
      <w:r w:rsidRPr="005E4242">
        <w:t xml:space="preserve"> recommendations made in the Commission’s Submission to the Senate Community Affairs References Committee on the involuntary or coerced sterilisation of people with disabilities in Australia (2012).</w:t>
      </w:r>
      <w:r w:rsidR="00AE6892" w:rsidRPr="00CC661B">
        <w:rPr>
          <w:sz w:val="20"/>
          <w:vertAlign w:val="superscript"/>
        </w:rPr>
        <w:endnoteReference w:id="78"/>
      </w:r>
      <w:r w:rsidRPr="005E4242">
        <w:t xml:space="preserve"> </w:t>
      </w:r>
      <w:r w:rsidR="00A61CFC" w:rsidRPr="00ED1B03">
        <w:t>This includes:</w:t>
      </w:r>
    </w:p>
    <w:p w14:paraId="367D7411" w14:textId="7EEEF938" w:rsidR="00A61CFC" w:rsidRPr="00ED1B03" w:rsidRDefault="00A61CFC" w:rsidP="000260EE">
      <w:pPr>
        <w:pStyle w:val="ListParagraph"/>
        <w:numPr>
          <w:ilvl w:val="0"/>
          <w:numId w:val="44"/>
        </w:numPr>
      </w:pPr>
      <w:proofErr w:type="gramStart"/>
      <w:r w:rsidRPr="00ED1B03">
        <w:t>National legislation be enacted</w:t>
      </w:r>
      <w:proofErr w:type="gramEnd"/>
      <w:r w:rsidRPr="00ED1B03">
        <w:t xml:space="preserve"> to criminalise involuntary or forced sterilisation</w:t>
      </w:r>
      <w:r w:rsidR="0063080C">
        <w:t>—</w:t>
      </w:r>
      <w:r w:rsidRPr="00ED1B03">
        <w:t xml:space="preserve">except when </w:t>
      </w:r>
      <w:r w:rsidR="00CC661B">
        <w:t xml:space="preserve">there are </w:t>
      </w:r>
      <w:r w:rsidRPr="00ED1B03">
        <w:t>serious threat</w:t>
      </w:r>
      <w:r w:rsidR="005E5163">
        <w:t>s</w:t>
      </w:r>
      <w:r w:rsidRPr="00ED1B03">
        <w:t xml:space="preserve"> to life</w:t>
      </w:r>
      <w:r w:rsidR="005E5163">
        <w:t xml:space="preserve"> or health</w:t>
      </w:r>
      <w:r w:rsidRPr="00ED1B03">
        <w:t>.</w:t>
      </w:r>
    </w:p>
    <w:p w14:paraId="05DA8E4A" w14:textId="77777777" w:rsidR="00A61CFC" w:rsidRPr="00ED1B03" w:rsidRDefault="00A61CFC" w:rsidP="000260EE">
      <w:pPr>
        <w:pStyle w:val="ListParagraph"/>
        <w:numPr>
          <w:ilvl w:val="0"/>
          <w:numId w:val="44"/>
        </w:numPr>
      </w:pPr>
      <w:r w:rsidRPr="00ED1B03">
        <w:t>Criminalising removing a child or adult with disability from Australia with the intent of having them sterilised overseas.</w:t>
      </w:r>
    </w:p>
    <w:p w14:paraId="2C9165C1" w14:textId="77777777" w:rsidR="00A61CFC" w:rsidRPr="00ED1B03" w:rsidRDefault="00A61CFC" w:rsidP="000260EE">
      <w:pPr>
        <w:pStyle w:val="ListParagraph"/>
        <w:numPr>
          <w:ilvl w:val="0"/>
          <w:numId w:val="44"/>
        </w:numPr>
      </w:pPr>
      <w:r w:rsidRPr="00ED1B03">
        <w:t>Establishing a national system to monitor the number of applications and orders made for sterilisation.</w:t>
      </w:r>
    </w:p>
    <w:p w14:paraId="60F971C8" w14:textId="77777777" w:rsidR="00A61CFC" w:rsidRPr="00ED1B03" w:rsidRDefault="00A61CFC" w:rsidP="000260EE">
      <w:pPr>
        <w:pStyle w:val="ListParagraph"/>
        <w:numPr>
          <w:ilvl w:val="0"/>
          <w:numId w:val="44"/>
        </w:numPr>
      </w:pPr>
      <w:r w:rsidRPr="00ED1B03">
        <w:t xml:space="preserve">Improving education regarding the sexual and reproductive rights of people with disability in Australia and </w:t>
      </w:r>
      <w:r>
        <w:t>the rights enshrined in the CRPD.</w:t>
      </w:r>
      <w:r>
        <w:rPr>
          <w:rStyle w:val="EndnoteReference"/>
        </w:rPr>
        <w:endnoteReference w:id="79"/>
      </w:r>
    </w:p>
    <w:p w14:paraId="5C8EE93C" w14:textId="77777777" w:rsidR="005533A5" w:rsidRDefault="005533A5" w:rsidP="00F047E1">
      <w:pPr>
        <w:pStyle w:val="Heading3"/>
        <w:numPr>
          <w:ilvl w:val="2"/>
          <w:numId w:val="16"/>
        </w:numPr>
      </w:pPr>
      <w:bookmarkStart w:id="35" w:name="_Toc531787319"/>
      <w:r>
        <w:t xml:space="preserve">Intersex </w:t>
      </w:r>
      <w:r w:rsidR="005D12EE">
        <w:t>children</w:t>
      </w:r>
      <w:bookmarkEnd w:id="35"/>
    </w:p>
    <w:p w14:paraId="71968BFE" w14:textId="1EBF2B08" w:rsidR="00BC4C2B" w:rsidRDefault="00D03B18" w:rsidP="00D03B18">
      <w:pPr>
        <w:pStyle w:val="SubmissionNormal"/>
      </w:pPr>
      <w:r w:rsidRPr="00F35D7F">
        <w:t xml:space="preserve">Intersex people face particular issues within the Family Court system that raise concerns for the protection of their human rights. </w:t>
      </w:r>
    </w:p>
    <w:p w14:paraId="37859060" w14:textId="762D16A4" w:rsidR="00D03B18" w:rsidRDefault="0063080C" w:rsidP="00D03B18">
      <w:pPr>
        <w:pStyle w:val="SubmissionNormal"/>
      </w:pPr>
      <w:r>
        <w:t>‘</w:t>
      </w:r>
      <w:r w:rsidR="00D03B18" w:rsidRPr="00F35D7F">
        <w:t>Intersex</w:t>
      </w:r>
      <w:r>
        <w:t>’</w:t>
      </w:r>
      <w:r w:rsidR="00D03B18" w:rsidRPr="00F35D7F">
        <w:t xml:space="preserve"> </w:t>
      </w:r>
      <w:r w:rsidR="00E21290">
        <w:t xml:space="preserve">is a term that </w:t>
      </w:r>
      <w:r w:rsidR="00D03B18" w:rsidRPr="00F35D7F">
        <w:t xml:space="preserve">describes people born with variations in sex characteristics. </w:t>
      </w:r>
      <w:r w:rsidR="00E21290">
        <w:t>The term i</w:t>
      </w:r>
      <w:r w:rsidR="00D03B18" w:rsidRPr="00F35D7F">
        <w:t xml:space="preserve">ntersex </w:t>
      </w:r>
      <w:r w:rsidR="00E21290">
        <w:t xml:space="preserve">describes </w:t>
      </w:r>
      <w:r w:rsidR="00D03B18" w:rsidRPr="00F35D7F">
        <w:t>an individual’s body</w:t>
      </w:r>
      <w:r w:rsidR="00E21290">
        <w:t xml:space="preserve"> (in other words, their anatomy) </w:t>
      </w:r>
      <w:r w:rsidR="00D03B18" w:rsidRPr="00F35D7F">
        <w:t xml:space="preserve">and </w:t>
      </w:r>
      <w:r w:rsidR="00E21290">
        <w:t xml:space="preserve">does not speak specifically to their gender </w:t>
      </w:r>
      <w:r w:rsidR="00D03B18" w:rsidRPr="00F35D7F">
        <w:t>identity. Up to 1.7% of the population is born with intersex variations.</w:t>
      </w:r>
      <w:r w:rsidR="000A14A6">
        <w:rPr>
          <w:rStyle w:val="EndnoteReference"/>
        </w:rPr>
        <w:endnoteReference w:id="80"/>
      </w:r>
      <w:r w:rsidR="00D03B18" w:rsidRPr="00F35D7F">
        <w:t xml:space="preserve"> The following definition from the United Nations Free</w:t>
      </w:r>
      <w:r w:rsidR="00E21290">
        <w:t xml:space="preserve"> </w:t>
      </w:r>
      <w:r w:rsidR="00D03B18" w:rsidRPr="00F35D7F">
        <w:t>&amp;</w:t>
      </w:r>
      <w:r w:rsidR="00E21290">
        <w:t xml:space="preserve"> </w:t>
      </w:r>
      <w:r w:rsidR="00D03B18" w:rsidRPr="00F35D7F">
        <w:t>Equal campaign is informative:</w:t>
      </w:r>
    </w:p>
    <w:p w14:paraId="1A008B85" w14:textId="77777777" w:rsidR="00BC4C2B" w:rsidRPr="00BC4C2B" w:rsidRDefault="00BC4C2B" w:rsidP="00BC4C2B">
      <w:pPr>
        <w:ind w:left="1440"/>
        <w:rPr>
          <w:sz w:val="22"/>
          <w:szCs w:val="22"/>
        </w:rPr>
      </w:pPr>
      <w:r w:rsidRPr="00BC4C2B">
        <w:rPr>
          <w:sz w:val="22"/>
          <w:szCs w:val="22"/>
        </w:rPr>
        <w:t>Intersex people are born with sex characteristics (including genitals, gonads and chromosome patterns) that do not fit typical binary notions of male or female bodies. Intersex is an umbrella term used to describe a wide range of natural bodily variations. In some cases, intersex traits are visible at birth while in others, they are not apparent until puberty. Some chromosomal intersex variations may not be physically apparent at all</w:t>
      </w:r>
      <w:r>
        <w:rPr>
          <w:sz w:val="22"/>
          <w:szCs w:val="22"/>
        </w:rPr>
        <w:t>.</w:t>
      </w:r>
      <w:r>
        <w:rPr>
          <w:rStyle w:val="EndnoteReference"/>
          <w:szCs w:val="22"/>
        </w:rPr>
        <w:endnoteReference w:id="81"/>
      </w:r>
    </w:p>
    <w:p w14:paraId="21F51C39" w14:textId="50EAFA95" w:rsidR="00BC4C2B" w:rsidRDefault="00BC4C2B" w:rsidP="00BC4C2B">
      <w:pPr>
        <w:pStyle w:val="SubmissionNormal"/>
      </w:pPr>
      <w:r w:rsidRPr="00F35D7F">
        <w:t xml:space="preserve">Recognising the difference between intersex and other populations is important, particularly in this context given the distinct legal and medical oversight </w:t>
      </w:r>
      <w:r w:rsidR="00AF1C20">
        <w:t>of</w:t>
      </w:r>
      <w:r w:rsidR="00AF1C20" w:rsidRPr="00F35D7F">
        <w:t xml:space="preserve"> </w:t>
      </w:r>
      <w:r w:rsidRPr="00F35D7F">
        <w:t xml:space="preserve">these populations. </w:t>
      </w:r>
    </w:p>
    <w:p w14:paraId="5348854E" w14:textId="67BB9B98" w:rsidR="00BC4C2B" w:rsidRPr="00F35D7F" w:rsidRDefault="00BC4C2B" w:rsidP="00BC4C2B">
      <w:pPr>
        <w:pStyle w:val="SubmissionNormal"/>
      </w:pPr>
      <w:r w:rsidRPr="00F35D7F">
        <w:t xml:space="preserve">Intersex people, particularly children and those without legal capacity to consent, are at risk of unnecessary medical interventions. Intersex children </w:t>
      </w:r>
      <w:r w:rsidR="00231B58">
        <w:t xml:space="preserve">can be </w:t>
      </w:r>
      <w:r w:rsidRPr="00F35D7F">
        <w:t xml:space="preserve">engaged in the family law system </w:t>
      </w:r>
      <w:r w:rsidR="00231B58">
        <w:t xml:space="preserve">when </w:t>
      </w:r>
      <w:r w:rsidRPr="00F35D7F">
        <w:t xml:space="preserve">family and medical professionals seek </w:t>
      </w:r>
      <w:r w:rsidR="00231B58">
        <w:t xml:space="preserve">authorisation from the court for surgical interventions </w:t>
      </w:r>
      <w:proofErr w:type="gramStart"/>
      <w:r w:rsidRPr="00F35D7F">
        <w:t>to physically change</w:t>
      </w:r>
      <w:proofErr w:type="gramEnd"/>
      <w:r w:rsidRPr="00F35D7F">
        <w:t xml:space="preserve"> their bodies</w:t>
      </w:r>
      <w:r w:rsidR="00231B58">
        <w:t xml:space="preserve">. </w:t>
      </w:r>
      <w:r w:rsidR="00231B58" w:rsidRPr="00F35D7F">
        <w:t xml:space="preserve">The Family Court currently has a role of oversight </w:t>
      </w:r>
      <w:r w:rsidR="00AF1C20">
        <w:t>of</w:t>
      </w:r>
      <w:r w:rsidR="00231B58" w:rsidRPr="00F35D7F">
        <w:t xml:space="preserve"> these procedures</w:t>
      </w:r>
      <w:r w:rsidR="00231B58">
        <w:t xml:space="preserve"> through its welfare jurisdiction</w:t>
      </w:r>
      <w:r w:rsidR="00231B58" w:rsidRPr="00F35D7F">
        <w:t>.</w:t>
      </w:r>
      <w:r w:rsidR="00231B58">
        <w:t xml:space="preserve"> The Commission is concerned that applications for court authorisation </w:t>
      </w:r>
      <w:proofErr w:type="gramStart"/>
      <w:r w:rsidR="00231B58">
        <w:t>can be made</w:t>
      </w:r>
      <w:proofErr w:type="gramEnd"/>
      <w:r w:rsidRPr="00F35D7F">
        <w:t xml:space="preserve"> where there is no medical need</w:t>
      </w:r>
      <w:r w:rsidR="00231B58">
        <w:t xml:space="preserve"> for intervention</w:t>
      </w:r>
      <w:r w:rsidRPr="00F35D7F">
        <w:t xml:space="preserve">. </w:t>
      </w:r>
    </w:p>
    <w:p w14:paraId="202EEFEF" w14:textId="72592755" w:rsidR="00F54D07" w:rsidRDefault="00F54D07" w:rsidP="00F54D07">
      <w:pPr>
        <w:pStyle w:val="SubmissionNormal"/>
      </w:pPr>
      <w:r w:rsidRPr="007D350E">
        <w:t xml:space="preserve">The legal regulation over the medical treatment provided for intersex children is inherently different </w:t>
      </w:r>
      <w:r w:rsidR="0063080C">
        <w:t>from</w:t>
      </w:r>
      <w:r w:rsidR="0063080C" w:rsidRPr="007D350E">
        <w:t xml:space="preserve"> </w:t>
      </w:r>
      <w:r w:rsidRPr="007D350E">
        <w:t xml:space="preserve">regulation over transgender or gender diverse children. </w:t>
      </w:r>
      <w:proofErr w:type="gramStart"/>
      <w:r w:rsidR="00EA006E">
        <w:t>A</w:t>
      </w:r>
      <w:r w:rsidRPr="007D350E">
        <w:t>s a general rule</w:t>
      </w:r>
      <w:proofErr w:type="gramEnd"/>
      <w:r w:rsidR="00EA006E">
        <w:t>,</w:t>
      </w:r>
      <w:r w:rsidRPr="007D350E">
        <w:t xml:space="preserve"> transgender and gender diverse children who want to physically transition </w:t>
      </w:r>
      <w:r w:rsidR="00EA006E">
        <w:t xml:space="preserve">have been concerned that court processes can inappropriately delay or constrain </w:t>
      </w:r>
      <w:r w:rsidRPr="007D350E">
        <w:t xml:space="preserve">their choices </w:t>
      </w:r>
      <w:r w:rsidR="00EA006E">
        <w:t xml:space="preserve">regarding </w:t>
      </w:r>
      <w:r w:rsidRPr="007D350E">
        <w:t xml:space="preserve">access to medical intervention, </w:t>
      </w:r>
      <w:r w:rsidR="00EA006E">
        <w:t xml:space="preserve">in a way that offers no medical or other benefit. By contrast, </w:t>
      </w:r>
      <w:r w:rsidRPr="007D350E">
        <w:t xml:space="preserve">intersex children face concerns over medical treatments forced upon them without their </w:t>
      </w:r>
      <w:r w:rsidR="00EA006E">
        <w:t xml:space="preserve">informed </w:t>
      </w:r>
      <w:r w:rsidRPr="007D350E">
        <w:t xml:space="preserve">consent. </w:t>
      </w:r>
      <w:r w:rsidR="005D12EE">
        <w:t xml:space="preserve">As discussed </w:t>
      </w:r>
      <w:r w:rsidR="005C2F33">
        <w:t>below</w:t>
      </w:r>
      <w:r w:rsidR="005D12EE">
        <w:t>, f</w:t>
      </w:r>
      <w:r w:rsidRPr="007D350E">
        <w:t xml:space="preserve">ollowing </w:t>
      </w:r>
      <w:r w:rsidR="005D12EE" w:rsidRPr="005D12EE">
        <w:rPr>
          <w:i/>
        </w:rPr>
        <w:t xml:space="preserve">Re </w:t>
      </w:r>
      <w:r w:rsidRPr="005D12EE">
        <w:rPr>
          <w:i/>
        </w:rPr>
        <w:t>Kelvin</w:t>
      </w:r>
      <w:r>
        <w:rPr>
          <w:rStyle w:val="EndnoteReference"/>
        </w:rPr>
        <w:endnoteReference w:id="82"/>
      </w:r>
      <w:r>
        <w:t xml:space="preserve"> </w:t>
      </w:r>
      <w:r w:rsidRPr="007D350E">
        <w:t xml:space="preserve">and </w:t>
      </w:r>
      <w:r w:rsidR="005D12EE" w:rsidRPr="005D12EE">
        <w:rPr>
          <w:i/>
        </w:rPr>
        <w:t xml:space="preserve">Re </w:t>
      </w:r>
      <w:r w:rsidRPr="005D12EE">
        <w:rPr>
          <w:i/>
        </w:rPr>
        <w:t>Matthew</w:t>
      </w:r>
      <w:r w:rsidRPr="007D350E">
        <w:t>,</w:t>
      </w:r>
      <w:r>
        <w:rPr>
          <w:rStyle w:val="EndnoteReference"/>
        </w:rPr>
        <w:endnoteReference w:id="83"/>
      </w:r>
      <w:r w:rsidRPr="007D350E">
        <w:t xml:space="preserve"> children diagnosed with gender dysphoria no longer need Family Court approval</w:t>
      </w:r>
      <w:r w:rsidR="00EA006E">
        <w:t xml:space="preserve">, </w:t>
      </w:r>
      <w:r w:rsidRPr="007D350E">
        <w:t xml:space="preserve">where the parents </w:t>
      </w:r>
      <w:r w:rsidR="00EA006E">
        <w:t xml:space="preserve">or guardians </w:t>
      </w:r>
      <w:r w:rsidRPr="007D350E">
        <w:t>and clinicians agree</w:t>
      </w:r>
      <w:r w:rsidR="00EA006E">
        <w:t>,</w:t>
      </w:r>
      <w:r w:rsidRPr="007D350E">
        <w:t xml:space="preserve"> to access </w:t>
      </w:r>
      <w:r w:rsidR="00EA006E">
        <w:t xml:space="preserve">some forms of </w:t>
      </w:r>
      <w:r w:rsidRPr="007D350E">
        <w:t xml:space="preserve">medical treatment. </w:t>
      </w:r>
      <w:r w:rsidR="001E74D5">
        <w:t xml:space="preserve">This is another reason why it is important to distinguish between gender identity and intersex status because a trend towards less oversight of ‘special medical procedures’ may not be beneficial for </w:t>
      </w:r>
      <w:r w:rsidR="000260EE">
        <w:t xml:space="preserve">intersex </w:t>
      </w:r>
      <w:r w:rsidRPr="007D350E">
        <w:t xml:space="preserve">children. </w:t>
      </w:r>
    </w:p>
    <w:p w14:paraId="43B75B32" w14:textId="77777777" w:rsidR="005D12EE" w:rsidRPr="007D350E" w:rsidRDefault="002F7B5A" w:rsidP="002F7B5A">
      <w:pPr>
        <w:pStyle w:val="Heading4"/>
        <w:numPr>
          <w:ilvl w:val="0"/>
          <w:numId w:val="0"/>
        </w:numPr>
        <w:ind w:left="851" w:hanging="851"/>
      </w:pPr>
      <w:bookmarkStart w:id="36" w:name="_Toc531787320"/>
      <w:r>
        <w:t>(</w:t>
      </w:r>
      <w:proofErr w:type="spellStart"/>
      <w:r>
        <w:t>i</w:t>
      </w:r>
      <w:proofErr w:type="spellEnd"/>
      <w:r>
        <w:t xml:space="preserve">) </w:t>
      </w:r>
      <w:r w:rsidR="005D12EE" w:rsidRPr="007D350E">
        <w:t xml:space="preserve">Human rights of </w:t>
      </w:r>
      <w:r w:rsidR="005D12EE" w:rsidRPr="002F7B5A">
        <w:t>intersex</w:t>
      </w:r>
      <w:r w:rsidR="005D12EE" w:rsidRPr="007D350E">
        <w:t xml:space="preserve"> children</w:t>
      </w:r>
      <w:bookmarkEnd w:id="36"/>
    </w:p>
    <w:p w14:paraId="6C326FEB" w14:textId="3BC390CB" w:rsidR="005D12EE" w:rsidRPr="007D350E" w:rsidRDefault="005D12EE" w:rsidP="005D12EE">
      <w:pPr>
        <w:pStyle w:val="SubmissionNormal"/>
      </w:pPr>
      <w:r w:rsidRPr="007D350E">
        <w:t xml:space="preserve">The </w:t>
      </w:r>
      <w:r>
        <w:t xml:space="preserve">CRC </w:t>
      </w:r>
      <w:r w:rsidRPr="007D350E">
        <w:t xml:space="preserve">and </w:t>
      </w:r>
      <w:r>
        <w:t xml:space="preserve">ICCPR </w:t>
      </w:r>
      <w:r w:rsidRPr="007D350E">
        <w:t>outline human rights that are particularly relevant to the treatment of intersex children in this context. Intersex children are at risk of violation of the right to physical and mental integrity, the right to the highest attainable standard of heath, the right of the child to express views freely in all matters concerning them and freedom from torture, cruel, inhuman or degrading treatment, including freedom from medical experimentation.</w:t>
      </w:r>
      <w:r>
        <w:rPr>
          <w:rStyle w:val="EndnoteReference"/>
        </w:rPr>
        <w:endnoteReference w:id="84"/>
      </w:r>
      <w:r w:rsidRPr="007D350E">
        <w:t xml:space="preserve"> The best interests of the child shall also be a primary consideration in all actions concerning children.</w:t>
      </w:r>
      <w:r>
        <w:rPr>
          <w:rStyle w:val="EndnoteReference"/>
        </w:rPr>
        <w:endnoteReference w:id="85"/>
      </w:r>
    </w:p>
    <w:p w14:paraId="65FC73A5" w14:textId="25E02053" w:rsidR="005D12EE" w:rsidRPr="007D350E" w:rsidRDefault="005D12EE" w:rsidP="00EF1FD0">
      <w:pPr>
        <w:pStyle w:val="SubmissionNormal"/>
      </w:pPr>
      <w:r w:rsidRPr="007D350E">
        <w:t xml:space="preserve">The Yogyakarta Principles </w:t>
      </w:r>
      <w:r w:rsidR="00F64571">
        <w:t xml:space="preserve">plus 10 </w:t>
      </w:r>
      <w:r w:rsidRPr="007D350E">
        <w:t xml:space="preserve">recognise the risks facing </w:t>
      </w:r>
      <w:r w:rsidR="00FC6577">
        <w:t xml:space="preserve">intersex </w:t>
      </w:r>
      <w:r w:rsidRPr="007D350E">
        <w:t>people in outlining the right to bodily and mental integrity:</w:t>
      </w:r>
    </w:p>
    <w:p w14:paraId="20ED62BA" w14:textId="77777777" w:rsidR="005D12EE" w:rsidRPr="00EF1FD0" w:rsidRDefault="005D12EE" w:rsidP="00EF1FD0">
      <w:pPr>
        <w:ind w:left="1440"/>
        <w:rPr>
          <w:sz w:val="22"/>
          <w:szCs w:val="22"/>
        </w:rPr>
      </w:pPr>
      <w:r w:rsidRPr="00EF1FD0">
        <w:rPr>
          <w:sz w:val="22"/>
          <w:szCs w:val="22"/>
        </w:rPr>
        <w:t xml:space="preserve">No one </w:t>
      </w:r>
      <w:proofErr w:type="gramStart"/>
      <w:r w:rsidRPr="00EF1FD0">
        <w:rPr>
          <w:sz w:val="22"/>
          <w:szCs w:val="22"/>
        </w:rPr>
        <w:t>shall be subjected</w:t>
      </w:r>
      <w:proofErr w:type="gramEnd"/>
      <w:r w:rsidRPr="00EF1FD0">
        <w:rPr>
          <w:sz w:val="22"/>
          <w:szCs w:val="22"/>
        </w:rPr>
        <w:t xml:space="preserve"> to invasive or irreversible medical procedures that modify sex characteristics without their free, prior and informed consent, unless necessary to avoid serious, urgent and irreparable harm to the concerned person.</w:t>
      </w:r>
      <w:r w:rsidR="00EF1FD0">
        <w:rPr>
          <w:rStyle w:val="EndnoteReference"/>
          <w:szCs w:val="22"/>
        </w:rPr>
        <w:endnoteReference w:id="86"/>
      </w:r>
    </w:p>
    <w:p w14:paraId="4DF12E9E" w14:textId="5DB3C987" w:rsidR="005D12EE" w:rsidRPr="007D350E" w:rsidRDefault="005D12EE" w:rsidP="00EF1FD0">
      <w:pPr>
        <w:pStyle w:val="SubmissionNormal"/>
      </w:pPr>
      <w:r w:rsidRPr="007D350E">
        <w:t>The Yogyakarta Principles plus 10 also state that States shall ‘[e]</w:t>
      </w:r>
      <w:proofErr w:type="spellStart"/>
      <w:r w:rsidRPr="007D350E">
        <w:t>nsure</w:t>
      </w:r>
      <w:proofErr w:type="spellEnd"/>
      <w:r w:rsidRPr="007D350E">
        <w:t xml:space="preserve"> that the concept of the best interest of the child is not manipulated to justify practices that conflict with the child’s right to bodily integrity’.</w:t>
      </w:r>
      <w:r w:rsidR="00EF1FD0">
        <w:rPr>
          <w:rStyle w:val="EndnoteReference"/>
        </w:rPr>
        <w:endnoteReference w:id="87"/>
      </w:r>
    </w:p>
    <w:p w14:paraId="38965451" w14:textId="77777777" w:rsidR="00F54D07" w:rsidRPr="007D350E" w:rsidRDefault="005D12EE" w:rsidP="00EF1FD0">
      <w:pPr>
        <w:pStyle w:val="SubmissionNormal"/>
      </w:pPr>
      <w:r w:rsidRPr="007D350E">
        <w:t>The Family Court has a responsibility to protect these rights of the child.</w:t>
      </w:r>
    </w:p>
    <w:p w14:paraId="7A2D76FF" w14:textId="4458C756" w:rsidR="00EF1FD0" w:rsidRPr="00065521" w:rsidRDefault="002F7B5A" w:rsidP="002F7B5A">
      <w:pPr>
        <w:pStyle w:val="Heading4"/>
        <w:numPr>
          <w:ilvl w:val="0"/>
          <w:numId w:val="0"/>
        </w:numPr>
        <w:ind w:left="851" w:hanging="851"/>
      </w:pPr>
      <w:bookmarkStart w:id="37" w:name="_Toc531787321"/>
      <w:r>
        <w:t xml:space="preserve">(ii) </w:t>
      </w:r>
      <w:r w:rsidR="00EF1FD0" w:rsidRPr="00065521">
        <w:t>Current jurisdiction of the Family Court</w:t>
      </w:r>
      <w:r w:rsidR="000409BD">
        <w:t>—</w:t>
      </w:r>
      <w:r w:rsidR="00EF1FD0" w:rsidRPr="00065521">
        <w:t>special medical procedures</w:t>
      </w:r>
      <w:bookmarkEnd w:id="37"/>
    </w:p>
    <w:p w14:paraId="3D3B1118" w14:textId="77777777" w:rsidR="00EF1FD0" w:rsidRPr="00065521" w:rsidRDefault="00EF1FD0" w:rsidP="00EF1FD0">
      <w:pPr>
        <w:pStyle w:val="SubmissionNormal"/>
      </w:pPr>
      <w:r w:rsidRPr="00065521">
        <w:t>Generally</w:t>
      </w:r>
      <w:r w:rsidR="00657D46">
        <w:t>,</w:t>
      </w:r>
      <w:r w:rsidRPr="00065521">
        <w:t xml:space="preserve"> a child under the age of 18 may consent to a medical procedure if the child has sufficient maturity and understanding to give valid consent to the procedure (has ‘</w:t>
      </w:r>
      <w:proofErr w:type="spellStart"/>
      <w:r w:rsidRPr="00EE012E">
        <w:rPr>
          <w:i/>
        </w:rPr>
        <w:t>Gillick</w:t>
      </w:r>
      <w:proofErr w:type="spellEnd"/>
      <w:r w:rsidRPr="00065521">
        <w:t xml:space="preserve"> competency’).</w:t>
      </w:r>
      <w:r>
        <w:rPr>
          <w:rStyle w:val="EndnoteReference"/>
        </w:rPr>
        <w:endnoteReference w:id="88"/>
      </w:r>
      <w:r w:rsidRPr="00065521">
        <w:t xml:space="preserve"> If the child is not </w:t>
      </w:r>
      <w:proofErr w:type="spellStart"/>
      <w:r w:rsidRPr="00EE012E">
        <w:rPr>
          <w:i/>
        </w:rPr>
        <w:t>Gillick</w:t>
      </w:r>
      <w:proofErr w:type="spellEnd"/>
      <w:r w:rsidRPr="00065521">
        <w:t xml:space="preserve"> competent, section 61C of the Family Law Act currently provides that decision-making responsibility about medical treatment typically </w:t>
      </w:r>
      <w:proofErr w:type="gramStart"/>
      <w:r w:rsidRPr="00065521">
        <w:t>vests</w:t>
      </w:r>
      <w:proofErr w:type="gramEnd"/>
      <w:r w:rsidRPr="00065521">
        <w:t xml:space="preserve"> in the parents or guardians.</w:t>
      </w:r>
      <w:r>
        <w:rPr>
          <w:rStyle w:val="EndnoteReference"/>
        </w:rPr>
        <w:endnoteReference w:id="89"/>
      </w:r>
    </w:p>
    <w:p w14:paraId="1E0B9452" w14:textId="77777777" w:rsidR="006C29F0" w:rsidRDefault="008B2F31" w:rsidP="00EF1FD0">
      <w:pPr>
        <w:pStyle w:val="SubmissionNormal"/>
      </w:pPr>
      <w:r>
        <w:t xml:space="preserve">However, </w:t>
      </w:r>
      <w:r w:rsidR="006C29F0">
        <w:t xml:space="preserve">in a case about the sterilisation of a girl with intellectual disabilities, </w:t>
      </w:r>
      <w:r w:rsidR="00CF2F14">
        <w:t>the High Court held that parents do not have the authority to consent to certain kinds of medical procedures</w:t>
      </w:r>
      <w:r w:rsidR="00EF1FD0" w:rsidRPr="00065521">
        <w:t>.</w:t>
      </w:r>
      <w:r w:rsidR="00EF1FD0">
        <w:rPr>
          <w:rStyle w:val="EndnoteReference"/>
        </w:rPr>
        <w:endnoteReference w:id="90"/>
      </w:r>
      <w:r w:rsidR="003609EE" w:rsidRPr="00065521">
        <w:t xml:space="preserve"> </w:t>
      </w:r>
      <w:r w:rsidR="00EF1FD0" w:rsidRPr="00065521">
        <w:t>These cases are known as ‘special medical procedures’</w:t>
      </w:r>
      <w:r w:rsidR="006C29F0">
        <w:t xml:space="preserve"> and are decided in the Family Court as part of its welfare jurisdiction</w:t>
      </w:r>
      <w:r w:rsidR="00EF1FD0" w:rsidRPr="00065521">
        <w:t xml:space="preserve">. </w:t>
      </w:r>
    </w:p>
    <w:p w14:paraId="3D45D605" w14:textId="26BC3CA7" w:rsidR="003609EE" w:rsidRPr="00065521" w:rsidRDefault="003609EE" w:rsidP="003609EE">
      <w:pPr>
        <w:pStyle w:val="SubmissionNormal"/>
      </w:pPr>
      <w:r w:rsidRPr="00065521">
        <w:t xml:space="preserve">Some hospitals and parents of </w:t>
      </w:r>
      <w:r w:rsidR="0027534F">
        <w:t xml:space="preserve">intersex </w:t>
      </w:r>
      <w:r w:rsidRPr="00065521">
        <w:t>children have applied to the Family Court to seek court authorisation for a particular intervention or series of interventions.</w:t>
      </w:r>
      <w:r>
        <w:rPr>
          <w:rStyle w:val="EndnoteReference"/>
        </w:rPr>
        <w:endnoteReference w:id="91"/>
      </w:r>
      <w:r w:rsidRPr="00065521">
        <w:t xml:space="preserve"> In providing court authorisation, the Family Court is to consider whether the medical procedure is in the ‘best interests’ of the child.</w:t>
      </w:r>
      <w:r>
        <w:rPr>
          <w:rStyle w:val="EndnoteReference"/>
        </w:rPr>
        <w:endnoteReference w:id="92"/>
      </w:r>
    </w:p>
    <w:p w14:paraId="3B305B8D" w14:textId="59AF3A99" w:rsidR="003609EE" w:rsidRPr="00065521" w:rsidRDefault="003609EE" w:rsidP="003609EE">
      <w:pPr>
        <w:pStyle w:val="SubmissionNormal"/>
      </w:pPr>
      <w:r w:rsidRPr="00065521">
        <w:t xml:space="preserve">The Commission has some concern over the </w:t>
      </w:r>
      <w:r w:rsidR="006C29F0">
        <w:t>way in which s</w:t>
      </w:r>
      <w:r w:rsidR="00293F26">
        <w:t xml:space="preserve">ome cases dealing with intersex children </w:t>
      </w:r>
      <w:proofErr w:type="gramStart"/>
      <w:r w:rsidR="00293F26">
        <w:t>have been decided</w:t>
      </w:r>
      <w:proofErr w:type="gramEnd"/>
      <w:r w:rsidR="00293F26">
        <w:t xml:space="preserve"> and whether the Family Court is providing appropriate oversight of these procedures</w:t>
      </w:r>
      <w:r w:rsidRPr="00065521">
        <w:t>. The judgments regarding special medical procedures for intersex children reflect disparate approaches</w:t>
      </w:r>
      <w:r w:rsidR="008676D2">
        <w:t>.</w:t>
      </w:r>
      <w:r>
        <w:rPr>
          <w:rStyle w:val="EndnoteReference"/>
        </w:rPr>
        <w:endnoteReference w:id="93"/>
      </w:r>
      <w:r w:rsidRPr="00065521">
        <w:t xml:space="preserve"> </w:t>
      </w:r>
    </w:p>
    <w:p w14:paraId="493512FA" w14:textId="0AB99C2A" w:rsidR="003609EE" w:rsidRPr="00065521" w:rsidRDefault="00293F26" w:rsidP="003609EE">
      <w:pPr>
        <w:pStyle w:val="SubmissionNormal"/>
      </w:pPr>
      <w:r>
        <w:t>In addition, few intersex cases have come to court. T</w:t>
      </w:r>
      <w:r w:rsidR="003609EE" w:rsidRPr="00065521">
        <w:t xml:space="preserve">he cases that </w:t>
      </w:r>
      <w:proofErr w:type="gramStart"/>
      <w:r w:rsidR="003609EE" w:rsidRPr="00065521">
        <w:t xml:space="preserve">have </w:t>
      </w:r>
      <w:r>
        <w:t>been filed</w:t>
      </w:r>
      <w:proofErr w:type="gramEnd"/>
      <w:r>
        <w:t xml:space="preserve"> with </w:t>
      </w:r>
      <w:r w:rsidR="003609EE" w:rsidRPr="00065521">
        <w:t>the Family Court have been restricted to sterilisation cases and one case regarding an application for hormone replacement therapy.</w:t>
      </w:r>
      <w:r w:rsidR="003609EE">
        <w:rPr>
          <w:rStyle w:val="EndnoteReference"/>
        </w:rPr>
        <w:endnoteReference w:id="94"/>
      </w:r>
      <w:r w:rsidR="00EE093E">
        <w:t xml:space="preserve"> There do not appear to have been any cases about genital </w:t>
      </w:r>
      <w:r w:rsidR="000409BD">
        <w:t>‘</w:t>
      </w:r>
      <w:r w:rsidR="00EE093E">
        <w:t>normalising</w:t>
      </w:r>
      <w:r w:rsidR="000409BD">
        <w:t>’</w:t>
      </w:r>
      <w:r w:rsidR="00EE093E">
        <w:t xml:space="preserve"> procedures. On one view, these cases fall within the terms of the High Court’s decision in </w:t>
      </w:r>
      <w:r w:rsidR="00EE093E" w:rsidRPr="00EE093E">
        <w:rPr>
          <w:i/>
        </w:rPr>
        <w:t>Marion’s case</w:t>
      </w:r>
      <w:r w:rsidR="000409BD">
        <w:rPr>
          <w:i/>
        </w:rPr>
        <w:t>,</w:t>
      </w:r>
      <w:r w:rsidR="00EE093E">
        <w:t xml:space="preserve"> because they are non-therapeutic interventions and there is a risk that decisions are being made that would not be made by the child themselves if they were in a position to have their views heard and considered.</w:t>
      </w:r>
    </w:p>
    <w:p w14:paraId="1425EA19" w14:textId="77777777" w:rsidR="003609EE" w:rsidRPr="00065521" w:rsidRDefault="003609EE" w:rsidP="003609EE">
      <w:pPr>
        <w:pStyle w:val="SubmissionNormal"/>
      </w:pPr>
      <w:r w:rsidRPr="00065521">
        <w:t>Problems with the current system of oversight include:</w:t>
      </w:r>
    </w:p>
    <w:p w14:paraId="0D927C6E" w14:textId="77777777" w:rsidR="003609EE" w:rsidRPr="00065521" w:rsidRDefault="00EE093E" w:rsidP="007D38CA">
      <w:pPr>
        <w:pStyle w:val="ListParagraph"/>
        <w:numPr>
          <w:ilvl w:val="0"/>
          <w:numId w:val="22"/>
        </w:numPr>
      </w:pPr>
      <w:r>
        <w:t xml:space="preserve">a lack of </w:t>
      </w:r>
      <w:r w:rsidR="003609EE" w:rsidRPr="00065521">
        <w:t>clarity around which cases should go to the Family Court</w:t>
      </w:r>
    </w:p>
    <w:p w14:paraId="47BC360B" w14:textId="6BDBF3C6" w:rsidR="003609EE" w:rsidRPr="00065521" w:rsidRDefault="00EE093E" w:rsidP="007D38CA">
      <w:pPr>
        <w:pStyle w:val="ListParagraph"/>
        <w:numPr>
          <w:ilvl w:val="0"/>
          <w:numId w:val="22"/>
        </w:numPr>
      </w:pPr>
      <w:r>
        <w:t xml:space="preserve">the small number of applications that have been made to </w:t>
      </w:r>
      <w:r w:rsidR="003609EE" w:rsidRPr="00065521">
        <w:t xml:space="preserve">the court have tended to be restricted to sterilisation cases and </w:t>
      </w:r>
      <w:proofErr w:type="spellStart"/>
      <w:r w:rsidR="003609EE" w:rsidRPr="00065521">
        <w:t>not</w:t>
      </w:r>
      <w:proofErr w:type="spellEnd"/>
      <w:r w:rsidR="003609EE" w:rsidRPr="00065521">
        <w:t xml:space="preserve"> other kinds of genital </w:t>
      </w:r>
      <w:r w:rsidR="000409BD">
        <w:t>‘</w:t>
      </w:r>
      <w:r w:rsidR="003609EE" w:rsidRPr="00065521">
        <w:t>normalisation</w:t>
      </w:r>
      <w:r w:rsidR="000409BD">
        <w:t>’</w:t>
      </w:r>
      <w:r w:rsidR="003609EE" w:rsidRPr="00065521">
        <w:t xml:space="preserve"> procedures</w:t>
      </w:r>
    </w:p>
    <w:p w14:paraId="1A7212AC" w14:textId="64108519" w:rsidR="003609EE" w:rsidRPr="00065521" w:rsidRDefault="00AF1C20" w:rsidP="007D38CA">
      <w:pPr>
        <w:pStyle w:val="ListParagraph"/>
        <w:numPr>
          <w:ilvl w:val="0"/>
          <w:numId w:val="22"/>
        </w:numPr>
      </w:pPr>
      <w:r>
        <w:t xml:space="preserve">some of the judgments </w:t>
      </w:r>
      <w:r w:rsidR="003609EE" w:rsidRPr="00065521">
        <w:t xml:space="preserve">reveal </w:t>
      </w:r>
      <w:r>
        <w:t>gender stereotyping</w:t>
      </w:r>
      <w:r w:rsidRPr="00065521">
        <w:t xml:space="preserve"> </w:t>
      </w:r>
      <w:r>
        <w:t xml:space="preserve">and </w:t>
      </w:r>
      <w:r w:rsidR="003609EE" w:rsidRPr="00065521">
        <w:t>misunderst</w:t>
      </w:r>
      <w:r w:rsidR="003609EE">
        <w:t xml:space="preserve">andings </w:t>
      </w:r>
      <w:r>
        <w:t>about intersex status</w:t>
      </w:r>
      <w:r w:rsidR="0027534F">
        <w:rPr>
          <w:rStyle w:val="EndnoteReference"/>
        </w:rPr>
        <w:endnoteReference w:id="95"/>
      </w:r>
    </w:p>
    <w:p w14:paraId="25431FAF" w14:textId="067E59C3" w:rsidR="003609EE" w:rsidRPr="00065521" w:rsidRDefault="00AF1C20" w:rsidP="007D38CA">
      <w:pPr>
        <w:pStyle w:val="ListParagraph"/>
        <w:numPr>
          <w:ilvl w:val="0"/>
          <w:numId w:val="22"/>
        </w:numPr>
      </w:pPr>
      <w:proofErr w:type="gramStart"/>
      <w:r>
        <w:t>t</w:t>
      </w:r>
      <w:r w:rsidR="003609EE" w:rsidRPr="00065521">
        <w:t>he</w:t>
      </w:r>
      <w:proofErr w:type="gramEnd"/>
      <w:r w:rsidR="003609EE" w:rsidRPr="00065521">
        <w:t xml:space="preserve"> parties and interveners in special medical procedure cases regarding intersex children have </w:t>
      </w:r>
      <w:r>
        <w:t xml:space="preserve">not </w:t>
      </w:r>
      <w:r w:rsidR="003609EE" w:rsidRPr="00065521">
        <w:t xml:space="preserve">included human rights bodies or intersex organisations.  </w:t>
      </w:r>
    </w:p>
    <w:p w14:paraId="1B235631" w14:textId="6605879A" w:rsidR="003609EE" w:rsidRPr="00065521" w:rsidRDefault="003609EE" w:rsidP="003609EE">
      <w:pPr>
        <w:pStyle w:val="SubmissionNormal"/>
      </w:pPr>
      <w:r w:rsidRPr="00065521">
        <w:t>In 2013, the Australian Senate Community Affairs References Committee published a report on the involuntary or coerced sterilisation of intersex people in Australia (Senate inquiry). The report provided a number of recommendations on the medical treatment of</w:t>
      </w:r>
      <w:r w:rsidR="00FC6577">
        <w:t xml:space="preserve"> children.</w:t>
      </w:r>
      <w:r w:rsidRPr="00065521">
        <w:t xml:space="preserve"> In relation to the role of the Family Court, the inquiry made the following recommendations:</w:t>
      </w:r>
      <w:r>
        <w:rPr>
          <w:rStyle w:val="EndnoteReference"/>
        </w:rPr>
        <w:endnoteReference w:id="96"/>
      </w:r>
    </w:p>
    <w:p w14:paraId="35AE5292" w14:textId="77777777" w:rsidR="003609EE" w:rsidRPr="003609EE" w:rsidRDefault="003609EE" w:rsidP="004F1267">
      <w:pPr>
        <w:pStyle w:val="ListParagraph"/>
        <w:ind w:left="1440"/>
        <w:rPr>
          <w:sz w:val="22"/>
          <w:szCs w:val="22"/>
        </w:rPr>
      </w:pPr>
      <w:r w:rsidRPr="003609EE">
        <w:rPr>
          <w:sz w:val="22"/>
          <w:szCs w:val="22"/>
        </w:rPr>
        <w:t>Recommendation 5: In light of the complex and contentious nature of the medical treatment of intersex people who are unable to make decisions for their own treatment, the committee recommends that oversight of these decisions is required.</w:t>
      </w:r>
    </w:p>
    <w:p w14:paraId="7BA26A6D" w14:textId="77777777" w:rsidR="003609EE" w:rsidRPr="003609EE" w:rsidRDefault="003609EE" w:rsidP="003609EE">
      <w:pPr>
        <w:pStyle w:val="ListParagraph"/>
        <w:ind w:left="1440"/>
        <w:rPr>
          <w:sz w:val="22"/>
          <w:szCs w:val="22"/>
        </w:rPr>
      </w:pPr>
    </w:p>
    <w:p w14:paraId="20D9CB10" w14:textId="77777777" w:rsidR="003609EE" w:rsidRPr="00D77881" w:rsidRDefault="003609EE" w:rsidP="004F1267">
      <w:pPr>
        <w:pStyle w:val="ListParagraph"/>
        <w:ind w:left="1440"/>
        <w:rPr>
          <w:sz w:val="22"/>
          <w:szCs w:val="22"/>
        </w:rPr>
      </w:pPr>
      <w:r w:rsidRPr="003609EE">
        <w:rPr>
          <w:sz w:val="22"/>
          <w:szCs w:val="22"/>
        </w:rPr>
        <w:t>Recommendation 6: The committee recommends that all proposed intersex medical interventions for children and adults without the capacity to consent require authorisation from a civil and administrative tribunal or the Family Court.</w:t>
      </w:r>
    </w:p>
    <w:p w14:paraId="5E4FFB34" w14:textId="77777777" w:rsidR="00D77881" w:rsidRPr="00074E3E" w:rsidRDefault="008B2F31" w:rsidP="008B2F31">
      <w:pPr>
        <w:pStyle w:val="Heading4"/>
        <w:numPr>
          <w:ilvl w:val="0"/>
          <w:numId w:val="0"/>
        </w:numPr>
        <w:ind w:left="851" w:hanging="851"/>
      </w:pPr>
      <w:bookmarkStart w:id="38" w:name="_Toc531787322"/>
      <w:r>
        <w:t xml:space="preserve">(iii) </w:t>
      </w:r>
      <w:r w:rsidR="0023290A">
        <w:t xml:space="preserve">Current </w:t>
      </w:r>
      <w:r w:rsidR="00D77881" w:rsidRPr="00074E3E">
        <w:t>Australian Human Rights Commission project</w:t>
      </w:r>
      <w:bookmarkEnd w:id="38"/>
    </w:p>
    <w:p w14:paraId="3D64E44A" w14:textId="1B42442E" w:rsidR="00D77881" w:rsidRDefault="00D77881" w:rsidP="00D77881">
      <w:pPr>
        <w:pStyle w:val="SubmissionNormal"/>
      </w:pPr>
      <w:r w:rsidRPr="00074E3E">
        <w:t xml:space="preserve">The Commission is currently undertaking </w:t>
      </w:r>
      <w:r w:rsidR="00657D46">
        <w:t>a project</w:t>
      </w:r>
      <w:r w:rsidRPr="00074E3E">
        <w:t xml:space="preserve"> on how best to protect the human rights of people born with variations in sex characteristics</w:t>
      </w:r>
      <w:r w:rsidR="00657D46">
        <w:t xml:space="preserve"> – also known as intersex people</w:t>
      </w:r>
      <w:r w:rsidRPr="00074E3E">
        <w:t xml:space="preserve">. The </w:t>
      </w:r>
      <w:r w:rsidR="00657D46">
        <w:t xml:space="preserve">project </w:t>
      </w:r>
      <w:r w:rsidRPr="00074E3E">
        <w:t xml:space="preserve">will involve a consultation process seeking input from people with variations in sex characteristics, parents and carers, medical professionals, service providers, and legal and government representatives. The </w:t>
      </w:r>
      <w:r w:rsidR="00657D46">
        <w:t xml:space="preserve">project is assessing </w:t>
      </w:r>
      <w:r w:rsidRPr="00074E3E">
        <w:t xml:space="preserve">current </w:t>
      </w:r>
      <w:r w:rsidR="00657D46">
        <w:t xml:space="preserve">relevant law, </w:t>
      </w:r>
      <w:r w:rsidRPr="00074E3E">
        <w:t xml:space="preserve">clinical practices and </w:t>
      </w:r>
      <w:r w:rsidR="00657D46">
        <w:t xml:space="preserve">community </w:t>
      </w:r>
      <w:r w:rsidRPr="00074E3E">
        <w:t xml:space="preserve">education </w:t>
      </w:r>
      <w:r w:rsidR="00657D46">
        <w:t>in this area to determine how effectively they protect the human rights of people born with variations in sex characteristics in this medical context. The Commission aims to make recommendations for how to improve such law, clinical practices and education, by applying a human rights approach</w:t>
      </w:r>
      <w:r w:rsidRPr="00074E3E">
        <w:t>.</w:t>
      </w:r>
    </w:p>
    <w:p w14:paraId="6296C206" w14:textId="75F3238E" w:rsidR="00D77881" w:rsidRDefault="00D77881" w:rsidP="00D77881">
      <w:pPr>
        <w:pStyle w:val="SubmissionNormal"/>
      </w:pPr>
      <w:r w:rsidRPr="00074E3E">
        <w:t xml:space="preserve">As the current inquiry is only at its initial stages, the Commission </w:t>
      </w:r>
      <w:r w:rsidR="007D024D">
        <w:t>can</w:t>
      </w:r>
      <w:r w:rsidRPr="00074E3E">
        <w:t xml:space="preserve">not </w:t>
      </w:r>
      <w:r w:rsidR="007D024D">
        <w:t xml:space="preserve">now </w:t>
      </w:r>
      <w:r w:rsidRPr="00074E3E">
        <w:t xml:space="preserve">make specific recommendations </w:t>
      </w:r>
      <w:r>
        <w:t xml:space="preserve">to this Review </w:t>
      </w:r>
      <w:r w:rsidRPr="00074E3E">
        <w:t xml:space="preserve">relating to proposed changes to the role of the Family Court in relation to oversight </w:t>
      </w:r>
      <w:r w:rsidR="00AF1C20">
        <w:t>of</w:t>
      </w:r>
      <w:r w:rsidR="00AF1C20" w:rsidRPr="00074E3E">
        <w:t xml:space="preserve"> </w:t>
      </w:r>
      <w:r w:rsidRPr="00074E3E">
        <w:t xml:space="preserve">procedures on intersex children. </w:t>
      </w:r>
    </w:p>
    <w:p w14:paraId="4C9E4389" w14:textId="77777777" w:rsidR="00D77881" w:rsidRDefault="00D77881" w:rsidP="00D77881">
      <w:pPr>
        <w:pStyle w:val="SubmissionNormal"/>
      </w:pPr>
      <w:r>
        <w:t xml:space="preserve">However, the Commission </w:t>
      </w:r>
      <w:r w:rsidRPr="00074E3E">
        <w:t xml:space="preserve">notes the recommendations of the Senate inquiry and in principle supports legal oversight </w:t>
      </w:r>
      <w:r w:rsidR="00AF1C20">
        <w:t>of</w:t>
      </w:r>
      <w:r w:rsidR="00AF1C20" w:rsidRPr="00074E3E">
        <w:t xml:space="preserve"> </w:t>
      </w:r>
      <w:r w:rsidRPr="00074E3E">
        <w:t xml:space="preserve">medical interventions undertaken on intersex children. </w:t>
      </w:r>
    </w:p>
    <w:p w14:paraId="6E91B310" w14:textId="72DB4EB0" w:rsidR="001A261E" w:rsidRPr="001A261E" w:rsidRDefault="00D77881" w:rsidP="001A261E">
      <w:pPr>
        <w:pStyle w:val="SubmissionNormal"/>
      </w:pPr>
      <w:r w:rsidRPr="00074E3E">
        <w:t xml:space="preserve">The Commission notes that to date the current system has failed to provide adequate protections to intersex children and therefore supports the consideration of different oversight mechanisms. Any oversight should be human rights-based and consideration ought to </w:t>
      </w:r>
      <w:proofErr w:type="gramStart"/>
      <w:r w:rsidRPr="00074E3E">
        <w:t>be given</w:t>
      </w:r>
      <w:proofErr w:type="gramEnd"/>
      <w:r w:rsidRPr="00074E3E">
        <w:t xml:space="preserve"> to bringing in human rights experts, intersex-led organisations and clinicians into consideration of these cases. </w:t>
      </w:r>
    </w:p>
    <w:p w14:paraId="668F53E9" w14:textId="77777777" w:rsidR="00D77881" w:rsidRPr="001A261E" w:rsidRDefault="00D77881" w:rsidP="00F047E1">
      <w:pPr>
        <w:pStyle w:val="Heading3"/>
        <w:numPr>
          <w:ilvl w:val="2"/>
          <w:numId w:val="16"/>
        </w:numPr>
      </w:pPr>
      <w:bookmarkStart w:id="39" w:name="_Toc531787323"/>
      <w:r w:rsidRPr="001A261E">
        <w:t>Children with gender dysphoria</w:t>
      </w:r>
      <w:bookmarkEnd w:id="39"/>
    </w:p>
    <w:p w14:paraId="23930F74" w14:textId="77777777" w:rsidR="00D77881" w:rsidRPr="00EF4161" w:rsidRDefault="00D77881" w:rsidP="00D77881">
      <w:pPr>
        <w:pStyle w:val="SubmissionNormal"/>
        <w:rPr>
          <w:rFonts w:cs="Arial"/>
        </w:rPr>
      </w:pPr>
      <w:r>
        <w:t>The Issues Paper notes:</w:t>
      </w:r>
    </w:p>
    <w:p w14:paraId="5BC487A4" w14:textId="77777777" w:rsidR="00D77881" w:rsidRDefault="00D77881" w:rsidP="00D77881">
      <w:pPr>
        <w:ind w:left="1440"/>
        <w:rPr>
          <w:sz w:val="20"/>
          <w:szCs w:val="20"/>
        </w:rPr>
      </w:pPr>
      <w:r w:rsidRPr="00385B37">
        <w:rPr>
          <w:sz w:val="20"/>
          <w:szCs w:val="20"/>
        </w:rPr>
        <w:t>Transgender and intersex children may be engaged in the family law system in the exercise of the Family Court’s welfare jurisdiction relating to approval for medical interventions related to their gender identity</w:t>
      </w:r>
      <w:r w:rsidR="004F1267">
        <w:rPr>
          <w:sz w:val="20"/>
          <w:szCs w:val="20"/>
        </w:rPr>
        <w:t xml:space="preserve"> … </w:t>
      </w:r>
      <w:r w:rsidR="003455FE">
        <w:rPr>
          <w:sz w:val="20"/>
          <w:szCs w:val="20"/>
        </w:rPr>
        <w:t>[C]</w:t>
      </w:r>
      <w:proofErr w:type="spellStart"/>
      <w:r w:rsidRPr="00385B37">
        <w:rPr>
          <w:sz w:val="20"/>
          <w:szCs w:val="20"/>
        </w:rPr>
        <w:t>oncerns</w:t>
      </w:r>
      <w:proofErr w:type="spellEnd"/>
      <w:r w:rsidRPr="00385B37">
        <w:rPr>
          <w:sz w:val="20"/>
          <w:szCs w:val="20"/>
        </w:rPr>
        <w:t xml:space="preserve"> exist about the opportunity for children</w:t>
      </w:r>
      <w:r>
        <w:rPr>
          <w:sz w:val="20"/>
          <w:szCs w:val="20"/>
        </w:rPr>
        <w:t xml:space="preserve"> to participate in this process.</w:t>
      </w:r>
      <w:r>
        <w:rPr>
          <w:rStyle w:val="EndnoteReference"/>
        </w:rPr>
        <w:endnoteReference w:id="97"/>
      </w:r>
    </w:p>
    <w:p w14:paraId="1D9488C1" w14:textId="6027E394" w:rsidR="00D77881" w:rsidRPr="001A261E" w:rsidRDefault="00D77881" w:rsidP="00D77881">
      <w:pPr>
        <w:pStyle w:val="SubmissionNormal"/>
        <w:rPr>
          <w:rFonts w:cs="Arial"/>
        </w:rPr>
      </w:pPr>
      <w:r>
        <w:t xml:space="preserve">The Commission </w:t>
      </w:r>
      <w:r w:rsidR="008422C1">
        <w:t xml:space="preserve">notes that the Issues Paper refers to </w:t>
      </w:r>
      <w:r>
        <w:t xml:space="preserve">the recent decision in </w:t>
      </w:r>
      <w:r w:rsidRPr="00EF4161">
        <w:rPr>
          <w:i/>
        </w:rPr>
        <w:t>Re Kelvin</w:t>
      </w:r>
      <w:r w:rsidR="008422C1">
        <w:t>.</w:t>
      </w:r>
      <w:r w:rsidRPr="003455FE">
        <w:rPr>
          <w:rStyle w:val="EndnoteReference"/>
        </w:rPr>
        <w:endnoteReference w:id="98"/>
      </w:r>
      <w:r>
        <w:t xml:space="preserve"> </w:t>
      </w:r>
      <w:r w:rsidR="008422C1">
        <w:t xml:space="preserve">This decision is important, because it </w:t>
      </w:r>
      <w:r>
        <w:t>has profound implications for children and their interaction with the Family Court in the context of medical interventions.</w:t>
      </w:r>
      <w:r>
        <w:rPr>
          <w:rStyle w:val="EndnoteReference"/>
        </w:rPr>
        <w:endnoteReference w:id="99"/>
      </w:r>
      <w:r>
        <w:t xml:space="preserve"> The key issues raised in th</w:t>
      </w:r>
      <w:r w:rsidR="007D024D">
        <w:t>ose</w:t>
      </w:r>
      <w:r>
        <w:t xml:space="preserve"> proceeding</w:t>
      </w:r>
      <w:r w:rsidR="007D024D">
        <w:t>s</w:t>
      </w:r>
      <w:r>
        <w:t xml:space="preserve"> were: (a) whether court authorisation is required for Stage 2 </w:t>
      </w:r>
      <w:r w:rsidR="007D024D">
        <w:t xml:space="preserve">hormone </w:t>
      </w:r>
      <w:r>
        <w:t xml:space="preserve">treatment for gender dysphoria, and (b) whether it is </w:t>
      </w:r>
      <w:r w:rsidR="003455FE">
        <w:t xml:space="preserve">necessary for </w:t>
      </w:r>
      <w:r>
        <w:t xml:space="preserve">the court to determine the </w:t>
      </w:r>
      <w:proofErr w:type="spellStart"/>
      <w:r w:rsidRPr="00EF4161">
        <w:rPr>
          <w:i/>
        </w:rPr>
        <w:t>Gillick</w:t>
      </w:r>
      <w:proofErr w:type="spellEnd"/>
      <w:r>
        <w:t xml:space="preserve"> competence of a child seeking Stage 2 treatment. </w:t>
      </w:r>
    </w:p>
    <w:p w14:paraId="664F1659" w14:textId="3AD57C59" w:rsidR="00D77881" w:rsidRPr="00EF4161" w:rsidRDefault="00D77881" w:rsidP="00D77881">
      <w:pPr>
        <w:pStyle w:val="SubmissionNormal"/>
        <w:rPr>
          <w:rFonts w:cs="Arial"/>
        </w:rPr>
      </w:pPr>
      <w:r>
        <w:t xml:space="preserve">In a landmark decision, the Full Court in </w:t>
      </w:r>
      <w:r w:rsidRPr="001A261E">
        <w:rPr>
          <w:i/>
        </w:rPr>
        <w:t xml:space="preserve">Re Kelvin </w:t>
      </w:r>
      <w:r>
        <w:t>held that court authorisation is no longer required for Stage 2 treatment</w:t>
      </w:r>
      <w:r w:rsidR="00874AED">
        <w:t>,</w:t>
      </w:r>
      <w:r w:rsidR="00DA2999">
        <w:t xml:space="preserve"> where it </w:t>
      </w:r>
      <w:proofErr w:type="gramStart"/>
      <w:r w:rsidR="00DA2999">
        <w:t>has been appropriately diagnosed</w:t>
      </w:r>
      <w:proofErr w:type="gramEnd"/>
      <w:r w:rsidR="00DA2999">
        <w:t>, where there is no dispute about treatment, and where treatment is to be administered in accordance with best practice guidelines</w:t>
      </w:r>
      <w:r>
        <w:t xml:space="preserve">. </w:t>
      </w:r>
      <w:r w:rsidR="00DA2999">
        <w:t>As a result</w:t>
      </w:r>
      <w:r>
        <w:t xml:space="preserve">, the Court </w:t>
      </w:r>
      <w:r w:rsidR="00DA2999">
        <w:t xml:space="preserve">held that </w:t>
      </w:r>
      <w:r>
        <w:t xml:space="preserve">it is not required to determine the question of </w:t>
      </w:r>
      <w:proofErr w:type="spellStart"/>
      <w:r w:rsidRPr="00EF4161">
        <w:rPr>
          <w:i/>
        </w:rPr>
        <w:t>Gillick</w:t>
      </w:r>
      <w:proofErr w:type="spellEnd"/>
      <w:r>
        <w:t xml:space="preserve"> competence in the context of Stage 2 treatment cases. </w:t>
      </w:r>
    </w:p>
    <w:p w14:paraId="0319440E" w14:textId="77777777" w:rsidR="00D77881" w:rsidRPr="00EF4161" w:rsidRDefault="00D77881" w:rsidP="00D77881">
      <w:pPr>
        <w:pStyle w:val="SubmissionNormal"/>
        <w:rPr>
          <w:rFonts w:cs="Arial"/>
        </w:rPr>
      </w:pPr>
      <w:r>
        <w:t xml:space="preserve">The Commission intervened in </w:t>
      </w:r>
      <w:r w:rsidRPr="001A261E">
        <w:rPr>
          <w:i/>
        </w:rPr>
        <w:t>Re Kelvin</w:t>
      </w:r>
      <w:r>
        <w:t xml:space="preserve"> to assist the Court with </w:t>
      </w:r>
      <w:r w:rsidR="00DA2999">
        <w:t xml:space="preserve">its </w:t>
      </w:r>
      <w:r>
        <w:t>deliberations. In the Commission’s media release, the National Children’s Commissioner, Megan Mitchell, welcomed the decision:</w:t>
      </w:r>
    </w:p>
    <w:p w14:paraId="7B5479E4" w14:textId="77777777" w:rsidR="00D77881" w:rsidRPr="00682BC7" w:rsidRDefault="00D77881" w:rsidP="00D77881">
      <w:pPr>
        <w:ind w:left="1440"/>
        <w:rPr>
          <w:sz w:val="20"/>
          <w:szCs w:val="20"/>
        </w:rPr>
      </w:pPr>
      <w:r w:rsidRPr="00682BC7">
        <w:rPr>
          <w:sz w:val="20"/>
          <w:szCs w:val="20"/>
        </w:rPr>
        <w:t>The decision recognises our obligations to protect and promote children’s rights to health, non-discrimination, the preservation of their identity and to participate in decisions that affect them</w:t>
      </w:r>
      <w:r>
        <w:rPr>
          <w:sz w:val="20"/>
          <w:szCs w:val="20"/>
        </w:rPr>
        <w:t xml:space="preserve">. </w:t>
      </w:r>
      <w:r w:rsidRPr="00682BC7">
        <w:rPr>
          <w:sz w:val="20"/>
          <w:szCs w:val="20"/>
        </w:rPr>
        <w:t>The process of seeking court authorisation can cause distress for young people and their families due to financial</w:t>
      </w:r>
      <w:r>
        <w:rPr>
          <w:sz w:val="20"/>
          <w:szCs w:val="20"/>
        </w:rPr>
        <w:t xml:space="preserve"> costs and delays in treatment. </w:t>
      </w:r>
      <w:r w:rsidRPr="00682BC7">
        <w:rPr>
          <w:sz w:val="20"/>
          <w:szCs w:val="20"/>
        </w:rPr>
        <w:t xml:space="preserve">Today’s decision will have a significant, positive impact on the health and wellbeing of </w:t>
      </w:r>
      <w:proofErr w:type="gramStart"/>
      <w:r w:rsidRPr="00682BC7">
        <w:rPr>
          <w:sz w:val="20"/>
          <w:szCs w:val="20"/>
        </w:rPr>
        <w:t>trans</w:t>
      </w:r>
      <w:proofErr w:type="gramEnd"/>
      <w:r w:rsidRPr="00682BC7">
        <w:rPr>
          <w:sz w:val="20"/>
          <w:szCs w:val="20"/>
        </w:rPr>
        <w:t xml:space="preserve"> young people.</w:t>
      </w:r>
      <w:r w:rsidRPr="00CC56B2">
        <w:rPr>
          <w:rStyle w:val="EndnoteReference"/>
        </w:rPr>
        <w:t xml:space="preserve"> </w:t>
      </w:r>
      <w:r>
        <w:rPr>
          <w:rStyle w:val="EndnoteReference"/>
        </w:rPr>
        <w:endnoteReference w:id="100"/>
      </w:r>
    </w:p>
    <w:p w14:paraId="72D5117E" w14:textId="588CB277" w:rsidR="00D77881" w:rsidRPr="00694478" w:rsidRDefault="003552FE" w:rsidP="00694478">
      <w:pPr>
        <w:pStyle w:val="SubmissionNormal"/>
        <w:rPr>
          <w:sz w:val="20"/>
          <w:szCs w:val="20"/>
        </w:rPr>
      </w:pPr>
      <w:r>
        <w:t>As Human Rights Commissioner, Edward Santow</w:t>
      </w:r>
      <w:r w:rsidR="00D77881" w:rsidRPr="00CC56B2">
        <w:t>,</w:t>
      </w:r>
      <w:r>
        <w:t xml:space="preserve"> noted in the same media release,</w:t>
      </w:r>
      <w:r w:rsidR="00D77881" w:rsidRPr="00CC56B2">
        <w:t xml:space="preserve"> the decision in </w:t>
      </w:r>
      <w:r w:rsidR="00D77881" w:rsidRPr="001A261E">
        <w:rPr>
          <w:i/>
        </w:rPr>
        <w:t>Re Kelvin</w:t>
      </w:r>
      <w:r w:rsidR="00D77881" w:rsidRPr="00CC56B2">
        <w:t xml:space="preserve"> brings Australia into conformity with recommenda</w:t>
      </w:r>
      <w:r w:rsidR="00D77881">
        <w:t>tions made by the UN</w:t>
      </w:r>
      <w:r w:rsidR="00D77881" w:rsidRPr="00CC56B2">
        <w:t xml:space="preserve"> Human Rights Committee, </w:t>
      </w:r>
      <w:r w:rsidR="00DA2999">
        <w:t>which</w:t>
      </w:r>
      <w:r w:rsidR="00DA2999" w:rsidRPr="00CC56B2">
        <w:t xml:space="preserve"> </w:t>
      </w:r>
      <w:r w:rsidR="00D77881" w:rsidRPr="00CC56B2">
        <w:t>ha</w:t>
      </w:r>
      <w:r w:rsidR="00DA2999">
        <w:t>d</w:t>
      </w:r>
      <w:r w:rsidR="00D77881" w:rsidRPr="00CC56B2">
        <w:t xml:space="preserve"> previously suggested Australia</w:t>
      </w:r>
      <w:r w:rsidR="008B2F31">
        <w:t xml:space="preserve"> ‘consider ways to expedite access to stage two hormonal treatment for gender dysphoria, including by removing the need for court authorisation</w:t>
      </w:r>
      <w:r w:rsidR="00BC67CD">
        <w:t>’</w:t>
      </w:r>
      <w:r w:rsidR="008B2F31">
        <w:t>.</w:t>
      </w:r>
      <w:r w:rsidR="00D77881">
        <w:rPr>
          <w:rStyle w:val="EndnoteReference"/>
        </w:rPr>
        <w:endnoteReference w:id="101"/>
      </w:r>
    </w:p>
    <w:p w14:paraId="730D14AB" w14:textId="77777777" w:rsidR="00D77881" w:rsidRPr="00941936" w:rsidRDefault="00A268BD" w:rsidP="00D77881">
      <w:pPr>
        <w:pStyle w:val="SubmissionNormal"/>
        <w:rPr>
          <w:rFonts w:cs="Arial"/>
        </w:rPr>
      </w:pPr>
      <w:r>
        <w:t>T</w:t>
      </w:r>
      <w:r w:rsidR="00D77881" w:rsidRPr="00A8313A">
        <w:t xml:space="preserve">he </w:t>
      </w:r>
      <w:r w:rsidR="00D77881" w:rsidRPr="001A261E">
        <w:rPr>
          <w:i/>
        </w:rPr>
        <w:t>Re Kelvin</w:t>
      </w:r>
      <w:r w:rsidR="00D77881" w:rsidRPr="00A8313A">
        <w:t xml:space="preserve"> ruling does not extend to children under the care of a State Government Department.</w:t>
      </w:r>
      <w:r w:rsidR="00D77881">
        <w:rPr>
          <w:rStyle w:val="EndnoteReference"/>
        </w:rPr>
        <w:endnoteReference w:id="102"/>
      </w:r>
      <w:r w:rsidR="00D77881">
        <w:t xml:space="preserve"> </w:t>
      </w:r>
      <w:r w:rsidR="00D77881" w:rsidRPr="00A8313A">
        <w:t xml:space="preserve">Children who fall into this category are still required to obtain court authorisation to commence treatment. </w:t>
      </w:r>
      <w:r>
        <w:t xml:space="preserve">Similarly, if there is a </w:t>
      </w:r>
      <w:r w:rsidR="00D77881" w:rsidRPr="00A8313A">
        <w:t xml:space="preserve">genuine dispute or question as to whether treatment </w:t>
      </w:r>
      <w:proofErr w:type="gramStart"/>
      <w:r w:rsidR="00D77881" w:rsidRPr="00A8313A">
        <w:t xml:space="preserve">should be </w:t>
      </w:r>
      <w:r>
        <w:t>given</w:t>
      </w:r>
      <w:proofErr w:type="gramEnd"/>
      <w:r>
        <w:t xml:space="preserve"> </w:t>
      </w:r>
      <w:r w:rsidR="00D77881" w:rsidRPr="00A8313A">
        <w:t xml:space="preserve">to a child, then the Family Court </w:t>
      </w:r>
      <w:r>
        <w:t>still has jurisdiction to hear and determine that dispute</w:t>
      </w:r>
      <w:r w:rsidR="00D77881" w:rsidRPr="00A8313A">
        <w:t>.</w:t>
      </w:r>
      <w:r w:rsidR="00D77881">
        <w:rPr>
          <w:rStyle w:val="EndnoteReference"/>
        </w:rPr>
        <w:endnoteReference w:id="103"/>
      </w:r>
      <w:r w:rsidR="00D77881">
        <w:t xml:space="preserve"> </w:t>
      </w:r>
      <w:r w:rsidR="00D77881" w:rsidRPr="00A8313A">
        <w:t xml:space="preserve">This may include situations where, for example, one parent consents to the procedure but the other parent </w:t>
      </w:r>
      <w:proofErr w:type="gramStart"/>
      <w:r w:rsidR="00D77881" w:rsidRPr="00A8313A">
        <w:t>is opposed</w:t>
      </w:r>
      <w:proofErr w:type="gramEnd"/>
      <w:r w:rsidR="00D77881" w:rsidRPr="00A8313A">
        <w:t>.</w:t>
      </w:r>
    </w:p>
    <w:p w14:paraId="57DED4BD" w14:textId="3AB9743F" w:rsidR="00941936" w:rsidRDefault="00941936" w:rsidP="00F047E1">
      <w:pPr>
        <w:pStyle w:val="SubmissionNormal"/>
      </w:pPr>
      <w:r>
        <w:t xml:space="preserve">The Commission also draws the ALRC’s attention to the recent decision in </w:t>
      </w:r>
      <w:r w:rsidRPr="00EE012E">
        <w:rPr>
          <w:i/>
        </w:rPr>
        <w:t>Re Matthew</w:t>
      </w:r>
      <w:r>
        <w:rPr>
          <w:rStyle w:val="EndnoteReference"/>
        </w:rPr>
        <w:endnoteReference w:id="104"/>
      </w:r>
      <w:r>
        <w:t xml:space="preserve"> involving a </w:t>
      </w:r>
      <w:proofErr w:type="gramStart"/>
      <w:r>
        <w:t>16 year old</w:t>
      </w:r>
      <w:proofErr w:type="gramEnd"/>
      <w:r>
        <w:t xml:space="preserve"> child, ‘Matthew’, who was born genetically female but identified as male. Matthew’s parents applied to the Court for a finding that he was </w:t>
      </w:r>
      <w:proofErr w:type="spellStart"/>
      <w:r w:rsidRPr="00684DE7">
        <w:rPr>
          <w:i/>
        </w:rPr>
        <w:t>Gillick</w:t>
      </w:r>
      <w:proofErr w:type="spellEnd"/>
      <w:r>
        <w:t xml:space="preserve"> competent to consent to Stage 3 treatment (</w:t>
      </w:r>
      <w:r w:rsidR="004E45D4">
        <w:t>in this case</w:t>
      </w:r>
      <w:r w:rsidR="003552FE">
        <w:t>,</w:t>
      </w:r>
      <w:r>
        <w:t xml:space="preserve"> a surgical double mastectomy). The Family Court held no application to the Court is required in respect to obtaining Stage 3 treatments if: </w:t>
      </w:r>
    </w:p>
    <w:p w14:paraId="1A9430CD" w14:textId="77777777" w:rsidR="00941936" w:rsidRDefault="00941936" w:rsidP="007D38CA">
      <w:pPr>
        <w:pStyle w:val="ListParagraph"/>
        <w:numPr>
          <w:ilvl w:val="0"/>
          <w:numId w:val="25"/>
        </w:numPr>
      </w:pPr>
      <w:r>
        <w:t xml:space="preserve">a child </w:t>
      </w:r>
      <w:r w:rsidR="00194588">
        <w:t>is diagnosed as suffering from gender d</w:t>
      </w:r>
      <w:r>
        <w:t>ysphoria;</w:t>
      </w:r>
    </w:p>
    <w:p w14:paraId="4220EFA8" w14:textId="77777777" w:rsidR="00941936" w:rsidRDefault="00941936" w:rsidP="007D38CA">
      <w:pPr>
        <w:pStyle w:val="ListParagraph"/>
        <w:numPr>
          <w:ilvl w:val="0"/>
          <w:numId w:val="25"/>
        </w:numPr>
      </w:pPr>
      <w:r>
        <w:t xml:space="preserve">the treating practitioner assesses the child to be </w:t>
      </w:r>
      <w:proofErr w:type="spellStart"/>
      <w:r>
        <w:t>Gillick</w:t>
      </w:r>
      <w:proofErr w:type="spellEnd"/>
      <w:r>
        <w:t xml:space="preserve"> competent;</w:t>
      </w:r>
    </w:p>
    <w:p w14:paraId="0496C8F1" w14:textId="77777777" w:rsidR="00941936" w:rsidRDefault="00941936" w:rsidP="007D38CA">
      <w:pPr>
        <w:pStyle w:val="ListParagraph"/>
        <w:numPr>
          <w:ilvl w:val="0"/>
          <w:numId w:val="25"/>
        </w:numPr>
      </w:pPr>
      <w:r>
        <w:t xml:space="preserve">there is no controversy surrounding the application for treatment; and </w:t>
      </w:r>
    </w:p>
    <w:p w14:paraId="27A76EEA" w14:textId="77777777" w:rsidR="00941936" w:rsidRPr="00694478" w:rsidRDefault="00941936" w:rsidP="007D38CA">
      <w:pPr>
        <w:pStyle w:val="ListParagraph"/>
        <w:numPr>
          <w:ilvl w:val="0"/>
          <w:numId w:val="25"/>
        </w:numPr>
        <w:rPr>
          <w:rFonts w:cs="Arial"/>
        </w:rPr>
      </w:pPr>
      <w:proofErr w:type="gramStart"/>
      <w:r>
        <w:t>t</w:t>
      </w:r>
      <w:r w:rsidRPr="004705D4">
        <w:t>he</w:t>
      </w:r>
      <w:proofErr w:type="gramEnd"/>
      <w:r w:rsidRPr="004705D4">
        <w:t xml:space="preserve"> treatment is therapeutic in nature</w:t>
      </w:r>
      <w:r>
        <w:t>.</w:t>
      </w:r>
    </w:p>
    <w:p w14:paraId="5D56C4AC" w14:textId="77777777" w:rsidR="0073641E" w:rsidRPr="0073641E" w:rsidRDefault="000E0D17" w:rsidP="00F047E1">
      <w:pPr>
        <w:pStyle w:val="Heading3"/>
        <w:numPr>
          <w:ilvl w:val="2"/>
          <w:numId w:val="16"/>
        </w:numPr>
      </w:pPr>
      <w:bookmarkStart w:id="40" w:name="_Toc531787324"/>
      <w:r w:rsidRPr="001A261E">
        <w:t>Arrangements</w:t>
      </w:r>
      <w:r>
        <w:t xml:space="preserve"> </w:t>
      </w:r>
      <w:r w:rsidRPr="00CB1D52">
        <w:t>for</w:t>
      </w:r>
      <w:r>
        <w:t xml:space="preserve"> children and family diversity</w:t>
      </w:r>
      <w:bookmarkEnd w:id="40"/>
    </w:p>
    <w:p w14:paraId="64C3E721" w14:textId="77777777" w:rsidR="00191004" w:rsidRPr="00191004" w:rsidRDefault="00191004" w:rsidP="00F047E1">
      <w:pPr>
        <w:pStyle w:val="Heading4"/>
        <w:numPr>
          <w:ilvl w:val="3"/>
          <w:numId w:val="16"/>
        </w:numPr>
      </w:pPr>
      <w:bookmarkStart w:id="41" w:name="_Toc531787325"/>
      <w:r w:rsidRPr="001A261E">
        <w:t>Surrogacy</w:t>
      </w:r>
      <w:bookmarkEnd w:id="41"/>
    </w:p>
    <w:p w14:paraId="4A86C55D" w14:textId="77777777" w:rsidR="00DB5EA6" w:rsidRDefault="002803FD" w:rsidP="00230BE6">
      <w:pPr>
        <w:pStyle w:val="SubmissionNormal"/>
      </w:pPr>
      <w:r>
        <w:t>In 2016, t</w:t>
      </w:r>
      <w:r w:rsidR="00984070">
        <w:t>he Commission made a comprehensive submission</w:t>
      </w:r>
      <w:r w:rsidR="00625249">
        <w:rPr>
          <w:rStyle w:val="EndnoteReference"/>
        </w:rPr>
        <w:endnoteReference w:id="105"/>
      </w:r>
      <w:r w:rsidR="00744048">
        <w:t xml:space="preserve"> </w:t>
      </w:r>
      <w:r w:rsidR="00984070">
        <w:t>to the House of Representatives Standing Committee on Social Policy and Legal Affairs Inquiry into the Regulatory and Legislative Aspects of Surrogacy Arrangements</w:t>
      </w:r>
      <w:r w:rsidR="00744048">
        <w:t xml:space="preserve"> (Inquiry into Surrogacy).</w:t>
      </w:r>
    </w:p>
    <w:p w14:paraId="2F4E5B99" w14:textId="77777777" w:rsidR="00745FE7" w:rsidRDefault="00CB1D52" w:rsidP="00745FE7">
      <w:pPr>
        <w:pStyle w:val="SubmissionNormal"/>
      </w:pPr>
      <w:r>
        <w:t xml:space="preserve">In that submission, the Commission made a number of recommendations for action by federal, state and territory governments </w:t>
      </w:r>
      <w:proofErr w:type="gramStart"/>
      <w:r>
        <w:t>to better ensure</w:t>
      </w:r>
      <w:proofErr w:type="gramEnd"/>
      <w:r>
        <w:t xml:space="preserve"> the human rights of children, men and women involved in surrogacy arrangements, both domestic and internationa</w:t>
      </w:r>
      <w:r w:rsidR="00333A25">
        <w:t>l.</w:t>
      </w:r>
    </w:p>
    <w:p w14:paraId="6C1CDC1D" w14:textId="77777777" w:rsidR="00744048" w:rsidRPr="00745FE7" w:rsidRDefault="00744048" w:rsidP="00745FE7">
      <w:pPr>
        <w:pStyle w:val="SubmissionNormal"/>
      </w:pPr>
      <w:r w:rsidRPr="00745FE7">
        <w:rPr>
          <w:lang w:val="en"/>
        </w:rPr>
        <w:t xml:space="preserve">Surrogacy arrangements raise difficult issues of public policy. For some people, a surrogacy arrangement provides the only opportunity for them to have a child that they </w:t>
      </w:r>
      <w:proofErr w:type="gramStart"/>
      <w:r w:rsidRPr="00745FE7">
        <w:rPr>
          <w:lang w:val="en"/>
        </w:rPr>
        <w:t>are biologically related</w:t>
      </w:r>
      <w:proofErr w:type="gramEnd"/>
      <w:r w:rsidRPr="00745FE7">
        <w:rPr>
          <w:lang w:val="en"/>
        </w:rPr>
        <w:t xml:space="preserve"> to. Studies in the United Kingdom suggest that children born </w:t>
      </w:r>
      <w:proofErr w:type="gramStart"/>
      <w:r w:rsidRPr="00745FE7">
        <w:rPr>
          <w:lang w:val="en"/>
        </w:rPr>
        <w:t>as a result</w:t>
      </w:r>
      <w:proofErr w:type="gramEnd"/>
      <w:r w:rsidRPr="00745FE7">
        <w:rPr>
          <w:lang w:val="en"/>
        </w:rPr>
        <w:t xml:space="preserve"> of local altruistic surrogacy arrangements generally grow up in loving families and are well adjusted.</w:t>
      </w:r>
      <w:bookmarkStart w:id="42" w:name="fnB1"/>
      <w:r w:rsidR="00CB1D52" w:rsidRPr="00F669EF">
        <w:rPr>
          <w:rStyle w:val="EndnoteReference"/>
          <w:lang w:val="en"/>
        </w:rPr>
        <w:endnoteReference w:id="106"/>
      </w:r>
      <w:bookmarkEnd w:id="42"/>
    </w:p>
    <w:p w14:paraId="2A353514" w14:textId="77777777" w:rsidR="00744048" w:rsidRDefault="00744048" w:rsidP="00230BE6">
      <w:pPr>
        <w:pStyle w:val="SubmissionNormal"/>
        <w:rPr>
          <w:lang w:val="en"/>
        </w:rPr>
      </w:pPr>
      <w:r>
        <w:rPr>
          <w:lang w:val="en"/>
        </w:rPr>
        <w:t>By contrast, in many cases international commercial surrogacy arrangements present a range of serious human rights concerns. In many countries, surrogacy is unregulated or poorly regulated.</w:t>
      </w:r>
    </w:p>
    <w:p w14:paraId="56421383" w14:textId="0305534A" w:rsidR="00744048" w:rsidRDefault="00744048" w:rsidP="00230BE6">
      <w:pPr>
        <w:pStyle w:val="SubmissionNormal"/>
        <w:rPr>
          <w:lang w:val="en"/>
        </w:rPr>
      </w:pPr>
      <w:r>
        <w:rPr>
          <w:lang w:val="en"/>
        </w:rPr>
        <w:t xml:space="preserve">International surrogacy arrangements can have a significant impact on the rights of children born as a result. Unregulated arrangements raise real concerns about trafficking of children. Even where there is some regulation, differences in legal regimes between countries can mean that some parent-child relationships are not </w:t>
      </w:r>
      <w:proofErr w:type="spellStart"/>
      <w:r>
        <w:rPr>
          <w:lang w:val="en"/>
        </w:rPr>
        <w:t>recognised</w:t>
      </w:r>
      <w:proofErr w:type="spellEnd"/>
      <w:r w:rsidR="00874AED">
        <w:rPr>
          <w:lang w:val="en"/>
        </w:rPr>
        <w:t>,</w:t>
      </w:r>
      <w:r>
        <w:rPr>
          <w:lang w:val="en"/>
        </w:rPr>
        <w:t xml:space="preserve"> which can have a significant impact on children’s other rights such as rights to citizenship, passports, medical treatment, inheritance, and child support. In extreme cases, there are risks of children becoming stateless. Lack of appropriate regulation of assisted reproductive treatment in some countries can also mean that children are not able to obtain information about their origins. Women who ac</w:t>
      </w:r>
      <w:r w:rsidR="00A17C01">
        <w:rPr>
          <w:lang w:val="en"/>
        </w:rPr>
        <w:t>t as surrogate mothers are</w:t>
      </w:r>
      <w:r>
        <w:rPr>
          <w:lang w:val="en"/>
        </w:rPr>
        <w:t xml:space="preserve"> at risk of exploitation, including trafficking, and there are real concerns </w:t>
      </w:r>
      <w:proofErr w:type="gramStart"/>
      <w:r>
        <w:rPr>
          <w:lang w:val="en"/>
        </w:rPr>
        <w:t>about whether they are able to give free and informed consent to the arrangements</w:t>
      </w:r>
      <w:proofErr w:type="gramEnd"/>
      <w:r>
        <w:rPr>
          <w:lang w:val="en"/>
        </w:rPr>
        <w:t>.</w:t>
      </w:r>
    </w:p>
    <w:p w14:paraId="3FF35ADD" w14:textId="41468967" w:rsidR="00744048" w:rsidRDefault="00744048" w:rsidP="00230BE6">
      <w:pPr>
        <w:pStyle w:val="SubmissionNormal"/>
        <w:rPr>
          <w:lang w:val="en"/>
        </w:rPr>
      </w:pPr>
      <w:r>
        <w:rPr>
          <w:lang w:val="en"/>
        </w:rPr>
        <w:t>A human rights based approach provides one way of assessing proposed legislative and regulatory responses. In our submission to the Inquiry into Surrogacy, the Commission set out a number of guiding principles drawn from an analysis of the interrelated human rights of the children born as a result of surrogacy arrangements, the surrogate mother and the intended parents.</w:t>
      </w:r>
      <w:r w:rsidR="00A17C01">
        <w:rPr>
          <w:lang w:val="en"/>
        </w:rPr>
        <w:t xml:space="preserve"> The</w:t>
      </w:r>
      <w:r w:rsidR="00F669EF">
        <w:rPr>
          <w:lang w:val="en"/>
        </w:rPr>
        <w:t xml:space="preserve">se </w:t>
      </w:r>
      <w:proofErr w:type="gramStart"/>
      <w:r w:rsidR="00F669EF">
        <w:rPr>
          <w:lang w:val="en"/>
        </w:rPr>
        <w:t>a</w:t>
      </w:r>
      <w:r w:rsidR="00D77881">
        <w:rPr>
          <w:lang w:val="en"/>
        </w:rPr>
        <w:t>r</w:t>
      </w:r>
      <w:r w:rsidR="00F669EF">
        <w:rPr>
          <w:lang w:val="en"/>
        </w:rPr>
        <w:t>e highlighted</w:t>
      </w:r>
      <w:proofErr w:type="gramEnd"/>
      <w:r w:rsidR="00F669EF">
        <w:rPr>
          <w:lang w:val="en"/>
        </w:rPr>
        <w:t xml:space="preserve"> </w:t>
      </w:r>
      <w:r w:rsidR="009C19A4">
        <w:rPr>
          <w:lang w:val="en"/>
        </w:rPr>
        <w:t xml:space="preserve">below </w:t>
      </w:r>
      <w:r w:rsidR="00F669EF">
        <w:rPr>
          <w:lang w:val="en"/>
        </w:rPr>
        <w:t xml:space="preserve">in </w:t>
      </w:r>
      <w:r w:rsidR="00F669EF" w:rsidRPr="001F225B">
        <w:rPr>
          <w:lang w:val="en"/>
        </w:rPr>
        <w:t>R</w:t>
      </w:r>
      <w:r w:rsidR="00A17C01" w:rsidRPr="001F225B">
        <w:rPr>
          <w:lang w:val="en"/>
        </w:rPr>
        <w:t>ecommendation</w:t>
      </w:r>
      <w:r w:rsidR="00F669EF" w:rsidRPr="001F225B">
        <w:rPr>
          <w:lang w:val="en"/>
        </w:rPr>
        <w:t xml:space="preserve"> 1</w:t>
      </w:r>
      <w:r w:rsidR="001F225B" w:rsidRPr="001F225B">
        <w:rPr>
          <w:lang w:val="en"/>
        </w:rPr>
        <w:t>1</w:t>
      </w:r>
      <w:r w:rsidR="00F669EF" w:rsidRPr="001F225B">
        <w:rPr>
          <w:lang w:val="en"/>
        </w:rPr>
        <w:t>.</w:t>
      </w:r>
    </w:p>
    <w:p w14:paraId="75F194B1" w14:textId="77777777" w:rsidR="002867EE" w:rsidRPr="002867EE" w:rsidRDefault="005B4DAF" w:rsidP="00230BE6">
      <w:pPr>
        <w:pStyle w:val="SubmissionNormal"/>
        <w:rPr>
          <w:lang w:val="en"/>
        </w:rPr>
      </w:pPr>
      <w:proofErr w:type="gramStart"/>
      <w:r w:rsidRPr="005B4DAF">
        <w:t>There is a variety of legislative and regulatory responses that States can take to the issue of international surrogacy arrangements.</w:t>
      </w:r>
      <w:proofErr w:type="gramEnd"/>
      <w:r w:rsidRPr="005B4DAF">
        <w:t xml:space="preserve"> These range from complete prohibition at one extreme, through to some form of regulation, and a laissez faire approach at the other extreme.</w:t>
      </w:r>
      <w:r w:rsidR="00191004">
        <w:t xml:space="preserve"> </w:t>
      </w:r>
      <w:r w:rsidRPr="005B4DAF">
        <w:t xml:space="preserve">At present, the approach taken at the federal level to international surrogacy is a laissez faire approach. Intended parents </w:t>
      </w:r>
      <w:proofErr w:type="gramStart"/>
      <w:r w:rsidRPr="005B4DAF">
        <w:t>are permitted</w:t>
      </w:r>
      <w:proofErr w:type="gramEnd"/>
      <w:r w:rsidRPr="005B4DAF">
        <w:t xml:space="preserve"> to engage in surrogacy arrangements overseas and bring the children born of those arrangements back to Australia. </w:t>
      </w:r>
      <w:r w:rsidR="008407AA">
        <w:t>In its submission</w:t>
      </w:r>
      <w:r w:rsidR="00D77881">
        <w:t xml:space="preserve"> to the Inquiry into Surrogacy</w:t>
      </w:r>
      <w:r w:rsidR="008407AA">
        <w:t>, the Commission did</w:t>
      </w:r>
      <w:r w:rsidRPr="005B4DAF">
        <w:t xml:space="preserve"> not seek to identify the most appropriate position fo</w:t>
      </w:r>
      <w:r>
        <w:t>r Australia to take, but submitted</w:t>
      </w:r>
      <w:r w:rsidRPr="005B4DAF">
        <w:t xml:space="preserve"> that if international surrogacy is to be permitted, then it needs to be appropriately regulated to adequately protect the rights of the surrogate mother and any children born </w:t>
      </w:r>
      <w:proofErr w:type="gramStart"/>
      <w:r w:rsidRPr="005B4DAF">
        <w:t>as a result</w:t>
      </w:r>
      <w:proofErr w:type="gramEnd"/>
      <w:r w:rsidRPr="005B4DAF">
        <w:t xml:space="preserve"> of a surrogacy arrangement.</w:t>
      </w:r>
      <w:r w:rsidR="002867EE">
        <w:t xml:space="preserve"> </w:t>
      </w:r>
    </w:p>
    <w:p w14:paraId="4FE24449" w14:textId="77777777" w:rsidR="00D77881" w:rsidRDefault="00BE4691" w:rsidP="00230BE6">
      <w:pPr>
        <w:pStyle w:val="SubmissionNormal"/>
      </w:pPr>
      <w:r>
        <w:t xml:space="preserve">If Australia is to take a </w:t>
      </w:r>
      <w:r w:rsidR="00191004" w:rsidRPr="005B12C0">
        <w:t xml:space="preserve">regulatory approach </w:t>
      </w:r>
      <w:r>
        <w:t xml:space="preserve">towards surrogacy arrangements, </w:t>
      </w:r>
      <w:r w:rsidR="00191004" w:rsidRPr="005B12C0">
        <w:t xml:space="preserve">there are a number of issues that would need to </w:t>
      </w:r>
      <w:proofErr w:type="gramStart"/>
      <w:r w:rsidR="00191004" w:rsidRPr="005B12C0">
        <w:t>be addressed</w:t>
      </w:r>
      <w:proofErr w:type="gramEnd"/>
      <w:r w:rsidR="00191004" w:rsidRPr="005B12C0">
        <w:t xml:space="preserve"> at a federal level in order to </w:t>
      </w:r>
      <w:r w:rsidR="005B12C0">
        <w:t xml:space="preserve">ensure legal </w:t>
      </w:r>
      <w:r w:rsidR="00191004" w:rsidRPr="005B12C0">
        <w:t>clarity about the parent-child relationships that result fr</w:t>
      </w:r>
      <w:r>
        <w:t xml:space="preserve">om the arrangement. </w:t>
      </w:r>
    </w:p>
    <w:p w14:paraId="36627345" w14:textId="77777777" w:rsidR="005B12C0" w:rsidRPr="00BE4691" w:rsidRDefault="00BE4691" w:rsidP="00230BE6">
      <w:pPr>
        <w:pStyle w:val="SubmissionNormal"/>
      </w:pPr>
      <w:r>
        <w:t>T</w:t>
      </w:r>
      <w:r w:rsidR="00191004" w:rsidRPr="005B12C0">
        <w:t>here is no regular process or requirement for the transfer of parentage in Australia following an international surrogacy arrangement.</w:t>
      </w:r>
    </w:p>
    <w:p w14:paraId="79ECF43B" w14:textId="3098F75D" w:rsidR="001E084F" w:rsidRDefault="005B12C0" w:rsidP="00230BE6">
      <w:pPr>
        <w:pStyle w:val="SubmissionNormal"/>
        <w:rPr>
          <w:lang w:val="en"/>
        </w:rPr>
      </w:pPr>
      <w:r w:rsidRPr="005B12C0">
        <w:rPr>
          <w:lang w:val="en"/>
        </w:rPr>
        <w:t>Currentl</w:t>
      </w:r>
      <w:r w:rsidR="00BE4691">
        <w:rPr>
          <w:lang w:val="en"/>
        </w:rPr>
        <w:t>y, a</w:t>
      </w:r>
      <w:r w:rsidRPr="005B12C0">
        <w:rPr>
          <w:lang w:val="en"/>
        </w:rPr>
        <w:t xml:space="preserve"> very small proportion of intended parents approach the Family Court of Australia or the Family Court of Western Australia seek</w:t>
      </w:r>
      <w:r w:rsidR="00874AED">
        <w:rPr>
          <w:lang w:val="en"/>
        </w:rPr>
        <w:t>ing</w:t>
      </w:r>
      <w:r w:rsidRPr="005B12C0">
        <w:rPr>
          <w:lang w:val="en"/>
        </w:rPr>
        <w:t xml:space="preserve"> orders to </w:t>
      </w:r>
      <w:proofErr w:type="spellStart"/>
      <w:r w:rsidRPr="005B12C0">
        <w:rPr>
          <w:lang w:val="en"/>
        </w:rPr>
        <w:t>regularise</w:t>
      </w:r>
      <w:proofErr w:type="spellEnd"/>
      <w:r w:rsidRPr="005B12C0">
        <w:rPr>
          <w:lang w:val="en"/>
        </w:rPr>
        <w:t xml:space="preserve"> their relationship with the children born </w:t>
      </w:r>
      <w:proofErr w:type="gramStart"/>
      <w:r w:rsidRPr="005B12C0">
        <w:rPr>
          <w:lang w:val="en"/>
        </w:rPr>
        <w:t>as a result</w:t>
      </w:r>
      <w:proofErr w:type="gramEnd"/>
      <w:r w:rsidRPr="005B12C0">
        <w:rPr>
          <w:lang w:val="en"/>
        </w:rPr>
        <w:t xml:space="preserve"> of an international surrogacy arrangement. The orders sought are usually parenting orders</w:t>
      </w:r>
      <w:r w:rsidR="00874AED">
        <w:rPr>
          <w:lang w:val="en"/>
        </w:rPr>
        <w:t>,</w:t>
      </w:r>
      <w:r w:rsidRPr="005B12C0">
        <w:rPr>
          <w:lang w:val="en"/>
        </w:rPr>
        <w:t xml:space="preserve"> which provide who the child is to live with and who is to have parental responsibility for the child. In some cases, intended parents also seek parentage </w:t>
      </w:r>
      <w:proofErr w:type="gramStart"/>
      <w:r w:rsidRPr="005B12C0">
        <w:rPr>
          <w:lang w:val="en"/>
        </w:rPr>
        <w:t>orders which</w:t>
      </w:r>
      <w:proofErr w:type="gramEnd"/>
      <w:r w:rsidRPr="005B12C0">
        <w:rPr>
          <w:lang w:val="en"/>
        </w:rPr>
        <w:t xml:space="preserve"> are declarations of parent-child relationships. As discussed in detail</w:t>
      </w:r>
      <w:r w:rsidR="00350AC1">
        <w:rPr>
          <w:lang w:val="en"/>
        </w:rPr>
        <w:t xml:space="preserve"> by the Family Law Council</w:t>
      </w:r>
      <w:r w:rsidR="00FC518D">
        <w:rPr>
          <w:lang w:val="en"/>
        </w:rPr>
        <w:t xml:space="preserve"> in its </w:t>
      </w:r>
      <w:r w:rsidR="00FC518D" w:rsidRPr="00EE012E">
        <w:rPr>
          <w:i/>
          <w:lang w:val="en"/>
        </w:rPr>
        <w:t>Report on parentage and the Family Law Act</w:t>
      </w:r>
      <w:r w:rsidR="005A2B86">
        <w:rPr>
          <w:lang w:val="en"/>
        </w:rPr>
        <w:t>,</w:t>
      </w:r>
      <w:r w:rsidR="00350AC1">
        <w:rPr>
          <w:lang w:val="en"/>
        </w:rPr>
        <w:t xml:space="preserve"> the Family Law Act</w:t>
      </w:r>
      <w:r w:rsidRPr="005B12C0">
        <w:rPr>
          <w:lang w:val="en"/>
        </w:rPr>
        <w:t xml:space="preserve"> is currently ill equipped to deal with these applications</w:t>
      </w:r>
      <w:r w:rsidR="00A17C01">
        <w:rPr>
          <w:lang w:val="en"/>
        </w:rPr>
        <w:t>.</w:t>
      </w:r>
      <w:r w:rsidR="00A17C01">
        <w:rPr>
          <w:rStyle w:val="EndnoteReference"/>
          <w:lang w:val="en"/>
        </w:rPr>
        <w:endnoteReference w:id="107"/>
      </w:r>
      <w:r w:rsidR="00A17C01">
        <w:rPr>
          <w:lang w:val="en"/>
        </w:rPr>
        <w:t xml:space="preserve"> </w:t>
      </w:r>
      <w:r w:rsidRPr="005B12C0">
        <w:rPr>
          <w:lang w:val="en"/>
        </w:rPr>
        <w:t xml:space="preserve">This comment applies equally to the </w:t>
      </w:r>
      <w:r w:rsidRPr="005B12C0">
        <w:rPr>
          <w:rStyle w:val="Emphasis"/>
          <w:lang w:val="en"/>
        </w:rPr>
        <w:t>Family Court Act 1997</w:t>
      </w:r>
      <w:r w:rsidR="00350AC1">
        <w:rPr>
          <w:lang w:val="en"/>
        </w:rPr>
        <w:t xml:space="preserve"> (WA)</w:t>
      </w:r>
      <w:r w:rsidRPr="005B12C0">
        <w:rPr>
          <w:lang w:val="en"/>
        </w:rPr>
        <w:t>.</w:t>
      </w:r>
    </w:p>
    <w:p w14:paraId="1262774B" w14:textId="77777777" w:rsidR="001E084F" w:rsidRPr="001E084F" w:rsidRDefault="00191004" w:rsidP="00230BE6">
      <w:pPr>
        <w:pStyle w:val="SubmissionNormal"/>
        <w:rPr>
          <w:lang w:val="en"/>
        </w:rPr>
      </w:pPr>
      <w:r w:rsidRPr="001E084F">
        <w:t xml:space="preserve">Section 60HB of the Family Law Act recognises transfers of parentage that occur pursuant to altruistic surrogacy arrangements that </w:t>
      </w:r>
      <w:proofErr w:type="gramStart"/>
      <w:r w:rsidRPr="001E084F">
        <w:t>are approved</w:t>
      </w:r>
      <w:proofErr w:type="gramEnd"/>
      <w:r w:rsidRPr="001E084F">
        <w:t xml:space="preserve"> by relevant State and Territory courts. However, this section does not apply to international surrogacy arrangements. If a decision </w:t>
      </w:r>
      <w:proofErr w:type="gramStart"/>
      <w:r w:rsidRPr="001E084F">
        <w:t>is taken</w:t>
      </w:r>
      <w:proofErr w:type="gramEnd"/>
      <w:r w:rsidRPr="001E084F">
        <w:t xml:space="preserve"> to permit certain international surrogacy arrangements, then it will be necessary for there to be a mechanism to transfer parentage to the intended parents for the purposes of Australian law and a requirement for intended parents to make such application.</w:t>
      </w:r>
    </w:p>
    <w:p w14:paraId="66873576" w14:textId="77777777" w:rsidR="001E084F" w:rsidRPr="001E084F" w:rsidRDefault="00191004" w:rsidP="00230BE6">
      <w:pPr>
        <w:pStyle w:val="SubmissionNormal"/>
        <w:rPr>
          <w:lang w:val="en"/>
        </w:rPr>
      </w:pPr>
      <w:r w:rsidRPr="001E084F">
        <w:t xml:space="preserve">At present, there is uncertainty about whether the Family Court of Australia can or should make a declaration of parentage in such circumstances. </w:t>
      </w:r>
    </w:p>
    <w:p w14:paraId="1F5C93D1" w14:textId="77777777" w:rsidR="001F225B" w:rsidRPr="001F225B" w:rsidRDefault="001F225B" w:rsidP="001F225B">
      <w:pPr>
        <w:pStyle w:val="SubmissionNormal"/>
        <w:rPr>
          <w:b/>
          <w:lang w:val="en"/>
        </w:rPr>
      </w:pPr>
      <w:r w:rsidRPr="001F225B">
        <w:rPr>
          <w:b/>
        </w:rPr>
        <w:t>Recommendation 11: In the development of any regulatory regime dealing with surrogacy, the following guiding principles are followed:</w:t>
      </w:r>
    </w:p>
    <w:p w14:paraId="3D9F80EF" w14:textId="77777777" w:rsidR="001F225B" w:rsidRPr="001F225B" w:rsidRDefault="001F225B" w:rsidP="001F225B">
      <w:pPr>
        <w:pStyle w:val="ListParagraph"/>
        <w:numPr>
          <w:ilvl w:val="1"/>
          <w:numId w:val="15"/>
        </w:numPr>
        <w:rPr>
          <w:b/>
        </w:rPr>
      </w:pPr>
      <w:r w:rsidRPr="001F225B">
        <w:rPr>
          <w:b/>
        </w:rPr>
        <w:t>the best interests of the child are protected (including the child’s safety and wellbeing and the child’s right to know about his or her origins)</w:t>
      </w:r>
    </w:p>
    <w:p w14:paraId="2B2219A8" w14:textId="77777777" w:rsidR="001F225B" w:rsidRPr="001F225B" w:rsidRDefault="001F225B" w:rsidP="001F225B">
      <w:pPr>
        <w:pStyle w:val="ListParagraph"/>
        <w:numPr>
          <w:ilvl w:val="1"/>
          <w:numId w:val="15"/>
        </w:numPr>
        <w:rPr>
          <w:b/>
        </w:rPr>
      </w:pPr>
      <w:r w:rsidRPr="001F225B">
        <w:rPr>
          <w:b/>
        </w:rPr>
        <w:t>the surrogate mother is able to make a free and informed decision about whether to act as a surrogate</w:t>
      </w:r>
    </w:p>
    <w:p w14:paraId="563F0AC9" w14:textId="77777777" w:rsidR="001F225B" w:rsidRPr="001F225B" w:rsidRDefault="001F225B" w:rsidP="001F225B">
      <w:pPr>
        <w:pStyle w:val="ListParagraph"/>
        <w:numPr>
          <w:ilvl w:val="1"/>
          <w:numId w:val="15"/>
        </w:numPr>
        <w:rPr>
          <w:b/>
        </w:rPr>
      </w:pPr>
      <w:r w:rsidRPr="001F225B">
        <w:rPr>
          <w:b/>
        </w:rPr>
        <w:t>sufficient regulatory protections are in place to protect the surrogate mother from exploitation</w:t>
      </w:r>
    </w:p>
    <w:p w14:paraId="4B8DA92B" w14:textId="77777777" w:rsidR="001F225B" w:rsidRPr="001F225B" w:rsidRDefault="001F225B" w:rsidP="001F225B">
      <w:pPr>
        <w:pStyle w:val="ListParagraph"/>
        <w:numPr>
          <w:ilvl w:val="1"/>
          <w:numId w:val="15"/>
        </w:numPr>
        <w:rPr>
          <w:b/>
        </w:rPr>
      </w:pPr>
      <w:proofErr w:type="gramStart"/>
      <w:r w:rsidRPr="001F225B">
        <w:rPr>
          <w:b/>
        </w:rPr>
        <w:t>there</w:t>
      </w:r>
      <w:proofErr w:type="gramEnd"/>
      <w:r w:rsidRPr="001F225B">
        <w:rPr>
          <w:b/>
        </w:rPr>
        <w:t xml:space="preserve"> is legal clarity about the parent-child relationships that result from the arrangement.</w:t>
      </w:r>
    </w:p>
    <w:p w14:paraId="149FC2E5" w14:textId="77777777" w:rsidR="001F225B" w:rsidRPr="001F225B" w:rsidRDefault="001F225B" w:rsidP="001F225B">
      <w:pPr>
        <w:pStyle w:val="SubmissionNormal"/>
        <w:rPr>
          <w:b/>
          <w:lang w:val="en"/>
        </w:rPr>
      </w:pPr>
      <w:r w:rsidRPr="001F225B">
        <w:rPr>
          <w:b/>
          <w:lang w:val="en"/>
        </w:rPr>
        <w:t xml:space="preserve">Recommendation 12: </w:t>
      </w:r>
      <w:r w:rsidRPr="001F225B">
        <w:rPr>
          <w:b/>
        </w:rPr>
        <w:t>If the Australian Government decides to permit some form of international surrogacy arrangements, then the following amendments are made to Commonwealth law to clarify parent-child relationships that result from those arrangements:</w:t>
      </w:r>
    </w:p>
    <w:p w14:paraId="500490B9" w14:textId="77777777" w:rsidR="001F225B" w:rsidRPr="001F225B" w:rsidRDefault="001F225B" w:rsidP="001F225B">
      <w:pPr>
        <w:pStyle w:val="ListParagraph"/>
        <w:numPr>
          <w:ilvl w:val="1"/>
          <w:numId w:val="15"/>
        </w:numPr>
        <w:rPr>
          <w:b/>
        </w:rPr>
      </w:pPr>
      <w:r w:rsidRPr="001F225B">
        <w:rPr>
          <w:b/>
        </w:rPr>
        <w:t>a clearer definition of ‘parent’ be inserted into the Family Law Act</w:t>
      </w:r>
    </w:p>
    <w:p w14:paraId="5A30F8A0" w14:textId="77777777" w:rsidR="001F225B" w:rsidRPr="001F225B" w:rsidRDefault="001F225B" w:rsidP="001F225B">
      <w:pPr>
        <w:pStyle w:val="ListParagraph"/>
        <w:numPr>
          <w:ilvl w:val="1"/>
          <w:numId w:val="15"/>
        </w:numPr>
        <w:rPr>
          <w:b/>
        </w:rPr>
      </w:pPr>
      <w:r w:rsidRPr="001F225B">
        <w:rPr>
          <w:b/>
        </w:rPr>
        <w:t>a federal Status of Children Act be introduced that:</w:t>
      </w:r>
    </w:p>
    <w:p w14:paraId="23BEEFCA" w14:textId="77777777" w:rsidR="001F225B" w:rsidRPr="001F225B" w:rsidRDefault="001F225B" w:rsidP="001F225B">
      <w:pPr>
        <w:pStyle w:val="ListParagraph"/>
        <w:numPr>
          <w:ilvl w:val="2"/>
          <w:numId w:val="15"/>
        </w:numPr>
        <w:rPr>
          <w:b/>
        </w:rPr>
      </w:pPr>
      <w:r w:rsidRPr="001F225B">
        <w:rPr>
          <w:b/>
        </w:rPr>
        <w:t>includes the power to make orders about the status of children and legal parentage for the purpose of all Commonwealth laws; and</w:t>
      </w:r>
    </w:p>
    <w:p w14:paraId="6F01CDCE" w14:textId="77777777" w:rsidR="001F225B" w:rsidRPr="001F225B" w:rsidRDefault="001F225B" w:rsidP="001F225B">
      <w:pPr>
        <w:pStyle w:val="ListParagraph"/>
        <w:numPr>
          <w:ilvl w:val="2"/>
          <w:numId w:val="15"/>
        </w:numPr>
        <w:rPr>
          <w:b/>
        </w:rPr>
      </w:pPr>
      <w:r w:rsidRPr="001F225B">
        <w:rPr>
          <w:b/>
        </w:rPr>
        <w:t>specifically deals with applications for transfer of parentage in surrogacy cases where State and Territory Acts do not apply</w:t>
      </w:r>
    </w:p>
    <w:p w14:paraId="3341453B" w14:textId="77777777" w:rsidR="001F225B" w:rsidRPr="001F225B" w:rsidRDefault="001F225B" w:rsidP="001F225B">
      <w:pPr>
        <w:pStyle w:val="ListParagraph"/>
        <w:numPr>
          <w:ilvl w:val="1"/>
          <w:numId w:val="15"/>
        </w:numPr>
        <w:rPr>
          <w:b/>
        </w:rPr>
      </w:pPr>
      <w:proofErr w:type="gramStart"/>
      <w:r w:rsidRPr="001F225B">
        <w:rPr>
          <w:b/>
        </w:rPr>
        <w:t>section</w:t>
      </w:r>
      <w:proofErr w:type="gramEnd"/>
      <w:r w:rsidRPr="001F225B">
        <w:rPr>
          <w:b/>
        </w:rPr>
        <w:t xml:space="preserve"> 60H of the Family Law Act be redrafted to make it clear that it does not apply to surrogacy arrangements.</w:t>
      </w:r>
    </w:p>
    <w:p w14:paraId="4EDA4407" w14:textId="77777777" w:rsidR="00EA1F7F" w:rsidRPr="00906596" w:rsidRDefault="00906596" w:rsidP="00F047E1">
      <w:pPr>
        <w:pStyle w:val="Heading4"/>
        <w:numPr>
          <w:ilvl w:val="3"/>
          <w:numId w:val="16"/>
        </w:numPr>
        <w:rPr>
          <w:lang w:val="en"/>
        </w:rPr>
      </w:pPr>
      <w:bookmarkStart w:id="43" w:name="_Toc531787326"/>
      <w:r>
        <w:rPr>
          <w:lang w:val="en"/>
        </w:rPr>
        <w:t>Children of</w:t>
      </w:r>
      <w:r w:rsidRPr="00906596">
        <w:rPr>
          <w:lang w:val="en"/>
        </w:rPr>
        <w:t xml:space="preserve"> s</w:t>
      </w:r>
      <w:r w:rsidR="00BB45D6" w:rsidRPr="00906596">
        <w:rPr>
          <w:lang w:val="en"/>
        </w:rPr>
        <w:t xml:space="preserve">ame-sex </w:t>
      </w:r>
      <w:r w:rsidRPr="00906596">
        <w:t>couples</w:t>
      </w:r>
      <w:bookmarkEnd w:id="43"/>
    </w:p>
    <w:p w14:paraId="26708FBE" w14:textId="0B389EA0" w:rsidR="007574B6" w:rsidRDefault="00BF6545" w:rsidP="00906596">
      <w:pPr>
        <w:pStyle w:val="SubmissionNormal"/>
      </w:pPr>
      <w:r>
        <w:t xml:space="preserve">The CRC </w:t>
      </w:r>
      <w:r w:rsidR="009B53E2" w:rsidRPr="00173A27">
        <w:t>provides a guarantee of no</w:t>
      </w:r>
      <w:r w:rsidR="009B53E2">
        <w:t xml:space="preserve">n-discrimination in article 2. </w:t>
      </w:r>
      <w:r w:rsidR="004B0E97">
        <w:t>In particular, a</w:t>
      </w:r>
      <w:r w:rsidR="009B53E2" w:rsidRPr="00173A27">
        <w:t>rticle 2(2) provides that States shall ‘take all appropriate measures to ensure that the child is protected against all forms of discrimination or punishme</w:t>
      </w:r>
      <w:r w:rsidR="00F055C5">
        <w:t xml:space="preserve">nt on the basis of the status … </w:t>
      </w:r>
      <w:r w:rsidR="009B53E2" w:rsidRPr="00173A27">
        <w:t>of the child’s parents, legal guardians, or family members’.</w:t>
      </w:r>
    </w:p>
    <w:p w14:paraId="474745A3" w14:textId="67082F13" w:rsidR="006E5B26" w:rsidRDefault="009B53E2" w:rsidP="006E5B26">
      <w:pPr>
        <w:pStyle w:val="SubmissionNormal"/>
      </w:pPr>
      <w:r>
        <w:t xml:space="preserve">The Commission is aware that </w:t>
      </w:r>
      <w:r w:rsidR="007574B6">
        <w:t xml:space="preserve">children of same-sex </w:t>
      </w:r>
      <w:r w:rsidR="00F45924">
        <w:t>couples are at risk of experiencing d</w:t>
      </w:r>
      <w:r w:rsidR="00895BBC">
        <w:t>iscrimination if</w:t>
      </w:r>
      <w:r w:rsidR="007574B6">
        <w:t xml:space="preserve"> their parent-child relationships </w:t>
      </w:r>
      <w:proofErr w:type="gramStart"/>
      <w:r w:rsidR="007574B6">
        <w:t>are not recognised</w:t>
      </w:r>
      <w:proofErr w:type="gramEnd"/>
      <w:r w:rsidR="004E7E88">
        <w:t xml:space="preserve"> in law</w:t>
      </w:r>
      <w:r w:rsidR="007574B6">
        <w:t xml:space="preserve">. </w:t>
      </w:r>
      <w:r w:rsidR="00895BBC">
        <w:t xml:space="preserve">In 2007, the Commission tabled in parliament </w:t>
      </w:r>
      <w:r w:rsidR="005A2B86">
        <w:t xml:space="preserve">a report titled </w:t>
      </w:r>
      <w:r w:rsidR="00895BBC" w:rsidRPr="004B0E97">
        <w:rPr>
          <w:i/>
        </w:rPr>
        <w:t>Same-Sex: Same Entitlements, the report of the National Inquiry into Discrimination against People in Same-Sex Relationships: Financial and Work-Related Entitlements and Benefits</w:t>
      </w:r>
      <w:r w:rsidR="00895BBC" w:rsidRPr="00055E4D">
        <w:t xml:space="preserve"> (the Same-Sex: Same Entitlements </w:t>
      </w:r>
      <w:r w:rsidR="007372FF">
        <w:t>Report</w:t>
      </w:r>
      <w:r w:rsidR="00895BBC" w:rsidRPr="00055E4D">
        <w:t>)</w:t>
      </w:r>
      <w:r w:rsidR="00895BBC">
        <w:t>.</w:t>
      </w:r>
      <w:r w:rsidR="008B2712">
        <w:rPr>
          <w:rStyle w:val="EndnoteReference"/>
        </w:rPr>
        <w:endnoteReference w:id="108"/>
      </w:r>
      <w:r w:rsidR="00895BBC">
        <w:t xml:space="preserve"> </w:t>
      </w:r>
      <w:r w:rsidR="007372FF">
        <w:t xml:space="preserve">The Commission </w:t>
      </w:r>
      <w:r w:rsidR="00895BBC">
        <w:t xml:space="preserve">found that </w:t>
      </w:r>
      <w:r w:rsidR="00895BBC" w:rsidRPr="00055E4D">
        <w:t>at least 58 federal laws relating to financial and work-related entitlements discriminated against same-sex couples and</w:t>
      </w:r>
      <w:r w:rsidR="007372FF">
        <w:t>,</w:t>
      </w:r>
      <w:r w:rsidR="00895BBC" w:rsidRPr="00055E4D">
        <w:t xml:space="preserve"> in many cases, their children.</w:t>
      </w:r>
      <w:r w:rsidR="00F554B5">
        <w:t xml:space="preserve"> In relation to family law, the </w:t>
      </w:r>
      <w:r w:rsidR="00611B7D">
        <w:t xml:space="preserve">Commission raised </w:t>
      </w:r>
      <w:r w:rsidR="00F554B5">
        <w:t xml:space="preserve">concerns that the </w:t>
      </w:r>
      <w:r w:rsidR="00611B7D">
        <w:t>definition of parent und</w:t>
      </w:r>
      <w:r w:rsidR="00F554B5">
        <w:t xml:space="preserve">er the Family Law Act creates </w:t>
      </w:r>
      <w:r w:rsidR="00611B7D">
        <w:t>uncertainty for childre</w:t>
      </w:r>
      <w:r w:rsidR="00F554B5">
        <w:t>n of same-</w:t>
      </w:r>
      <w:r w:rsidR="004B0E97">
        <w:t>sex couples.</w:t>
      </w:r>
      <w:r w:rsidR="00BF6545">
        <w:rPr>
          <w:rStyle w:val="EndnoteReference"/>
        </w:rPr>
        <w:endnoteReference w:id="109"/>
      </w:r>
      <w:r w:rsidR="00BF6545">
        <w:t xml:space="preserve"> </w:t>
      </w:r>
    </w:p>
    <w:p w14:paraId="14476159" w14:textId="77777777" w:rsidR="00507409" w:rsidRDefault="00507409" w:rsidP="00507409">
      <w:pPr>
        <w:pStyle w:val="SubmissionNormal"/>
      </w:pPr>
      <w:r>
        <w:t>As discussed above</w:t>
      </w:r>
      <w:r w:rsidR="004E7E88">
        <w:t xml:space="preserve"> in relation to surrogacy</w:t>
      </w:r>
      <w:r>
        <w:t>, t</w:t>
      </w:r>
      <w:r w:rsidR="004B0E97">
        <w:t xml:space="preserve">here is no </w:t>
      </w:r>
      <w:r w:rsidRPr="0009547F">
        <w:t>general definition of ‘parent’ in the Family Law Act</w:t>
      </w:r>
      <w:r>
        <w:t xml:space="preserve">. </w:t>
      </w:r>
      <w:r w:rsidR="00C01561">
        <w:t>W</w:t>
      </w:r>
      <w:r w:rsidRPr="0009547F">
        <w:t xml:space="preserve">hen the term ‘parent’ is used in Part VII (Children) in relation to a child who </w:t>
      </w:r>
      <w:proofErr w:type="gramStart"/>
      <w:r w:rsidRPr="0009547F">
        <w:t>has been adopted</w:t>
      </w:r>
      <w:proofErr w:type="gramEnd"/>
      <w:r w:rsidRPr="0009547F">
        <w:t xml:space="preserve">, it means an adoptive parent of the child. </w:t>
      </w:r>
    </w:p>
    <w:p w14:paraId="116E52B9" w14:textId="77777777" w:rsidR="004E7E88" w:rsidRDefault="006E5B26" w:rsidP="004E7E88">
      <w:pPr>
        <w:pStyle w:val="SubmissionNormal"/>
      </w:pPr>
      <w:r>
        <w:t xml:space="preserve">In </w:t>
      </w:r>
      <w:r w:rsidR="00507409">
        <w:t xml:space="preserve">2013, the Commission made a submission to the Family Law Council in its Review of </w:t>
      </w:r>
      <w:r w:rsidR="00023560">
        <w:t>P</w:t>
      </w:r>
      <w:r w:rsidR="00507409">
        <w:t xml:space="preserve">arentage </w:t>
      </w:r>
      <w:r w:rsidR="00023560">
        <w:t>L</w:t>
      </w:r>
      <w:r w:rsidR="00507409">
        <w:t>aws, pointing out the lack of clarity with regard to the definition of ‘parent’ under the Family Law Act, and its implications for couple</w:t>
      </w:r>
      <w:r w:rsidR="00F055C5">
        <w:t>s and their children who use Assisted Reproductive Technology (ART)</w:t>
      </w:r>
      <w:r w:rsidR="00507409">
        <w:t xml:space="preserve"> and surrogacy arrangem</w:t>
      </w:r>
      <w:r w:rsidR="00CD5558">
        <w:t>ents, which includes children of same-sex couples</w:t>
      </w:r>
      <w:r w:rsidR="00507409">
        <w:t>.</w:t>
      </w:r>
      <w:r w:rsidR="004E7E88">
        <w:rPr>
          <w:rStyle w:val="EndnoteReference"/>
        </w:rPr>
        <w:endnoteReference w:id="110"/>
      </w:r>
    </w:p>
    <w:p w14:paraId="5068504F" w14:textId="77777777" w:rsidR="004E7E88" w:rsidRPr="00906596" w:rsidRDefault="004E7E88" w:rsidP="004E7E88">
      <w:pPr>
        <w:pStyle w:val="SubmissionNormal"/>
      </w:pPr>
      <w:r>
        <w:t>As recommended above, t</w:t>
      </w:r>
      <w:r w:rsidR="006E5B26">
        <w:t>he Commission considers it</w:t>
      </w:r>
      <w:r w:rsidR="00EA1F7F" w:rsidRPr="0009547F">
        <w:t xml:space="preserve"> would be useful for the Family Law Act to contain a general definition of what it means to be a parent.</w:t>
      </w:r>
      <w:r>
        <w:t xml:space="preserve"> </w:t>
      </w:r>
      <w:r w:rsidR="00EA1F7F" w:rsidRPr="0009547F">
        <w:t>In the Commission’s view, this should be consistent with current community understandings of what it means to be a parent, including de facto part</w:t>
      </w:r>
      <w:r w:rsidR="00C923C6">
        <w:t>ners and non-biological parents, such as the female partner of a woman having an ART child, or a gay co-father of a surrogate child.</w:t>
      </w:r>
    </w:p>
    <w:p w14:paraId="4CDDBD04" w14:textId="56343CBB" w:rsidR="0073641E" w:rsidRPr="00CD5558" w:rsidRDefault="004E7E88" w:rsidP="00230BE6">
      <w:pPr>
        <w:pStyle w:val="SubmissionNormal"/>
        <w:rPr>
          <w:b/>
        </w:rPr>
      </w:pPr>
      <w:r w:rsidRPr="00CD5558">
        <w:rPr>
          <w:b/>
        </w:rPr>
        <w:t>R</w:t>
      </w:r>
      <w:r w:rsidR="00906596">
        <w:rPr>
          <w:b/>
        </w:rPr>
        <w:t>ecommendation 1</w:t>
      </w:r>
      <w:r w:rsidR="001F225B">
        <w:rPr>
          <w:b/>
        </w:rPr>
        <w:t>3</w:t>
      </w:r>
      <w:r w:rsidR="00EA1F7F" w:rsidRPr="00CD5558">
        <w:rPr>
          <w:b/>
        </w:rPr>
        <w:t xml:space="preserve">: </w:t>
      </w:r>
      <w:r w:rsidR="000D377D">
        <w:rPr>
          <w:b/>
        </w:rPr>
        <w:t xml:space="preserve">The Family Law Act </w:t>
      </w:r>
      <w:proofErr w:type="gramStart"/>
      <w:r w:rsidR="000D377D">
        <w:rPr>
          <w:b/>
        </w:rPr>
        <w:t>is</w:t>
      </w:r>
      <w:r w:rsidR="00CD5558" w:rsidRPr="00CD5558">
        <w:rPr>
          <w:b/>
        </w:rPr>
        <w:t xml:space="preserve"> amended</w:t>
      </w:r>
      <w:proofErr w:type="gramEnd"/>
      <w:r w:rsidR="00EA1F7F" w:rsidRPr="00CD5558">
        <w:rPr>
          <w:b/>
        </w:rPr>
        <w:t xml:space="preserve"> </w:t>
      </w:r>
      <w:r w:rsidR="00CD5558" w:rsidRPr="00CD5558">
        <w:rPr>
          <w:b/>
        </w:rPr>
        <w:t xml:space="preserve">to </w:t>
      </w:r>
      <w:r w:rsidR="00EA1F7F" w:rsidRPr="00CD5558">
        <w:rPr>
          <w:b/>
        </w:rPr>
        <w:t>include a general definition of parent that is consistent with contemporary understandings of parent-child relationships including de facto partners and non-biological parents.</w:t>
      </w:r>
    </w:p>
    <w:p w14:paraId="71A925E1" w14:textId="77777777" w:rsidR="005D7014" w:rsidRDefault="005D7014" w:rsidP="00023560">
      <w:pPr>
        <w:pStyle w:val="Heading1"/>
        <w:numPr>
          <w:ilvl w:val="0"/>
          <w:numId w:val="16"/>
        </w:numPr>
      </w:pPr>
      <w:bookmarkStart w:id="44" w:name="_Toc531787327"/>
      <w:r w:rsidRPr="00EE7E54">
        <w:t>Resolution</w:t>
      </w:r>
      <w:r>
        <w:t xml:space="preserve"> and adjudication processes</w:t>
      </w:r>
      <w:bookmarkEnd w:id="44"/>
    </w:p>
    <w:p w14:paraId="011F2A5E" w14:textId="77777777" w:rsidR="00906596" w:rsidRDefault="00527DE9" w:rsidP="00023560">
      <w:pPr>
        <w:pStyle w:val="Heading2"/>
        <w:numPr>
          <w:ilvl w:val="1"/>
          <w:numId w:val="16"/>
        </w:numPr>
      </w:pPr>
      <w:bookmarkStart w:id="45" w:name="_Toc531787328"/>
      <w:r w:rsidRPr="0023290A">
        <w:t>Appropriate</w:t>
      </w:r>
      <w:r>
        <w:t xml:space="preserve"> </w:t>
      </w:r>
      <w:r w:rsidRPr="00906596">
        <w:t>dispute</w:t>
      </w:r>
      <w:r>
        <w:t xml:space="preserve"> resolution for cases involving family </w:t>
      </w:r>
      <w:r w:rsidR="00911C48">
        <w:t xml:space="preserve">and domestic </w:t>
      </w:r>
      <w:r>
        <w:t>violence</w:t>
      </w:r>
      <w:bookmarkEnd w:id="45"/>
    </w:p>
    <w:p w14:paraId="23A914EB" w14:textId="77777777" w:rsidR="00527DE9" w:rsidRPr="00BB45D6" w:rsidRDefault="00B97E1B" w:rsidP="00CD1A5B">
      <w:pPr>
        <w:pStyle w:val="Heading3"/>
        <w:numPr>
          <w:ilvl w:val="2"/>
          <w:numId w:val="16"/>
        </w:numPr>
      </w:pPr>
      <w:bookmarkStart w:id="46" w:name="_Toc531787329"/>
      <w:r w:rsidRPr="00BB45D6">
        <w:t>Cross-</w:t>
      </w:r>
      <w:r w:rsidRPr="00985462">
        <w:t>examination</w:t>
      </w:r>
      <w:r w:rsidRPr="00BB45D6">
        <w:t xml:space="preserve"> by unrepresented parties in family law </w:t>
      </w:r>
      <w:r w:rsidRPr="00C923C6">
        <w:t>proceedings</w:t>
      </w:r>
      <w:bookmarkEnd w:id="46"/>
    </w:p>
    <w:p w14:paraId="28943AC3" w14:textId="77777777" w:rsidR="00B97E1B" w:rsidRDefault="00B97E1B" w:rsidP="00230BE6">
      <w:pPr>
        <w:pStyle w:val="SubmissionNormal"/>
      </w:pPr>
      <w:r w:rsidRPr="003840DE">
        <w:t xml:space="preserve">The </w:t>
      </w:r>
      <w:r w:rsidR="00C923C6">
        <w:t>Commission</w:t>
      </w:r>
      <w:r>
        <w:t xml:space="preserve"> refers the ALRC to its submission on the </w:t>
      </w:r>
      <w:r w:rsidR="00F055C5">
        <w:t>Exposure draft—</w:t>
      </w:r>
      <w:r w:rsidRPr="003840DE">
        <w:t>Family Law Amendment (Family Violence and Cross-examination of Parties) Bill 2017</w:t>
      </w:r>
      <w:r>
        <w:t>, which is relevant to the present inquiry.</w:t>
      </w:r>
      <w:r>
        <w:rPr>
          <w:rStyle w:val="EndnoteReference"/>
        </w:rPr>
        <w:endnoteReference w:id="111"/>
      </w:r>
      <w:r w:rsidR="00C923C6">
        <w:t xml:space="preserve"> The Commission</w:t>
      </w:r>
      <w:r>
        <w:t xml:space="preserve"> is broadly supportive o</w:t>
      </w:r>
      <w:r w:rsidR="00C923C6">
        <w:t>f proposed amendments to the Family Law Act</w:t>
      </w:r>
      <w:r>
        <w:t>,</w:t>
      </w:r>
      <w:r w:rsidRPr="00EF3797">
        <w:t xml:space="preserve"> </w:t>
      </w:r>
      <w:r>
        <w:t xml:space="preserve">to </w:t>
      </w:r>
      <w:r w:rsidRPr="00EF3797">
        <w:t xml:space="preserve">prevent direct cross-examination by unrepresented parties in family law proceedings, in matters involving family </w:t>
      </w:r>
      <w:r w:rsidR="00911C48">
        <w:t xml:space="preserve">and domestic </w:t>
      </w:r>
      <w:r w:rsidRPr="00EF3797">
        <w:t>violence. These reforms aim to ensure that victims of family and domestic violence are not re-traumatised in giv</w:t>
      </w:r>
      <w:r w:rsidR="00527DE9">
        <w:t>ing their evidence to the court.</w:t>
      </w:r>
    </w:p>
    <w:p w14:paraId="599F2371" w14:textId="5A56B2A7" w:rsidR="00B97E1B" w:rsidRPr="00EF3797" w:rsidRDefault="00B97E1B" w:rsidP="00230BE6">
      <w:pPr>
        <w:pStyle w:val="SubmissionNormal"/>
      </w:pPr>
      <w:r w:rsidRPr="00EF3797">
        <w:t xml:space="preserve">The </w:t>
      </w:r>
      <w:r w:rsidR="00C923C6">
        <w:t xml:space="preserve">Commission </w:t>
      </w:r>
      <w:r w:rsidRPr="00EF3797">
        <w:t xml:space="preserve">recognises the significant social and economic impact of family and domestic violence </w:t>
      </w:r>
      <w:r w:rsidR="007372FF">
        <w:t>in</w:t>
      </w:r>
      <w:r w:rsidR="007372FF" w:rsidRPr="00EF3797">
        <w:t xml:space="preserve"> </w:t>
      </w:r>
      <w:r w:rsidRPr="00EF3797">
        <w:t>the Australian community, and the disproportionate impact that this has on women and children.</w:t>
      </w:r>
      <w:r w:rsidRPr="00EE012E">
        <w:rPr>
          <w:rStyle w:val="EndnoteReference"/>
        </w:rPr>
        <w:endnoteReference w:id="112"/>
      </w:r>
      <w:r w:rsidR="005B6DF2">
        <w:t xml:space="preserve"> The </w:t>
      </w:r>
      <w:r w:rsidRPr="00EF3797">
        <w:t xml:space="preserve">direct cross-examination of parties involving family </w:t>
      </w:r>
      <w:r w:rsidR="00911C48">
        <w:t xml:space="preserve">and domestic </w:t>
      </w:r>
      <w:r w:rsidRPr="00EF3797">
        <w:t xml:space="preserve">violence risks reinforcing the power dynamic that typifies family and domestic violence, and consequently risks affecting the probity of evidence put before the Court, where power and control is asserted over the victim during proceedings. </w:t>
      </w:r>
    </w:p>
    <w:p w14:paraId="491F8B04" w14:textId="77777777" w:rsidR="00B97E1B" w:rsidRPr="00EF3797" w:rsidRDefault="00B97E1B" w:rsidP="00230BE6">
      <w:pPr>
        <w:pStyle w:val="SubmissionNormal"/>
      </w:pPr>
      <w:r w:rsidRPr="00EF3797">
        <w:t>The proposed reforms promote greater access to justice by empowering victims of family and domestic violence to participate in the family law process, which is a critical pathway to achieving gender equality.</w:t>
      </w:r>
      <w:r w:rsidRPr="00EE012E">
        <w:rPr>
          <w:rStyle w:val="EndnoteReference"/>
        </w:rPr>
        <w:endnoteReference w:id="113"/>
      </w:r>
      <w:r w:rsidRPr="00EF3797">
        <w:t xml:space="preserve"> This is consistent with the </w:t>
      </w:r>
      <w:r>
        <w:t>CEDAW</w:t>
      </w:r>
      <w:r w:rsidRPr="00EF3797">
        <w:t xml:space="preserve">, which requires state parties to </w:t>
      </w:r>
      <w:proofErr w:type="gramStart"/>
      <w:r w:rsidRPr="00EF3797">
        <w:t>take appropriate measures</w:t>
      </w:r>
      <w:proofErr w:type="gramEnd"/>
      <w:r w:rsidRPr="00EF3797">
        <w:t xml:space="preserve"> to eliminate discrimination against women, i</w:t>
      </w:r>
      <w:r w:rsidR="00527DE9">
        <w:t>ncluding gender-based violence.</w:t>
      </w:r>
    </w:p>
    <w:p w14:paraId="5A24FC42" w14:textId="4B109A3E" w:rsidR="00B97E1B" w:rsidRDefault="00B97E1B" w:rsidP="00230BE6">
      <w:pPr>
        <w:pStyle w:val="SubmissionNormal"/>
      </w:pPr>
      <w:r w:rsidRPr="00EF3797">
        <w:t xml:space="preserve">The </w:t>
      </w:r>
      <w:r w:rsidR="005B6DF2">
        <w:t xml:space="preserve">Commission </w:t>
      </w:r>
      <w:r w:rsidRPr="00EF3797">
        <w:t xml:space="preserve">also acknowledges that children are witnesses, bystanders and direct victims of violence in the home. </w:t>
      </w:r>
      <w:proofErr w:type="gramStart"/>
      <w:r w:rsidRPr="00EF3797">
        <w:t xml:space="preserve">As a </w:t>
      </w:r>
      <w:r w:rsidR="007372FF">
        <w:t>signatory</w:t>
      </w:r>
      <w:r w:rsidR="007372FF" w:rsidRPr="00EF3797">
        <w:t xml:space="preserve"> </w:t>
      </w:r>
      <w:r w:rsidRPr="00EF3797">
        <w:t xml:space="preserve">to the </w:t>
      </w:r>
      <w:r>
        <w:t>CRC</w:t>
      </w:r>
      <w:r w:rsidRPr="00EF3797">
        <w:t>,</w:t>
      </w:r>
      <w:proofErr w:type="gramEnd"/>
      <w:r w:rsidRPr="00EF3797">
        <w:t xml:space="preserve"> </w:t>
      </w:r>
      <w:proofErr w:type="gramStart"/>
      <w:r w:rsidRPr="00EF3797">
        <w:t>Australia</w:t>
      </w:r>
      <w:proofErr w:type="gramEnd"/>
      <w:r w:rsidRPr="00EF3797">
        <w:t xml:space="preserve"> must take all appropriate measures to protect children from all forms of physical or mental violence, injury or abuse. It must also take all appropriate measures to promote the physical and psychological recovery of a child victim of abuse, in an environment that fosters the health, self-respect and dignity of the child. </w:t>
      </w:r>
    </w:p>
    <w:p w14:paraId="57EE47B7" w14:textId="77777777" w:rsidR="00B97E1B" w:rsidRPr="00EF3797" w:rsidRDefault="00B97E1B" w:rsidP="00230BE6">
      <w:pPr>
        <w:pStyle w:val="SubmissionNormal"/>
      </w:pPr>
      <w:r>
        <w:t>The policy intent of the proposed reforms is also consistent with recommendations made by t</w:t>
      </w:r>
      <w:r w:rsidR="005B6DF2">
        <w:t>he UN</w:t>
      </w:r>
      <w:r w:rsidRPr="00EF3797">
        <w:t xml:space="preserve"> Committee on the Rights of the Child</w:t>
      </w:r>
      <w:r>
        <w:t>, which</w:t>
      </w:r>
      <w:r w:rsidRPr="00EF3797">
        <w:t xml:space="preserve"> has called on governments to provide comprehensive and integrated protective measures to address violence against children, including measures for prevention, identification, reporting, referral, investigation, treatment, follow-up, and judicial involvement.</w:t>
      </w:r>
      <w:r w:rsidRPr="00EE012E">
        <w:rPr>
          <w:rStyle w:val="EndnoteReference"/>
        </w:rPr>
        <w:endnoteReference w:id="114"/>
      </w:r>
    </w:p>
    <w:p w14:paraId="6B422C37" w14:textId="3B739774" w:rsidR="00B97E1B" w:rsidRDefault="005B6DF2" w:rsidP="00230BE6">
      <w:pPr>
        <w:pStyle w:val="SubmissionNormal"/>
      </w:pPr>
      <w:proofErr w:type="gramStart"/>
      <w:r>
        <w:t>T</w:t>
      </w:r>
      <w:r w:rsidR="00B97E1B" w:rsidRPr="00965F13">
        <w:t>he National Children’s Commissioner</w:t>
      </w:r>
      <w:r w:rsidR="007372FF">
        <w:t>’s</w:t>
      </w:r>
      <w:r w:rsidR="00B97E1B" w:rsidRPr="00965F13">
        <w:t xml:space="preserve"> </w:t>
      </w:r>
      <w:r>
        <w:t>Children’s</w:t>
      </w:r>
      <w:proofErr w:type="gramEnd"/>
      <w:r>
        <w:t xml:space="preserve"> Rights Report 2015 included </w:t>
      </w:r>
      <w:r w:rsidR="00B97E1B">
        <w:t>findings of a major investigation on</w:t>
      </w:r>
      <w:r w:rsidR="00B97E1B" w:rsidRPr="00965F13">
        <w:t xml:space="preserve"> the impact of family an</w:t>
      </w:r>
      <w:r w:rsidR="00B97E1B">
        <w:t>d domestic violence on children</w:t>
      </w:r>
      <w:r w:rsidR="00B97E1B" w:rsidRPr="00965F13">
        <w:t xml:space="preserve"> (Chapter 4). The </w:t>
      </w:r>
      <w:r>
        <w:t xml:space="preserve">ALRC </w:t>
      </w:r>
      <w:proofErr w:type="gramStart"/>
      <w:r w:rsidR="00B97E1B" w:rsidRPr="00965F13">
        <w:t>is referred</w:t>
      </w:r>
      <w:proofErr w:type="gramEnd"/>
      <w:r w:rsidR="00B97E1B" w:rsidRPr="00965F13">
        <w:t xml:space="preserve"> in particular to the findings a</w:t>
      </w:r>
      <w:r w:rsidR="00F055C5">
        <w:t>nd recommendations set out at pages</w:t>
      </w:r>
      <w:r w:rsidR="00B97E1B" w:rsidRPr="00965F13">
        <w:t xml:space="preserve"> 144–150.</w:t>
      </w:r>
      <w:r w:rsidR="00C01561">
        <w:rPr>
          <w:rStyle w:val="EndnoteReference"/>
        </w:rPr>
        <w:endnoteReference w:id="115"/>
      </w:r>
      <w:r w:rsidR="00B97E1B" w:rsidRPr="00965F13">
        <w:t xml:space="preserve"> </w:t>
      </w:r>
    </w:p>
    <w:p w14:paraId="64A73A08" w14:textId="77777777" w:rsidR="00B97E1B" w:rsidRPr="00EF3797" w:rsidRDefault="005B6DF2" w:rsidP="00230BE6">
      <w:pPr>
        <w:pStyle w:val="SubmissionNormal"/>
      </w:pPr>
      <w:r>
        <w:t>The Commission</w:t>
      </w:r>
      <w:r w:rsidR="00B97E1B">
        <w:t xml:space="preserve"> </w:t>
      </w:r>
      <w:r>
        <w:t>suggests that</w:t>
      </w:r>
      <w:r w:rsidR="00B97E1B">
        <w:t xml:space="preserve">, in assessing the compatibility of such amendments with the </w:t>
      </w:r>
      <w:r w:rsidR="00B97E1B" w:rsidRPr="00EF3797">
        <w:t>rights and freedoms recognised in the seven core international human rights treaties whic</w:t>
      </w:r>
      <w:r w:rsidR="00B97E1B">
        <w:t xml:space="preserve">h Australia has ratified, </w:t>
      </w:r>
      <w:r w:rsidR="00B97E1B" w:rsidRPr="00EF3797">
        <w:t>some of the preliminary human rights issues that should be conside</w:t>
      </w:r>
      <w:r>
        <w:t xml:space="preserve">red are: </w:t>
      </w:r>
    </w:p>
    <w:p w14:paraId="7E6A2F13" w14:textId="77777777" w:rsidR="00B97E1B" w:rsidRPr="00965F13" w:rsidRDefault="00B97E1B" w:rsidP="004A30A4">
      <w:pPr>
        <w:pStyle w:val="ListParagraph"/>
        <w:numPr>
          <w:ilvl w:val="0"/>
          <w:numId w:val="18"/>
        </w:numPr>
      </w:pPr>
      <w:r w:rsidRPr="00527DE9">
        <w:rPr>
          <w:lang w:val="en-GB"/>
        </w:rPr>
        <w:t>the protection of vulnerable witnesses and their capacity to give effective evidence balanced against the right of another party to test evidence adduced by all relevant witnesses</w:t>
      </w:r>
    </w:p>
    <w:p w14:paraId="4A9CFADD" w14:textId="77777777" w:rsidR="00B97E1B" w:rsidRPr="00EF3797" w:rsidRDefault="00B97E1B" w:rsidP="004A30A4">
      <w:pPr>
        <w:pStyle w:val="ListParagraph"/>
        <w:numPr>
          <w:ilvl w:val="0"/>
          <w:numId w:val="18"/>
        </w:numPr>
      </w:pPr>
      <w:r w:rsidRPr="00527DE9">
        <w:rPr>
          <w:lang w:val="en-GB"/>
        </w:rPr>
        <w:t>the need to take into account the views of the women and children, and the importance of the role of</w:t>
      </w:r>
      <w:r w:rsidR="00FF39FD">
        <w:rPr>
          <w:lang w:val="en-GB"/>
        </w:rPr>
        <w:t xml:space="preserve"> independent children’s lawyers</w:t>
      </w:r>
      <w:r w:rsidR="00DA077E">
        <w:rPr>
          <w:lang w:val="en-GB"/>
        </w:rPr>
        <w:t xml:space="preserve"> (ICLs)</w:t>
      </w:r>
    </w:p>
    <w:p w14:paraId="0350E002" w14:textId="77777777" w:rsidR="00B97E1B" w:rsidRPr="00EF3797" w:rsidRDefault="00B97E1B" w:rsidP="004A30A4">
      <w:pPr>
        <w:pStyle w:val="ListParagraph"/>
        <w:numPr>
          <w:ilvl w:val="0"/>
          <w:numId w:val="18"/>
        </w:numPr>
      </w:pPr>
      <w:r w:rsidRPr="00527DE9">
        <w:rPr>
          <w:lang w:val="en-GB"/>
        </w:rPr>
        <w:t>procedural fairness and potential limitations on the unrepresented party’s ability to effe</w:t>
      </w:r>
      <w:r w:rsidR="00FF39FD">
        <w:rPr>
          <w:lang w:val="en-GB"/>
        </w:rPr>
        <w:t>ctively examine the witness</w:t>
      </w:r>
    </w:p>
    <w:p w14:paraId="50AE5988" w14:textId="77777777" w:rsidR="00B97E1B" w:rsidRDefault="00B97E1B" w:rsidP="004A30A4">
      <w:pPr>
        <w:pStyle w:val="ListParagraph"/>
        <w:numPr>
          <w:ilvl w:val="0"/>
          <w:numId w:val="18"/>
        </w:numPr>
      </w:pPr>
      <w:proofErr w:type="gramStart"/>
      <w:r w:rsidRPr="00527DE9">
        <w:rPr>
          <w:lang w:val="en-GB"/>
        </w:rPr>
        <w:t>the</w:t>
      </w:r>
      <w:proofErr w:type="gramEnd"/>
      <w:r w:rsidRPr="00527DE9">
        <w:rPr>
          <w:lang w:val="en-GB"/>
        </w:rPr>
        <w:t xml:space="preserve"> particular requirements and role of the court-appointed person (for example, consideration could be given to requirements similar to those found in Part 8, Local Court Practice Note No. 2 of 2012 (NSW) for Domestic and Personal Violence Proceedings).</w:t>
      </w:r>
      <w:r>
        <w:rPr>
          <w:rStyle w:val="EndnoteReference"/>
          <w:lang w:val="en-GB"/>
        </w:rPr>
        <w:endnoteReference w:id="116"/>
      </w:r>
    </w:p>
    <w:p w14:paraId="4BADA813" w14:textId="77875420" w:rsidR="00B97E1B" w:rsidRPr="00527DE9" w:rsidRDefault="00B97E1B" w:rsidP="00230BE6">
      <w:pPr>
        <w:pStyle w:val="SubmissionNormal"/>
      </w:pPr>
      <w:r w:rsidRPr="00FF39FD">
        <w:rPr>
          <w:b/>
        </w:rPr>
        <w:t>Recommendation</w:t>
      </w:r>
      <w:r w:rsidR="005B6DF2">
        <w:rPr>
          <w:b/>
        </w:rPr>
        <w:t xml:space="preserve"> 1</w:t>
      </w:r>
      <w:r w:rsidR="001F225B">
        <w:rPr>
          <w:b/>
        </w:rPr>
        <w:t>4</w:t>
      </w:r>
      <w:r w:rsidR="00ED5224">
        <w:rPr>
          <w:b/>
        </w:rPr>
        <w:t xml:space="preserve">:The </w:t>
      </w:r>
      <w:r w:rsidR="000D377D">
        <w:rPr>
          <w:b/>
        </w:rPr>
        <w:t>Family Law Act is</w:t>
      </w:r>
      <w:r w:rsidRPr="00527DE9">
        <w:rPr>
          <w:b/>
        </w:rPr>
        <w:t xml:space="preserve"> amended to prevent direct cross-examination by unrepresented parties in family law proceedings, in matters involving family </w:t>
      </w:r>
      <w:r w:rsidR="00911C48">
        <w:rPr>
          <w:b/>
        </w:rPr>
        <w:t xml:space="preserve">and domestic </w:t>
      </w:r>
      <w:r w:rsidRPr="00527DE9">
        <w:rPr>
          <w:b/>
        </w:rPr>
        <w:t>violence, having regard to the following matters:</w:t>
      </w:r>
      <w:r w:rsidR="00667662">
        <w:rPr>
          <w:b/>
        </w:rPr>
        <w:t xml:space="preserve"> </w:t>
      </w:r>
    </w:p>
    <w:p w14:paraId="6015C06F" w14:textId="77777777" w:rsidR="00B97E1B" w:rsidRPr="00FF39FD" w:rsidRDefault="00B97E1B" w:rsidP="004A30A4">
      <w:pPr>
        <w:pStyle w:val="ListParagraph"/>
        <w:numPr>
          <w:ilvl w:val="0"/>
          <w:numId w:val="19"/>
        </w:numPr>
        <w:rPr>
          <w:b/>
        </w:rPr>
      </w:pPr>
      <w:r w:rsidRPr="00FF39FD">
        <w:rPr>
          <w:b/>
          <w:lang w:val="en-GB"/>
        </w:rPr>
        <w:t>the protection of vulnerable witnesses and their capacity to give effective evidence balanced against the right of another party to test evidence ad</w:t>
      </w:r>
      <w:r w:rsidR="00FF39FD">
        <w:rPr>
          <w:b/>
          <w:lang w:val="en-GB"/>
        </w:rPr>
        <w:t>duced by all relevant witnesses</w:t>
      </w:r>
    </w:p>
    <w:p w14:paraId="3D8452DE" w14:textId="77777777" w:rsidR="00B97E1B" w:rsidRPr="00FF39FD" w:rsidRDefault="00B97E1B" w:rsidP="004A30A4">
      <w:pPr>
        <w:pStyle w:val="ListParagraph"/>
        <w:numPr>
          <w:ilvl w:val="0"/>
          <w:numId w:val="19"/>
        </w:numPr>
        <w:rPr>
          <w:b/>
        </w:rPr>
      </w:pPr>
      <w:r w:rsidRPr="00FF39FD">
        <w:rPr>
          <w:b/>
          <w:lang w:val="en-GB"/>
        </w:rPr>
        <w:t>the need to take into account the views of the women and children, and the importance of the role of</w:t>
      </w:r>
      <w:r w:rsidR="00FF39FD">
        <w:rPr>
          <w:b/>
          <w:lang w:val="en-GB"/>
        </w:rPr>
        <w:t xml:space="preserve"> independent children’s lawyers</w:t>
      </w:r>
    </w:p>
    <w:p w14:paraId="186BE1BF" w14:textId="77777777" w:rsidR="00B97E1B" w:rsidRPr="00FF39FD" w:rsidRDefault="00B97E1B" w:rsidP="004A30A4">
      <w:pPr>
        <w:pStyle w:val="ListParagraph"/>
        <w:numPr>
          <w:ilvl w:val="0"/>
          <w:numId w:val="19"/>
        </w:numPr>
        <w:rPr>
          <w:b/>
        </w:rPr>
      </w:pPr>
      <w:r w:rsidRPr="00FF39FD">
        <w:rPr>
          <w:b/>
          <w:lang w:val="en-GB"/>
        </w:rPr>
        <w:t>procedural fairness and potential limitations on the unrepresented party’s ability to effe</w:t>
      </w:r>
      <w:r w:rsidR="00FF39FD">
        <w:rPr>
          <w:b/>
          <w:lang w:val="en-GB"/>
        </w:rPr>
        <w:t>ctively examine the witness</w:t>
      </w:r>
    </w:p>
    <w:p w14:paraId="7DC020B8" w14:textId="77777777" w:rsidR="00B97E1B" w:rsidRPr="000819C1" w:rsidRDefault="00B97E1B" w:rsidP="004A30A4">
      <w:pPr>
        <w:pStyle w:val="ListParagraph"/>
        <w:numPr>
          <w:ilvl w:val="0"/>
          <w:numId w:val="19"/>
        </w:numPr>
        <w:rPr>
          <w:b/>
        </w:rPr>
      </w:pPr>
      <w:proofErr w:type="gramStart"/>
      <w:r w:rsidRPr="00FF39FD">
        <w:rPr>
          <w:b/>
          <w:lang w:val="en-GB"/>
        </w:rPr>
        <w:t>the</w:t>
      </w:r>
      <w:proofErr w:type="gramEnd"/>
      <w:r w:rsidRPr="00FF39FD">
        <w:rPr>
          <w:b/>
          <w:lang w:val="en-GB"/>
        </w:rPr>
        <w:t xml:space="preserve"> particular requirements and role of the court-appointed person.</w:t>
      </w:r>
    </w:p>
    <w:p w14:paraId="4EB425DC" w14:textId="77777777" w:rsidR="000819C1" w:rsidRPr="000819C1" w:rsidRDefault="000819C1" w:rsidP="00CD1A5B">
      <w:pPr>
        <w:pStyle w:val="Heading3"/>
        <w:numPr>
          <w:ilvl w:val="2"/>
          <w:numId w:val="16"/>
        </w:numPr>
      </w:pPr>
      <w:bookmarkStart w:id="47" w:name="_Toc531787330"/>
      <w:r w:rsidRPr="005B6DF2">
        <w:t>Funding</w:t>
      </w:r>
      <w:r w:rsidRPr="000819C1">
        <w:t xml:space="preserve"> for </w:t>
      </w:r>
      <w:r w:rsidRPr="00985462">
        <w:t>specialised</w:t>
      </w:r>
      <w:r w:rsidRPr="000819C1">
        <w:t xml:space="preserve"> family </w:t>
      </w:r>
      <w:r w:rsidR="00911C48">
        <w:t xml:space="preserve">and domestic </w:t>
      </w:r>
      <w:r w:rsidRPr="0023290A">
        <w:t>violence</w:t>
      </w:r>
      <w:r w:rsidRPr="000819C1">
        <w:t xml:space="preserve"> services in the family law system</w:t>
      </w:r>
      <w:bookmarkEnd w:id="47"/>
    </w:p>
    <w:p w14:paraId="701D3BDD" w14:textId="082545C7" w:rsidR="00D34A31" w:rsidRDefault="005B6DF2" w:rsidP="00230BE6">
      <w:pPr>
        <w:pStyle w:val="SubmissionNormal"/>
      </w:pPr>
      <w:r>
        <w:t xml:space="preserve">The Commission </w:t>
      </w:r>
      <w:r w:rsidR="000819C1" w:rsidRPr="000819C1">
        <w:t>has made a number of submissions that highlight Australia’s high rate of violence against women.</w:t>
      </w:r>
      <w:r w:rsidR="000819C1" w:rsidRPr="000819C1">
        <w:rPr>
          <w:rStyle w:val="EndnoteReference"/>
        </w:rPr>
        <w:endnoteReference w:id="117"/>
      </w:r>
      <w:r w:rsidR="000819C1" w:rsidRPr="000819C1">
        <w:t xml:space="preserve"> </w:t>
      </w:r>
      <w:r w:rsidR="00D34A31">
        <w:t xml:space="preserve">This issue is particularly acute for Aboriginal and Torres Strait Islander women, who are 32 times more likely to be hospitalised from family </w:t>
      </w:r>
      <w:r w:rsidR="00911C48">
        <w:t xml:space="preserve">and domestic </w:t>
      </w:r>
      <w:r w:rsidR="00D34A31">
        <w:t xml:space="preserve">violence and ten times more likely to be killed </w:t>
      </w:r>
      <w:proofErr w:type="gramStart"/>
      <w:r w:rsidR="00D34A31">
        <w:t>as a result</w:t>
      </w:r>
      <w:proofErr w:type="gramEnd"/>
      <w:r w:rsidR="00D34A31">
        <w:t xml:space="preserve"> of a violent assault.</w:t>
      </w:r>
      <w:r w:rsidR="00D34A31">
        <w:rPr>
          <w:rStyle w:val="EndnoteReference"/>
        </w:rPr>
        <w:endnoteReference w:id="118"/>
      </w:r>
    </w:p>
    <w:p w14:paraId="2C8E9069" w14:textId="2A8B1F4F" w:rsidR="000819C1" w:rsidRDefault="000819C1" w:rsidP="00230BE6">
      <w:pPr>
        <w:pStyle w:val="SubmissionNormal"/>
      </w:pPr>
      <w:r w:rsidRPr="000819C1">
        <w:t xml:space="preserve">In its submission to the </w:t>
      </w:r>
      <w:r w:rsidR="005B6DF2" w:rsidRPr="00E1309F">
        <w:rPr>
          <w:i/>
        </w:rPr>
        <w:t xml:space="preserve">A </w:t>
      </w:r>
      <w:r w:rsidRPr="00E1309F">
        <w:rPr>
          <w:i/>
        </w:rPr>
        <w:t xml:space="preserve">better family law system </w:t>
      </w:r>
      <w:r w:rsidR="005B6DF2" w:rsidRPr="00E1309F">
        <w:rPr>
          <w:i/>
        </w:rPr>
        <w:t>Inquiry</w:t>
      </w:r>
      <w:r w:rsidRPr="000819C1">
        <w:t xml:space="preserve">, </w:t>
      </w:r>
      <w:r w:rsidR="005B6DF2">
        <w:t xml:space="preserve">the </w:t>
      </w:r>
      <w:r w:rsidRPr="000819C1">
        <w:t xml:space="preserve">Women’s Legal Service Australia (WLSA) </w:t>
      </w:r>
      <w:r w:rsidR="00505E6D" w:rsidRPr="000819C1">
        <w:t>note</w:t>
      </w:r>
      <w:r w:rsidR="00505E6D">
        <w:t>d</w:t>
      </w:r>
      <w:r w:rsidR="00505E6D" w:rsidRPr="000819C1">
        <w:t xml:space="preserve"> </w:t>
      </w:r>
      <w:r w:rsidRPr="000819C1">
        <w:t xml:space="preserve">that there is an ever-growing number of women who are family violence victims and who are </w:t>
      </w:r>
      <w:r w:rsidR="00505E6D">
        <w:t>‘</w:t>
      </w:r>
      <w:r w:rsidRPr="000819C1">
        <w:t>falling through the cracks</w:t>
      </w:r>
      <w:r w:rsidR="00505E6D">
        <w:t>’</w:t>
      </w:r>
      <w:r w:rsidRPr="000819C1">
        <w:t xml:space="preserve"> of the legal aid system.</w:t>
      </w:r>
      <w:r w:rsidRPr="000819C1">
        <w:rPr>
          <w:rStyle w:val="EndnoteReference"/>
        </w:rPr>
        <w:endnoteReference w:id="119"/>
      </w:r>
      <w:r w:rsidRPr="000819C1">
        <w:t xml:space="preserve"> Th</w:t>
      </w:r>
      <w:r w:rsidR="005B6DF2">
        <w:t>is is consistent with the Commission’s</w:t>
      </w:r>
      <w:r w:rsidRPr="000819C1">
        <w:t xml:space="preserve"> consultations with </w:t>
      </w:r>
      <w:r w:rsidR="001D00E8">
        <w:t>the National Women’</w:t>
      </w:r>
      <w:r w:rsidR="00590B5F">
        <w:t>s Alliances.</w:t>
      </w:r>
    </w:p>
    <w:p w14:paraId="7446E12F" w14:textId="77777777" w:rsidR="000819C1" w:rsidRDefault="009152D1" w:rsidP="00230BE6">
      <w:pPr>
        <w:pStyle w:val="SubmissionNormal"/>
      </w:pPr>
      <w:r>
        <w:t xml:space="preserve">The Commission </w:t>
      </w:r>
      <w:r w:rsidR="000819C1" w:rsidRPr="000819C1">
        <w:t>acknowledges the concerns raised by the WLSA that women find themselves unable to access legal services due to the narrowing of community legal centre intake guidelines and legal aid family law guidelines, and without the financial means to pay the fees of private family practitioners.</w:t>
      </w:r>
      <w:r w:rsidR="000819C1" w:rsidRPr="000819C1">
        <w:rPr>
          <w:rStyle w:val="EndnoteReference"/>
        </w:rPr>
        <w:endnoteReference w:id="120"/>
      </w:r>
      <w:r>
        <w:t xml:space="preserve"> The Commission </w:t>
      </w:r>
      <w:r w:rsidR="000819C1" w:rsidRPr="000819C1">
        <w:t>supports the need for greater access to legal aid for parties accessing the family courts, particularly for women experiencing family and domestic violence.</w:t>
      </w:r>
    </w:p>
    <w:p w14:paraId="5E39CE7E" w14:textId="2C282B7B" w:rsidR="000819C1" w:rsidRDefault="009152D1" w:rsidP="00230BE6">
      <w:pPr>
        <w:pStyle w:val="SubmissionNormal"/>
      </w:pPr>
      <w:r>
        <w:t>The Commission</w:t>
      </w:r>
      <w:r w:rsidR="000819C1" w:rsidRPr="000819C1">
        <w:t xml:space="preserve"> also </w:t>
      </w:r>
      <w:r>
        <w:t xml:space="preserve">supports the </w:t>
      </w:r>
      <w:r w:rsidR="000819C1" w:rsidRPr="000819C1">
        <w:t xml:space="preserve">recommendations of the </w:t>
      </w:r>
      <w:r w:rsidRPr="009152D1">
        <w:rPr>
          <w:i/>
        </w:rPr>
        <w:t>A</w:t>
      </w:r>
      <w:r w:rsidR="000819C1" w:rsidRPr="009152D1">
        <w:rPr>
          <w:i/>
        </w:rPr>
        <w:t xml:space="preserve"> better family law system</w:t>
      </w:r>
      <w:r w:rsidRPr="009152D1">
        <w:rPr>
          <w:i/>
        </w:rPr>
        <w:t xml:space="preserve"> Inquiry</w:t>
      </w:r>
      <w:r w:rsidR="000819C1" w:rsidRPr="000819C1">
        <w:t xml:space="preserve">, regarding the need for holistic and ongoing support services to support families </w:t>
      </w:r>
      <w:r w:rsidR="00590B5F">
        <w:t xml:space="preserve">experiencing </w:t>
      </w:r>
      <w:r w:rsidR="000819C1" w:rsidRPr="000819C1">
        <w:t xml:space="preserve">family </w:t>
      </w:r>
      <w:r w:rsidR="00911C48">
        <w:t xml:space="preserve">and domestic </w:t>
      </w:r>
      <w:r w:rsidR="000819C1" w:rsidRPr="000819C1">
        <w:t xml:space="preserve">violence, </w:t>
      </w:r>
      <w:r w:rsidR="00590B5F">
        <w:t xml:space="preserve">before, during and after engagement with the family law system, which is </w:t>
      </w:r>
      <w:r w:rsidR="000819C1" w:rsidRPr="000819C1">
        <w:t>critical to families’ ongoing safety and wellbeing.</w:t>
      </w:r>
      <w:r w:rsidR="000819C1" w:rsidRPr="000819C1">
        <w:rPr>
          <w:rStyle w:val="EndnoteReference"/>
        </w:rPr>
        <w:endnoteReference w:id="121"/>
      </w:r>
    </w:p>
    <w:p w14:paraId="6AB3B2E1" w14:textId="7135D3D1" w:rsidR="00E1309F" w:rsidRDefault="009152D1" w:rsidP="00E1309F">
      <w:pPr>
        <w:pStyle w:val="SubmissionNormal"/>
      </w:pPr>
      <w:r>
        <w:t xml:space="preserve">In particular, the Commission </w:t>
      </w:r>
      <w:r w:rsidR="000819C1" w:rsidRPr="000819C1">
        <w:t>supports the Committee’s recommendation to consider introducing ‘wrap-around’ services</w:t>
      </w:r>
      <w:r w:rsidR="007D0AD8">
        <w:t>,</w:t>
      </w:r>
      <w:r w:rsidR="000819C1" w:rsidRPr="000819C1">
        <w:t xml:space="preserve"> co-located in the federal family courts, modelled on the provision of these legal and non-legal support services in the specialist family violence courts of the states and territories.</w:t>
      </w:r>
      <w:r w:rsidR="000819C1" w:rsidRPr="000819C1">
        <w:rPr>
          <w:rStyle w:val="EndnoteReference"/>
        </w:rPr>
        <w:endnoteReference w:id="122"/>
      </w:r>
    </w:p>
    <w:p w14:paraId="0AE24C4A" w14:textId="6A1402F5" w:rsidR="00E1309F" w:rsidRPr="00E1309F" w:rsidRDefault="009152D1" w:rsidP="00E1309F">
      <w:pPr>
        <w:pStyle w:val="SubmissionNormal"/>
      </w:pPr>
      <w:proofErr w:type="gramStart"/>
      <w:r w:rsidRPr="00E1309F">
        <w:rPr>
          <w:b/>
        </w:rPr>
        <w:t>Recommendation 1</w:t>
      </w:r>
      <w:r w:rsidR="001F225B">
        <w:rPr>
          <w:b/>
        </w:rPr>
        <w:t>5</w:t>
      </w:r>
      <w:r w:rsidR="000819C1" w:rsidRPr="00E1309F">
        <w:rPr>
          <w:b/>
        </w:rPr>
        <w:t>:</w:t>
      </w:r>
      <w:r w:rsidR="00ED5224" w:rsidRPr="00E1309F">
        <w:rPr>
          <w:b/>
        </w:rPr>
        <w:t xml:space="preserve"> </w:t>
      </w:r>
      <w:r w:rsidR="000D377D">
        <w:rPr>
          <w:b/>
        </w:rPr>
        <w:t>Consideration is</w:t>
      </w:r>
      <w:r w:rsidR="000819C1" w:rsidRPr="00E1309F">
        <w:rPr>
          <w:b/>
        </w:rPr>
        <w:t xml:space="preserve"> given to increasing legal aid funding to promote greater access to legal aid for women who are victims of family </w:t>
      </w:r>
      <w:r w:rsidR="00911C48">
        <w:rPr>
          <w:b/>
        </w:rPr>
        <w:t xml:space="preserve">and domestic </w:t>
      </w:r>
      <w:r w:rsidR="000819C1" w:rsidRPr="00E1309F">
        <w:rPr>
          <w:b/>
        </w:rPr>
        <w:t xml:space="preserve">violence, </w:t>
      </w:r>
      <w:r w:rsidR="00A3206B" w:rsidRPr="00E1309F">
        <w:rPr>
          <w:b/>
        </w:rPr>
        <w:t xml:space="preserve">in particular Aboriginal and Torres Strait Islander women, </w:t>
      </w:r>
      <w:r w:rsidR="000819C1" w:rsidRPr="00E1309F">
        <w:rPr>
          <w:b/>
        </w:rPr>
        <w:t>as well as providing funding for specialist family and domestic violence legal and non-legal services to be imbedded in the family courts, to better support the needs of parties experiencing family violence in the family law system.</w:t>
      </w:r>
      <w:proofErr w:type="gramEnd"/>
    </w:p>
    <w:p w14:paraId="2695719A" w14:textId="77777777" w:rsidR="005D7014" w:rsidRPr="00DC0538" w:rsidRDefault="00FF39FD" w:rsidP="00CD1A5B">
      <w:pPr>
        <w:pStyle w:val="Heading3"/>
        <w:numPr>
          <w:ilvl w:val="2"/>
          <w:numId w:val="16"/>
        </w:numPr>
      </w:pPr>
      <w:bookmarkStart w:id="48" w:name="_Toc531787331"/>
      <w:r w:rsidRPr="00DC0538">
        <w:t xml:space="preserve">Children’s </w:t>
      </w:r>
      <w:r w:rsidRPr="00985462">
        <w:t>rights</w:t>
      </w:r>
      <w:r w:rsidRPr="00DC0538">
        <w:t xml:space="preserve"> in </w:t>
      </w:r>
      <w:r w:rsidRPr="009152D1">
        <w:t>a</w:t>
      </w:r>
      <w:r w:rsidR="00EE7E54" w:rsidRPr="009152D1">
        <w:t>lternative</w:t>
      </w:r>
      <w:r w:rsidR="00EE7E54" w:rsidRPr="00DC0538">
        <w:t xml:space="preserve"> dispute resolution</w:t>
      </w:r>
      <w:r w:rsidRPr="00DC0538">
        <w:t xml:space="preserve"> processes</w:t>
      </w:r>
      <w:bookmarkEnd w:id="48"/>
    </w:p>
    <w:p w14:paraId="4E33D5B2" w14:textId="77777777" w:rsidR="00BB45D6" w:rsidRDefault="00173E6C" w:rsidP="00230BE6">
      <w:pPr>
        <w:pStyle w:val="SubmissionNormal"/>
        <w:rPr>
          <w:lang w:val="en"/>
        </w:rPr>
      </w:pPr>
      <w:r w:rsidRPr="009E4718">
        <w:t xml:space="preserve">In a submission to the Senate Legal and Constitutional Affairs Legislation Committee’s inquiry into the Family Law Amendment (Parenting Management Hearings) Bill 2017, the Commission indicated its broad support </w:t>
      </w:r>
      <w:r w:rsidR="00185478">
        <w:t>for</w:t>
      </w:r>
      <w:r w:rsidR="00185478" w:rsidRPr="009E4718">
        <w:t xml:space="preserve"> </w:t>
      </w:r>
      <w:r w:rsidRPr="009E4718">
        <w:t>more flexible and inquisitorial alternatives to the court process for resolving parenting disputes, with the potential to resolve disputes in a less adversarial, more economical and prompt way.</w:t>
      </w:r>
      <w:r w:rsidR="009152D1">
        <w:rPr>
          <w:rStyle w:val="EndnoteReference"/>
        </w:rPr>
        <w:endnoteReference w:id="123"/>
      </w:r>
      <w:r w:rsidR="00BB45D6">
        <w:rPr>
          <w:lang w:val="en"/>
        </w:rPr>
        <w:t xml:space="preserve"> </w:t>
      </w:r>
    </w:p>
    <w:p w14:paraId="3599E2B5" w14:textId="63BB734A" w:rsidR="000819C1" w:rsidRPr="00BB45D6" w:rsidRDefault="00BB45D6" w:rsidP="00230BE6">
      <w:pPr>
        <w:pStyle w:val="SubmissionNormal"/>
        <w:rPr>
          <w:lang w:val="en"/>
        </w:rPr>
      </w:pPr>
      <w:r>
        <w:rPr>
          <w:lang w:val="en"/>
        </w:rPr>
        <w:t>However</w:t>
      </w:r>
      <w:r w:rsidR="000B2DE4">
        <w:t xml:space="preserve">, the Commission raised a number of concerns with the model proposed in this Bill, in relation to children’s rights. These </w:t>
      </w:r>
      <w:r w:rsidR="00704370">
        <w:t xml:space="preserve">concerns highlight two key </w:t>
      </w:r>
      <w:r w:rsidR="005F3FF0">
        <w:t xml:space="preserve">issues </w:t>
      </w:r>
      <w:r w:rsidR="007D0AD8">
        <w:t xml:space="preserve">that </w:t>
      </w:r>
      <w:r w:rsidR="005F3FF0">
        <w:t xml:space="preserve">need to </w:t>
      </w:r>
      <w:proofErr w:type="gramStart"/>
      <w:r w:rsidR="005F3FF0">
        <w:t>be addressed</w:t>
      </w:r>
      <w:proofErr w:type="gramEnd"/>
      <w:r w:rsidR="005F3FF0">
        <w:t xml:space="preserve"> in any alternative dispute resolution processes involving parenting matters, so th</w:t>
      </w:r>
      <w:r w:rsidR="009152D1">
        <w:t xml:space="preserve">at children’s rights are </w:t>
      </w:r>
      <w:r w:rsidR="007D0AD8">
        <w:t>considered properly</w:t>
      </w:r>
      <w:r w:rsidR="009152D1">
        <w:t>. These are</w:t>
      </w:r>
      <w:r w:rsidR="00185478">
        <w:t>:</w:t>
      </w:r>
    </w:p>
    <w:p w14:paraId="6B9B19CF" w14:textId="77777777" w:rsidR="00704370" w:rsidRPr="001F225B" w:rsidRDefault="009152D1" w:rsidP="001F225B">
      <w:pPr>
        <w:pStyle w:val="ListParagraph"/>
        <w:numPr>
          <w:ilvl w:val="0"/>
          <w:numId w:val="45"/>
        </w:numPr>
        <w:rPr>
          <w:lang w:val="en"/>
        </w:rPr>
      </w:pPr>
      <w:r>
        <w:t>e</w:t>
      </w:r>
      <w:r w:rsidR="00CB1220">
        <w:t>nsuring c</w:t>
      </w:r>
      <w:r w:rsidR="00704370">
        <w:t>hildren have the opportunity to express their views a</w:t>
      </w:r>
      <w:r w:rsidR="005F3FF0">
        <w:t>nd have them taken into account</w:t>
      </w:r>
    </w:p>
    <w:p w14:paraId="383A1528" w14:textId="77777777" w:rsidR="00704370" w:rsidRPr="001F225B" w:rsidRDefault="00704370" w:rsidP="001F225B">
      <w:pPr>
        <w:pStyle w:val="ListParagraph"/>
        <w:numPr>
          <w:ilvl w:val="0"/>
          <w:numId w:val="45"/>
        </w:numPr>
        <w:rPr>
          <w:lang w:val="en"/>
        </w:rPr>
      </w:pPr>
      <w:proofErr w:type="gramStart"/>
      <w:r>
        <w:t>ensuring</w:t>
      </w:r>
      <w:proofErr w:type="gramEnd"/>
      <w:r>
        <w:t xml:space="preserve"> that decision-makers and facilitators of alternative dispute resolution have a comprehensive understanding of the impacts of violence and abuse on children, childhood trauma and child development. </w:t>
      </w:r>
    </w:p>
    <w:p w14:paraId="274A7C38" w14:textId="42D95EE4" w:rsidR="00656D54" w:rsidRPr="00E75D03" w:rsidRDefault="00CD1A5B" w:rsidP="00230BE6">
      <w:pPr>
        <w:pStyle w:val="SubmissionNormal"/>
        <w:rPr>
          <w:lang w:val="en"/>
        </w:rPr>
      </w:pPr>
      <w:r>
        <w:t>In its submission, the</w:t>
      </w:r>
      <w:r w:rsidR="005F3FF0">
        <w:t xml:space="preserve"> </w:t>
      </w:r>
      <w:r w:rsidR="002747F5">
        <w:t xml:space="preserve">Commission considered the </w:t>
      </w:r>
      <w:r w:rsidR="007D0AD8">
        <w:t>proposals for</w:t>
      </w:r>
      <w:r w:rsidR="00205F20">
        <w:t xml:space="preserve"> </w:t>
      </w:r>
      <w:r w:rsidR="001041AB">
        <w:t>Parenting M</w:t>
      </w:r>
      <w:r w:rsidR="009B27B7">
        <w:t>anagement Hearings</w:t>
      </w:r>
      <w:r w:rsidR="007D0AD8">
        <w:t>, suggesting that</w:t>
      </w:r>
      <w:r w:rsidR="001041AB">
        <w:t xml:space="preserve"> </w:t>
      </w:r>
      <w:r w:rsidR="007D0AD8">
        <w:t xml:space="preserve">they </w:t>
      </w:r>
      <w:r w:rsidR="00E50DB1">
        <w:t>would</w:t>
      </w:r>
      <w:r w:rsidR="00173E6C" w:rsidRPr="009E4718">
        <w:t xml:space="preserve"> not give children who </w:t>
      </w:r>
      <w:proofErr w:type="gramStart"/>
      <w:r w:rsidR="00173E6C" w:rsidRPr="009E4718">
        <w:t>are affected</w:t>
      </w:r>
      <w:proofErr w:type="gramEnd"/>
      <w:r w:rsidR="00173E6C" w:rsidRPr="009E4718">
        <w:t xml:space="preserve"> b</w:t>
      </w:r>
      <w:r w:rsidR="00E50DB1">
        <w:t xml:space="preserve">y a parenting matter before a </w:t>
      </w:r>
      <w:r w:rsidR="00173E6C" w:rsidRPr="009E4718">
        <w:t xml:space="preserve">Panel sufficient opportunity to express their views in accordance with article 12 of the </w:t>
      </w:r>
      <w:r w:rsidR="001041AB">
        <w:t>CRC</w:t>
      </w:r>
      <w:r w:rsidR="00173E6C" w:rsidRPr="009E4718">
        <w:t xml:space="preserve">. </w:t>
      </w:r>
      <w:r w:rsidR="005F3FF0">
        <w:t xml:space="preserve">Although there </w:t>
      </w:r>
      <w:r w:rsidR="007D0AD8">
        <w:t xml:space="preserve">were </w:t>
      </w:r>
      <w:r w:rsidR="005F3FF0">
        <w:t xml:space="preserve">mechanisms </w:t>
      </w:r>
      <w:r w:rsidR="00E50DB1">
        <w:t>set out in the Bill</w:t>
      </w:r>
      <w:r w:rsidR="007D0AD8">
        <w:t>,</w:t>
      </w:r>
      <w:r w:rsidR="00E50DB1">
        <w:t xml:space="preserve"> </w:t>
      </w:r>
      <w:r w:rsidR="005F3FF0">
        <w:t>such as a family consultant or an</w:t>
      </w:r>
      <w:r w:rsidR="00DA077E">
        <w:t xml:space="preserve"> ICL</w:t>
      </w:r>
      <w:r w:rsidR="005F3FF0">
        <w:t xml:space="preserve"> through which a child’s view </w:t>
      </w:r>
      <w:proofErr w:type="gramStart"/>
      <w:r w:rsidR="005F3FF0">
        <w:t>may be expressed and conveyed to decision-makers,</w:t>
      </w:r>
      <w:proofErr w:type="gramEnd"/>
      <w:r w:rsidR="005F3FF0">
        <w:t xml:space="preserve"> t</w:t>
      </w:r>
      <w:r w:rsidR="002D5C24">
        <w:t>he proposed amendments</w:t>
      </w:r>
      <w:r w:rsidR="00173E6C" w:rsidRPr="009E4718">
        <w:t xml:space="preserve"> (and the current Family Law Act consideration of parenting matters)</w:t>
      </w:r>
      <w:r w:rsidR="000819C1">
        <w:t xml:space="preserve"> do</w:t>
      </w:r>
      <w:r w:rsidR="00173E6C" w:rsidRPr="009E4718">
        <w:t xml:space="preserve"> not </w:t>
      </w:r>
      <w:r w:rsidR="00173E6C" w:rsidRPr="002747F5">
        <w:rPr>
          <w:i/>
        </w:rPr>
        <w:t xml:space="preserve">require </w:t>
      </w:r>
      <w:r w:rsidR="00173E6C" w:rsidRPr="009E4718">
        <w:t>decision-makers to provide an opportunity for</w:t>
      </w:r>
      <w:r w:rsidR="005F3FF0">
        <w:t xml:space="preserve"> a child to express their views</w:t>
      </w:r>
      <w:r w:rsidR="00173E6C" w:rsidRPr="009E4718">
        <w:t>.</w:t>
      </w:r>
      <w:r w:rsidR="00D16094">
        <w:t xml:space="preserve"> As discussed below</w:t>
      </w:r>
      <w:r w:rsidR="00CB1220">
        <w:t>,</w:t>
      </w:r>
      <w:r w:rsidR="00D16094">
        <w:t xml:space="preserve"> </w:t>
      </w:r>
      <w:r w:rsidR="005F3FF0">
        <w:t>despite such mechanisms</w:t>
      </w:r>
      <w:r w:rsidR="00CB1220">
        <w:t xml:space="preserve"> existing in court matters</w:t>
      </w:r>
      <w:r w:rsidR="00D16094">
        <w:t>, it is still the case that children may not be given an opportunity to express their views and therefore have them taken into consideration in matters that concern them.</w:t>
      </w:r>
    </w:p>
    <w:p w14:paraId="6F8C3E44" w14:textId="7478037F" w:rsidR="00D16094" w:rsidRPr="00CB1220" w:rsidRDefault="00E75D03" w:rsidP="00230BE6">
      <w:pPr>
        <w:pStyle w:val="SubmissionNormal"/>
        <w:rPr>
          <w:lang w:val="en"/>
        </w:rPr>
      </w:pPr>
      <w:r>
        <w:rPr>
          <w:lang w:val="en"/>
        </w:rPr>
        <w:t>The Commission also notes that</w:t>
      </w:r>
      <w:r w:rsidR="007A6F3D">
        <w:rPr>
          <w:lang w:val="en"/>
        </w:rPr>
        <w:t>,</w:t>
      </w:r>
      <w:r>
        <w:rPr>
          <w:lang w:val="en"/>
        </w:rPr>
        <w:t xml:space="preserve"> currently</w:t>
      </w:r>
      <w:r w:rsidR="007A6F3D">
        <w:rPr>
          <w:lang w:val="en"/>
        </w:rPr>
        <w:t>,</w:t>
      </w:r>
      <w:r>
        <w:rPr>
          <w:lang w:val="en"/>
        </w:rPr>
        <w:t xml:space="preserve"> t</w:t>
      </w:r>
      <w:r w:rsidR="00CB1220">
        <w:rPr>
          <w:lang w:val="en"/>
        </w:rPr>
        <w:t xml:space="preserve">he Family Law Act </w:t>
      </w:r>
      <w:r w:rsidRPr="00656D54">
        <w:rPr>
          <w:lang w:val="en"/>
        </w:rPr>
        <w:t>does not extend to considering the views of chil</w:t>
      </w:r>
      <w:r w:rsidR="005F3FF0">
        <w:rPr>
          <w:lang w:val="en"/>
        </w:rPr>
        <w:t xml:space="preserve">dren in non-contested matters. </w:t>
      </w:r>
      <w:r w:rsidRPr="00656D54">
        <w:rPr>
          <w:lang w:val="en"/>
        </w:rPr>
        <w:t xml:space="preserve">In the sections of the </w:t>
      </w:r>
      <w:r>
        <w:rPr>
          <w:lang w:val="en"/>
        </w:rPr>
        <w:t xml:space="preserve">Family Law </w:t>
      </w:r>
      <w:r w:rsidRPr="00656D54">
        <w:rPr>
          <w:lang w:val="en"/>
        </w:rPr>
        <w:t>Act that refer to ‘non-court based family services’, there is no obligation for the child’s views to be considered. This is important</w:t>
      </w:r>
      <w:r w:rsidR="007A6F3D">
        <w:rPr>
          <w:lang w:val="en"/>
        </w:rPr>
        <w:t>,</w:t>
      </w:r>
      <w:r w:rsidRPr="00656D54">
        <w:rPr>
          <w:lang w:val="en"/>
        </w:rPr>
        <w:t xml:space="preserve"> given that the majority of matters are resolved outside of the courts.</w:t>
      </w:r>
      <w:r>
        <w:rPr>
          <w:rStyle w:val="EndnoteReference"/>
          <w:lang w:val="en"/>
        </w:rPr>
        <w:endnoteReference w:id="124"/>
      </w:r>
    </w:p>
    <w:p w14:paraId="4D41BDAD" w14:textId="77777777" w:rsidR="001F225B" w:rsidRPr="001F225B" w:rsidRDefault="001F225B" w:rsidP="001F225B">
      <w:pPr>
        <w:pStyle w:val="SubmissionNormal"/>
        <w:rPr>
          <w:b/>
          <w:lang w:val="en"/>
        </w:rPr>
      </w:pPr>
      <w:r w:rsidRPr="001F225B">
        <w:rPr>
          <w:b/>
        </w:rPr>
        <w:t xml:space="preserve">Recommendation 16: Any alternative dispute resolution processes for parenting matters provide children with the opportunity to express their views, in compliance with article 12 of the </w:t>
      </w:r>
      <w:r w:rsidRPr="001F225B">
        <w:rPr>
          <w:b/>
          <w:i/>
        </w:rPr>
        <w:t>Convention on the Rights of the Child</w:t>
      </w:r>
      <w:r w:rsidRPr="001F225B">
        <w:rPr>
          <w:b/>
        </w:rPr>
        <w:t>.</w:t>
      </w:r>
    </w:p>
    <w:p w14:paraId="4414BA3C" w14:textId="77777777" w:rsidR="00283765" w:rsidRPr="00283765" w:rsidRDefault="00CB1220" w:rsidP="00230BE6">
      <w:pPr>
        <w:pStyle w:val="SubmissionNormal"/>
        <w:rPr>
          <w:lang w:val="en"/>
        </w:rPr>
      </w:pPr>
      <w:r>
        <w:t>I</w:t>
      </w:r>
      <w:r w:rsidR="00283765">
        <w:t xml:space="preserve">n its submission on the Parenting Management Hearings Bill, </w:t>
      </w:r>
      <w:r>
        <w:t xml:space="preserve">the Commission </w:t>
      </w:r>
      <w:r w:rsidR="00283765">
        <w:t xml:space="preserve">also noted the need for judicial decision-makers, including those in alternative dispute forums, to have a comprehensive understanding of the impacts of family </w:t>
      </w:r>
      <w:r w:rsidR="00911C48">
        <w:t xml:space="preserve">and domestic </w:t>
      </w:r>
      <w:r w:rsidR="00283765">
        <w:t xml:space="preserve">violence and child abuse on children. While </w:t>
      </w:r>
      <w:r w:rsidR="00283765" w:rsidRPr="003D0F54">
        <w:t>the provisions of the Bill aim to establish an expert, multidisciplinary Panel, with the Bill requiring Panel Members to have specialist skills and expertise in relevant field</w:t>
      </w:r>
      <w:r w:rsidR="00283765">
        <w:t>s,</w:t>
      </w:r>
      <w:r w:rsidR="00283765" w:rsidRPr="00EA7EA4">
        <w:rPr>
          <w:rStyle w:val="EndnoteReference"/>
          <w:rFonts w:cs="Arial"/>
        </w:rPr>
        <w:endnoteReference w:id="125"/>
      </w:r>
      <w:r w:rsidR="00283765" w:rsidRPr="00656D54">
        <w:rPr>
          <w:rStyle w:val="EndnoteReference"/>
          <w:rFonts w:cs="Arial"/>
        </w:rPr>
        <w:t xml:space="preserve"> </w:t>
      </w:r>
      <w:r w:rsidR="00283765">
        <w:t xml:space="preserve"> this may not include knowledge of child development, the impacts of violence on children or childhood trauma. In this submission, the Commission recommended that all Panel Members </w:t>
      </w:r>
      <w:proofErr w:type="gramStart"/>
      <w:r w:rsidR="00283765">
        <w:t>be provided</w:t>
      </w:r>
      <w:proofErr w:type="gramEnd"/>
      <w:r w:rsidR="00283765">
        <w:t xml:space="preserve"> with training prior to commencement of the pilot, including training on the effects of family </w:t>
      </w:r>
      <w:r w:rsidR="00911C48">
        <w:t xml:space="preserve">and domestic </w:t>
      </w:r>
      <w:r w:rsidR="00283765">
        <w:t xml:space="preserve">violence and child abuse, including exposure to violence, on children. </w:t>
      </w:r>
    </w:p>
    <w:p w14:paraId="6A397639" w14:textId="77777777" w:rsidR="00283765" w:rsidRPr="00E50DB1" w:rsidRDefault="00CB1220" w:rsidP="00230BE6">
      <w:pPr>
        <w:pStyle w:val="SubmissionNormal"/>
        <w:rPr>
          <w:lang w:val="en"/>
        </w:rPr>
      </w:pPr>
      <w:r w:rsidRPr="00E50DB1">
        <w:t xml:space="preserve">The need for training and support for </w:t>
      </w:r>
      <w:r w:rsidR="00283765" w:rsidRPr="00E50DB1">
        <w:t xml:space="preserve">judicial and court officials associated with the family court, including those involved in mediation and counselling of children, </w:t>
      </w:r>
      <w:r w:rsidR="00E50DB1">
        <w:t xml:space="preserve">is discussed further in </w:t>
      </w:r>
      <w:r w:rsidR="00333A25">
        <w:t>Professional skills section of this submission.</w:t>
      </w:r>
    </w:p>
    <w:p w14:paraId="39794E29" w14:textId="4F8037CA" w:rsidR="00656D54" w:rsidRDefault="00173E6C" w:rsidP="00230BE6">
      <w:pPr>
        <w:pStyle w:val="SubmissionNormal"/>
        <w:rPr>
          <w:lang w:val="en"/>
        </w:rPr>
      </w:pPr>
      <w:r>
        <w:t>T</w:t>
      </w:r>
      <w:r w:rsidRPr="009B077E">
        <w:t xml:space="preserve">he </w:t>
      </w:r>
      <w:r w:rsidR="00283765">
        <w:t xml:space="preserve">Commission notes that the </w:t>
      </w:r>
      <w:r w:rsidRPr="009B077E">
        <w:t>UN Committee on the Rights of the Child</w:t>
      </w:r>
      <w:r w:rsidR="007A6F3D">
        <w:t>,</w:t>
      </w:r>
      <w:r w:rsidRPr="009B077E">
        <w:t xml:space="preserve"> in its General Comment on article 3 </w:t>
      </w:r>
      <w:r w:rsidR="00D264EC">
        <w:t>of the CRC</w:t>
      </w:r>
      <w:r w:rsidR="007A6F3D">
        <w:t>,</w:t>
      </w:r>
      <w:r w:rsidR="00D264EC">
        <w:t xml:space="preserve"> </w:t>
      </w:r>
      <w:r w:rsidRPr="009B077E">
        <w:t xml:space="preserve">recommended </w:t>
      </w:r>
      <w:r w:rsidRPr="00656D54">
        <w:rPr>
          <w:rFonts w:cs="Arial"/>
        </w:rPr>
        <w:t>that</w:t>
      </w:r>
      <w:r w:rsidR="007A6F3D">
        <w:rPr>
          <w:rFonts w:cs="Arial"/>
        </w:rPr>
        <w:t>,</w:t>
      </w:r>
      <w:r w:rsidRPr="00656D54">
        <w:rPr>
          <w:rFonts w:cs="Arial"/>
        </w:rPr>
        <w:t xml:space="preserve"> ‘as far as possible, a multidisciplinary team of professionals should be involved in assessing the child</w:t>
      </w:r>
      <w:r w:rsidR="00D264EC">
        <w:rPr>
          <w:rFonts w:cs="Arial"/>
        </w:rPr>
        <w:t>’</w:t>
      </w:r>
      <w:r w:rsidRPr="00656D54">
        <w:rPr>
          <w:rFonts w:cs="Arial"/>
        </w:rPr>
        <w:t>s best interests’</w:t>
      </w:r>
      <w:r w:rsidR="00CB1220">
        <w:rPr>
          <w:rFonts w:cs="Arial"/>
        </w:rPr>
        <w:t>.</w:t>
      </w:r>
      <w:r w:rsidRPr="00C94316">
        <w:rPr>
          <w:rStyle w:val="EndnoteReference"/>
          <w:rFonts w:cs="Arial"/>
        </w:rPr>
        <w:endnoteReference w:id="126"/>
      </w:r>
      <w:r w:rsidR="009B27B7">
        <w:rPr>
          <w:rFonts w:cs="Arial"/>
        </w:rPr>
        <w:t xml:space="preserve"> This should be the case whether or not the process occurs through the court or through an alternative dispute</w:t>
      </w:r>
      <w:r w:rsidR="00CB1220">
        <w:rPr>
          <w:rFonts w:cs="Arial"/>
        </w:rPr>
        <w:t xml:space="preserve"> </w:t>
      </w:r>
      <w:r w:rsidR="00D264EC">
        <w:rPr>
          <w:rFonts w:cs="Arial"/>
        </w:rPr>
        <w:t xml:space="preserve">resolution </w:t>
      </w:r>
      <w:r w:rsidR="00CB1220">
        <w:rPr>
          <w:rFonts w:cs="Arial"/>
        </w:rPr>
        <w:t>process such as that envisaged.</w:t>
      </w:r>
    </w:p>
    <w:p w14:paraId="7DB8527B" w14:textId="04E91894" w:rsidR="00656D54" w:rsidRPr="00F11D2F" w:rsidRDefault="00173E6C" w:rsidP="00F11D2F">
      <w:pPr>
        <w:pStyle w:val="SubmissionNormal"/>
        <w:rPr>
          <w:lang w:val="en"/>
        </w:rPr>
      </w:pPr>
      <w:r>
        <w:t>In</w:t>
      </w:r>
      <w:r w:rsidR="007A6F3D">
        <w:t xml:space="preserve"> the</w:t>
      </w:r>
      <w:r>
        <w:t xml:space="preserve"> </w:t>
      </w:r>
      <w:r w:rsidRPr="00C261D9">
        <w:rPr>
          <w:i/>
        </w:rPr>
        <w:t>Children’s Rights Report 2015</w:t>
      </w:r>
      <w:r>
        <w:t>, the National Children’s Commissioner noted the benefits of the Family Court’s Magellan Program, which is equipped with a multidisciplinary team and resources to address the complexity of Family Court cases</w:t>
      </w:r>
      <w:r w:rsidRPr="00A659AC">
        <w:t xml:space="preserve"> </w:t>
      </w:r>
      <w:r>
        <w:t>involving children who have experienced ‘serious physical abuse or sexual abuse’.</w:t>
      </w:r>
      <w:r w:rsidRPr="00E33FA9">
        <w:rPr>
          <w:rStyle w:val="EndnoteReference"/>
          <w:szCs w:val="22"/>
        </w:rPr>
        <w:endnoteReference w:id="127"/>
      </w:r>
    </w:p>
    <w:p w14:paraId="234145DA" w14:textId="7D609138" w:rsidR="00656D54" w:rsidRPr="002747F5" w:rsidRDefault="00173E6C" w:rsidP="00230BE6">
      <w:pPr>
        <w:pStyle w:val="SubmissionNormal"/>
        <w:rPr>
          <w:lang w:val="en"/>
        </w:rPr>
      </w:pPr>
      <w:r w:rsidRPr="005953D3">
        <w:t>In 2007, the Australian Institute of Family Studies evaluated the Magellan Program and found that it has been successful in responding to allegations of serious child abuse.</w:t>
      </w:r>
      <w:r>
        <w:rPr>
          <w:rStyle w:val="EndnoteReference"/>
        </w:rPr>
        <w:endnoteReference w:id="128"/>
      </w:r>
      <w:r w:rsidRPr="005953D3">
        <w:t xml:space="preserve"> </w:t>
      </w:r>
      <w:r>
        <w:t>T</w:t>
      </w:r>
      <w:r w:rsidRPr="005953D3">
        <w:t xml:space="preserve">he National Children’s Commissioner recommended that consideration </w:t>
      </w:r>
      <w:proofErr w:type="gramStart"/>
      <w:r w:rsidRPr="005953D3">
        <w:t>be given</w:t>
      </w:r>
      <w:proofErr w:type="gramEnd"/>
      <w:r w:rsidRPr="005953D3">
        <w:t xml:space="preserve"> to expanding the Magellan program to incorporate the broader definitions of family </w:t>
      </w:r>
      <w:r w:rsidR="00911C48">
        <w:t xml:space="preserve">and domestic </w:t>
      </w:r>
      <w:r w:rsidRPr="005953D3">
        <w:t>violence and abuse as reflected in the 2012 amendments</w:t>
      </w:r>
      <w:r>
        <w:t>.</w:t>
      </w:r>
      <w:r w:rsidRPr="00B10EF4">
        <w:rPr>
          <w:rStyle w:val="EndnoteReference"/>
          <w:rFonts w:cs="Arial"/>
        </w:rPr>
        <w:endnoteReference w:id="129"/>
      </w:r>
      <w:r w:rsidRPr="005953D3">
        <w:t xml:space="preserve"> Similarly, </w:t>
      </w:r>
      <w:r>
        <w:t xml:space="preserve">the </w:t>
      </w:r>
      <w:r w:rsidR="00205F20" w:rsidRPr="00E1309F">
        <w:rPr>
          <w:i/>
        </w:rPr>
        <w:t xml:space="preserve">A </w:t>
      </w:r>
      <w:r w:rsidRPr="00E1309F">
        <w:rPr>
          <w:i/>
        </w:rPr>
        <w:t xml:space="preserve">better family law </w:t>
      </w:r>
      <w:r w:rsidR="00D264EC">
        <w:rPr>
          <w:i/>
        </w:rPr>
        <w:t xml:space="preserve">system </w:t>
      </w:r>
      <w:r w:rsidR="00205F20" w:rsidRPr="00E1309F">
        <w:rPr>
          <w:i/>
        </w:rPr>
        <w:t>Inquiry</w:t>
      </w:r>
      <w:r w:rsidR="00205F20">
        <w:t xml:space="preserve"> </w:t>
      </w:r>
      <w:r w:rsidRPr="005953D3">
        <w:t>recommended that the Magellan program be extended to all parenting matters where there are allegations of family violence.</w:t>
      </w:r>
      <w:r w:rsidRPr="00B10EF4">
        <w:rPr>
          <w:rStyle w:val="EndnoteReference"/>
          <w:rFonts w:cs="Arial"/>
        </w:rPr>
        <w:endnoteReference w:id="130"/>
      </w:r>
    </w:p>
    <w:p w14:paraId="6369567E" w14:textId="77777777" w:rsidR="00F60EA1" w:rsidRPr="00F60EA1" w:rsidRDefault="00F60EA1" w:rsidP="00F60EA1">
      <w:pPr>
        <w:pStyle w:val="SubmissionNormal"/>
        <w:rPr>
          <w:b/>
          <w:lang w:val="en"/>
        </w:rPr>
      </w:pPr>
      <w:r w:rsidRPr="00F60EA1">
        <w:rPr>
          <w:b/>
        </w:rPr>
        <w:t>Recommendation 17: The Attorney-General resource and support the Family Court of Australia to extend the Magellan program to all parenting matters where there are allegations of family and domestic violence.</w:t>
      </w:r>
    </w:p>
    <w:p w14:paraId="10FC5D31" w14:textId="77B5CA4A" w:rsidR="002747F5" w:rsidRPr="00E75D03" w:rsidRDefault="002747F5" w:rsidP="00230BE6">
      <w:pPr>
        <w:pStyle w:val="SubmissionNormal"/>
        <w:rPr>
          <w:lang w:val="en"/>
        </w:rPr>
      </w:pPr>
      <w:r>
        <w:t xml:space="preserve">The Commission also draws the </w:t>
      </w:r>
      <w:r w:rsidR="00205F20">
        <w:t>ALRC</w:t>
      </w:r>
      <w:r>
        <w:t>’s attention to the possibilities of a child</w:t>
      </w:r>
      <w:r w:rsidR="007A6F3D">
        <w:t>-</w:t>
      </w:r>
      <w:r>
        <w:t>inclusive approach in family dispute resolution. Child</w:t>
      </w:r>
      <w:r w:rsidR="007A6F3D">
        <w:t>-</w:t>
      </w:r>
      <w:r>
        <w:t>inclusive practice is an approach to family dispute resolution gaining prominence in Australia.</w:t>
      </w:r>
      <w:r w:rsidRPr="00B10EF4">
        <w:rPr>
          <w:rStyle w:val="EndnoteReference"/>
          <w:rFonts w:cs="Arial"/>
        </w:rPr>
        <w:endnoteReference w:id="131"/>
      </w:r>
      <w:r>
        <w:t xml:space="preserve"> It </w:t>
      </w:r>
      <w:proofErr w:type="gramStart"/>
      <w:r>
        <w:t>is designed</w:t>
      </w:r>
      <w:proofErr w:type="gramEnd"/>
      <w:r>
        <w:t xml:space="preserve"> to enhance collaboration between parents and keep the best interests of children at the forefront of mediation. It also helps separated parents develop co-operative parenting strategies for the future. The Commission considers that judicial officers and other professionals of the Family Court would benefit from training and information about this approach.</w:t>
      </w:r>
    </w:p>
    <w:p w14:paraId="3C8FE31D" w14:textId="77777777" w:rsidR="00EE7E54" w:rsidRDefault="005D7014" w:rsidP="0005498B">
      <w:pPr>
        <w:pStyle w:val="Heading1"/>
        <w:numPr>
          <w:ilvl w:val="0"/>
          <w:numId w:val="16"/>
        </w:numPr>
      </w:pPr>
      <w:bookmarkStart w:id="49" w:name="_Toc531787332"/>
      <w:r>
        <w:t>Children’s experiences and perspectives</w:t>
      </w:r>
      <w:bookmarkEnd w:id="49"/>
      <w:r>
        <w:t xml:space="preserve"> </w:t>
      </w:r>
    </w:p>
    <w:p w14:paraId="77089FDB" w14:textId="77777777" w:rsidR="005D7014" w:rsidRDefault="00D85839" w:rsidP="0005498B">
      <w:pPr>
        <w:pStyle w:val="Heading2"/>
        <w:numPr>
          <w:ilvl w:val="1"/>
          <w:numId w:val="16"/>
        </w:numPr>
      </w:pPr>
      <w:bookmarkStart w:id="50" w:name="_Toc531787333"/>
      <w:r>
        <w:t>Children’s</w:t>
      </w:r>
      <w:r w:rsidR="00AD2F5B">
        <w:t xml:space="preserve"> right </w:t>
      </w:r>
      <w:r w:rsidR="00AD2F5B" w:rsidRPr="00DC0538">
        <w:t>to</w:t>
      </w:r>
      <w:r w:rsidR="00AD2F5B">
        <w:t xml:space="preserve"> participat</w:t>
      </w:r>
      <w:r w:rsidR="001C1579">
        <w:t>ion</w:t>
      </w:r>
      <w:bookmarkEnd w:id="50"/>
    </w:p>
    <w:p w14:paraId="20E989F9" w14:textId="597308BA" w:rsidR="0039666D" w:rsidRPr="003864BC" w:rsidRDefault="00403154" w:rsidP="00230BE6">
      <w:pPr>
        <w:pStyle w:val="SubmissionNormal"/>
        <w:rPr>
          <w:rFonts w:cs="Arial"/>
        </w:rPr>
      </w:pPr>
      <w:r>
        <w:rPr>
          <w:lang w:val="en"/>
        </w:rPr>
        <w:t>As discussed above, a</w:t>
      </w:r>
      <w:r w:rsidR="001C1579">
        <w:rPr>
          <w:lang w:val="en"/>
        </w:rPr>
        <w:t xml:space="preserve"> child’s right to participation</w:t>
      </w:r>
      <w:r w:rsidR="00767EA2" w:rsidRPr="0039666D">
        <w:rPr>
          <w:lang w:val="en"/>
        </w:rPr>
        <w:t xml:space="preserve">, enshrined in </w:t>
      </w:r>
      <w:r w:rsidR="007A6F3D" w:rsidRPr="0039666D">
        <w:rPr>
          <w:lang w:val="en"/>
        </w:rPr>
        <w:t>article</w:t>
      </w:r>
      <w:r w:rsidR="00F60EA1">
        <w:rPr>
          <w:lang w:val="en"/>
        </w:rPr>
        <w:t xml:space="preserve"> </w:t>
      </w:r>
      <w:r w:rsidR="00A61D96" w:rsidRPr="0039666D">
        <w:rPr>
          <w:lang w:val="en"/>
        </w:rPr>
        <w:t>12, is one of the four Guiding P</w:t>
      </w:r>
      <w:r w:rsidR="0088616A">
        <w:rPr>
          <w:lang w:val="en"/>
        </w:rPr>
        <w:t>rinciples of the CRC</w:t>
      </w:r>
      <w:r>
        <w:rPr>
          <w:lang w:val="en"/>
        </w:rPr>
        <w:t xml:space="preserve">. </w:t>
      </w:r>
      <w:r w:rsidR="00767EA2" w:rsidRPr="0039666D">
        <w:rPr>
          <w:lang w:val="en"/>
        </w:rPr>
        <w:t>As core principles</w:t>
      </w:r>
      <w:r>
        <w:rPr>
          <w:lang w:val="en"/>
        </w:rPr>
        <w:t xml:space="preserve">, </w:t>
      </w:r>
      <w:r w:rsidR="00767EA2" w:rsidRPr="0039666D">
        <w:rPr>
          <w:lang w:val="en"/>
        </w:rPr>
        <w:t xml:space="preserve">these rights </w:t>
      </w:r>
      <w:proofErr w:type="gramStart"/>
      <w:r w:rsidR="00767EA2" w:rsidRPr="0039666D">
        <w:rPr>
          <w:lang w:val="en"/>
        </w:rPr>
        <w:t>must be considered</w:t>
      </w:r>
      <w:proofErr w:type="gramEnd"/>
      <w:r w:rsidR="00767EA2" w:rsidRPr="0039666D">
        <w:rPr>
          <w:lang w:val="en"/>
        </w:rPr>
        <w:t xml:space="preserve"> in the interpretation and implementation of al</w:t>
      </w:r>
      <w:r w:rsidR="001C1579">
        <w:rPr>
          <w:lang w:val="en"/>
        </w:rPr>
        <w:t>l other rights in the CRC</w:t>
      </w:r>
      <w:r w:rsidR="00767EA2" w:rsidRPr="0039666D">
        <w:rPr>
          <w:lang w:val="en"/>
        </w:rPr>
        <w:t>.</w:t>
      </w:r>
      <w:r w:rsidR="00767EA2">
        <w:rPr>
          <w:rStyle w:val="EndnoteReference"/>
          <w:lang w:val="en"/>
        </w:rPr>
        <w:endnoteReference w:id="132"/>
      </w:r>
    </w:p>
    <w:p w14:paraId="3A5EE136" w14:textId="77777777" w:rsidR="0039666D" w:rsidRPr="003864BC" w:rsidRDefault="003864BC" w:rsidP="00230BE6">
      <w:pPr>
        <w:pStyle w:val="SubmissionNormal"/>
        <w:rPr>
          <w:rFonts w:cs="Arial"/>
        </w:rPr>
      </w:pPr>
      <w:r>
        <w:rPr>
          <w:rStyle w:val="Emphasis"/>
          <w:i w:val="0"/>
          <w:lang w:val="en"/>
        </w:rPr>
        <w:t xml:space="preserve">The CRC contemplates </w:t>
      </w:r>
      <w:r w:rsidR="00403154">
        <w:rPr>
          <w:rStyle w:val="Emphasis"/>
          <w:i w:val="0"/>
          <w:lang w:val="en"/>
        </w:rPr>
        <w:t xml:space="preserve">a child’s right to participation as </w:t>
      </w:r>
      <w:r>
        <w:rPr>
          <w:rStyle w:val="Emphasis"/>
          <w:i w:val="0"/>
          <w:lang w:val="en"/>
        </w:rPr>
        <w:t>being especially relevant to judicial and administrative proceedings, such as those involving family law.</w:t>
      </w:r>
      <w:r>
        <w:rPr>
          <w:rFonts w:cs="Arial"/>
        </w:rPr>
        <w:t xml:space="preserve"> A</w:t>
      </w:r>
      <w:proofErr w:type="spellStart"/>
      <w:r w:rsidR="00767EA2" w:rsidRPr="003864BC">
        <w:rPr>
          <w:lang w:val="en"/>
        </w:rPr>
        <w:t>rticle</w:t>
      </w:r>
      <w:proofErr w:type="spellEnd"/>
      <w:r w:rsidR="00767EA2" w:rsidRPr="003864BC">
        <w:rPr>
          <w:lang w:val="en"/>
        </w:rPr>
        <w:t xml:space="preserve"> 12 specifically states that opportunitie</w:t>
      </w:r>
      <w:r w:rsidR="005B5C1C" w:rsidRPr="003864BC">
        <w:rPr>
          <w:lang w:val="en"/>
        </w:rPr>
        <w:t xml:space="preserve">s to </w:t>
      </w:r>
      <w:proofErr w:type="gramStart"/>
      <w:r w:rsidR="005B5C1C" w:rsidRPr="003864BC">
        <w:rPr>
          <w:lang w:val="en"/>
        </w:rPr>
        <w:t>be heard</w:t>
      </w:r>
      <w:proofErr w:type="gramEnd"/>
      <w:r w:rsidR="005B5C1C" w:rsidRPr="003864BC">
        <w:rPr>
          <w:lang w:val="en"/>
        </w:rPr>
        <w:t xml:space="preserve"> must be provided ‘</w:t>
      </w:r>
      <w:r w:rsidR="00767EA2" w:rsidRPr="003864BC">
        <w:rPr>
          <w:lang w:val="en"/>
        </w:rPr>
        <w:t>in any judicial and administrative proceed</w:t>
      </w:r>
      <w:r w:rsidR="005B5C1C" w:rsidRPr="003864BC">
        <w:rPr>
          <w:lang w:val="en"/>
        </w:rPr>
        <w:t>ings affecting the child’.</w:t>
      </w:r>
    </w:p>
    <w:p w14:paraId="64F2A098" w14:textId="77777777" w:rsidR="0039666D" w:rsidRPr="00A53A09" w:rsidRDefault="003864BC" w:rsidP="00230BE6">
      <w:pPr>
        <w:pStyle w:val="SubmissionNormal"/>
        <w:rPr>
          <w:rFonts w:cs="Arial"/>
        </w:rPr>
      </w:pPr>
      <w:r>
        <w:rPr>
          <w:lang w:val="en"/>
        </w:rPr>
        <w:t>Further, a</w:t>
      </w:r>
      <w:r w:rsidR="00767EA2" w:rsidRPr="0039666D">
        <w:rPr>
          <w:lang w:val="en"/>
        </w:rPr>
        <w:t xml:space="preserve">rticle </w:t>
      </w:r>
      <w:proofErr w:type="gramStart"/>
      <w:r w:rsidR="00767EA2" w:rsidRPr="0039666D">
        <w:rPr>
          <w:lang w:val="en"/>
        </w:rPr>
        <w:t>9</w:t>
      </w:r>
      <w:proofErr w:type="gramEnd"/>
      <w:r w:rsidR="00767EA2" w:rsidRPr="0039666D">
        <w:rPr>
          <w:lang w:val="en"/>
        </w:rPr>
        <w:t xml:space="preserve">, which refers specifically to parental separation and a child’s place of residence, states that all interested parties shall be given an opportunity to participate in the proceedings </w:t>
      </w:r>
      <w:r w:rsidR="005B5C1C">
        <w:rPr>
          <w:lang w:val="en"/>
        </w:rPr>
        <w:t xml:space="preserve">and make their views known. </w:t>
      </w:r>
      <w:r w:rsidR="00665B7D">
        <w:rPr>
          <w:lang w:val="en"/>
        </w:rPr>
        <w:t xml:space="preserve">Children </w:t>
      </w:r>
      <w:proofErr w:type="gramStart"/>
      <w:r w:rsidR="00665B7D">
        <w:rPr>
          <w:lang w:val="en"/>
        </w:rPr>
        <w:t>may be seen</w:t>
      </w:r>
      <w:proofErr w:type="gramEnd"/>
      <w:r w:rsidR="00665B7D">
        <w:rPr>
          <w:lang w:val="en"/>
        </w:rPr>
        <w:t xml:space="preserve"> as </w:t>
      </w:r>
      <w:r w:rsidR="00767EA2" w:rsidRPr="0039666D">
        <w:rPr>
          <w:lang w:val="en"/>
        </w:rPr>
        <w:t>parties with a keen interest in th</w:t>
      </w:r>
      <w:r w:rsidR="0039666D">
        <w:rPr>
          <w:lang w:val="en"/>
        </w:rPr>
        <w:t>e outcome of such proceedings.</w:t>
      </w:r>
    </w:p>
    <w:p w14:paraId="4B07C81A" w14:textId="77777777" w:rsidR="00F859E5" w:rsidRPr="00F859E5" w:rsidRDefault="00F859E5" w:rsidP="00230BE6">
      <w:pPr>
        <w:pStyle w:val="SubmissionNormal"/>
        <w:rPr>
          <w:rFonts w:cs="Arial"/>
        </w:rPr>
      </w:pPr>
      <w:r>
        <w:t xml:space="preserve">The right to participate is not only about providing a child with the opportunity to express their views: these views </w:t>
      </w:r>
      <w:proofErr w:type="gramStart"/>
      <w:r>
        <w:t>must also be taken into account and given</w:t>
      </w:r>
      <w:proofErr w:type="gramEnd"/>
      <w:r>
        <w:t xml:space="preserve"> due weight according to the child’s age and maturity. </w:t>
      </w:r>
    </w:p>
    <w:p w14:paraId="049461F8" w14:textId="306653F9" w:rsidR="00F859E5" w:rsidRPr="00796990" w:rsidRDefault="00F859E5" w:rsidP="00230BE6">
      <w:pPr>
        <w:pStyle w:val="SubmissionNormal"/>
        <w:rPr>
          <w:rFonts w:cs="Arial"/>
        </w:rPr>
      </w:pPr>
      <w:r>
        <w:rPr>
          <w:lang w:val="en"/>
        </w:rPr>
        <w:t xml:space="preserve">However, </w:t>
      </w:r>
      <w:r w:rsidR="007A6F3D" w:rsidRPr="0039666D">
        <w:rPr>
          <w:lang w:val="en"/>
        </w:rPr>
        <w:t>in General Comment 12</w:t>
      </w:r>
      <w:r w:rsidR="007A6F3D">
        <w:rPr>
          <w:lang w:val="en"/>
        </w:rPr>
        <w:t xml:space="preserve">, </w:t>
      </w:r>
      <w:r>
        <w:rPr>
          <w:lang w:val="en"/>
        </w:rPr>
        <w:t>t</w:t>
      </w:r>
      <w:r w:rsidR="00767EA2" w:rsidRPr="0039666D">
        <w:rPr>
          <w:lang w:val="en"/>
        </w:rPr>
        <w:t>he UN Committee on the Rights of the Child has stated that</w:t>
      </w:r>
      <w:r w:rsidR="007A6F3D">
        <w:rPr>
          <w:lang w:val="en"/>
        </w:rPr>
        <w:t>,</w:t>
      </w:r>
      <w:r w:rsidR="00767EA2" w:rsidRPr="0039666D">
        <w:rPr>
          <w:lang w:val="en"/>
        </w:rPr>
        <w:t xml:space="preserve"> while the right to </w:t>
      </w:r>
      <w:proofErr w:type="gramStart"/>
      <w:r w:rsidR="00767EA2" w:rsidRPr="0039666D">
        <w:rPr>
          <w:lang w:val="en"/>
        </w:rPr>
        <w:t>be heard</w:t>
      </w:r>
      <w:proofErr w:type="gramEnd"/>
      <w:r w:rsidR="00767EA2" w:rsidRPr="0039666D">
        <w:rPr>
          <w:lang w:val="en"/>
        </w:rPr>
        <w:t xml:space="preserve"> means that children’s views must be taken into account, it does not necessarily extend to making decisions consistent with those views. This reflects the interdependent and complementary relationship between the right to </w:t>
      </w:r>
      <w:proofErr w:type="gramStart"/>
      <w:r w:rsidR="00767EA2" w:rsidRPr="0039666D">
        <w:rPr>
          <w:lang w:val="en"/>
        </w:rPr>
        <w:t>be heard</w:t>
      </w:r>
      <w:proofErr w:type="gramEnd"/>
      <w:r w:rsidR="00767EA2" w:rsidRPr="0039666D">
        <w:rPr>
          <w:lang w:val="en"/>
        </w:rPr>
        <w:t xml:space="preserve"> and the consideration of </w:t>
      </w:r>
      <w:r w:rsidR="0039666D">
        <w:rPr>
          <w:lang w:val="en"/>
        </w:rPr>
        <w:t>the child’s best interests.</w:t>
      </w:r>
      <w:r w:rsidR="00767EA2" w:rsidRPr="0039666D">
        <w:rPr>
          <w:lang w:val="en"/>
        </w:rPr>
        <w:t xml:space="preserve"> </w:t>
      </w:r>
    </w:p>
    <w:p w14:paraId="4B7F1660" w14:textId="0BB67FAF" w:rsidR="00796990" w:rsidRPr="00933AD8" w:rsidRDefault="00796990" w:rsidP="00230BE6">
      <w:pPr>
        <w:pStyle w:val="SubmissionNormal"/>
      </w:pPr>
      <w:r>
        <w:t xml:space="preserve">Indeed, the UN Committee considers </w:t>
      </w:r>
      <w:r w:rsidR="00FE5BB0">
        <w:t xml:space="preserve">the </w:t>
      </w:r>
      <w:r>
        <w:t xml:space="preserve">seeking </w:t>
      </w:r>
      <w:r w:rsidR="00FE5BB0">
        <w:t xml:space="preserve">of </w:t>
      </w:r>
      <w:r>
        <w:t>a child’s views as an important procedural safeguard to guarantee the implementation of the child’s best interests.</w:t>
      </w:r>
    </w:p>
    <w:p w14:paraId="658A2BF4" w14:textId="77777777" w:rsidR="00796990" w:rsidRPr="00933AD8" w:rsidRDefault="00796990" w:rsidP="00796990">
      <w:pPr>
        <w:ind w:left="1440"/>
        <w:rPr>
          <w:sz w:val="22"/>
          <w:szCs w:val="22"/>
        </w:rPr>
      </w:pPr>
      <w:r w:rsidRPr="00933AD8">
        <w:rPr>
          <w:sz w:val="22"/>
          <w:szCs w:val="22"/>
        </w:rPr>
        <w:t>A vital element of the process is communicating with children to facilitate meaningful child participation and identify their best interests. Such communication should include informing children about the process and possible sustainable solutions and services, as well as collecting information from children and seeking their views.</w:t>
      </w:r>
      <w:r>
        <w:rPr>
          <w:rStyle w:val="EndnoteReference"/>
          <w:szCs w:val="22"/>
        </w:rPr>
        <w:endnoteReference w:id="133"/>
      </w:r>
    </w:p>
    <w:p w14:paraId="00C509A2" w14:textId="091C95F2" w:rsidR="00796990" w:rsidRPr="00796990" w:rsidRDefault="00796990" w:rsidP="00230BE6">
      <w:pPr>
        <w:pStyle w:val="SubmissionNormal"/>
        <w:rPr>
          <w:rFonts w:cs="Arial"/>
        </w:rPr>
      </w:pPr>
      <w:r w:rsidRPr="005000A7">
        <w:rPr>
          <w:rFonts w:cs="Arial"/>
        </w:rPr>
        <w:t xml:space="preserve">Hearing the views of children </w:t>
      </w:r>
      <w:proofErr w:type="gramStart"/>
      <w:r w:rsidRPr="005000A7">
        <w:rPr>
          <w:rFonts w:cs="Arial"/>
        </w:rPr>
        <w:t>is considered</w:t>
      </w:r>
      <w:proofErr w:type="gramEnd"/>
      <w:r w:rsidRPr="005000A7">
        <w:rPr>
          <w:rFonts w:cs="Arial"/>
        </w:rPr>
        <w:t xml:space="preserve"> so essential that </w:t>
      </w:r>
      <w:r w:rsidR="00FE5BB0">
        <w:rPr>
          <w:rFonts w:cs="Arial"/>
        </w:rPr>
        <w:t xml:space="preserve">it </w:t>
      </w:r>
      <w:r w:rsidRPr="005000A7">
        <w:rPr>
          <w:rFonts w:cs="Arial"/>
        </w:rPr>
        <w:t>is described as a ‘mandatory’ step in a considerat</w:t>
      </w:r>
      <w:r>
        <w:rPr>
          <w:rFonts w:cs="Arial"/>
        </w:rPr>
        <w:t>ion of a child’s best interests</w:t>
      </w:r>
      <w:r w:rsidRPr="00FB365B">
        <w:rPr>
          <w:sz w:val="22"/>
          <w:szCs w:val="22"/>
        </w:rPr>
        <w:t>.</w:t>
      </w:r>
      <w:r w:rsidRPr="009A4B23">
        <w:rPr>
          <w:rStyle w:val="EndnoteReference"/>
          <w:sz w:val="22"/>
          <w:szCs w:val="22"/>
        </w:rPr>
        <w:endnoteReference w:id="134"/>
      </w:r>
    </w:p>
    <w:p w14:paraId="220F4519" w14:textId="77777777" w:rsidR="0039666D" w:rsidRPr="00665B7D" w:rsidRDefault="00767EA2" w:rsidP="00230BE6">
      <w:pPr>
        <w:pStyle w:val="SubmissionNormal"/>
        <w:rPr>
          <w:rFonts w:cs="Arial"/>
        </w:rPr>
      </w:pPr>
      <w:r w:rsidRPr="0039666D">
        <w:rPr>
          <w:lang w:val="en"/>
        </w:rPr>
        <w:t xml:space="preserve">The UN Committee </w:t>
      </w:r>
      <w:r w:rsidR="00796990">
        <w:rPr>
          <w:lang w:val="en"/>
        </w:rPr>
        <w:t xml:space="preserve">has </w:t>
      </w:r>
      <w:r w:rsidRPr="0039666D">
        <w:rPr>
          <w:lang w:val="en"/>
        </w:rPr>
        <w:t>also stated that children should be given feedback about how their views have been considered in the decisi</w:t>
      </w:r>
      <w:r w:rsidR="00665B7D">
        <w:rPr>
          <w:lang w:val="en"/>
        </w:rPr>
        <w:t>ons mad</w:t>
      </w:r>
      <w:r w:rsidR="00F859E5">
        <w:rPr>
          <w:lang w:val="en"/>
        </w:rPr>
        <w:t>e</w:t>
      </w:r>
      <w:r w:rsidR="00665B7D">
        <w:rPr>
          <w:lang w:val="en"/>
        </w:rPr>
        <w:t>:</w:t>
      </w:r>
    </w:p>
    <w:p w14:paraId="3EDAA13B" w14:textId="77777777" w:rsidR="00665B7D" w:rsidRPr="00E56796" w:rsidRDefault="00665B7D" w:rsidP="00665B7D">
      <w:pPr>
        <w:pStyle w:val="ListParagraph"/>
        <w:ind w:left="1440"/>
      </w:pPr>
      <w:r w:rsidRPr="00FC0CA5">
        <w:rPr>
          <w:sz w:val="22"/>
          <w:szCs w:val="22"/>
        </w:rPr>
        <w:t>States parties are encouraged to introduce legislative measures requiring decision makers in judicial or administrative proceedings to explain the extent of the consideration given to the views of the child and the consequences for the child.</w:t>
      </w:r>
      <w:r>
        <w:rPr>
          <w:rStyle w:val="EndnoteReference"/>
          <w:szCs w:val="22"/>
        </w:rPr>
        <w:endnoteReference w:id="135"/>
      </w:r>
    </w:p>
    <w:p w14:paraId="64682EE8" w14:textId="77777777" w:rsidR="00665B7D" w:rsidRPr="00665B7D" w:rsidRDefault="00665B7D" w:rsidP="00230BE6">
      <w:pPr>
        <w:pStyle w:val="SubmissionNormal"/>
        <w:rPr>
          <w:rFonts w:cs="Arial"/>
        </w:rPr>
      </w:pPr>
      <w:r>
        <w:rPr>
          <w:rFonts w:cs="Arial"/>
        </w:rPr>
        <w:t xml:space="preserve">Children’s right to information </w:t>
      </w:r>
      <w:proofErr w:type="gramStart"/>
      <w:r>
        <w:rPr>
          <w:rFonts w:cs="Arial"/>
        </w:rPr>
        <w:t>is also guaranteed</w:t>
      </w:r>
      <w:proofErr w:type="gramEnd"/>
      <w:r>
        <w:rPr>
          <w:rFonts w:cs="Arial"/>
        </w:rPr>
        <w:t xml:space="preserve"> under articles 13 and 17 of the CRC.</w:t>
      </w:r>
    </w:p>
    <w:p w14:paraId="0BDC73F8" w14:textId="77777777" w:rsidR="00F859E5" w:rsidRDefault="00F859E5" w:rsidP="0005498B">
      <w:pPr>
        <w:pStyle w:val="Heading2"/>
        <w:numPr>
          <w:ilvl w:val="1"/>
          <w:numId w:val="16"/>
        </w:numPr>
      </w:pPr>
      <w:bookmarkStart w:id="51" w:name="_Toc531787334"/>
      <w:r>
        <w:t xml:space="preserve">Child </w:t>
      </w:r>
      <w:r w:rsidRPr="0023290A">
        <w:t>participation</w:t>
      </w:r>
      <w:r>
        <w:t xml:space="preserve"> methods in Australian family law</w:t>
      </w:r>
      <w:bookmarkEnd w:id="51"/>
    </w:p>
    <w:p w14:paraId="2359A3F9" w14:textId="543D2261" w:rsidR="00970487" w:rsidRDefault="001C1579" w:rsidP="00230BE6">
      <w:pPr>
        <w:pStyle w:val="SubmissionNormal"/>
      </w:pPr>
      <w:r>
        <w:t>The Commission is aware that c</w:t>
      </w:r>
      <w:r w:rsidR="00004038">
        <w:t xml:space="preserve">ontemporary legal practices increasingly reflect </w:t>
      </w:r>
      <w:proofErr w:type="gramStart"/>
      <w:r w:rsidR="00004038">
        <w:t>a child</w:t>
      </w:r>
      <w:r w:rsidR="00FE5BB0">
        <w:t>-</w:t>
      </w:r>
      <w:r w:rsidR="00004038">
        <w:t>rights</w:t>
      </w:r>
      <w:proofErr w:type="gramEnd"/>
      <w:r w:rsidR="00004038">
        <w:t xml:space="preserve"> based approach that recognises the need to enable children’s participation in court proceedings.</w:t>
      </w:r>
      <w:r w:rsidR="00004038">
        <w:rPr>
          <w:rStyle w:val="EndnoteReference"/>
        </w:rPr>
        <w:endnoteReference w:id="136"/>
      </w:r>
    </w:p>
    <w:p w14:paraId="40F447BF" w14:textId="77777777" w:rsidR="00762E15" w:rsidRPr="00762E15" w:rsidRDefault="00970487" w:rsidP="00403154">
      <w:pPr>
        <w:pStyle w:val="SubmissionNormal"/>
      </w:pPr>
      <w:r>
        <w:t xml:space="preserve">As outlined in the Issues Paper, </w:t>
      </w:r>
      <w:r w:rsidR="00403154">
        <w:t xml:space="preserve">and discussed in this submission, </w:t>
      </w:r>
      <w:r>
        <w:t xml:space="preserve">the Family Law Act recognises the rights of children, including the right to express their views, in various ways. </w:t>
      </w:r>
      <w:r w:rsidR="00403154">
        <w:t xml:space="preserve">It </w:t>
      </w:r>
      <w:r w:rsidR="00762E15">
        <w:t xml:space="preserve">also provides for several mechanisms through which children’s views </w:t>
      </w:r>
      <w:proofErr w:type="gramStart"/>
      <w:r w:rsidR="00762E15">
        <w:t>may be expressed</w:t>
      </w:r>
      <w:proofErr w:type="gramEnd"/>
      <w:r w:rsidR="00762E15">
        <w:t xml:space="preserve">. The court </w:t>
      </w:r>
      <w:r w:rsidR="00C261D9">
        <w:rPr>
          <w:lang w:val="en"/>
        </w:rPr>
        <w:t>can hear children’s views—</w:t>
      </w:r>
      <w:r w:rsidR="00427B5F" w:rsidRPr="00403154">
        <w:rPr>
          <w:lang w:val="en"/>
        </w:rPr>
        <w:t>including accounts from others as to w</w:t>
      </w:r>
      <w:r w:rsidR="00762E15" w:rsidRPr="00403154">
        <w:rPr>
          <w:lang w:val="en"/>
        </w:rPr>
        <w:t xml:space="preserve">hat the child has said to them, in </w:t>
      </w:r>
      <w:r w:rsidR="00427B5F" w:rsidRPr="00403154">
        <w:rPr>
          <w:lang w:val="en"/>
        </w:rPr>
        <w:t xml:space="preserve">reports from a family consultant, and evidence from an </w:t>
      </w:r>
      <w:r w:rsidR="00762E15" w:rsidRPr="00403154">
        <w:rPr>
          <w:lang w:val="en"/>
        </w:rPr>
        <w:t xml:space="preserve">ICL. </w:t>
      </w:r>
      <w:r w:rsidR="00387740" w:rsidRPr="00403154">
        <w:rPr>
          <w:lang w:val="en"/>
        </w:rPr>
        <w:t xml:space="preserve">A judge can </w:t>
      </w:r>
      <w:r w:rsidR="00796990" w:rsidRPr="00403154">
        <w:rPr>
          <w:lang w:val="en"/>
        </w:rPr>
        <w:t xml:space="preserve">also interview a child, although </w:t>
      </w:r>
      <w:r w:rsidR="00387740" w:rsidRPr="00403154">
        <w:rPr>
          <w:lang w:val="en"/>
        </w:rPr>
        <w:t>this is extremely uncommon.</w:t>
      </w:r>
      <w:r w:rsidR="00387740">
        <w:rPr>
          <w:rStyle w:val="EndnoteReference"/>
        </w:rPr>
        <w:endnoteReference w:id="137"/>
      </w:r>
    </w:p>
    <w:p w14:paraId="76713E61" w14:textId="77777777" w:rsidR="00387740" w:rsidRPr="00387740" w:rsidRDefault="00CF2FDA" w:rsidP="00230BE6">
      <w:pPr>
        <w:pStyle w:val="SubmissionNormal"/>
      </w:pPr>
      <w:r>
        <w:rPr>
          <w:lang w:val="en"/>
        </w:rPr>
        <w:t xml:space="preserve">These measures all go some way to safeguarding children’s rights under the CRC. However, the Commission believes that children’s rights, in particular their right to participation, </w:t>
      </w:r>
      <w:proofErr w:type="gramStart"/>
      <w:r>
        <w:rPr>
          <w:lang w:val="en"/>
        </w:rPr>
        <w:t>are not being fully implemented</w:t>
      </w:r>
      <w:proofErr w:type="gramEnd"/>
      <w:r>
        <w:rPr>
          <w:lang w:val="en"/>
        </w:rPr>
        <w:t xml:space="preserve"> in the family law system.</w:t>
      </w:r>
      <w:r w:rsidR="00A021F4" w:rsidRPr="00A021F4">
        <w:rPr>
          <w:lang w:val="en"/>
        </w:rPr>
        <w:t xml:space="preserve"> </w:t>
      </w:r>
    </w:p>
    <w:p w14:paraId="717300D4" w14:textId="77777777" w:rsidR="00386FB0" w:rsidRPr="00796990" w:rsidRDefault="00386FB0" w:rsidP="00230BE6">
      <w:pPr>
        <w:pStyle w:val="SubmissionNormal"/>
      </w:pPr>
      <w:r>
        <w:t>Studies consistently show that children want to have more of a say in legal decisions affecting them.</w:t>
      </w:r>
      <w:r w:rsidRPr="00B10EF4">
        <w:rPr>
          <w:rStyle w:val="EndnoteReference"/>
          <w:rFonts w:cs="Arial"/>
        </w:rPr>
        <w:endnoteReference w:id="138"/>
      </w:r>
      <w:r w:rsidRPr="00B10EF4">
        <w:rPr>
          <w:rStyle w:val="EndnoteReference"/>
          <w:rFonts w:cs="Arial"/>
        </w:rPr>
        <w:t xml:space="preserve"> </w:t>
      </w:r>
      <w:r>
        <w:t>Providing children and young people with the opportunity to make their thoughts and preferences known in court proceedings helps ensure they are satisfied with final decisions around living arrangements and contact with parents</w:t>
      </w:r>
      <w:r w:rsidRPr="00B10EF4">
        <w:rPr>
          <w:rStyle w:val="EndnoteReference"/>
          <w:rFonts w:cs="Arial"/>
        </w:rPr>
        <w:endnoteReference w:id="139"/>
      </w:r>
      <w:r w:rsidRPr="00B10EF4">
        <w:rPr>
          <w:rStyle w:val="EndnoteReference"/>
          <w:rFonts w:cs="Arial"/>
        </w:rPr>
        <w:t xml:space="preserve"> </w:t>
      </w:r>
      <w:r>
        <w:t>and contributes to their overall psychological wellbeing.</w:t>
      </w:r>
      <w:r w:rsidRPr="00B10EF4">
        <w:rPr>
          <w:rStyle w:val="EndnoteReference"/>
          <w:rFonts w:cs="Arial"/>
        </w:rPr>
        <w:endnoteReference w:id="140"/>
      </w:r>
      <w:r w:rsidRPr="00B10EF4">
        <w:rPr>
          <w:rStyle w:val="EndnoteReference"/>
          <w:rFonts w:cs="Arial"/>
        </w:rPr>
        <w:t xml:space="preserve"> </w:t>
      </w:r>
      <w:r w:rsidR="002479B3">
        <w:rPr>
          <w:rFonts w:cs="Arial"/>
        </w:rPr>
        <w:t>Children do not want to be compelled to express their views: but would like the opportunity to do so.</w:t>
      </w:r>
    </w:p>
    <w:p w14:paraId="63F3ACF0" w14:textId="77777777" w:rsidR="00796990" w:rsidRDefault="001C1579" w:rsidP="00230BE6">
      <w:pPr>
        <w:pStyle w:val="SubmissionNormal"/>
      </w:pPr>
      <w:r>
        <w:t>Further, t</w:t>
      </w:r>
      <w:r w:rsidR="00796990">
        <w:t xml:space="preserve">he National Children’s Commissioner has received numerous representations from children and young people, and their advocates, about failures by courts and agencies within the family law system to solicit their views in the context of decision-making, and to provide them with accessible information about processes and outcomes. </w:t>
      </w:r>
    </w:p>
    <w:p w14:paraId="163E70FF" w14:textId="77777777" w:rsidR="00105EEF" w:rsidRDefault="00796990" w:rsidP="00230BE6">
      <w:pPr>
        <w:pStyle w:val="SubmissionNormal"/>
      </w:pPr>
      <w:proofErr w:type="gramStart"/>
      <w:r>
        <w:t>T</w:t>
      </w:r>
      <w:r w:rsidR="00105EEF">
        <w:t>here are numerous barriers that</w:t>
      </w:r>
      <w:proofErr w:type="gramEnd"/>
      <w:r w:rsidR="00105EEF">
        <w:t xml:space="preserve"> are inhibiting child participation in the family law system.</w:t>
      </w:r>
    </w:p>
    <w:p w14:paraId="74819923" w14:textId="4F4B4F7A" w:rsidR="003551EF" w:rsidRDefault="00FE5BB0" w:rsidP="00230BE6">
      <w:pPr>
        <w:pStyle w:val="SubmissionNormal"/>
      </w:pPr>
      <w:r>
        <w:rPr>
          <w:lang w:val="en"/>
        </w:rPr>
        <w:t>For example</w:t>
      </w:r>
      <w:r w:rsidR="00A021F4">
        <w:rPr>
          <w:lang w:val="en"/>
        </w:rPr>
        <w:t xml:space="preserve">, </w:t>
      </w:r>
      <w:r w:rsidR="00105EEF">
        <w:t xml:space="preserve">there is nothing in the Family </w:t>
      </w:r>
      <w:r w:rsidR="00835605">
        <w:t>Law Act that</w:t>
      </w:r>
      <w:r w:rsidR="00835605" w:rsidRPr="001C1579">
        <w:t xml:space="preserve"> requires</w:t>
      </w:r>
      <w:r w:rsidR="00835605">
        <w:t xml:space="preserve"> a judge </w:t>
      </w:r>
      <w:r w:rsidR="00105EEF">
        <w:t>to provide a child with an opportunity to</w:t>
      </w:r>
      <w:r w:rsidR="00835605">
        <w:t xml:space="preserve"> express their views, only to </w:t>
      </w:r>
      <w:r w:rsidR="00835605" w:rsidRPr="001C1579">
        <w:t xml:space="preserve">consider </w:t>
      </w:r>
      <w:r w:rsidR="00835605">
        <w:t xml:space="preserve">any views that </w:t>
      </w:r>
      <w:proofErr w:type="gramStart"/>
      <w:r w:rsidR="00835605" w:rsidRPr="001C1579">
        <w:t>may be</w:t>
      </w:r>
      <w:r w:rsidR="00835605">
        <w:t xml:space="preserve"> expressed</w:t>
      </w:r>
      <w:proofErr w:type="gramEnd"/>
      <w:r w:rsidR="00835605">
        <w:t xml:space="preserve"> through a family consultant or an ICL. </w:t>
      </w:r>
      <w:r w:rsidR="00796990">
        <w:t>N</w:t>
      </w:r>
      <w:r w:rsidR="00835605">
        <w:t xml:space="preserve">ot all children have access to these mechanisms for expressing their views. The judge has discretion both on whether to request a </w:t>
      </w:r>
      <w:r w:rsidR="00C261D9">
        <w:t xml:space="preserve">report from a family consultant </w:t>
      </w:r>
      <w:r w:rsidR="00835605">
        <w:t xml:space="preserve">or </w:t>
      </w:r>
      <w:r w:rsidR="00216021">
        <w:t xml:space="preserve">to </w:t>
      </w:r>
      <w:r w:rsidR="00835605">
        <w:t xml:space="preserve">direct that a child’s interests </w:t>
      </w:r>
      <w:proofErr w:type="gramStart"/>
      <w:r w:rsidR="00835605">
        <w:t>are</w:t>
      </w:r>
      <w:proofErr w:type="gramEnd"/>
      <w:r w:rsidR="00835605">
        <w:t xml:space="preserve"> to be represented by a lawyer. </w:t>
      </w:r>
    </w:p>
    <w:p w14:paraId="2ADCBDE4" w14:textId="1734E532" w:rsidR="00835605" w:rsidRDefault="00835605" w:rsidP="00230BE6">
      <w:pPr>
        <w:pStyle w:val="SubmissionNormal"/>
      </w:pPr>
      <w:r>
        <w:t>Further, whereas a family consultant must ascertain the views of the child in relation t</w:t>
      </w:r>
      <w:r w:rsidR="00BA041B">
        <w:t>o a matter directed by a judge</w:t>
      </w:r>
      <w:r>
        <w:t>, an ICL is not required to provide a child with an opportunity to express a view</w:t>
      </w:r>
      <w:r w:rsidR="009D5CA5">
        <w:t xml:space="preserve">, but to ensure that </w:t>
      </w:r>
      <w:r w:rsidR="004A25E2">
        <w:t>‘</w:t>
      </w:r>
      <w:r w:rsidR="009D5CA5">
        <w:t>any views expressed by the child</w:t>
      </w:r>
      <w:r w:rsidR="004A25E2">
        <w:t>’</w:t>
      </w:r>
      <w:r w:rsidR="009D5CA5">
        <w:t xml:space="preserve"> are </w:t>
      </w:r>
      <w:r w:rsidR="004A25E2">
        <w:t>‘</w:t>
      </w:r>
      <w:r w:rsidR="009D5CA5">
        <w:t>fully put before the court</w:t>
      </w:r>
      <w:r w:rsidR="004A25E2">
        <w:t>’</w:t>
      </w:r>
      <w:r w:rsidR="009D5CA5">
        <w:t>.</w:t>
      </w:r>
      <w:r w:rsidR="009D5CA5">
        <w:rPr>
          <w:rStyle w:val="EndnoteReference"/>
        </w:rPr>
        <w:endnoteReference w:id="141"/>
      </w:r>
      <w:r w:rsidR="009D5CA5">
        <w:t xml:space="preserve"> </w:t>
      </w:r>
      <w:r w:rsidR="00C261D9">
        <w:t>T</w:t>
      </w:r>
      <w:r w:rsidR="004A25E2">
        <w:t xml:space="preserve">he Commission notes that </w:t>
      </w:r>
      <w:r w:rsidR="00FE5BB0">
        <w:t xml:space="preserve">the </w:t>
      </w:r>
      <w:r w:rsidR="005F48BC">
        <w:t xml:space="preserve">national </w:t>
      </w:r>
      <w:r w:rsidR="009D5CA5">
        <w:t xml:space="preserve">Guidelines </w:t>
      </w:r>
      <w:r w:rsidR="004A25E2">
        <w:t>for Ind</w:t>
      </w:r>
      <w:r w:rsidR="003551EF">
        <w:t>ependent Child</w:t>
      </w:r>
      <w:r w:rsidR="004A25E2">
        <w:t>ren’</w:t>
      </w:r>
      <w:r w:rsidR="003551EF">
        <w:t>s L</w:t>
      </w:r>
      <w:r w:rsidR="004A25E2">
        <w:t xml:space="preserve">awyers </w:t>
      </w:r>
      <w:r w:rsidR="005F48BC">
        <w:t xml:space="preserve">(2013) </w:t>
      </w:r>
      <w:r w:rsidR="003551EF">
        <w:t>state that</w:t>
      </w:r>
      <w:r w:rsidR="004A25E2">
        <w:t xml:space="preserve"> it is exp</w:t>
      </w:r>
      <w:r w:rsidR="003551EF">
        <w:t xml:space="preserve">ected </w:t>
      </w:r>
      <w:r w:rsidR="004A25E2">
        <w:t xml:space="preserve">the ICL </w:t>
      </w:r>
      <w:proofErr w:type="gramStart"/>
      <w:r w:rsidR="004A25E2">
        <w:t>will</w:t>
      </w:r>
      <w:proofErr w:type="gramEnd"/>
      <w:r w:rsidR="004A25E2">
        <w:t xml:space="preserve"> meet with t</w:t>
      </w:r>
      <w:r w:rsidR="003551EF">
        <w:t>he child unless the child is und</w:t>
      </w:r>
      <w:r w:rsidR="004A25E2">
        <w:t>er school age, or there are exceptional circumstance</w:t>
      </w:r>
      <w:r w:rsidR="003551EF">
        <w:t>s or significant practical limit</w:t>
      </w:r>
      <w:r w:rsidR="004A25E2">
        <w:t>ations.</w:t>
      </w:r>
      <w:r w:rsidR="004A25E2">
        <w:rPr>
          <w:rStyle w:val="EndnoteReference"/>
        </w:rPr>
        <w:endnoteReference w:id="142"/>
      </w:r>
    </w:p>
    <w:p w14:paraId="716D9623" w14:textId="560B5F1D" w:rsidR="00BA041B" w:rsidRPr="00BA041B" w:rsidRDefault="00835605" w:rsidP="00230BE6">
      <w:pPr>
        <w:pStyle w:val="SubmissionNormal"/>
      </w:pPr>
      <w:r>
        <w:t xml:space="preserve">Despite the key role that family consultants and ICLs play in relaying children’s views to </w:t>
      </w:r>
      <w:r w:rsidR="00B74F90">
        <w:t>family courts</w:t>
      </w:r>
      <w:r>
        <w:t xml:space="preserve"> there ar</w:t>
      </w:r>
      <w:r w:rsidR="00521BC4">
        <w:t xml:space="preserve">e </w:t>
      </w:r>
      <w:r>
        <w:t xml:space="preserve">some concerns about whether they are sufficiently child-centred in their approach. An Australian Institute of Family Studies </w:t>
      </w:r>
      <w:r w:rsidR="00BA041B">
        <w:t xml:space="preserve">(AIFS) </w:t>
      </w:r>
      <w:r>
        <w:t xml:space="preserve">study </w:t>
      </w:r>
      <w:r w:rsidR="003551EF">
        <w:t xml:space="preserve">in 2014 </w:t>
      </w:r>
      <w:r>
        <w:t>revealed there is diversity of practice among ICLs about meeting with children, with some lawyers not meeting with children and relying only on sources of information such as family or expert reports.</w:t>
      </w:r>
      <w:r w:rsidRPr="00B10EF4">
        <w:rPr>
          <w:rStyle w:val="EndnoteReference"/>
          <w:rFonts w:cs="Arial"/>
        </w:rPr>
        <w:endnoteReference w:id="143"/>
      </w:r>
      <w:r w:rsidRPr="00B10EF4">
        <w:rPr>
          <w:rStyle w:val="EndnoteReference"/>
          <w:rFonts w:cs="Arial"/>
        </w:rPr>
        <w:t xml:space="preserve"> </w:t>
      </w:r>
      <w:r w:rsidR="00037D0A">
        <w:rPr>
          <w:rFonts w:cs="Arial"/>
        </w:rPr>
        <w:t>Most ICLs surveyed for this study indicated that meeting with children or young people was not necessarily a routine part of their practice, with just over half of ICLs surveyed indicating they ‘rarely or sometimes’ had such contact, when asked to reflect on their three last cases.</w:t>
      </w:r>
      <w:r w:rsidR="00037D0A">
        <w:rPr>
          <w:rStyle w:val="EndnoteReference"/>
          <w:rFonts w:cs="Arial"/>
        </w:rPr>
        <w:endnoteReference w:id="144"/>
      </w:r>
    </w:p>
    <w:p w14:paraId="1425B367" w14:textId="77777777" w:rsidR="00BA041B" w:rsidRPr="002479B3" w:rsidRDefault="00BA041B" w:rsidP="00230BE6">
      <w:pPr>
        <w:pStyle w:val="SubmissionNormal"/>
        <w:rPr>
          <w:rStyle w:val="Emphasis"/>
          <w:i w:val="0"/>
          <w:iCs w:val="0"/>
        </w:rPr>
      </w:pPr>
      <w:r w:rsidRPr="00762E15">
        <w:rPr>
          <w:lang w:val="en"/>
        </w:rPr>
        <w:t>Even when children have had the opportunity to meet with an ICL or family consultant, many have been disappointed with the process.</w:t>
      </w:r>
      <w:r w:rsidR="00C9393E">
        <w:rPr>
          <w:rStyle w:val="EndnoteReference"/>
          <w:lang w:val="en"/>
        </w:rPr>
        <w:endnoteReference w:id="145"/>
      </w:r>
      <w:r w:rsidR="00C9393E">
        <w:rPr>
          <w:lang w:val="en"/>
        </w:rPr>
        <w:t xml:space="preserve"> </w:t>
      </w:r>
      <w:r w:rsidR="00037D0A">
        <w:rPr>
          <w:lang w:val="en"/>
        </w:rPr>
        <w:t>Some c</w:t>
      </w:r>
      <w:r w:rsidRPr="00762E15">
        <w:rPr>
          <w:lang w:val="en"/>
        </w:rPr>
        <w:t xml:space="preserve">hildren who </w:t>
      </w:r>
      <w:proofErr w:type="gramStart"/>
      <w:r w:rsidRPr="00762E15">
        <w:rPr>
          <w:lang w:val="en"/>
        </w:rPr>
        <w:t>have been interviewed</w:t>
      </w:r>
      <w:proofErr w:type="gramEnd"/>
      <w:r w:rsidRPr="00762E15">
        <w:rPr>
          <w:lang w:val="en"/>
        </w:rPr>
        <w:t xml:space="preserve"> about these experiences have said they were uncertain about the role of representati</w:t>
      </w:r>
      <w:r w:rsidR="00037D0A">
        <w:rPr>
          <w:lang w:val="en"/>
        </w:rPr>
        <w:t>ve. Some children also said</w:t>
      </w:r>
      <w:r w:rsidRPr="00762E15">
        <w:rPr>
          <w:lang w:val="en"/>
        </w:rPr>
        <w:t xml:space="preserve"> that their views </w:t>
      </w:r>
      <w:proofErr w:type="gramStart"/>
      <w:r w:rsidRPr="00762E15">
        <w:rPr>
          <w:lang w:val="en"/>
        </w:rPr>
        <w:t>had been f</w:t>
      </w:r>
      <w:r w:rsidR="00C9393E">
        <w:rPr>
          <w:lang w:val="en"/>
        </w:rPr>
        <w:t>iltered or misinterpreted</w:t>
      </w:r>
      <w:proofErr w:type="gramEnd"/>
      <w:r w:rsidR="00C9393E">
        <w:rPr>
          <w:lang w:val="en"/>
        </w:rPr>
        <w:t>.</w:t>
      </w:r>
      <w:r w:rsidR="00C9393E">
        <w:rPr>
          <w:rStyle w:val="EndnoteReference"/>
          <w:lang w:val="en"/>
        </w:rPr>
        <w:endnoteReference w:id="146"/>
      </w:r>
      <w:r w:rsidR="00C9393E">
        <w:rPr>
          <w:lang w:val="en"/>
        </w:rPr>
        <w:t xml:space="preserve"> </w:t>
      </w:r>
      <w:r w:rsidRPr="00762E15">
        <w:rPr>
          <w:lang w:val="en"/>
        </w:rPr>
        <w:t xml:space="preserve">When asked about her experience of meeting with an ICL, one girl </w:t>
      </w:r>
      <w:proofErr w:type="gramStart"/>
      <w:r w:rsidRPr="00762E15">
        <w:rPr>
          <w:lang w:val="en"/>
        </w:rPr>
        <w:t>said</w:t>
      </w:r>
      <w:r w:rsidRPr="00C9393E">
        <w:rPr>
          <w:lang w:val="en"/>
        </w:rPr>
        <w:t>:</w:t>
      </w:r>
      <w:proofErr w:type="gramEnd"/>
      <w:r w:rsidRPr="00C9393E">
        <w:rPr>
          <w:lang w:val="en"/>
        </w:rPr>
        <w:t xml:space="preserve"> </w:t>
      </w:r>
      <w:r w:rsidR="00C9393E" w:rsidRPr="00C9393E">
        <w:rPr>
          <w:lang w:val="en"/>
        </w:rPr>
        <w:t>‘</w:t>
      </w:r>
      <w:r w:rsidRPr="00C9393E">
        <w:rPr>
          <w:lang w:val="en"/>
        </w:rPr>
        <w:t>I</w:t>
      </w:r>
      <w:r w:rsidR="00C261D9">
        <w:rPr>
          <w:rStyle w:val="Emphasis"/>
          <w:i w:val="0"/>
          <w:lang w:val="en"/>
        </w:rPr>
        <w:t xml:space="preserve"> met her once … </w:t>
      </w:r>
      <w:r w:rsidRPr="00C9393E">
        <w:rPr>
          <w:rStyle w:val="Emphasis"/>
          <w:i w:val="0"/>
          <w:lang w:val="en"/>
        </w:rPr>
        <w:t>We shook hands. She said her name and left</w:t>
      </w:r>
      <w:r w:rsidR="00C9393E" w:rsidRPr="00C9393E">
        <w:rPr>
          <w:rStyle w:val="Emphasis"/>
          <w:i w:val="0"/>
          <w:lang w:val="en"/>
        </w:rPr>
        <w:t>’</w:t>
      </w:r>
      <w:r w:rsidRPr="00C9393E">
        <w:rPr>
          <w:rStyle w:val="Emphasis"/>
          <w:i w:val="0"/>
          <w:lang w:val="en"/>
        </w:rPr>
        <w:t>.</w:t>
      </w:r>
      <w:r w:rsidR="00C9393E" w:rsidRPr="00037D0A">
        <w:rPr>
          <w:rStyle w:val="EndnoteReference"/>
          <w:iCs/>
          <w:lang w:val="en"/>
        </w:rPr>
        <w:endnoteReference w:id="147"/>
      </w:r>
      <w:r w:rsidR="00C9393E">
        <w:rPr>
          <w:lang w:val="en"/>
        </w:rPr>
        <w:t xml:space="preserve"> </w:t>
      </w:r>
      <w:r w:rsidRPr="00762E15">
        <w:rPr>
          <w:lang w:val="en"/>
        </w:rPr>
        <w:t xml:space="preserve">Another girl said: </w:t>
      </w:r>
      <w:r w:rsidR="00C9393E">
        <w:rPr>
          <w:lang w:val="en"/>
        </w:rPr>
        <w:t>‘</w:t>
      </w:r>
      <w:r w:rsidRPr="00C9393E">
        <w:rPr>
          <w:rStyle w:val="Emphasis"/>
          <w:i w:val="0"/>
          <w:lang w:val="en"/>
        </w:rPr>
        <w:t xml:space="preserve">It </w:t>
      </w:r>
      <w:r w:rsidR="00C261D9">
        <w:rPr>
          <w:rStyle w:val="Emphasis"/>
          <w:i w:val="0"/>
          <w:lang w:val="en"/>
        </w:rPr>
        <w:t xml:space="preserve">was all pretty bad … </w:t>
      </w:r>
      <w:r w:rsidRPr="00C9393E">
        <w:rPr>
          <w:rStyle w:val="Emphasis"/>
          <w:i w:val="0"/>
          <w:lang w:val="en"/>
        </w:rPr>
        <w:t xml:space="preserve">Probably that she just didn’t listen. Like, she would ask us questions and </w:t>
      </w:r>
      <w:proofErr w:type="gramStart"/>
      <w:r w:rsidRPr="00C9393E">
        <w:rPr>
          <w:rStyle w:val="Emphasis"/>
          <w:i w:val="0"/>
          <w:lang w:val="en"/>
        </w:rPr>
        <w:t>we’d</w:t>
      </w:r>
      <w:proofErr w:type="gramEnd"/>
      <w:r w:rsidRPr="00C9393E">
        <w:rPr>
          <w:rStyle w:val="Emphasis"/>
          <w:i w:val="0"/>
          <w:lang w:val="en"/>
        </w:rPr>
        <w:t xml:space="preserve"> tell her, but then she just didn’t care what we said. And she ignored what we said</w:t>
      </w:r>
      <w:r w:rsidR="00C9393E">
        <w:rPr>
          <w:rStyle w:val="Emphasis"/>
          <w:i w:val="0"/>
          <w:lang w:val="en"/>
        </w:rPr>
        <w:t>’</w:t>
      </w:r>
      <w:r w:rsidRPr="00C9393E">
        <w:rPr>
          <w:rStyle w:val="Emphasis"/>
          <w:i w:val="0"/>
          <w:lang w:val="en"/>
        </w:rPr>
        <w:t>.</w:t>
      </w:r>
      <w:r w:rsidR="00C9393E" w:rsidRPr="00C9393E">
        <w:rPr>
          <w:rStyle w:val="EndnoteReference"/>
          <w:iCs/>
          <w:lang w:val="en"/>
        </w:rPr>
        <w:endnoteReference w:id="148"/>
      </w:r>
    </w:p>
    <w:p w14:paraId="05604579" w14:textId="65AFCDD8" w:rsidR="00710D1C" w:rsidRDefault="00710D1C" w:rsidP="00230BE6">
      <w:pPr>
        <w:pStyle w:val="SubmissionNormal"/>
      </w:pPr>
      <w:r>
        <w:rPr>
          <w:lang w:val="en"/>
        </w:rPr>
        <w:t>With the exception of an interview by a judge, none of the</w:t>
      </w:r>
      <w:r w:rsidRPr="00762E15">
        <w:rPr>
          <w:lang w:val="en"/>
        </w:rPr>
        <w:t xml:space="preserve"> methods </w:t>
      </w:r>
      <w:r>
        <w:rPr>
          <w:lang w:val="en"/>
        </w:rPr>
        <w:t xml:space="preserve">for eliciting a child’s views under the Family Law Act </w:t>
      </w:r>
      <w:r w:rsidRPr="00762E15">
        <w:rPr>
          <w:lang w:val="en"/>
        </w:rPr>
        <w:t xml:space="preserve">necessarily </w:t>
      </w:r>
      <w:proofErr w:type="gramStart"/>
      <w:r w:rsidRPr="00762E15">
        <w:rPr>
          <w:lang w:val="en"/>
        </w:rPr>
        <w:t>involve</w:t>
      </w:r>
      <w:proofErr w:type="gramEnd"/>
      <w:r w:rsidRPr="00762E15">
        <w:rPr>
          <w:lang w:val="en"/>
        </w:rPr>
        <w:t xml:space="preserve"> direct participation by the child. </w:t>
      </w:r>
      <w:r>
        <w:t xml:space="preserve">Research shows that </w:t>
      </w:r>
      <w:r w:rsidRPr="00AF730A">
        <w:t>there is a reluctance among some Australian judges to</w:t>
      </w:r>
      <w:r>
        <w:t xml:space="preserve"> engage with children.</w:t>
      </w:r>
      <w:r>
        <w:rPr>
          <w:rStyle w:val="EndnoteReference"/>
        </w:rPr>
        <w:endnoteReference w:id="149"/>
      </w:r>
      <w:r>
        <w:t xml:space="preserve"> In this research,</w:t>
      </w:r>
      <w:r w:rsidR="009F7088">
        <w:t xml:space="preserve"> j</w:t>
      </w:r>
      <w:r>
        <w:t>udges expressed concern about lacking the skills and ability to speak directly with children.</w:t>
      </w:r>
      <w:r>
        <w:rPr>
          <w:rStyle w:val="EndnoteReference"/>
        </w:rPr>
        <w:endnoteReference w:id="150"/>
      </w:r>
    </w:p>
    <w:p w14:paraId="5955D845" w14:textId="60F32F10" w:rsidR="008418EB" w:rsidRPr="008418EB" w:rsidRDefault="008418EB" w:rsidP="00230BE6">
      <w:pPr>
        <w:pStyle w:val="SubmissionNormal"/>
      </w:pPr>
      <w:r w:rsidRPr="00762E15">
        <w:rPr>
          <w:lang w:val="en"/>
        </w:rPr>
        <w:t>There are also low levels of child consultation in family dispute resolution.</w:t>
      </w:r>
      <w:r>
        <w:rPr>
          <w:rStyle w:val="EndnoteReference"/>
          <w:lang w:val="en"/>
        </w:rPr>
        <w:endnoteReference w:id="151"/>
      </w:r>
      <w:r w:rsidRPr="00762E15">
        <w:rPr>
          <w:lang w:val="en"/>
        </w:rPr>
        <w:t xml:space="preserve"> A 2010 study of children’s participation in Family Relationship </w:t>
      </w:r>
      <w:proofErr w:type="spellStart"/>
      <w:r w:rsidRPr="00762E15">
        <w:rPr>
          <w:lang w:val="en"/>
        </w:rPr>
        <w:t>Centres</w:t>
      </w:r>
      <w:proofErr w:type="spellEnd"/>
      <w:r w:rsidRPr="00762E15">
        <w:rPr>
          <w:lang w:val="en"/>
        </w:rPr>
        <w:t xml:space="preserve"> showed that staff </w:t>
      </w:r>
      <w:r w:rsidR="00FE5BB0">
        <w:rPr>
          <w:lang w:val="en"/>
        </w:rPr>
        <w:t>were</w:t>
      </w:r>
      <w:r w:rsidR="00FE5BB0" w:rsidRPr="00762E15">
        <w:rPr>
          <w:lang w:val="en"/>
        </w:rPr>
        <w:t xml:space="preserve"> </w:t>
      </w:r>
      <w:r w:rsidRPr="00762E15">
        <w:rPr>
          <w:lang w:val="en"/>
        </w:rPr>
        <w:t xml:space="preserve">concerned about the lack of feedback to children following </w:t>
      </w:r>
      <w:r w:rsidR="00FE5BB0">
        <w:rPr>
          <w:lang w:val="en"/>
        </w:rPr>
        <w:t xml:space="preserve">the </w:t>
      </w:r>
      <w:r w:rsidRPr="00762E15">
        <w:rPr>
          <w:lang w:val="en"/>
        </w:rPr>
        <w:t xml:space="preserve">mediation process. One staff member said, </w:t>
      </w:r>
      <w:r>
        <w:rPr>
          <w:lang w:val="en"/>
        </w:rPr>
        <w:t>‘</w:t>
      </w:r>
      <w:r w:rsidRPr="008418EB">
        <w:rPr>
          <w:rStyle w:val="Emphasis"/>
          <w:i w:val="0"/>
          <w:lang w:val="en"/>
        </w:rPr>
        <w:t>My sense is, we put them in that situation, they get an hour with the child consult they don’t really know what gets fed into the mediation</w:t>
      </w:r>
      <w:r>
        <w:rPr>
          <w:rStyle w:val="Emphasis"/>
          <w:i w:val="0"/>
          <w:lang w:val="en"/>
        </w:rPr>
        <w:t>’</w:t>
      </w:r>
      <w:r w:rsidRPr="00762E15">
        <w:rPr>
          <w:rStyle w:val="Emphasis"/>
          <w:lang w:val="en"/>
        </w:rPr>
        <w:t>.</w:t>
      </w:r>
      <w:r w:rsidRPr="008418EB">
        <w:rPr>
          <w:rStyle w:val="EndnoteReference"/>
          <w:iCs/>
          <w:lang w:val="en"/>
        </w:rPr>
        <w:endnoteReference w:id="152"/>
      </w:r>
      <w:r w:rsidRPr="008418EB">
        <w:rPr>
          <w:lang w:val="en"/>
        </w:rPr>
        <w:t xml:space="preserve"> </w:t>
      </w:r>
    </w:p>
    <w:p w14:paraId="4D56BA70" w14:textId="77777777" w:rsidR="008418EB" w:rsidRPr="008418EB" w:rsidRDefault="008418EB" w:rsidP="00230BE6">
      <w:pPr>
        <w:pStyle w:val="SubmissionNormal"/>
      </w:pPr>
      <w:r w:rsidRPr="00762E15">
        <w:rPr>
          <w:lang w:val="en"/>
        </w:rPr>
        <w:t xml:space="preserve">Further, there are limited avenues through which children can make complaints about negative experiences and not having their right to </w:t>
      </w:r>
      <w:proofErr w:type="gramStart"/>
      <w:r w:rsidRPr="00762E15">
        <w:rPr>
          <w:lang w:val="en"/>
        </w:rPr>
        <w:t>be heard</w:t>
      </w:r>
      <w:proofErr w:type="gramEnd"/>
      <w:r w:rsidRPr="00762E15">
        <w:rPr>
          <w:lang w:val="en"/>
        </w:rPr>
        <w:t xml:space="preserve"> respected</w:t>
      </w:r>
      <w:r>
        <w:rPr>
          <w:lang w:val="en"/>
        </w:rPr>
        <w:t xml:space="preserve"> within the family law system.</w:t>
      </w:r>
    </w:p>
    <w:p w14:paraId="133B3FB2" w14:textId="77777777" w:rsidR="00386FB0" w:rsidRPr="000A3C5B" w:rsidRDefault="008418EB" w:rsidP="00230BE6">
      <w:pPr>
        <w:pStyle w:val="SubmissionNormal"/>
      </w:pPr>
      <w:r>
        <w:rPr>
          <w:lang w:val="en"/>
        </w:rPr>
        <w:t xml:space="preserve">The Commission considers that </w:t>
      </w:r>
      <w:r w:rsidRPr="00762E15">
        <w:rPr>
          <w:lang w:val="en"/>
        </w:rPr>
        <w:t>mediators, family l</w:t>
      </w:r>
      <w:r>
        <w:rPr>
          <w:lang w:val="en"/>
        </w:rPr>
        <w:t xml:space="preserve">aw consultants and ICLs are </w:t>
      </w:r>
      <w:r w:rsidRPr="00762E15">
        <w:rPr>
          <w:lang w:val="en"/>
        </w:rPr>
        <w:t xml:space="preserve">of significant value. Indeed the AIFS study demonstrated that judges find the evidence collected by ICLs to be very helpful when they make a decision about the child. However, there are significant individual and systemic barriers that are </w:t>
      </w:r>
      <w:proofErr w:type="gramStart"/>
      <w:r w:rsidRPr="00762E15">
        <w:rPr>
          <w:lang w:val="en"/>
        </w:rPr>
        <w:t>impacting</w:t>
      </w:r>
      <w:proofErr w:type="gramEnd"/>
      <w:r w:rsidRPr="00762E15">
        <w:rPr>
          <w:lang w:val="en"/>
        </w:rPr>
        <w:t xml:space="preserve"> the effectiveness of ch</w:t>
      </w:r>
      <w:r>
        <w:rPr>
          <w:lang w:val="en"/>
        </w:rPr>
        <w:t>ild participation practices.</w:t>
      </w:r>
      <w:r w:rsidR="00387740">
        <w:rPr>
          <w:rStyle w:val="EndnoteReference"/>
          <w:lang w:val="en"/>
        </w:rPr>
        <w:endnoteReference w:id="153"/>
      </w:r>
    </w:p>
    <w:p w14:paraId="43D3F7F0" w14:textId="77777777" w:rsidR="00F60EA1" w:rsidRPr="00F60EA1" w:rsidRDefault="00F60EA1" w:rsidP="00F60EA1">
      <w:pPr>
        <w:pStyle w:val="SubmissionNormal"/>
        <w:rPr>
          <w:b/>
        </w:rPr>
      </w:pPr>
      <w:r w:rsidRPr="00F60EA1">
        <w:rPr>
          <w:b/>
        </w:rPr>
        <w:t xml:space="preserve">Recommendation 18: The Family Law Act </w:t>
      </w:r>
      <w:proofErr w:type="gramStart"/>
      <w:r w:rsidRPr="00F60EA1">
        <w:rPr>
          <w:b/>
        </w:rPr>
        <w:t>is amended</w:t>
      </w:r>
      <w:proofErr w:type="gramEnd"/>
      <w:r w:rsidRPr="00F60EA1">
        <w:rPr>
          <w:b/>
        </w:rPr>
        <w:t xml:space="preserve"> to require a judge to provide children with an opportunity to express their views in matters that affect their rights or interests. A child should not be compelled to express a view, but </w:t>
      </w:r>
      <w:proofErr w:type="gramStart"/>
      <w:r w:rsidRPr="00F60EA1">
        <w:rPr>
          <w:b/>
        </w:rPr>
        <w:t>should be provided</w:t>
      </w:r>
      <w:proofErr w:type="gramEnd"/>
      <w:r w:rsidRPr="00F60EA1">
        <w:rPr>
          <w:b/>
        </w:rPr>
        <w:t xml:space="preserve"> with the opportunity to do so in a manner appropriate to their age and maturity. </w:t>
      </w:r>
    </w:p>
    <w:p w14:paraId="27CD1795" w14:textId="77777777" w:rsidR="005D7014" w:rsidRDefault="007E3F65" w:rsidP="0005498B">
      <w:pPr>
        <w:pStyle w:val="Heading2"/>
        <w:numPr>
          <w:ilvl w:val="1"/>
          <w:numId w:val="16"/>
        </w:numPr>
      </w:pPr>
      <w:bookmarkStart w:id="52" w:name="_Toc531787335"/>
      <w:r w:rsidRPr="00D20214">
        <w:t>Children’s</w:t>
      </w:r>
      <w:r>
        <w:t xml:space="preserve"> </w:t>
      </w:r>
      <w:r w:rsidRPr="0023290A">
        <w:t>right</w:t>
      </w:r>
      <w:r>
        <w:t xml:space="preserve"> to </w:t>
      </w:r>
      <w:r w:rsidRPr="002479B3">
        <w:t>be</w:t>
      </w:r>
      <w:r>
        <w:t xml:space="preserve"> informed</w:t>
      </w:r>
      <w:bookmarkEnd w:id="52"/>
    </w:p>
    <w:p w14:paraId="020E6874" w14:textId="77777777" w:rsidR="00916CE4" w:rsidRDefault="00916CE4" w:rsidP="00230BE6">
      <w:pPr>
        <w:pStyle w:val="SubmissionNormal"/>
      </w:pPr>
      <w:r w:rsidRPr="00E56796">
        <w:t>As well as having their voices heard, children and young people have repeatedly emphasised the importance of being kept informed during court proceedings and being advised of the outcomes as a baseline level of involvement</w:t>
      </w:r>
      <w:r>
        <w:t>.</w:t>
      </w:r>
      <w:r>
        <w:rPr>
          <w:rStyle w:val="EndnoteReference"/>
        </w:rPr>
        <w:endnoteReference w:id="154"/>
      </w:r>
    </w:p>
    <w:p w14:paraId="7DC9DBE4" w14:textId="4899701B" w:rsidR="00083790" w:rsidRDefault="00916CE4" w:rsidP="00230BE6">
      <w:pPr>
        <w:pStyle w:val="SubmissionNormal"/>
      </w:pPr>
      <w:r>
        <w:t>Currently, the Family Law Act requires a court to explain court orders or injunctions that are inconsistent with an existing family violence order to a child.</w:t>
      </w:r>
      <w:r>
        <w:rPr>
          <w:rStyle w:val="EndnoteReference"/>
        </w:rPr>
        <w:endnoteReference w:id="155"/>
      </w:r>
      <w:r w:rsidR="00B978D5">
        <w:t xml:space="preserve"> However, a Bill before the Senate proposes to amend </w:t>
      </w:r>
      <w:r w:rsidR="003E689F">
        <w:t xml:space="preserve">section </w:t>
      </w:r>
      <w:r w:rsidR="003E53F0">
        <w:t xml:space="preserve">68P of </w:t>
      </w:r>
      <w:r w:rsidR="00B978D5">
        <w:t xml:space="preserve">the Act to </w:t>
      </w:r>
      <w:r w:rsidR="004143DD">
        <w:t>allow the courts to</w:t>
      </w:r>
      <w:r w:rsidR="00B978D5">
        <w:t xml:space="preserve"> dispense with this</w:t>
      </w:r>
      <w:r w:rsidR="004143DD">
        <w:t xml:space="preserve"> requirement.</w:t>
      </w:r>
      <w:r w:rsidR="004143DD">
        <w:rPr>
          <w:rStyle w:val="EndnoteReference"/>
        </w:rPr>
        <w:endnoteReference w:id="156"/>
      </w:r>
      <w:r w:rsidR="004143DD">
        <w:t xml:space="preserve"> </w:t>
      </w:r>
    </w:p>
    <w:p w14:paraId="4405AB0C" w14:textId="152CE806" w:rsidR="004143DD" w:rsidRDefault="00B978D5" w:rsidP="00230BE6">
      <w:pPr>
        <w:pStyle w:val="SubmissionNormal"/>
      </w:pPr>
      <w:r>
        <w:t xml:space="preserve">In 2017, the </w:t>
      </w:r>
      <w:r w:rsidR="004143DD">
        <w:t xml:space="preserve">National </w:t>
      </w:r>
      <w:proofErr w:type="gramStart"/>
      <w:r w:rsidR="004143DD">
        <w:t>Children’s</w:t>
      </w:r>
      <w:proofErr w:type="gramEnd"/>
      <w:r w:rsidR="004143DD">
        <w:t xml:space="preserve"> Commissioner </w:t>
      </w:r>
      <w:r>
        <w:t xml:space="preserve">made a submission to the exposure draft of this Bill, raising </w:t>
      </w:r>
      <w:r w:rsidR="004143DD">
        <w:t>concern</w:t>
      </w:r>
      <w:r w:rsidR="00BA49A8">
        <w:t>s</w:t>
      </w:r>
      <w:r w:rsidR="004143DD">
        <w:t xml:space="preserve"> that </w:t>
      </w:r>
      <w:r>
        <w:t xml:space="preserve">removing this </w:t>
      </w:r>
      <w:r w:rsidR="004143DD">
        <w:t xml:space="preserve">requirement could deprive children and young people of information relevant to their wellbeing, and is at odds with the principles of the child’s best interests and the right to active participation, as defined by the </w:t>
      </w:r>
      <w:r>
        <w:t>CRC.</w:t>
      </w:r>
      <w:r>
        <w:rPr>
          <w:rStyle w:val="EndnoteReference"/>
        </w:rPr>
        <w:endnoteReference w:id="157"/>
      </w:r>
      <w:r>
        <w:t xml:space="preserve"> </w:t>
      </w:r>
      <w:r w:rsidR="004143DD">
        <w:t xml:space="preserve">These concerns </w:t>
      </w:r>
      <w:proofErr w:type="gramStart"/>
      <w:r w:rsidR="002479B3">
        <w:t>were</w:t>
      </w:r>
      <w:r w:rsidR="00635A16">
        <w:t xml:space="preserve"> also raised</w:t>
      </w:r>
      <w:proofErr w:type="gramEnd"/>
      <w:r w:rsidR="00635A16">
        <w:t xml:space="preserve"> by the Commission in a </w:t>
      </w:r>
      <w:r w:rsidR="00F13F24">
        <w:t>submission to the Senate Legal and Constitutional Affairs Legislation Committee inquiry into the proposed amendments.</w:t>
      </w:r>
      <w:r w:rsidR="002479B3">
        <w:rPr>
          <w:rStyle w:val="EndnoteReference"/>
        </w:rPr>
        <w:endnoteReference w:id="158"/>
      </w:r>
      <w:r>
        <w:t xml:space="preserve"> </w:t>
      </w:r>
    </w:p>
    <w:p w14:paraId="287FC773" w14:textId="77777777" w:rsidR="004143DD" w:rsidRDefault="004143DD" w:rsidP="00230BE6">
      <w:pPr>
        <w:pStyle w:val="SubmissionNormal"/>
      </w:pPr>
      <w:r>
        <w:t xml:space="preserve">Under the Family Law Act, the orders or injunctions that </w:t>
      </w:r>
      <w:proofErr w:type="gramStart"/>
      <w:r>
        <w:t>must be explained</w:t>
      </w:r>
      <w:proofErr w:type="gramEnd"/>
      <w:r>
        <w:t xml:space="preserve"> to the child are those (usually by the Family Court or the Federal Circuit Court) that require or authorise a person to spend time with a child. For example, if the Family Court makes a parenting order that authorises a person to spend time with a child, but the parenting order is inconsistent with a family violence order made by a state or territory court, then an explanation for making the parenting order </w:t>
      </w:r>
      <w:proofErr w:type="gramStart"/>
      <w:r>
        <w:t>must be given</w:t>
      </w:r>
      <w:proofErr w:type="gramEnd"/>
      <w:r>
        <w:t xml:space="preserve">. </w:t>
      </w:r>
    </w:p>
    <w:p w14:paraId="49134352" w14:textId="77777777" w:rsidR="004143DD" w:rsidRDefault="004143DD" w:rsidP="00230BE6">
      <w:pPr>
        <w:pStyle w:val="SubmissionNormal"/>
      </w:pPr>
      <w:r>
        <w:t xml:space="preserve">The explanation does not need to </w:t>
      </w:r>
      <w:proofErr w:type="gramStart"/>
      <w:r>
        <w:t>be given</w:t>
      </w:r>
      <w:proofErr w:type="gramEnd"/>
      <w:r>
        <w:t xml:space="preserve"> by the court itself. The court may arrange for someone else to give the explanation.</w:t>
      </w:r>
      <w:r>
        <w:rPr>
          <w:rStyle w:val="EndnoteReference"/>
        </w:rPr>
        <w:endnoteReference w:id="159"/>
      </w:r>
      <w:r w:rsidRPr="00131A20">
        <w:rPr>
          <w:sz w:val="13"/>
          <w:szCs w:val="13"/>
        </w:rPr>
        <w:t xml:space="preserve"> </w:t>
      </w:r>
      <w:r>
        <w:t xml:space="preserve">The Family Law Act provides that the explanation </w:t>
      </w:r>
      <w:proofErr w:type="gramStart"/>
      <w:r>
        <w:t>must be given</w:t>
      </w:r>
      <w:proofErr w:type="gramEnd"/>
      <w:r>
        <w:t xml:space="preserve"> in language that the child is likely to readily understand and must contain certain information.</w:t>
      </w:r>
      <w:r>
        <w:rPr>
          <w:rStyle w:val="EndnoteReference"/>
        </w:rPr>
        <w:endnoteReference w:id="160"/>
      </w:r>
      <w:r w:rsidRPr="00131A20">
        <w:rPr>
          <w:sz w:val="13"/>
          <w:szCs w:val="13"/>
        </w:rPr>
        <w:t xml:space="preserve"> </w:t>
      </w:r>
      <w:r>
        <w:t xml:space="preserve">The requirement for an explanation is to ensure that the child properly understands the reasons why the court has made an order that directly affects his or her interests. </w:t>
      </w:r>
    </w:p>
    <w:p w14:paraId="030A71A4" w14:textId="77777777" w:rsidR="004143DD" w:rsidRDefault="004143DD" w:rsidP="00230BE6">
      <w:pPr>
        <w:pStyle w:val="SubmissionNormal"/>
      </w:pPr>
      <w:r>
        <w:t xml:space="preserve">The Commission considers the current provisions are an important requirement and do not impose overly onerous obligations on court officials. </w:t>
      </w:r>
    </w:p>
    <w:p w14:paraId="42B653AE" w14:textId="77777777" w:rsidR="004143DD" w:rsidRDefault="004143DD" w:rsidP="00230BE6">
      <w:pPr>
        <w:pStyle w:val="SubmissionNormal"/>
      </w:pPr>
      <w:r>
        <w:t xml:space="preserve">There is an obvious need for children and young people to be aware of changes to their situation resulting from a court order or injunction that is inconsistent with a family violence order that </w:t>
      </w:r>
      <w:proofErr w:type="gramStart"/>
      <w:r>
        <w:t>was made</w:t>
      </w:r>
      <w:proofErr w:type="gramEnd"/>
      <w:r>
        <w:t xml:space="preserve"> for their own protection. The implementation or contravention of these orders or injunctions will have a direct impact on the life and wellbeing of the child involved. A failure to explain these could lead to distress and confusion on the part of the child involved, allow them to be </w:t>
      </w:r>
      <w:proofErr w:type="gramStart"/>
      <w:r>
        <w:t>manipulated</w:t>
      </w:r>
      <w:proofErr w:type="gramEnd"/>
      <w:r>
        <w:t xml:space="preserve"> or provided with misinformation, or place them in a situation where they feel unsafe and unsure of how to seek help or change their circumstances. </w:t>
      </w:r>
    </w:p>
    <w:p w14:paraId="67B50F68" w14:textId="77777777" w:rsidR="004143DD" w:rsidRDefault="004143DD" w:rsidP="00230BE6">
      <w:pPr>
        <w:pStyle w:val="SubmissionNormal"/>
      </w:pPr>
      <w:r>
        <w:t xml:space="preserve">Informing a child about a court order or injunction that is inconsistent with a family violence order protecting them, should be the default requirement of the Family Law Act. Any exceptions to this requirement </w:t>
      </w:r>
      <w:proofErr w:type="gramStart"/>
      <w:r>
        <w:t>should only be permitted</w:t>
      </w:r>
      <w:proofErr w:type="gramEnd"/>
      <w:r>
        <w:t xml:space="preserve"> where there is clear evidence, such as a psychological assessment, that it would be detrimental to a child’s wellbeing for the explanation to be provided to them. </w:t>
      </w:r>
    </w:p>
    <w:p w14:paraId="281CE76B" w14:textId="2C977EB9" w:rsidR="00AF6ECC" w:rsidRDefault="00AF6ECC" w:rsidP="00230BE6">
      <w:pPr>
        <w:pStyle w:val="SubmissionNormal"/>
      </w:pPr>
      <w:r>
        <w:t xml:space="preserve">Further, the Commission considers that children need to </w:t>
      </w:r>
      <w:proofErr w:type="gramStart"/>
      <w:r>
        <w:t>be informed</w:t>
      </w:r>
      <w:proofErr w:type="gramEnd"/>
      <w:r>
        <w:t xml:space="preserve"> of their rights in family law proceedings. In addition</w:t>
      </w:r>
      <w:r w:rsidR="00BD1291">
        <w:t xml:space="preserve"> to the right to be informed</w:t>
      </w:r>
      <w:r w:rsidR="0012213A">
        <w:t>,</w:t>
      </w:r>
      <w:r w:rsidR="00BD1291">
        <w:t xml:space="preserve"> und</w:t>
      </w:r>
      <w:r>
        <w:t>er article</w:t>
      </w:r>
      <w:r w:rsidR="00BD1291">
        <w:t>s 12, 13 and 17 of the CRC, article 42 of the CRC obliges State</w:t>
      </w:r>
      <w:r w:rsidR="0012213A">
        <w:t>s</w:t>
      </w:r>
      <w:r w:rsidR="00BD1291">
        <w:t xml:space="preserve"> Parties to ‘make the principles and provisions of the CRC widely known, by appropriate and active means, to adults and children alike’. Children could be informed of their rights, in particular their right to be heard, through a variety of mechanisms including in written and online materials, court-appointed ICLs or family consultants, or other means decided by the judicial officer.</w:t>
      </w:r>
    </w:p>
    <w:p w14:paraId="23E0AC5A" w14:textId="77777777" w:rsidR="00AB4303" w:rsidRPr="00AB4303" w:rsidRDefault="00AB4303" w:rsidP="00AB4303">
      <w:pPr>
        <w:pStyle w:val="SubmissionNormal"/>
        <w:rPr>
          <w:b/>
        </w:rPr>
      </w:pPr>
      <w:r w:rsidRPr="00AB4303">
        <w:rPr>
          <w:b/>
        </w:rPr>
        <w:t xml:space="preserve">Recommendation 19: The requirement in section 68P of the Family Law Act to explain to a child court orders or injunctions that are inconsistent with an existing family violence order </w:t>
      </w:r>
      <w:proofErr w:type="gramStart"/>
      <w:r w:rsidRPr="00AB4303">
        <w:rPr>
          <w:b/>
        </w:rPr>
        <w:t>is retained</w:t>
      </w:r>
      <w:proofErr w:type="gramEnd"/>
      <w:r w:rsidRPr="00AB4303">
        <w:rPr>
          <w:b/>
        </w:rPr>
        <w:t>.</w:t>
      </w:r>
    </w:p>
    <w:p w14:paraId="7D40C126" w14:textId="77777777" w:rsidR="00AB4303" w:rsidRPr="00AB4303" w:rsidRDefault="00AB4303" w:rsidP="00AB4303">
      <w:pPr>
        <w:pStyle w:val="SubmissionNormal"/>
        <w:rPr>
          <w:b/>
        </w:rPr>
      </w:pPr>
      <w:r w:rsidRPr="00AB4303">
        <w:rPr>
          <w:b/>
        </w:rPr>
        <w:t xml:space="preserve">Recommendation 20: Children </w:t>
      </w:r>
      <w:proofErr w:type="gramStart"/>
      <w:r w:rsidRPr="00AB4303">
        <w:rPr>
          <w:b/>
        </w:rPr>
        <w:t>are informed</w:t>
      </w:r>
      <w:proofErr w:type="gramEnd"/>
      <w:r w:rsidRPr="00AB4303">
        <w:rPr>
          <w:b/>
        </w:rPr>
        <w:t xml:space="preserve"> of their rights in family law proceedings that affect them, including their right to be heard, in a manner appropriate to their age and maturity.</w:t>
      </w:r>
    </w:p>
    <w:p w14:paraId="383EC172" w14:textId="77777777" w:rsidR="00AB4303" w:rsidRPr="00AB4303" w:rsidRDefault="00AB4303" w:rsidP="00AB4303">
      <w:pPr>
        <w:pStyle w:val="SubmissionNormal"/>
        <w:rPr>
          <w:b/>
        </w:rPr>
      </w:pPr>
      <w:r w:rsidRPr="00AB4303">
        <w:rPr>
          <w:b/>
        </w:rPr>
        <w:t xml:space="preserve">Recommendation 21: Children </w:t>
      </w:r>
      <w:proofErr w:type="gramStart"/>
      <w:r w:rsidRPr="00AB4303">
        <w:rPr>
          <w:b/>
        </w:rPr>
        <w:t>are informed</w:t>
      </w:r>
      <w:proofErr w:type="gramEnd"/>
      <w:r w:rsidRPr="00AB4303">
        <w:rPr>
          <w:b/>
        </w:rPr>
        <w:t xml:space="preserve"> of decisions made in relation to parenting arrangements that affect them, in a manner appropriate to their age and maturity. </w:t>
      </w:r>
    </w:p>
    <w:p w14:paraId="32B002FE" w14:textId="77777777" w:rsidR="005D7014" w:rsidRDefault="006B6D88" w:rsidP="00081041">
      <w:pPr>
        <w:pStyle w:val="Heading2"/>
        <w:numPr>
          <w:ilvl w:val="1"/>
          <w:numId w:val="16"/>
        </w:numPr>
      </w:pPr>
      <w:bookmarkStart w:id="53" w:name="_Toc531787336"/>
      <w:r>
        <w:t xml:space="preserve">Making sure children are safe and supported when they </w:t>
      </w:r>
      <w:r w:rsidRPr="0023290A">
        <w:t>participate</w:t>
      </w:r>
      <w:r>
        <w:t xml:space="preserve"> in family law processes</w:t>
      </w:r>
      <w:bookmarkEnd w:id="53"/>
    </w:p>
    <w:p w14:paraId="256FAA1C" w14:textId="03E8B196" w:rsidR="00F90F11" w:rsidRDefault="00F90F11" w:rsidP="00230BE6">
      <w:pPr>
        <w:pStyle w:val="SubmissionNormal"/>
      </w:pPr>
      <w:r>
        <w:t>There is a dominant perception among family law practitioners that involving children in adversarial proceedings can be harmful for children.</w:t>
      </w:r>
      <w:r>
        <w:rPr>
          <w:rStyle w:val="EndnoteReference"/>
        </w:rPr>
        <w:endnoteReference w:id="161"/>
      </w:r>
      <w:r w:rsidRPr="00505DD2">
        <w:rPr>
          <w:sz w:val="13"/>
          <w:szCs w:val="13"/>
        </w:rPr>
        <w:t xml:space="preserve"> </w:t>
      </w:r>
      <w:r>
        <w:t>There are understandable concerns about protecting children from the stress of repeated engagement with the legal system and the desire to shield children and young people from familial conflict.</w:t>
      </w:r>
      <w:r>
        <w:rPr>
          <w:rStyle w:val="EndnoteReference"/>
        </w:rPr>
        <w:endnoteReference w:id="162"/>
      </w:r>
      <w:r w:rsidRPr="00505DD2">
        <w:rPr>
          <w:sz w:val="13"/>
          <w:szCs w:val="13"/>
        </w:rPr>
        <w:t xml:space="preserve"> </w:t>
      </w:r>
      <w:r w:rsidR="00173E6C">
        <w:t>The Commission recognises that t</w:t>
      </w:r>
      <w:r>
        <w:t xml:space="preserve">his approach seeks to limit children and young people’s interaction with court proceedings. </w:t>
      </w:r>
    </w:p>
    <w:p w14:paraId="47DDB3DC" w14:textId="50E40C45" w:rsidR="00F90F11" w:rsidRDefault="00F90F11" w:rsidP="00230BE6">
      <w:pPr>
        <w:pStyle w:val="SubmissionNormal"/>
      </w:pPr>
      <w:r>
        <w:t xml:space="preserve">While it is undoubtedly important to prevent children and young people from </w:t>
      </w:r>
      <w:proofErr w:type="gramStart"/>
      <w:r>
        <w:t>being traumatised</w:t>
      </w:r>
      <w:proofErr w:type="gramEnd"/>
      <w:r>
        <w:t xml:space="preserve"> through their interactions with the court, excluding children and young people from participation in the decision-making process does not protect them from the impact of Family Court proceedings, as they will ultimately be affected by the court’s decisions around living arrangements and contact orders. </w:t>
      </w:r>
    </w:p>
    <w:p w14:paraId="1F49E7E6" w14:textId="77777777" w:rsidR="00282411" w:rsidRPr="002E675E" w:rsidRDefault="00624C04" w:rsidP="00230BE6">
      <w:pPr>
        <w:pStyle w:val="SubmissionNormal"/>
      </w:pPr>
      <w:r>
        <w:rPr>
          <w:lang w:val="en"/>
        </w:rPr>
        <w:t>Some parents, professionals and judicial officers</w:t>
      </w:r>
      <w:r w:rsidR="00282411">
        <w:rPr>
          <w:lang w:val="en"/>
        </w:rPr>
        <w:t xml:space="preserve"> may also be conc</w:t>
      </w:r>
      <w:r>
        <w:rPr>
          <w:lang w:val="en"/>
        </w:rPr>
        <w:t>erned</w:t>
      </w:r>
      <w:r w:rsidR="00282411">
        <w:rPr>
          <w:lang w:val="en"/>
        </w:rPr>
        <w:t xml:space="preserve"> about placing a child in a position where they feel they are choosing which parent to live with. However, seeking the views of a child </w:t>
      </w:r>
      <w:r>
        <w:rPr>
          <w:lang w:val="en"/>
        </w:rPr>
        <w:t xml:space="preserve">should not require </w:t>
      </w:r>
      <w:r w:rsidR="00282411">
        <w:rPr>
          <w:lang w:val="en"/>
        </w:rPr>
        <w:t>children express a choice. Rather, it should provide them with an opportunity to express their feelings about their own family situation.</w:t>
      </w:r>
    </w:p>
    <w:p w14:paraId="71522863" w14:textId="77777777" w:rsidR="00282411" w:rsidRPr="002E675E" w:rsidRDefault="00624C04" w:rsidP="00230BE6">
      <w:pPr>
        <w:pStyle w:val="SubmissionNormal"/>
      </w:pPr>
      <w:r>
        <w:rPr>
          <w:lang w:val="en"/>
        </w:rPr>
        <w:t>Negative attitudes towards engaging</w:t>
      </w:r>
      <w:r w:rsidR="00282411" w:rsidRPr="00762E15">
        <w:rPr>
          <w:lang w:val="en"/>
        </w:rPr>
        <w:t xml:space="preserve"> children </w:t>
      </w:r>
      <w:proofErr w:type="gramStart"/>
      <w:r w:rsidR="00282411" w:rsidRPr="00762E15">
        <w:rPr>
          <w:lang w:val="en"/>
        </w:rPr>
        <w:t>are also influenced</w:t>
      </w:r>
      <w:proofErr w:type="gramEnd"/>
      <w:r w:rsidR="00282411" w:rsidRPr="00762E15">
        <w:rPr>
          <w:lang w:val="en"/>
        </w:rPr>
        <w:t xml:space="preserve"> by argume</w:t>
      </w:r>
      <w:r w:rsidR="000B0D2E">
        <w:rPr>
          <w:lang w:val="en"/>
        </w:rPr>
        <w:t xml:space="preserve">nts around age and competency. </w:t>
      </w:r>
      <w:r w:rsidR="00282411" w:rsidRPr="00762E15">
        <w:rPr>
          <w:lang w:val="en"/>
        </w:rPr>
        <w:t>Family law professionals are less likely to meet with younger children believing that they are incapable of forming their own opinions.</w:t>
      </w:r>
      <w:r w:rsidR="00282411">
        <w:rPr>
          <w:rStyle w:val="EndnoteReference"/>
          <w:lang w:val="en"/>
        </w:rPr>
        <w:endnoteReference w:id="163"/>
      </w:r>
      <w:r w:rsidR="00282411">
        <w:rPr>
          <w:lang w:val="en"/>
        </w:rPr>
        <w:t xml:space="preserve"> Obviously the older and more mature a child is, the greater their capacity will be to articulate their needs and give insights into the family situation. However,</w:t>
      </w:r>
      <w:r w:rsidR="00282411" w:rsidRPr="00762E15">
        <w:rPr>
          <w:lang w:val="en"/>
        </w:rPr>
        <w:t xml:space="preserve"> just b</w:t>
      </w:r>
      <w:r w:rsidR="00282411">
        <w:rPr>
          <w:lang w:val="en"/>
        </w:rPr>
        <w:t xml:space="preserve">ecause a child is young does not mean that we do not </w:t>
      </w:r>
      <w:r w:rsidR="00282411" w:rsidRPr="00762E15">
        <w:rPr>
          <w:lang w:val="en"/>
        </w:rPr>
        <w:t>have to ask them how</w:t>
      </w:r>
      <w:r w:rsidR="00282411">
        <w:rPr>
          <w:lang w:val="en"/>
        </w:rPr>
        <w:t xml:space="preserve"> they feel or what they think.</w:t>
      </w:r>
      <w:r w:rsidR="004402F9">
        <w:rPr>
          <w:lang w:val="en"/>
        </w:rPr>
        <w:t xml:space="preserve"> The focus should be on determining the children’s perspectives, not their ‘wishes’.</w:t>
      </w:r>
    </w:p>
    <w:p w14:paraId="77E442E4" w14:textId="06F2D4B4" w:rsidR="00282411" w:rsidRPr="00914650" w:rsidRDefault="00282411" w:rsidP="00230BE6">
      <w:pPr>
        <w:pStyle w:val="SubmissionNormal"/>
      </w:pPr>
      <w:r w:rsidRPr="00762E15">
        <w:rPr>
          <w:lang w:val="en"/>
        </w:rPr>
        <w:t xml:space="preserve">Family law professionals also express concern that children can be subject to parental coaching </w:t>
      </w:r>
      <w:r w:rsidR="00981794">
        <w:rPr>
          <w:lang w:val="en"/>
        </w:rPr>
        <w:t xml:space="preserve">and pressure </w:t>
      </w:r>
      <w:r w:rsidRPr="00762E15">
        <w:rPr>
          <w:lang w:val="en"/>
        </w:rPr>
        <w:t xml:space="preserve">which may distort their views. These attitudes might be justified in some instances. Some adults may manipulate their child’s voice to benefit their own case or </w:t>
      </w:r>
      <w:r>
        <w:rPr>
          <w:lang w:val="en"/>
        </w:rPr>
        <w:t>to denigrate the other parent.</w:t>
      </w:r>
      <w:r w:rsidR="00981794">
        <w:rPr>
          <w:rStyle w:val="EndnoteReference"/>
          <w:lang w:val="en"/>
        </w:rPr>
        <w:endnoteReference w:id="164"/>
      </w:r>
      <w:r>
        <w:rPr>
          <w:lang w:val="en"/>
        </w:rPr>
        <w:t xml:space="preserve"> </w:t>
      </w:r>
    </w:p>
    <w:p w14:paraId="0AE71872" w14:textId="77777777" w:rsidR="00282411" w:rsidRPr="00AB6176" w:rsidRDefault="00282411" w:rsidP="00230BE6">
      <w:pPr>
        <w:pStyle w:val="SubmissionNormal"/>
      </w:pPr>
      <w:r>
        <w:rPr>
          <w:lang w:val="en"/>
        </w:rPr>
        <w:t xml:space="preserve">While </w:t>
      </w:r>
      <w:r w:rsidR="004402F9">
        <w:rPr>
          <w:lang w:val="en"/>
        </w:rPr>
        <w:t xml:space="preserve">these </w:t>
      </w:r>
      <w:r>
        <w:rPr>
          <w:lang w:val="en"/>
        </w:rPr>
        <w:t xml:space="preserve">concerns are understandable, many of these types of issues </w:t>
      </w:r>
      <w:proofErr w:type="gramStart"/>
      <w:r>
        <w:rPr>
          <w:lang w:val="en"/>
        </w:rPr>
        <w:t>can be overcome</w:t>
      </w:r>
      <w:proofErr w:type="gramEnd"/>
      <w:r>
        <w:rPr>
          <w:lang w:val="en"/>
        </w:rPr>
        <w:t xml:space="preserve"> with the assistance of appropriately trained counsellors who can focus on the children’s insights into their family and their needs.</w:t>
      </w:r>
    </w:p>
    <w:p w14:paraId="5EA18B61" w14:textId="77777777" w:rsidR="003C36BF" w:rsidRPr="003C36BF" w:rsidRDefault="003C7101" w:rsidP="00230BE6">
      <w:pPr>
        <w:pStyle w:val="SubmissionNormal"/>
      </w:pPr>
      <w:r w:rsidRPr="003C7101">
        <w:rPr>
          <w:rStyle w:val="Strong"/>
          <w:b w:val="0"/>
          <w:lang w:val="en"/>
        </w:rPr>
        <w:t>It is also important to c</w:t>
      </w:r>
      <w:r w:rsidR="00867C57">
        <w:rPr>
          <w:rStyle w:val="Strong"/>
          <w:b w:val="0"/>
          <w:lang w:val="en"/>
        </w:rPr>
        <w:t>reate</w:t>
      </w:r>
      <w:r w:rsidRPr="003C7101">
        <w:rPr>
          <w:rStyle w:val="Strong"/>
          <w:b w:val="0"/>
          <w:lang w:val="en"/>
        </w:rPr>
        <w:t xml:space="preserve"> suitable environments for children to be heard, where they</w:t>
      </w:r>
      <w:r w:rsidR="00867C57">
        <w:rPr>
          <w:rStyle w:val="Strong"/>
          <w:b w:val="0"/>
          <w:lang w:val="en"/>
        </w:rPr>
        <w:t xml:space="preserve"> can feel safe, and confident that their </w:t>
      </w:r>
      <w:r w:rsidRPr="003C7101">
        <w:rPr>
          <w:rStyle w:val="Strong"/>
          <w:b w:val="0"/>
          <w:lang w:val="en"/>
        </w:rPr>
        <w:t>wishes are respected by the adults making decisions that concern them</w:t>
      </w:r>
      <w:r>
        <w:rPr>
          <w:rStyle w:val="Strong"/>
          <w:lang w:val="en"/>
        </w:rPr>
        <w:t>.</w:t>
      </w:r>
      <w:r>
        <w:rPr>
          <w:lang w:val="en"/>
        </w:rPr>
        <w:t xml:space="preserve"> </w:t>
      </w:r>
    </w:p>
    <w:p w14:paraId="766CEA64" w14:textId="1213E17D" w:rsidR="003C36BF" w:rsidRPr="009E177E" w:rsidRDefault="00124D81" w:rsidP="003C36BF">
      <w:pPr>
        <w:pStyle w:val="SubmissionNormal"/>
        <w:rPr>
          <w:lang w:val="en"/>
        </w:rPr>
      </w:pPr>
      <w:r>
        <w:rPr>
          <w:rFonts w:cs="Arial"/>
        </w:rPr>
        <w:t>I</w:t>
      </w:r>
      <w:r w:rsidRPr="009E177E">
        <w:rPr>
          <w:rFonts w:cs="Arial"/>
        </w:rPr>
        <w:t xml:space="preserve">n </w:t>
      </w:r>
      <w:r>
        <w:rPr>
          <w:rFonts w:cs="Arial"/>
        </w:rPr>
        <w:t xml:space="preserve">its </w:t>
      </w:r>
      <w:r w:rsidRPr="009E177E">
        <w:rPr>
          <w:rFonts w:cs="Arial"/>
        </w:rPr>
        <w:t>General Comment on article 12</w:t>
      </w:r>
      <w:r>
        <w:rPr>
          <w:rFonts w:cs="Arial"/>
        </w:rPr>
        <w:t>, t</w:t>
      </w:r>
      <w:r w:rsidR="003C36BF" w:rsidRPr="009E177E">
        <w:rPr>
          <w:rFonts w:cs="Arial"/>
        </w:rPr>
        <w:t xml:space="preserve">he UN Committee on the Rights of the Child </w:t>
      </w:r>
      <w:r w:rsidRPr="009E177E">
        <w:rPr>
          <w:rFonts w:cs="Arial"/>
        </w:rPr>
        <w:t>state</w:t>
      </w:r>
      <w:r>
        <w:rPr>
          <w:rFonts w:cs="Arial"/>
        </w:rPr>
        <w:t>d</w:t>
      </w:r>
      <w:r w:rsidR="003C36BF" w:rsidRPr="009E177E">
        <w:rPr>
          <w:rFonts w:cs="Arial"/>
        </w:rPr>
        <w:t>:</w:t>
      </w:r>
    </w:p>
    <w:p w14:paraId="4B68FC95" w14:textId="77777777" w:rsidR="003C36BF" w:rsidRPr="009E177E" w:rsidRDefault="003C36BF" w:rsidP="003C36BF">
      <w:pPr>
        <w:autoSpaceDE w:val="0"/>
        <w:autoSpaceDN w:val="0"/>
        <w:adjustRightInd w:val="0"/>
        <w:spacing w:before="0" w:after="0"/>
        <w:ind w:left="1440"/>
        <w:jc w:val="both"/>
        <w:rPr>
          <w:rFonts w:eastAsia="Times New Roman" w:cs="Arial"/>
          <w:sz w:val="22"/>
          <w:szCs w:val="22"/>
        </w:rPr>
      </w:pPr>
      <w:r w:rsidRPr="009E177E">
        <w:rPr>
          <w:rFonts w:eastAsia="Times New Roman" w:cs="Arial"/>
          <w:sz w:val="22"/>
          <w:szCs w:val="22"/>
        </w:rPr>
        <w:t>A child cannot be heard effectively where the environment is intimidating,</w:t>
      </w:r>
    </w:p>
    <w:p w14:paraId="15AEBC85" w14:textId="77777777" w:rsidR="003C36BF" w:rsidRPr="009E177E" w:rsidRDefault="003C36BF" w:rsidP="003C36BF">
      <w:pPr>
        <w:autoSpaceDE w:val="0"/>
        <w:autoSpaceDN w:val="0"/>
        <w:adjustRightInd w:val="0"/>
        <w:spacing w:before="0" w:after="0"/>
        <w:ind w:left="1440"/>
        <w:jc w:val="both"/>
        <w:rPr>
          <w:rFonts w:eastAsia="Times New Roman" w:cs="Arial"/>
          <w:sz w:val="22"/>
          <w:szCs w:val="22"/>
        </w:rPr>
      </w:pPr>
      <w:proofErr w:type="gramStart"/>
      <w:r w:rsidRPr="009E177E">
        <w:rPr>
          <w:rFonts w:eastAsia="Times New Roman" w:cs="Arial"/>
          <w:sz w:val="22"/>
          <w:szCs w:val="22"/>
        </w:rPr>
        <w:t>hostile</w:t>
      </w:r>
      <w:proofErr w:type="gramEnd"/>
      <w:r w:rsidRPr="009E177E">
        <w:rPr>
          <w:rFonts w:eastAsia="Times New Roman" w:cs="Arial"/>
          <w:sz w:val="22"/>
          <w:szCs w:val="22"/>
        </w:rPr>
        <w:t>, insensitive or inappropriate for her or his age. Proceedings must be both</w:t>
      </w:r>
    </w:p>
    <w:p w14:paraId="6B82EC5E" w14:textId="77777777" w:rsidR="003C36BF" w:rsidRPr="009E177E" w:rsidRDefault="003C36BF" w:rsidP="003C36BF">
      <w:pPr>
        <w:autoSpaceDE w:val="0"/>
        <w:autoSpaceDN w:val="0"/>
        <w:adjustRightInd w:val="0"/>
        <w:spacing w:before="0" w:after="0"/>
        <w:ind w:left="1440"/>
        <w:jc w:val="both"/>
        <w:rPr>
          <w:rFonts w:eastAsia="Times New Roman" w:cs="Arial"/>
          <w:sz w:val="22"/>
          <w:szCs w:val="22"/>
        </w:rPr>
      </w:pPr>
      <w:proofErr w:type="gramStart"/>
      <w:r w:rsidRPr="009E177E">
        <w:rPr>
          <w:rFonts w:eastAsia="Times New Roman" w:cs="Arial"/>
          <w:sz w:val="22"/>
          <w:szCs w:val="22"/>
        </w:rPr>
        <w:t>accessible</w:t>
      </w:r>
      <w:proofErr w:type="gramEnd"/>
      <w:r w:rsidRPr="009E177E">
        <w:rPr>
          <w:rFonts w:eastAsia="Times New Roman" w:cs="Arial"/>
          <w:sz w:val="22"/>
          <w:szCs w:val="22"/>
        </w:rPr>
        <w:t xml:space="preserve"> and child-appropriate. Particular attention ne</w:t>
      </w:r>
      <w:r>
        <w:rPr>
          <w:rFonts w:eastAsia="Times New Roman" w:cs="Arial"/>
          <w:sz w:val="22"/>
          <w:szCs w:val="22"/>
        </w:rPr>
        <w:t xml:space="preserve">eds to be paid to the provision </w:t>
      </w:r>
      <w:r w:rsidRPr="009E177E">
        <w:rPr>
          <w:rFonts w:eastAsia="Times New Roman" w:cs="Arial"/>
          <w:sz w:val="22"/>
          <w:szCs w:val="22"/>
        </w:rPr>
        <w:t>and delivery of child-friendly information, adeq</w:t>
      </w:r>
      <w:r>
        <w:rPr>
          <w:rFonts w:eastAsia="Times New Roman" w:cs="Arial"/>
          <w:sz w:val="22"/>
          <w:szCs w:val="22"/>
        </w:rPr>
        <w:t xml:space="preserve">uate support for self-advocacy, </w:t>
      </w:r>
      <w:r w:rsidRPr="009E177E">
        <w:rPr>
          <w:rFonts w:eastAsia="Times New Roman" w:cs="Arial"/>
          <w:sz w:val="22"/>
          <w:szCs w:val="22"/>
        </w:rPr>
        <w:t>appropriately trained staff, design of court rooms, clothing of judges and lawyers, sightscreens, and separate waiting rooms.</w:t>
      </w:r>
      <w:r w:rsidRPr="00453254">
        <w:rPr>
          <w:rStyle w:val="EndnoteReference"/>
          <w:rFonts w:eastAsia="Times New Roman" w:cs="Arial"/>
          <w:szCs w:val="22"/>
        </w:rPr>
        <w:endnoteReference w:id="165"/>
      </w:r>
    </w:p>
    <w:p w14:paraId="18B2B8E1" w14:textId="77777777" w:rsidR="003C7101" w:rsidRPr="003C7101" w:rsidRDefault="003C7101" w:rsidP="00230BE6">
      <w:pPr>
        <w:pStyle w:val="SubmissionNormal"/>
      </w:pPr>
      <w:r>
        <w:rPr>
          <w:lang w:val="en"/>
        </w:rPr>
        <w:t xml:space="preserve">This </w:t>
      </w:r>
      <w:r w:rsidR="000B0D2E">
        <w:rPr>
          <w:lang w:val="en"/>
        </w:rPr>
        <w:t>means putting children’s voices to the forefront</w:t>
      </w:r>
      <w:r>
        <w:rPr>
          <w:lang w:val="en"/>
        </w:rPr>
        <w:t>, and providing safe and appropriate spaces where children of varied ages and backgrounds can express their views freely.</w:t>
      </w:r>
    </w:p>
    <w:p w14:paraId="1B6B446A" w14:textId="34E09F00" w:rsidR="003C7101" w:rsidRPr="003C7101" w:rsidRDefault="003C7101" w:rsidP="00230BE6">
      <w:pPr>
        <w:pStyle w:val="SubmissionNormal"/>
      </w:pPr>
      <w:r>
        <w:rPr>
          <w:lang w:val="en"/>
        </w:rPr>
        <w:t xml:space="preserve">This is especially important </w:t>
      </w:r>
      <w:r w:rsidR="006E34D0">
        <w:rPr>
          <w:lang w:val="en"/>
        </w:rPr>
        <w:t xml:space="preserve">for Aboriginal and Torres Strait Islander </w:t>
      </w:r>
      <w:r>
        <w:rPr>
          <w:lang w:val="en"/>
        </w:rPr>
        <w:t>children</w:t>
      </w:r>
      <w:r w:rsidR="006E34D0">
        <w:rPr>
          <w:lang w:val="en"/>
        </w:rPr>
        <w:t xml:space="preserve">, children from culturally and linguistically diverse backgrounds, children </w:t>
      </w:r>
      <w:r>
        <w:rPr>
          <w:lang w:val="en"/>
        </w:rPr>
        <w:t>with disabilities and other vulnerable children who can face additional barriers to expressing their views.</w:t>
      </w:r>
      <w:r w:rsidR="006E34D0" w:rsidRPr="006E34D0">
        <w:rPr>
          <w:lang w:val="en"/>
        </w:rPr>
        <w:t xml:space="preserve"> </w:t>
      </w:r>
      <w:r w:rsidR="006E34D0">
        <w:rPr>
          <w:lang w:val="en"/>
        </w:rPr>
        <w:t>Specifically in relation to children with disabilities,</w:t>
      </w:r>
      <w:r>
        <w:rPr>
          <w:lang w:val="en"/>
        </w:rPr>
        <w:t xml:space="preserve"> the UN Committee </w:t>
      </w:r>
      <w:r w:rsidR="000B0D2E">
        <w:rPr>
          <w:lang w:val="en"/>
        </w:rPr>
        <w:t xml:space="preserve">on the Rights of the Child </w:t>
      </w:r>
      <w:r>
        <w:rPr>
          <w:lang w:val="en"/>
        </w:rPr>
        <w:t xml:space="preserve">has advised that: </w:t>
      </w:r>
    </w:p>
    <w:p w14:paraId="7D2C6494" w14:textId="77777777" w:rsidR="003C7101" w:rsidRPr="003C7101" w:rsidRDefault="003C7101" w:rsidP="003C7101">
      <w:pPr>
        <w:ind w:left="1440"/>
        <w:rPr>
          <w:i/>
          <w:sz w:val="22"/>
          <w:szCs w:val="22"/>
        </w:rPr>
      </w:pPr>
      <w:r w:rsidRPr="003C7101">
        <w:rPr>
          <w:rStyle w:val="Emphasis"/>
          <w:i w:val="0"/>
          <w:sz w:val="22"/>
          <w:szCs w:val="22"/>
          <w:lang w:val="en"/>
        </w:rPr>
        <w:t xml:space="preserve">Children with disabilities should be equipped with, and enabled to use, any mode of communication necessary to facilitate the expression of their views. Efforts </w:t>
      </w:r>
      <w:proofErr w:type="gramStart"/>
      <w:r w:rsidRPr="003C7101">
        <w:rPr>
          <w:rStyle w:val="Emphasis"/>
          <w:i w:val="0"/>
          <w:sz w:val="22"/>
          <w:szCs w:val="22"/>
          <w:lang w:val="en"/>
        </w:rPr>
        <w:t>must also be made</w:t>
      </w:r>
      <w:proofErr w:type="gramEnd"/>
      <w:r w:rsidRPr="003C7101">
        <w:rPr>
          <w:rStyle w:val="Emphasis"/>
          <w:i w:val="0"/>
          <w:sz w:val="22"/>
          <w:szCs w:val="22"/>
          <w:lang w:val="en"/>
        </w:rPr>
        <w:t xml:space="preserve"> to </w:t>
      </w:r>
      <w:proofErr w:type="spellStart"/>
      <w:r w:rsidRPr="003C7101">
        <w:rPr>
          <w:rStyle w:val="Emphasis"/>
          <w:i w:val="0"/>
          <w:sz w:val="22"/>
          <w:szCs w:val="22"/>
          <w:lang w:val="en"/>
        </w:rPr>
        <w:t>recognise</w:t>
      </w:r>
      <w:proofErr w:type="spellEnd"/>
      <w:r w:rsidRPr="003C7101">
        <w:rPr>
          <w:rStyle w:val="Emphasis"/>
          <w:i w:val="0"/>
          <w:sz w:val="22"/>
          <w:szCs w:val="22"/>
          <w:lang w:val="en"/>
        </w:rPr>
        <w:t xml:space="preserve"> the right to expression of views for minority, Indigenous and migrant children and other children who do not speak the majority language.</w:t>
      </w:r>
      <w:r>
        <w:rPr>
          <w:rStyle w:val="EndnoteReference"/>
          <w:iCs/>
          <w:szCs w:val="22"/>
          <w:lang w:val="en"/>
        </w:rPr>
        <w:endnoteReference w:id="166"/>
      </w:r>
    </w:p>
    <w:p w14:paraId="2B1B8C4F" w14:textId="77777777" w:rsidR="00AB6176" w:rsidRPr="002E675E" w:rsidRDefault="003C7101" w:rsidP="00230BE6">
      <w:pPr>
        <w:pStyle w:val="SubmissionNormal"/>
      </w:pPr>
      <w:r>
        <w:rPr>
          <w:lang w:val="en"/>
        </w:rPr>
        <w:t>For at</w:t>
      </w:r>
      <w:r w:rsidR="00081041">
        <w:rPr>
          <w:lang w:val="en"/>
        </w:rPr>
        <w:t>-</w:t>
      </w:r>
      <w:r>
        <w:rPr>
          <w:lang w:val="en"/>
        </w:rPr>
        <w:t>risk children, it is especially important that child welfare professionals be engaged to facilitate interviews or mediation processes</w:t>
      </w:r>
      <w:r w:rsidR="00867C57">
        <w:rPr>
          <w:lang w:val="en"/>
        </w:rPr>
        <w:t>.</w:t>
      </w:r>
    </w:p>
    <w:p w14:paraId="5AE286FE" w14:textId="06271C1B" w:rsidR="00791DD9" w:rsidRDefault="000B0D2E" w:rsidP="00230BE6">
      <w:pPr>
        <w:pStyle w:val="SubmissionNormal"/>
      </w:pPr>
      <w:r>
        <w:t xml:space="preserve">Ensuring </w:t>
      </w:r>
      <w:r w:rsidR="00651080">
        <w:t>children can express thei</w:t>
      </w:r>
      <w:r w:rsidR="004402F9">
        <w:t>r views not only realises</w:t>
      </w:r>
      <w:r w:rsidR="00651080">
        <w:t xml:space="preserve"> t</w:t>
      </w:r>
      <w:r w:rsidR="004402F9">
        <w:t>heir rights under</w:t>
      </w:r>
      <w:r w:rsidR="00651080">
        <w:t xml:space="preserve"> the CRC, it can also have</w:t>
      </w:r>
      <w:r w:rsidR="004402F9">
        <w:t xml:space="preserve"> concrete benefits for children and their families</w:t>
      </w:r>
      <w:r w:rsidR="00651080">
        <w:t>. Hearing from children in a dispute can shift the adversarial position of parents and bring about a peaceful settlement. There is also therapeutic value in giving children a say</w:t>
      </w:r>
      <w:r w:rsidR="00124D81">
        <w:t>,</w:t>
      </w:r>
      <w:r w:rsidR="00651080">
        <w:t xml:space="preserve"> because it empowers them to have a greater sense of control over their own lives. </w:t>
      </w:r>
      <w:r w:rsidR="00F90F11">
        <w:t xml:space="preserve">Studies consistently show that </w:t>
      </w:r>
      <w:r w:rsidR="00651080">
        <w:t>p</w:t>
      </w:r>
      <w:r w:rsidR="00F90F11">
        <w:t>roviding children and young people with the opportunity to make their thoughts and preferences known in court</w:t>
      </w:r>
      <w:r w:rsidR="00F82164">
        <w:t xml:space="preserve"> proceedings helps ensure they u</w:t>
      </w:r>
      <w:r w:rsidR="00F90F11">
        <w:t>nderstand final decisions around living arrangements and contact with parents</w:t>
      </w:r>
      <w:r w:rsidR="00F90F11">
        <w:rPr>
          <w:rStyle w:val="EndnoteReference"/>
        </w:rPr>
        <w:endnoteReference w:id="167"/>
      </w:r>
      <w:r w:rsidR="00F90F11" w:rsidRPr="00651080">
        <w:rPr>
          <w:sz w:val="13"/>
          <w:szCs w:val="13"/>
        </w:rPr>
        <w:t xml:space="preserve"> </w:t>
      </w:r>
      <w:r w:rsidR="00F90F11">
        <w:t>and contributes to their overall psychological wellbeing.</w:t>
      </w:r>
      <w:r w:rsidR="00F90F11">
        <w:rPr>
          <w:rStyle w:val="EndnoteReference"/>
        </w:rPr>
        <w:endnoteReference w:id="168"/>
      </w:r>
      <w:r w:rsidR="00F90F11" w:rsidRPr="00651080">
        <w:rPr>
          <w:sz w:val="13"/>
          <w:szCs w:val="13"/>
        </w:rPr>
        <w:t xml:space="preserve"> </w:t>
      </w:r>
      <w:r w:rsidR="00F90F11">
        <w:t>Research also indicates that the more heated and contested the matter, the more likely children and young people are to want to have their ideas and opinions heard.</w:t>
      </w:r>
      <w:r w:rsidR="00F90F11">
        <w:rPr>
          <w:rStyle w:val="EndnoteReference"/>
        </w:rPr>
        <w:endnoteReference w:id="169"/>
      </w:r>
    </w:p>
    <w:p w14:paraId="3F61A560" w14:textId="77777777" w:rsidR="00635A16" w:rsidRDefault="000B0D2E" w:rsidP="00230BE6">
      <w:pPr>
        <w:pStyle w:val="SubmissionNormal"/>
      </w:pPr>
      <w:r>
        <w:t>In contrast, n</w:t>
      </w:r>
      <w:r w:rsidR="00635A16">
        <w:t xml:space="preserve">ot enabling children to participate can have negative implications. For example, children who </w:t>
      </w:r>
      <w:proofErr w:type="gramStart"/>
      <w:r w:rsidR="00635A16">
        <w:t>have been excluded</w:t>
      </w:r>
      <w:proofErr w:type="gramEnd"/>
      <w:r w:rsidR="00635A16">
        <w:t xml:space="preserve"> from mediation processes have said that being kept out of the decision-making process left them feeling ‘cranky and upset’, ‘angry’, ‘horrible’, ‘sad and bad’, ‘frustrated’, ‘an outsider’ and ‘left in the dark’.</w:t>
      </w:r>
      <w:r w:rsidR="00635A16">
        <w:rPr>
          <w:rStyle w:val="EndnoteReference"/>
        </w:rPr>
        <w:endnoteReference w:id="170"/>
      </w:r>
    </w:p>
    <w:p w14:paraId="20122B52" w14:textId="77777777" w:rsidR="00B34946" w:rsidRDefault="006B6D88" w:rsidP="00081041">
      <w:pPr>
        <w:pStyle w:val="Heading2"/>
        <w:numPr>
          <w:ilvl w:val="1"/>
          <w:numId w:val="16"/>
        </w:numPr>
      </w:pPr>
      <w:bookmarkStart w:id="54" w:name="_Toc531787337"/>
      <w:r>
        <w:t xml:space="preserve">Learning </w:t>
      </w:r>
      <w:r w:rsidRPr="00DC0538">
        <w:t>from</w:t>
      </w:r>
      <w:r>
        <w:t xml:space="preserve"> </w:t>
      </w:r>
      <w:r w:rsidRPr="000B0D2E">
        <w:t>c</w:t>
      </w:r>
      <w:r w:rsidR="00A83E8B" w:rsidRPr="000B0D2E">
        <w:t>hildren</w:t>
      </w:r>
      <w:r>
        <w:t xml:space="preserve"> and young people</w:t>
      </w:r>
      <w:bookmarkEnd w:id="54"/>
    </w:p>
    <w:p w14:paraId="74149B4A" w14:textId="77777777" w:rsidR="000F3AA2" w:rsidRDefault="00635A16" w:rsidP="00230BE6">
      <w:pPr>
        <w:pStyle w:val="SubmissionNormal"/>
      </w:pPr>
      <w:r>
        <w:t>Since her appointment in 201</w:t>
      </w:r>
      <w:r w:rsidR="00AB6176">
        <w:t>3, the National Children’s Commissioner h</w:t>
      </w:r>
      <w:r w:rsidR="00DD43F9">
        <w:t>as heard from a number of childr</w:t>
      </w:r>
      <w:r w:rsidR="00AB6176">
        <w:t xml:space="preserve">en about the importance of being heard, not just in family law </w:t>
      </w:r>
      <w:proofErr w:type="gramStart"/>
      <w:r w:rsidR="00AB6176">
        <w:t>but</w:t>
      </w:r>
      <w:proofErr w:type="gramEnd"/>
      <w:r w:rsidR="00AB6176">
        <w:t xml:space="preserve"> more </w:t>
      </w:r>
      <w:r w:rsidR="00DD43F9">
        <w:t>broadly. In her li</w:t>
      </w:r>
      <w:r w:rsidR="00AB6176">
        <w:t>stening tour, called the Big Banter, she met face-to</w:t>
      </w:r>
      <w:r w:rsidR="00DD43F9">
        <w:t>-face with over 1000 child</w:t>
      </w:r>
      <w:r w:rsidR="00AB6176">
        <w:t>ren and heard from over 1300 chi</w:t>
      </w:r>
      <w:r w:rsidR="00DD43F9">
        <w:t>ld</w:t>
      </w:r>
      <w:r w:rsidR="00AB6176">
        <w:t>ren through an online survey or through the post.</w:t>
      </w:r>
      <w:r w:rsidR="00453254">
        <w:rPr>
          <w:rStyle w:val="EndnoteReference"/>
        </w:rPr>
        <w:endnoteReference w:id="171"/>
      </w:r>
      <w:r w:rsidR="00AB6176">
        <w:t xml:space="preserve"> Many of these children from a variety of ages and backgrounds told her</w:t>
      </w:r>
      <w:r w:rsidR="00DD43F9">
        <w:t xml:space="preserve"> that they wanted a say in </w:t>
      </w:r>
      <w:proofErr w:type="gramStart"/>
      <w:r w:rsidR="00DD43F9">
        <w:t>decis</w:t>
      </w:r>
      <w:r w:rsidR="00AB6176">
        <w:t>ions which affected them</w:t>
      </w:r>
      <w:proofErr w:type="gramEnd"/>
      <w:r w:rsidR="00AB6176">
        <w:t xml:space="preserve"> and to be taken seriously.</w:t>
      </w:r>
    </w:p>
    <w:p w14:paraId="5596500E" w14:textId="77777777" w:rsidR="000F3AA2" w:rsidRDefault="00AB6176" w:rsidP="00230BE6">
      <w:pPr>
        <w:pStyle w:val="SubmissionNormal"/>
      </w:pPr>
      <w:r>
        <w:t xml:space="preserve">The Commissioner has </w:t>
      </w:r>
      <w:r w:rsidR="00DD43F9">
        <w:t xml:space="preserve">also heard directly from a number of children and young people affected by the separation of their families, with experience of the family law system. </w:t>
      </w:r>
      <w:r w:rsidR="000F3AA2">
        <w:t>The following represents some of the main issu</w:t>
      </w:r>
      <w:r w:rsidR="00273DBA">
        <w:t>es raised by a group of</w:t>
      </w:r>
      <w:r w:rsidR="000F3AA2">
        <w:t xml:space="preserve"> children </w:t>
      </w:r>
      <w:r w:rsidR="00273DBA">
        <w:t xml:space="preserve">in 2017, </w:t>
      </w:r>
      <w:r w:rsidR="000F3AA2">
        <w:t>in relation to their experiences:</w:t>
      </w:r>
    </w:p>
    <w:p w14:paraId="028A11C4" w14:textId="492E994F" w:rsidR="00BE5AD0" w:rsidRDefault="000F3AA2" w:rsidP="004A30A4">
      <w:pPr>
        <w:pStyle w:val="ListParagraph"/>
        <w:numPr>
          <w:ilvl w:val="0"/>
          <w:numId w:val="21"/>
        </w:numPr>
      </w:pPr>
      <w:r>
        <w:t xml:space="preserve">They felt that children </w:t>
      </w:r>
      <w:proofErr w:type="gramStart"/>
      <w:r>
        <w:t>were not</w:t>
      </w:r>
      <w:r w:rsidR="00BE5AD0">
        <w:t xml:space="preserve"> believed</w:t>
      </w:r>
      <w:proofErr w:type="gramEnd"/>
      <w:r w:rsidR="00BE5AD0">
        <w:t>, and that an adult’s word is taken over theirs</w:t>
      </w:r>
      <w:r w:rsidR="00124D81">
        <w:t>.</w:t>
      </w:r>
      <w:r w:rsidR="00BE5AD0">
        <w:t xml:space="preserve"> </w:t>
      </w:r>
    </w:p>
    <w:p w14:paraId="05D8362B" w14:textId="42EE982F" w:rsidR="000F3AA2" w:rsidRDefault="000F3AA2" w:rsidP="004A30A4">
      <w:pPr>
        <w:pStyle w:val="ListParagraph"/>
        <w:numPr>
          <w:ilvl w:val="0"/>
          <w:numId w:val="21"/>
        </w:numPr>
      </w:pPr>
      <w:r>
        <w:t>They felt that court processes and how they</w:t>
      </w:r>
      <w:r w:rsidR="00BE5AD0">
        <w:t xml:space="preserve"> could participate </w:t>
      </w:r>
      <w:proofErr w:type="gramStart"/>
      <w:r w:rsidR="00BE5AD0">
        <w:t>we</w:t>
      </w:r>
      <w:r>
        <w:t>re not properly explained</w:t>
      </w:r>
      <w:proofErr w:type="gramEnd"/>
      <w:r>
        <w:t xml:space="preserve"> to them</w:t>
      </w:r>
      <w:r w:rsidR="00124D81">
        <w:t>.</w:t>
      </w:r>
      <w:r w:rsidR="00BE5AD0">
        <w:t xml:space="preserve"> </w:t>
      </w:r>
    </w:p>
    <w:p w14:paraId="52A2B84F" w14:textId="250639D2" w:rsidR="000F3AA2" w:rsidRDefault="000F3AA2" w:rsidP="004A30A4">
      <w:pPr>
        <w:pStyle w:val="ListParagraph"/>
        <w:numPr>
          <w:ilvl w:val="0"/>
          <w:numId w:val="21"/>
        </w:numPr>
      </w:pPr>
      <w:r>
        <w:t xml:space="preserve">They felt they had no rights and their </w:t>
      </w:r>
      <w:r w:rsidR="00BE5AD0">
        <w:t xml:space="preserve">voice </w:t>
      </w:r>
      <w:proofErr w:type="gramStart"/>
      <w:r w:rsidR="00BE5AD0">
        <w:t>wasn’t</w:t>
      </w:r>
      <w:proofErr w:type="gramEnd"/>
      <w:r w:rsidR="00BE5AD0">
        <w:t xml:space="preserve"> important</w:t>
      </w:r>
      <w:r w:rsidR="00124D81">
        <w:t>.</w:t>
      </w:r>
      <w:r w:rsidR="00BE5AD0">
        <w:t xml:space="preserve"> </w:t>
      </w:r>
    </w:p>
    <w:p w14:paraId="4785915F" w14:textId="53C69BE1" w:rsidR="008F5B16" w:rsidRDefault="000F3AA2" w:rsidP="004A30A4">
      <w:pPr>
        <w:pStyle w:val="ListParagraph"/>
        <w:numPr>
          <w:ilvl w:val="0"/>
          <w:numId w:val="21"/>
        </w:numPr>
      </w:pPr>
      <w:r>
        <w:t xml:space="preserve">Their </w:t>
      </w:r>
      <w:r w:rsidR="000B0D2E">
        <w:t xml:space="preserve">ICLs </w:t>
      </w:r>
      <w:r>
        <w:t>did not contact them or ask them for their</w:t>
      </w:r>
      <w:r w:rsidR="00BE5AD0">
        <w:t xml:space="preserve"> views</w:t>
      </w:r>
      <w:r w:rsidR="00124D81">
        <w:t>.</w:t>
      </w:r>
      <w:r w:rsidR="00BE5AD0">
        <w:t xml:space="preserve"> </w:t>
      </w:r>
    </w:p>
    <w:p w14:paraId="6A26BC88" w14:textId="5E409AE0" w:rsidR="00273DBA" w:rsidRDefault="008F5B16" w:rsidP="004A30A4">
      <w:pPr>
        <w:pStyle w:val="ListParagraph"/>
        <w:numPr>
          <w:ilvl w:val="0"/>
          <w:numId w:val="21"/>
        </w:numPr>
      </w:pPr>
      <w:r>
        <w:t>They felt that b</w:t>
      </w:r>
      <w:r w:rsidR="00BE5AD0">
        <w:t>eing involved with courts over many y</w:t>
      </w:r>
      <w:r w:rsidR="00E4641A">
        <w:t xml:space="preserve">ears is </w:t>
      </w:r>
      <w:proofErr w:type="gramStart"/>
      <w:r w:rsidR="00E4641A">
        <w:t>really bad</w:t>
      </w:r>
      <w:proofErr w:type="gramEnd"/>
      <w:r w:rsidR="00E4641A">
        <w:t xml:space="preserve"> for children</w:t>
      </w:r>
      <w:r w:rsidR="00124D81">
        <w:t>.</w:t>
      </w:r>
    </w:p>
    <w:p w14:paraId="6B1B9122" w14:textId="4159DFA2" w:rsidR="00273DBA" w:rsidRPr="00273DBA" w:rsidRDefault="00273DBA" w:rsidP="004A30A4">
      <w:pPr>
        <w:pStyle w:val="ListParagraph"/>
        <w:numPr>
          <w:ilvl w:val="0"/>
          <w:numId w:val="21"/>
        </w:numPr>
      </w:pPr>
      <w:r>
        <w:t>They thought that c</w:t>
      </w:r>
      <w:r w:rsidRPr="00273DBA">
        <w:t xml:space="preserve">hildren </w:t>
      </w:r>
      <w:proofErr w:type="gramStart"/>
      <w:r w:rsidRPr="00273DBA">
        <w:t>shouldn’t</w:t>
      </w:r>
      <w:proofErr w:type="gramEnd"/>
      <w:r w:rsidRPr="00273DBA">
        <w:t xml:space="preserve"> have to live or have contact with someone they are scared will hurt them</w:t>
      </w:r>
      <w:r w:rsidR="00124D81">
        <w:t>.</w:t>
      </w:r>
      <w:r w:rsidRPr="00273DBA">
        <w:t xml:space="preserve"> </w:t>
      </w:r>
    </w:p>
    <w:p w14:paraId="1B9BBC7D" w14:textId="0200266D" w:rsidR="00273DBA" w:rsidRDefault="00273DBA" w:rsidP="004A30A4">
      <w:pPr>
        <w:pStyle w:val="ListParagraph"/>
        <w:numPr>
          <w:ilvl w:val="0"/>
          <w:numId w:val="21"/>
        </w:numPr>
      </w:pPr>
      <w:r>
        <w:t xml:space="preserve">Some children feel unsafe and </w:t>
      </w:r>
      <w:proofErr w:type="gramStart"/>
      <w:r>
        <w:t>don’t</w:t>
      </w:r>
      <w:proofErr w:type="gramEnd"/>
      <w:r>
        <w:t xml:space="preserve"> want to go to contact visits</w:t>
      </w:r>
      <w:r w:rsidR="00124D81">
        <w:t>.</w:t>
      </w:r>
      <w:r>
        <w:t xml:space="preserve"> </w:t>
      </w:r>
    </w:p>
    <w:p w14:paraId="409ADA0E" w14:textId="77777777" w:rsidR="00273DBA" w:rsidRDefault="00273DBA" w:rsidP="004A30A4">
      <w:pPr>
        <w:pStyle w:val="ListParagraph"/>
        <w:numPr>
          <w:ilvl w:val="0"/>
          <w:numId w:val="21"/>
        </w:numPr>
      </w:pPr>
      <w:r>
        <w:t xml:space="preserve">Supervision at contact centres </w:t>
      </w:r>
      <w:proofErr w:type="gramStart"/>
      <w:r>
        <w:t>didn’t</w:t>
      </w:r>
      <w:proofErr w:type="gramEnd"/>
      <w:r>
        <w:t xml:space="preserve"> really happen, the people sat in the office, so bad things happened outside without them seeing or knowing. </w:t>
      </w:r>
    </w:p>
    <w:p w14:paraId="0FAC3257" w14:textId="0927D979" w:rsidR="00E4641A" w:rsidRPr="00273DBA" w:rsidRDefault="00390A92" w:rsidP="00230BE6">
      <w:pPr>
        <w:pStyle w:val="SubmissionNormal"/>
      </w:pPr>
      <w:r>
        <w:t>O</w:t>
      </w:r>
      <w:r w:rsidR="00273DBA">
        <w:t xml:space="preserve">ne girl told the National Children’s Commissioner </w:t>
      </w:r>
      <w:r w:rsidR="00FB73A0">
        <w:t xml:space="preserve">in 2018 </w:t>
      </w:r>
      <w:r w:rsidR="00981794">
        <w:t>t</w:t>
      </w:r>
      <w:r w:rsidR="00273DBA">
        <w:t>hat the expert</w:t>
      </w:r>
      <w:r>
        <w:t xml:space="preserve"> witness who</w:t>
      </w:r>
      <w:r w:rsidR="00124D81">
        <w:t>m</w:t>
      </w:r>
      <w:r>
        <w:t xml:space="preserve"> she spoke to failed to</w:t>
      </w:r>
      <w:r w:rsidR="00273DBA">
        <w:t xml:space="preserve"> tell her about her rights, misrepresented what she</w:t>
      </w:r>
      <w:r w:rsidR="00273DBA" w:rsidRPr="00273DBA">
        <w:t xml:space="preserve"> said, and asked qu</w:t>
      </w:r>
      <w:r w:rsidR="00273DBA">
        <w:t>estions and said things that she</w:t>
      </w:r>
      <w:r w:rsidR="00273DBA" w:rsidRPr="00273DBA">
        <w:t xml:space="preserve"> thought were inappro</w:t>
      </w:r>
      <w:r w:rsidR="00273DBA">
        <w:t>priate. She felt that t</w:t>
      </w:r>
      <w:r w:rsidR="00E4641A" w:rsidRPr="00273DBA">
        <w:t>he</w:t>
      </w:r>
      <w:r w:rsidR="00F26461">
        <w:t xml:space="preserve"> ICL </w:t>
      </w:r>
      <w:r w:rsidR="00273DBA">
        <w:t xml:space="preserve">seemed </w:t>
      </w:r>
      <w:r w:rsidR="00124D81">
        <w:t xml:space="preserve">uninterested </w:t>
      </w:r>
      <w:r w:rsidR="00273DBA">
        <w:t>in her</w:t>
      </w:r>
      <w:r w:rsidR="00E4641A" w:rsidRPr="00273DBA">
        <w:t xml:space="preserve"> </w:t>
      </w:r>
      <w:r w:rsidR="00273DBA">
        <w:t>case, dismissive and rushed. She</w:t>
      </w:r>
      <w:r>
        <w:t xml:space="preserve"> did not</w:t>
      </w:r>
      <w:r w:rsidR="00E4641A" w:rsidRPr="00273DBA">
        <w:t xml:space="preserve"> feel the ICL was i</w:t>
      </w:r>
      <w:r w:rsidR="00273DBA">
        <w:t>nterested in getting to know her</w:t>
      </w:r>
      <w:r w:rsidR="00E4641A" w:rsidRPr="00273DBA">
        <w:t xml:space="preserve">, and </w:t>
      </w:r>
      <w:r>
        <w:t>did not</w:t>
      </w:r>
      <w:r w:rsidR="00273DBA">
        <w:t xml:space="preserve"> treat her mother fairly, and favoured her father. She also felt that the ICL gave her</w:t>
      </w:r>
      <w:r w:rsidR="00E4641A" w:rsidRPr="00273DBA">
        <w:t xml:space="preserve"> incorrect information abou</w:t>
      </w:r>
      <w:r w:rsidR="00C60C2F">
        <w:t>t whether the ICL</w:t>
      </w:r>
      <w:r w:rsidR="00273DBA">
        <w:t xml:space="preserve"> could talk to her parents, and breached her</w:t>
      </w:r>
      <w:r w:rsidR="00E4641A" w:rsidRPr="00273DBA">
        <w:t xml:space="preserve"> confidentiality. </w:t>
      </w:r>
    </w:p>
    <w:p w14:paraId="5C13F29E" w14:textId="77777777" w:rsidR="00163891" w:rsidRDefault="00163891" w:rsidP="00230BE6">
      <w:pPr>
        <w:pStyle w:val="SubmissionNormal"/>
      </w:pPr>
      <w:r>
        <w:t xml:space="preserve">Children </w:t>
      </w:r>
      <w:r w:rsidR="00390A92">
        <w:t xml:space="preserve">have </w:t>
      </w:r>
      <w:r>
        <w:t>also told the Commissioner some of their ideas to make things better for children in the family law system:</w:t>
      </w:r>
    </w:p>
    <w:p w14:paraId="044F8E63" w14:textId="5888D23D" w:rsidR="00163891" w:rsidRDefault="00163891" w:rsidP="004A30A4">
      <w:pPr>
        <w:pStyle w:val="ListParagraph"/>
        <w:numPr>
          <w:ilvl w:val="0"/>
          <w:numId w:val="21"/>
        </w:numPr>
      </w:pPr>
      <w:r>
        <w:t>Always listen to kids and be kind to them</w:t>
      </w:r>
      <w:r w:rsidR="00124D81">
        <w:t>.</w:t>
      </w:r>
    </w:p>
    <w:p w14:paraId="7B163085" w14:textId="101768BA" w:rsidR="00163891" w:rsidRDefault="00163891" w:rsidP="004A30A4">
      <w:pPr>
        <w:pStyle w:val="ListParagraph"/>
        <w:numPr>
          <w:ilvl w:val="0"/>
          <w:numId w:val="21"/>
        </w:numPr>
      </w:pPr>
      <w:r>
        <w:t>Make sure children and young people and people in the system know about children’s rights</w:t>
      </w:r>
      <w:r w:rsidR="00124D81">
        <w:t>.</w:t>
      </w:r>
      <w:r>
        <w:t xml:space="preserve"> </w:t>
      </w:r>
    </w:p>
    <w:p w14:paraId="1D50663D" w14:textId="5C4BE8F5" w:rsidR="00163891" w:rsidRDefault="00163891" w:rsidP="004A30A4">
      <w:pPr>
        <w:pStyle w:val="ListParagraph"/>
        <w:numPr>
          <w:ilvl w:val="0"/>
          <w:numId w:val="21"/>
        </w:numPr>
      </w:pPr>
      <w:r>
        <w:t>Children’s lawyers should always meet with and get to know children and young people</w:t>
      </w:r>
      <w:r w:rsidR="00124D81">
        <w:t>.</w:t>
      </w:r>
      <w:r>
        <w:t xml:space="preserve"> </w:t>
      </w:r>
    </w:p>
    <w:p w14:paraId="306EF8D2" w14:textId="1F977A20" w:rsidR="00163891" w:rsidRDefault="00163891" w:rsidP="004A30A4">
      <w:pPr>
        <w:pStyle w:val="ListParagraph"/>
        <w:numPr>
          <w:ilvl w:val="0"/>
          <w:numId w:val="21"/>
        </w:numPr>
      </w:pPr>
      <w:r>
        <w:t xml:space="preserve">Make sure the process </w:t>
      </w:r>
      <w:proofErr w:type="gramStart"/>
      <w:r>
        <w:t>is clearly explained</w:t>
      </w:r>
      <w:proofErr w:type="gramEnd"/>
      <w:r>
        <w:t xml:space="preserve"> and where and how children and young people can have their say</w:t>
      </w:r>
      <w:r w:rsidR="00124D81">
        <w:t>.</w:t>
      </w:r>
    </w:p>
    <w:p w14:paraId="2C4C4EC8" w14:textId="4D1A3599" w:rsidR="00163891" w:rsidRDefault="00163891" w:rsidP="004A30A4">
      <w:pPr>
        <w:pStyle w:val="ListParagraph"/>
        <w:numPr>
          <w:ilvl w:val="0"/>
          <w:numId w:val="21"/>
        </w:numPr>
      </w:pPr>
      <w:r>
        <w:t xml:space="preserve">Children should be able to get feedback on decisions that </w:t>
      </w:r>
      <w:proofErr w:type="gramStart"/>
      <w:r>
        <w:t>are made</w:t>
      </w:r>
      <w:proofErr w:type="gramEnd"/>
      <w:r>
        <w:t>, and on how their views were considered</w:t>
      </w:r>
      <w:r w:rsidR="00124D81">
        <w:t>.</w:t>
      </w:r>
    </w:p>
    <w:p w14:paraId="067714DE" w14:textId="08B5F537" w:rsidR="00163891" w:rsidRDefault="00163891" w:rsidP="004A30A4">
      <w:pPr>
        <w:pStyle w:val="ListParagraph"/>
        <w:numPr>
          <w:ilvl w:val="0"/>
          <w:numId w:val="21"/>
        </w:numPr>
      </w:pPr>
      <w:r>
        <w:t>Train people on how to talk to children and young people</w:t>
      </w:r>
      <w:r w:rsidR="00124D81">
        <w:t>.</w:t>
      </w:r>
    </w:p>
    <w:p w14:paraId="216843B2" w14:textId="5EA69FB0" w:rsidR="00163891" w:rsidRDefault="00163891" w:rsidP="004A30A4">
      <w:pPr>
        <w:pStyle w:val="ListParagraph"/>
        <w:numPr>
          <w:ilvl w:val="0"/>
          <w:numId w:val="21"/>
        </w:numPr>
      </w:pPr>
      <w:r>
        <w:t>Make sure police, teachers and child welfare people understand the impact of child trauma</w:t>
      </w:r>
      <w:r w:rsidR="00124D81">
        <w:t>.</w:t>
      </w:r>
    </w:p>
    <w:p w14:paraId="37F9BC3C" w14:textId="51E85757" w:rsidR="00163891" w:rsidRDefault="00163891" w:rsidP="004A30A4">
      <w:pPr>
        <w:pStyle w:val="ListParagraph"/>
        <w:numPr>
          <w:ilvl w:val="0"/>
          <w:numId w:val="21"/>
        </w:numPr>
      </w:pPr>
      <w:r>
        <w:t>Make sure children and young people know how to raise concerns and make complaints</w:t>
      </w:r>
      <w:r w:rsidR="00124D81">
        <w:t>.</w:t>
      </w:r>
    </w:p>
    <w:p w14:paraId="02B728F6" w14:textId="77777777" w:rsidR="00B34946" w:rsidRDefault="00163891" w:rsidP="004A30A4">
      <w:pPr>
        <w:pStyle w:val="ListParagraph"/>
        <w:numPr>
          <w:ilvl w:val="0"/>
          <w:numId w:val="21"/>
        </w:numPr>
      </w:pPr>
      <w:r>
        <w:t xml:space="preserve">Improve supervision of contact visits and centres. </w:t>
      </w:r>
    </w:p>
    <w:p w14:paraId="47AB0CB4" w14:textId="77777777" w:rsidR="00F26461" w:rsidRDefault="00F26461" w:rsidP="00230BE6">
      <w:pPr>
        <w:pStyle w:val="SubmissionNormal"/>
      </w:pPr>
      <w:r>
        <w:t xml:space="preserve">The types of issues raised by </w:t>
      </w:r>
      <w:r w:rsidR="00155B1B">
        <w:t>these children</w:t>
      </w:r>
      <w:r>
        <w:t xml:space="preserve"> indicate clearly the importance they place on being able to express their views, have these views taken seriously, and be informed about processes and </w:t>
      </w:r>
      <w:proofErr w:type="gramStart"/>
      <w:r>
        <w:t>decisions which</w:t>
      </w:r>
      <w:proofErr w:type="gramEnd"/>
      <w:r>
        <w:t xml:space="preserve"> impact on their lives.</w:t>
      </w:r>
      <w:r w:rsidR="00937D44">
        <w:t xml:space="preserve"> They also raise some important concerns about safety in the family law environment. </w:t>
      </w:r>
    </w:p>
    <w:p w14:paraId="08133D19" w14:textId="77777777" w:rsidR="00937D44" w:rsidRDefault="00937D44" w:rsidP="00230BE6">
      <w:pPr>
        <w:pStyle w:val="SubmissionNormal"/>
      </w:pPr>
      <w:r>
        <w:t>The Commission considers that</w:t>
      </w:r>
      <w:r w:rsidR="00390A92">
        <w:t xml:space="preserve"> it is essential for the ALRC in this Review</w:t>
      </w:r>
      <w:r>
        <w:t xml:space="preserve"> to listen and learn from children who have been involved in the family law system in order to </w:t>
      </w:r>
      <w:r w:rsidR="0052013A">
        <w:t xml:space="preserve">develop recommendations that can better realise children’s rights. The Commission understands that AIFS current </w:t>
      </w:r>
      <w:r w:rsidR="00873DBA">
        <w:t>research project on Children and Young People in S</w:t>
      </w:r>
      <w:r w:rsidR="0052013A">
        <w:t>eparating Families</w:t>
      </w:r>
      <w:r w:rsidR="00873DBA">
        <w:rPr>
          <w:rStyle w:val="EndnoteReference"/>
        </w:rPr>
        <w:endnoteReference w:id="172"/>
      </w:r>
      <w:r w:rsidR="0052013A">
        <w:t xml:space="preserve"> will provide </w:t>
      </w:r>
      <w:r w:rsidR="00390A92">
        <w:t xml:space="preserve">valuable research data from children on their </w:t>
      </w:r>
      <w:r w:rsidR="00873DBA">
        <w:t>experiences of the family law system.</w:t>
      </w:r>
    </w:p>
    <w:p w14:paraId="651B9B2E" w14:textId="77777777" w:rsidR="00873DBA" w:rsidRDefault="00873DBA" w:rsidP="00230BE6">
      <w:pPr>
        <w:pStyle w:val="SubmissionNormal"/>
      </w:pPr>
      <w:r>
        <w:t xml:space="preserve">The Commission also </w:t>
      </w:r>
      <w:r w:rsidR="00390A92">
        <w:t>urges the ALRC</w:t>
      </w:r>
      <w:r w:rsidR="006C6E4E">
        <w:t xml:space="preserve"> to consider recommending that the Family Court establish a children’s board or committee similar to the Family Justice Young People’s Board in the UK, to provide ongoing advice to the Family Court on how to better realise children’s rights in the family law system</w:t>
      </w:r>
      <w:r w:rsidR="00155B1B">
        <w:t>.</w:t>
      </w:r>
    </w:p>
    <w:p w14:paraId="6F1D2F44" w14:textId="77777777" w:rsidR="00CD4196" w:rsidRPr="00163891" w:rsidRDefault="006C6E4E" w:rsidP="00230BE6">
      <w:pPr>
        <w:pStyle w:val="SubmissionNormal"/>
      </w:pPr>
      <w:r>
        <w:t>The Commission notes that the So</w:t>
      </w:r>
      <w:r w:rsidR="003B0A77">
        <w:t>uth Austral</w:t>
      </w:r>
      <w:r>
        <w:t>ian Young Persons Fam</w:t>
      </w:r>
      <w:r w:rsidR="003B0A77">
        <w:t>ily Law Advisory Group (YPFLAG), run as a pilot project through the South Australian Family Pathways Network, could provide one effective model for learning from children and young people involved in family law matters.</w:t>
      </w:r>
      <w:r w:rsidR="003B0A77">
        <w:rPr>
          <w:rStyle w:val="EndnoteReference"/>
        </w:rPr>
        <w:endnoteReference w:id="173"/>
      </w:r>
      <w:r w:rsidR="003B0A77">
        <w:t xml:space="preserve"> </w:t>
      </w:r>
    </w:p>
    <w:p w14:paraId="4DAB31B3" w14:textId="77777777" w:rsidR="006B6D88" w:rsidRDefault="006B6D88" w:rsidP="00081041">
      <w:pPr>
        <w:pStyle w:val="Heading1"/>
        <w:numPr>
          <w:ilvl w:val="0"/>
          <w:numId w:val="16"/>
        </w:numPr>
      </w:pPr>
      <w:bookmarkStart w:id="55" w:name="_Toc162769295"/>
      <w:bookmarkStart w:id="56" w:name="_Toc531787338"/>
      <w:r w:rsidRPr="00EE3640">
        <w:t>Professional</w:t>
      </w:r>
      <w:r>
        <w:t xml:space="preserve"> skills</w:t>
      </w:r>
      <w:bookmarkEnd w:id="56"/>
    </w:p>
    <w:p w14:paraId="3B9E6C61" w14:textId="7CF18299" w:rsidR="00B96B68" w:rsidRDefault="00B96B68" w:rsidP="00230BE6">
      <w:pPr>
        <w:pStyle w:val="SubmissionNormal"/>
      </w:pPr>
      <w:r>
        <w:t>The UN Committee on the Rights of the Child point</w:t>
      </w:r>
      <w:r w:rsidR="00752855">
        <w:t>ed</w:t>
      </w:r>
      <w:r>
        <w:t xml:space="preserve"> out that qualified professionals are an essential safeguard to guarantee the implementation of the child’s best interests:</w:t>
      </w:r>
    </w:p>
    <w:p w14:paraId="47B0A299" w14:textId="77777777" w:rsidR="00AC1712" w:rsidRDefault="0061397A" w:rsidP="00AC1712">
      <w:pPr>
        <w:ind w:left="1440"/>
        <w:rPr>
          <w:rFonts w:eastAsia="Times New Roman" w:cs="Arial"/>
          <w:sz w:val="22"/>
          <w:szCs w:val="22"/>
        </w:rPr>
      </w:pPr>
      <w:r>
        <w:rPr>
          <w:rFonts w:eastAsia="Times New Roman" w:cs="Arial"/>
          <w:sz w:val="22"/>
          <w:szCs w:val="22"/>
        </w:rPr>
        <w:t>C</w:t>
      </w:r>
      <w:r w:rsidR="00B96B68" w:rsidRPr="0020525D">
        <w:rPr>
          <w:rFonts w:eastAsia="Times New Roman" w:cs="Arial"/>
          <w:sz w:val="22"/>
          <w:szCs w:val="22"/>
        </w:rPr>
        <w:t xml:space="preserve">hildren are a diverse group, with each having his or her own characteristics and needs that </w:t>
      </w:r>
      <w:proofErr w:type="gramStart"/>
      <w:r w:rsidR="00B96B68" w:rsidRPr="0020525D">
        <w:rPr>
          <w:rFonts w:eastAsia="Times New Roman" w:cs="Arial"/>
          <w:sz w:val="22"/>
          <w:szCs w:val="22"/>
        </w:rPr>
        <w:t>can only be adequately assessed</w:t>
      </w:r>
      <w:proofErr w:type="gramEnd"/>
      <w:r w:rsidR="00B96B68" w:rsidRPr="0020525D">
        <w:rPr>
          <w:rFonts w:eastAsia="Times New Roman" w:cs="Arial"/>
          <w:sz w:val="22"/>
          <w:szCs w:val="22"/>
        </w:rPr>
        <w:t xml:space="preserve"> by professionals who have expertise in matters related to child and adolescent development. This is why the formal assessment process should be carried out in a friendly and safe atmosphere by professionals trained in, inter alia, child psychology, child development and other relevant human and social development fields, who have experience working with children and who will consider the information received in an objective manner. As far as possible, a multidisciplinary team of professionals should be involved in assessing the child</w:t>
      </w:r>
      <w:r w:rsidR="00913A31">
        <w:rPr>
          <w:rFonts w:eastAsia="Times New Roman" w:cs="Arial"/>
          <w:sz w:val="22"/>
          <w:szCs w:val="22"/>
        </w:rPr>
        <w:t>’</w:t>
      </w:r>
      <w:r w:rsidR="00B96B68" w:rsidRPr="0020525D">
        <w:rPr>
          <w:rFonts w:eastAsia="Times New Roman" w:cs="Arial"/>
          <w:sz w:val="22"/>
          <w:szCs w:val="22"/>
        </w:rPr>
        <w:t>s best interests.</w:t>
      </w:r>
      <w:r w:rsidR="00B96B68" w:rsidRPr="00F11C17">
        <w:rPr>
          <w:rStyle w:val="EndnoteReference"/>
          <w:rFonts w:eastAsia="Times New Roman" w:cs="Arial"/>
          <w:szCs w:val="22"/>
        </w:rPr>
        <w:endnoteReference w:id="174"/>
      </w:r>
    </w:p>
    <w:p w14:paraId="5E5AADDC" w14:textId="77777777" w:rsidR="00517562" w:rsidRDefault="00AC1712" w:rsidP="00E1309F">
      <w:pPr>
        <w:pStyle w:val="SubmissionNormal"/>
      </w:pPr>
      <w:r>
        <w:t xml:space="preserve">In order to understand the needs of children, and make decisions in their best interests, it is essential that </w:t>
      </w:r>
      <w:r w:rsidR="00390A92">
        <w:t xml:space="preserve">all </w:t>
      </w:r>
      <w:r>
        <w:t xml:space="preserve">professionals </w:t>
      </w:r>
      <w:r w:rsidR="00390A92">
        <w:t>in the family law system including judges, f</w:t>
      </w:r>
      <w:r>
        <w:t xml:space="preserve">amily consultants, ICLs, mediators and other professionals </w:t>
      </w:r>
      <w:r w:rsidR="003F00E8">
        <w:t xml:space="preserve">have an understanding of child development and the impacts of family separation, violence and abuse on that development. </w:t>
      </w:r>
    </w:p>
    <w:p w14:paraId="57CCA870" w14:textId="110156A3" w:rsidR="00016940" w:rsidRDefault="00016940" w:rsidP="00016940">
      <w:pPr>
        <w:pStyle w:val="SubmissionNormal"/>
      </w:pPr>
      <w:r>
        <w:t>The Commission notes that</w:t>
      </w:r>
      <w:r w:rsidR="00752855">
        <w:t>,</w:t>
      </w:r>
      <w:r>
        <w:t xml:space="preserve"> following the publication of the National Domestic and Family Violence Bench Book, the Australian Government funded the National Judicial College of Australia to develop a family </w:t>
      </w:r>
      <w:proofErr w:type="gramStart"/>
      <w:r>
        <w:t>violence training</w:t>
      </w:r>
      <w:proofErr w:type="gramEnd"/>
      <w:r>
        <w:t xml:space="preserve"> course for all judges.</w:t>
      </w:r>
      <w:r>
        <w:rPr>
          <w:rStyle w:val="EndnoteReference"/>
        </w:rPr>
        <w:endnoteReference w:id="175"/>
      </w:r>
      <w:r>
        <w:t xml:space="preserve"> The Commission </w:t>
      </w:r>
      <w:r w:rsidR="00860E6A">
        <w:t xml:space="preserve">commends </w:t>
      </w:r>
      <w:r>
        <w:t>this initiative, and urges the training model to include training specific to the impact of violence on children and child development.</w:t>
      </w:r>
    </w:p>
    <w:p w14:paraId="5F5A6DB7" w14:textId="77777777" w:rsidR="00214FDD" w:rsidRPr="00214FDD" w:rsidRDefault="00214FDD" w:rsidP="00214FDD">
      <w:pPr>
        <w:pStyle w:val="SubmissionNormal"/>
        <w:rPr>
          <w:b/>
        </w:rPr>
      </w:pPr>
      <w:r w:rsidRPr="00214FDD">
        <w:rPr>
          <w:b/>
        </w:rPr>
        <w:t xml:space="preserve">Recommendation 22: Judicial officers and family law professionals, including Independent Children’s Lawyers, family consultants and mediators </w:t>
      </w:r>
      <w:proofErr w:type="gramStart"/>
      <w:r w:rsidRPr="00214FDD">
        <w:rPr>
          <w:b/>
        </w:rPr>
        <w:t>are provided</w:t>
      </w:r>
      <w:proofErr w:type="gramEnd"/>
      <w:r w:rsidRPr="00214FDD">
        <w:rPr>
          <w:b/>
        </w:rPr>
        <w:t xml:space="preserve"> with ongoing training and resources on family law matters relating to children including the impacts of family and domestic violence and child abuse on children, child development and applying the best interests of the child principle in parenting matters.</w:t>
      </w:r>
    </w:p>
    <w:p w14:paraId="3B8EC45F" w14:textId="5C8E5D1C" w:rsidR="00A86383" w:rsidRDefault="00A86383" w:rsidP="00A86383">
      <w:pPr>
        <w:pStyle w:val="SubmissionNormal"/>
      </w:pPr>
      <w:r w:rsidRPr="00E1309F">
        <w:t xml:space="preserve">As noted above in </w:t>
      </w:r>
      <w:r w:rsidRPr="00214FDD">
        <w:t>section 4.3</w:t>
      </w:r>
      <w:r>
        <w:t xml:space="preserve"> </w:t>
      </w:r>
      <w:r w:rsidR="004B1CCF">
        <w:t xml:space="preserve">of this submission, </w:t>
      </w:r>
      <w:r>
        <w:t>on Accessibility for people with disability,</w:t>
      </w:r>
      <w:r w:rsidRPr="00A53EF5">
        <w:t xml:space="preserve"> </w:t>
      </w:r>
      <w:r>
        <w:t>t</w:t>
      </w:r>
      <w:r w:rsidRPr="001013E3">
        <w:t>he level of understanding of disability held by judicial officers, legal practitioners and other professionals working in</w:t>
      </w:r>
      <w:r>
        <w:t xml:space="preserve"> the family law system may </w:t>
      </w:r>
      <w:r w:rsidRPr="001013E3">
        <w:t>act as a barrier to access to justice. Conducting disability awareness training for judicial officers, legal practitioners and other professionals w</w:t>
      </w:r>
      <w:r>
        <w:t xml:space="preserve">orking in the family law system would be consistent with </w:t>
      </w:r>
      <w:r w:rsidR="00752855">
        <w:t>article</w:t>
      </w:r>
      <w:r w:rsidR="00FB73A0">
        <w:t xml:space="preserve"> </w:t>
      </w:r>
      <w:r>
        <w:t xml:space="preserve">13 of the CRPD. </w:t>
      </w:r>
    </w:p>
    <w:p w14:paraId="498200C7" w14:textId="77777777" w:rsidR="00214FDD" w:rsidRPr="00214FDD" w:rsidRDefault="00214FDD" w:rsidP="00214FDD">
      <w:pPr>
        <w:pStyle w:val="SubmissionNormal"/>
        <w:rPr>
          <w:b/>
        </w:rPr>
      </w:pPr>
      <w:r w:rsidRPr="00214FDD">
        <w:rPr>
          <w:b/>
        </w:rPr>
        <w:t xml:space="preserve">Recommendation 23: Consistent with article 13 of the </w:t>
      </w:r>
      <w:r w:rsidRPr="00214FDD">
        <w:rPr>
          <w:b/>
          <w:i/>
        </w:rPr>
        <w:t>Convention on the Rights of Persons with Disabilities</w:t>
      </w:r>
      <w:r w:rsidRPr="00214FDD">
        <w:rPr>
          <w:b/>
        </w:rPr>
        <w:t>, judicial officers and other family law professionals are provided with disability awareness training, including on not making assumptions about a person with disability’s parenting capacity.</w:t>
      </w:r>
    </w:p>
    <w:p w14:paraId="5B861875" w14:textId="17E6F997" w:rsidR="00A3206B" w:rsidRPr="00E1309F" w:rsidRDefault="00A3206B" w:rsidP="00A3206B">
      <w:pPr>
        <w:pStyle w:val="SubmissionNormal"/>
      </w:pPr>
      <w:r>
        <w:t xml:space="preserve">In addition, as noted above in relation to intersex children, cases </w:t>
      </w:r>
      <w:r w:rsidRPr="00065521">
        <w:t>regarding special medical procedures for intersex children reveal misunderst</w:t>
      </w:r>
      <w:r>
        <w:t>andings about intersex</w:t>
      </w:r>
      <w:r w:rsidR="00214FDD">
        <w:t xml:space="preserve"> status.</w:t>
      </w:r>
      <w:r>
        <w:t xml:space="preserve"> Judicial officers may benefit from training on understanding gender and sex. </w:t>
      </w:r>
    </w:p>
    <w:p w14:paraId="5B3E741D" w14:textId="77777777" w:rsidR="00214FDD" w:rsidRPr="00214FDD" w:rsidRDefault="00214FDD" w:rsidP="00214FDD">
      <w:pPr>
        <w:pStyle w:val="SubmissionNormal"/>
        <w:rPr>
          <w:b/>
        </w:rPr>
      </w:pPr>
      <w:r w:rsidRPr="00214FDD">
        <w:rPr>
          <w:b/>
        </w:rPr>
        <w:t xml:space="preserve">Recommendation 24: Judicial officers </w:t>
      </w:r>
      <w:proofErr w:type="gramStart"/>
      <w:r w:rsidRPr="00214FDD">
        <w:rPr>
          <w:b/>
        </w:rPr>
        <w:t>are provided</w:t>
      </w:r>
      <w:proofErr w:type="gramEnd"/>
      <w:r w:rsidRPr="00214FDD">
        <w:rPr>
          <w:b/>
        </w:rPr>
        <w:t xml:space="preserve"> with training and resources on the differences between, and issues faced by, intersex people and people who are lesbian, gay, bisexual, transgender, gender diverse or queer.</w:t>
      </w:r>
    </w:p>
    <w:p w14:paraId="3D59E080" w14:textId="77777777" w:rsidR="00AC1712" w:rsidRDefault="00E456F9" w:rsidP="00230BE6">
      <w:pPr>
        <w:pStyle w:val="SubmissionNormal"/>
      </w:pPr>
      <w:r>
        <w:t>It is also essential that family law professionals</w:t>
      </w:r>
      <w:r w:rsidR="003F00E8">
        <w:t xml:space="preserve"> are able to communicate effectively with children, in order to elicit their views and </w:t>
      </w:r>
      <w:proofErr w:type="gramStart"/>
      <w:r w:rsidR="003F00E8">
        <w:t>take them into consideration</w:t>
      </w:r>
      <w:proofErr w:type="gramEnd"/>
      <w:r w:rsidR="003F00E8">
        <w:t xml:space="preserve">. </w:t>
      </w:r>
    </w:p>
    <w:p w14:paraId="3C066BC9" w14:textId="467DDE03" w:rsidR="004143DD" w:rsidRDefault="00390A92" w:rsidP="00230BE6">
      <w:pPr>
        <w:pStyle w:val="SubmissionNormal"/>
      </w:pPr>
      <w:r>
        <w:t>R</w:t>
      </w:r>
      <w:r w:rsidR="004143DD">
        <w:t xml:space="preserve">esearch shows that </w:t>
      </w:r>
      <w:r w:rsidR="004143DD" w:rsidRPr="00AF730A">
        <w:t>there is a reluctance among some Australian judges to</w:t>
      </w:r>
      <w:r w:rsidR="004143DD">
        <w:t xml:space="preserve"> engage with children.</w:t>
      </w:r>
      <w:r w:rsidR="004143DD">
        <w:rPr>
          <w:rStyle w:val="EndnoteReference"/>
        </w:rPr>
        <w:endnoteReference w:id="176"/>
      </w:r>
      <w:r w:rsidR="004143DD">
        <w:t xml:space="preserve"> </w:t>
      </w:r>
      <w:r w:rsidR="004143DD">
        <w:rPr>
          <w:rFonts w:cs="Arial"/>
        </w:rPr>
        <w:t>W</w:t>
      </w:r>
      <w:r w:rsidR="004143DD">
        <w:t>hile</w:t>
      </w:r>
      <w:r w:rsidR="00FB73A0">
        <w:t xml:space="preserve"> family court</w:t>
      </w:r>
      <w:r w:rsidR="004143DD">
        <w:t xml:space="preserve"> </w:t>
      </w:r>
      <w:r w:rsidR="00FB73A0">
        <w:t>j</w:t>
      </w:r>
      <w:r w:rsidR="004143DD">
        <w:t xml:space="preserve">udges have the power to undertake interviews with children and young people, this </w:t>
      </w:r>
      <w:proofErr w:type="gramStart"/>
      <w:r w:rsidR="004143DD">
        <w:t>is rarely done</w:t>
      </w:r>
      <w:proofErr w:type="gramEnd"/>
      <w:r w:rsidR="004143DD">
        <w:t xml:space="preserve"> in practice in Australia.</w:t>
      </w:r>
      <w:r w:rsidR="004143DD">
        <w:rPr>
          <w:rStyle w:val="EndnoteReference"/>
        </w:rPr>
        <w:endnoteReference w:id="177"/>
      </w:r>
      <w:r w:rsidR="004143DD">
        <w:t xml:space="preserve"> In a study on children’s direct participation and the views of Australian judges, many judges expressed concern about lacking the skills and ability to speak directly with children.</w:t>
      </w:r>
      <w:r w:rsidR="004143DD">
        <w:rPr>
          <w:rStyle w:val="EndnoteReference"/>
        </w:rPr>
        <w:endnoteReference w:id="178"/>
      </w:r>
    </w:p>
    <w:p w14:paraId="5D61DD54" w14:textId="46DA88B8" w:rsidR="004143DD" w:rsidRDefault="004143DD" w:rsidP="00230BE6">
      <w:pPr>
        <w:pStyle w:val="SubmissionNormal"/>
      </w:pPr>
      <w:r>
        <w:t xml:space="preserve">This suggests that Australian judges </w:t>
      </w:r>
      <w:r w:rsidR="00752855">
        <w:t>may</w:t>
      </w:r>
      <w:r>
        <w:t xml:space="preserve"> not </w:t>
      </w:r>
      <w:r w:rsidR="00752855">
        <w:t xml:space="preserve">be </w:t>
      </w:r>
      <w:proofErr w:type="gramStart"/>
      <w:r>
        <w:t>well-equipped</w:t>
      </w:r>
      <w:proofErr w:type="gramEnd"/>
      <w:r>
        <w:t xml:space="preserve"> with the skills and the training to undertake direct interactions with children and young people. This could lead to judges and court officials adopting a default position that avoids providing children with explanations of court orders and injunctions relevant to their safety and wellbeing because they consider that the children are ‘too young to understand’. </w:t>
      </w:r>
    </w:p>
    <w:p w14:paraId="0E74BB28" w14:textId="4B01ABE0" w:rsidR="004143DD" w:rsidRDefault="004143DD" w:rsidP="00230BE6">
      <w:pPr>
        <w:pStyle w:val="SubmissionNormal"/>
      </w:pPr>
      <w:r>
        <w:t xml:space="preserve">A child’s ability to understand legal proceedings </w:t>
      </w:r>
      <w:proofErr w:type="gramStart"/>
      <w:r>
        <w:t>will be significantly influenced</w:t>
      </w:r>
      <w:proofErr w:type="gramEnd"/>
      <w:r>
        <w:t xml:space="preserve"> by the efforts made by courts to render the proceedings accessible and understandable to them. The </w:t>
      </w:r>
      <w:r w:rsidR="00081041">
        <w:t xml:space="preserve">UN </w:t>
      </w:r>
      <w:r>
        <w:t>Committee on the Rights of the Child state</w:t>
      </w:r>
      <w:r w:rsidR="00752855">
        <w:t>d</w:t>
      </w:r>
      <w:r>
        <w:t xml:space="preserve"> that legal proceedings should be ‘both accessible and child-appropriate. Particular attention needs to be paid to the provision and delivery of child-friendly information</w:t>
      </w:r>
      <w:r w:rsidR="00752855">
        <w:t>’</w:t>
      </w:r>
      <w:r>
        <w:t>.</w:t>
      </w:r>
      <w:r w:rsidR="00EF038B">
        <w:rPr>
          <w:rStyle w:val="EndnoteReference"/>
        </w:rPr>
        <w:endnoteReference w:id="179"/>
      </w:r>
    </w:p>
    <w:p w14:paraId="2F3CA6A1" w14:textId="77777777" w:rsidR="00D20214" w:rsidRDefault="004143DD" w:rsidP="00230BE6">
      <w:pPr>
        <w:pStyle w:val="SubmissionNormal"/>
      </w:pPr>
      <w:r>
        <w:t xml:space="preserve">The Commission considers that training and resources </w:t>
      </w:r>
      <w:proofErr w:type="gramStart"/>
      <w:r>
        <w:t>are needed</w:t>
      </w:r>
      <w:proofErr w:type="gramEnd"/>
      <w:r>
        <w:t xml:space="preserve"> to ensure court officials have the means available to them to engage with children of all ages about difficult subjects, in a safe, ap</w:t>
      </w:r>
      <w:r w:rsidR="00D20214">
        <w:t>propriate and respectful manner.</w:t>
      </w:r>
    </w:p>
    <w:p w14:paraId="55E8E0EE" w14:textId="77777777" w:rsidR="00A83467" w:rsidRPr="00A83467" w:rsidRDefault="00A83467" w:rsidP="00A83467">
      <w:pPr>
        <w:pStyle w:val="SubmissionNormal"/>
        <w:rPr>
          <w:b/>
        </w:rPr>
      </w:pPr>
      <w:r w:rsidRPr="00A83467">
        <w:rPr>
          <w:b/>
        </w:rPr>
        <w:t xml:space="preserve">Recommendation 25: Judicial officers and family law professionals, including Independent Children’s Lawyers, family consultants and mediators </w:t>
      </w:r>
      <w:proofErr w:type="gramStart"/>
      <w:r w:rsidRPr="00A83467">
        <w:rPr>
          <w:b/>
        </w:rPr>
        <w:t>are provided</w:t>
      </w:r>
      <w:proofErr w:type="gramEnd"/>
      <w:r w:rsidRPr="00A83467">
        <w:rPr>
          <w:b/>
        </w:rPr>
        <w:t xml:space="preserve"> with training and resources to assist them to engage and communicate effectively with children about family law matters that concern them. </w:t>
      </w:r>
    </w:p>
    <w:bookmarkEnd w:id="55"/>
    <w:p w14:paraId="286C773F" w14:textId="642C2DFB" w:rsidR="00D20214" w:rsidRPr="00D20214" w:rsidRDefault="00E456F9" w:rsidP="00230BE6">
      <w:pPr>
        <w:pStyle w:val="SubmissionNormal"/>
      </w:pPr>
      <w:r>
        <w:rPr>
          <w:rFonts w:cs="Arial"/>
        </w:rPr>
        <w:t>As stated in the Issues P</w:t>
      </w:r>
      <w:r w:rsidR="00D20214" w:rsidRPr="00D20214">
        <w:rPr>
          <w:rFonts w:cs="Arial"/>
        </w:rPr>
        <w:t>aper, recent reports and preliminary</w:t>
      </w:r>
      <w:r>
        <w:rPr>
          <w:rFonts w:cs="Arial"/>
        </w:rPr>
        <w:t xml:space="preserve"> consultations for this Review </w:t>
      </w:r>
      <w:r w:rsidR="00D20214" w:rsidRPr="00D20214">
        <w:rPr>
          <w:rFonts w:cs="Arial"/>
        </w:rPr>
        <w:t xml:space="preserve">have identified </w:t>
      </w:r>
      <w:r w:rsidR="00752855">
        <w:rPr>
          <w:rFonts w:cs="Arial"/>
        </w:rPr>
        <w:t>‘</w:t>
      </w:r>
      <w:r w:rsidR="00D20214" w:rsidRPr="00D20214">
        <w:rPr>
          <w:rFonts w:cs="Arial"/>
        </w:rPr>
        <w:t>cultural competency</w:t>
      </w:r>
      <w:r w:rsidR="00752855">
        <w:rPr>
          <w:rFonts w:cs="Arial"/>
        </w:rPr>
        <w:t>’</w:t>
      </w:r>
      <w:r w:rsidR="00D20214" w:rsidRPr="00D20214">
        <w:rPr>
          <w:rFonts w:cs="Arial"/>
        </w:rPr>
        <w:t xml:space="preserve"> as a deficiency and a gap in the skills and knowledge of </w:t>
      </w:r>
      <w:proofErr w:type="gramStart"/>
      <w:r w:rsidR="00D20214" w:rsidRPr="00D20214">
        <w:rPr>
          <w:rFonts w:cs="Arial"/>
        </w:rPr>
        <w:t>family law system professionals</w:t>
      </w:r>
      <w:proofErr w:type="gramEnd"/>
      <w:r w:rsidR="00D20214" w:rsidRPr="00D20214">
        <w:rPr>
          <w:rFonts w:cs="Arial"/>
        </w:rPr>
        <w:t xml:space="preserve">. The cultural competence of </w:t>
      </w:r>
      <w:proofErr w:type="gramStart"/>
      <w:r w:rsidR="00D20214" w:rsidRPr="00D20214">
        <w:rPr>
          <w:rFonts w:cs="Arial"/>
        </w:rPr>
        <w:t>family law system professionals</w:t>
      </w:r>
      <w:proofErr w:type="gramEnd"/>
      <w:r w:rsidR="00D20214" w:rsidRPr="00D20214">
        <w:rPr>
          <w:rFonts w:cs="Arial"/>
        </w:rPr>
        <w:t xml:space="preserve"> is an essential component of creating an environment of cultural security for Aboriginal and Torres Strait Islander peoples within the family law system. </w:t>
      </w:r>
    </w:p>
    <w:p w14:paraId="64276FD8" w14:textId="1DB1E8A0" w:rsidR="00D20214" w:rsidRPr="00D20214" w:rsidRDefault="00D20214" w:rsidP="00230BE6">
      <w:pPr>
        <w:pStyle w:val="SubmissionNormal"/>
      </w:pPr>
      <w:r w:rsidRPr="00D20214">
        <w:rPr>
          <w:rFonts w:cs="Arial"/>
        </w:rPr>
        <w:t xml:space="preserve">Cultural competency requires an awareness that extends beyond the individual. The family law system must incorporate systems-level change to ensure that its professionals have and maintain cultural competency skills. Creating true and sustainable cultural competency is an organisation-wide process that must include every individual in the organisation, </w:t>
      </w:r>
      <w:proofErr w:type="gramStart"/>
      <w:r w:rsidRPr="00D20214">
        <w:rPr>
          <w:rFonts w:cs="Arial"/>
        </w:rPr>
        <w:t>is developed</w:t>
      </w:r>
      <w:proofErr w:type="gramEnd"/>
      <w:r w:rsidRPr="00D20214">
        <w:rPr>
          <w:rFonts w:cs="Arial"/>
        </w:rPr>
        <w:t xml:space="preserve"> over time, and is based on respectful partnerships with Aboriginal and Torres Strait Islander organisations and communities.</w:t>
      </w:r>
      <w:r w:rsidR="00EF038B">
        <w:rPr>
          <w:rStyle w:val="EndnoteReference"/>
          <w:rFonts w:cs="Arial"/>
        </w:rPr>
        <w:endnoteReference w:id="180"/>
      </w:r>
    </w:p>
    <w:p w14:paraId="57FAA801" w14:textId="77777777" w:rsidR="00D20214" w:rsidRPr="00E456F9" w:rsidRDefault="00D20214" w:rsidP="00E456F9">
      <w:pPr>
        <w:pStyle w:val="SubmissionNormal"/>
      </w:pPr>
      <w:r w:rsidRPr="00D20214">
        <w:rPr>
          <w:rFonts w:cs="Arial"/>
        </w:rPr>
        <w:t xml:space="preserve">The </w:t>
      </w:r>
      <w:r w:rsidRPr="00D20214">
        <w:rPr>
          <w:rFonts w:cs="Arial"/>
          <w:i/>
        </w:rPr>
        <w:t>Bringing them Home</w:t>
      </w:r>
      <w:r w:rsidRPr="00D20214">
        <w:rPr>
          <w:rFonts w:cs="Arial"/>
        </w:rPr>
        <w:t xml:space="preserve"> report noted that it is particularly important for judicial officers to have an understanding of the cultural background of the persons with whom he or she is dealing:</w:t>
      </w:r>
    </w:p>
    <w:p w14:paraId="460C15D7" w14:textId="77777777" w:rsidR="00D20214" w:rsidRPr="00E1309F" w:rsidRDefault="00D20214" w:rsidP="00E1309F">
      <w:pPr>
        <w:ind w:left="1440"/>
      </w:pPr>
      <w:r w:rsidRPr="00FD6FF6">
        <w:rPr>
          <w:rFonts w:cs="Arial"/>
          <w:sz w:val="22"/>
        </w:rPr>
        <w:t xml:space="preserve">Judges, in common with all other professionals dealing with Indigenous families and children, require ongoing education comprising the history and effects of forcible removal as well as Indigenous cultural values, especially those relating to </w:t>
      </w:r>
      <w:proofErr w:type="gramStart"/>
      <w:r w:rsidRPr="00FD6FF6">
        <w:rPr>
          <w:rFonts w:cs="Arial"/>
          <w:sz w:val="22"/>
        </w:rPr>
        <w:t>child-rearing</w:t>
      </w:r>
      <w:proofErr w:type="gramEnd"/>
      <w:r w:rsidRPr="00A3206B">
        <w:rPr>
          <w:rFonts w:cs="Arial"/>
          <w:sz w:val="22"/>
          <w:szCs w:val="22"/>
        </w:rPr>
        <w:t>.</w:t>
      </w:r>
      <w:r w:rsidR="00A3206B" w:rsidRPr="00A3206B">
        <w:rPr>
          <w:rFonts w:cs="Arial"/>
          <w:sz w:val="22"/>
          <w:szCs w:val="22"/>
        </w:rPr>
        <w:t xml:space="preserve"> </w:t>
      </w:r>
      <w:r w:rsidR="00A3206B" w:rsidRPr="00E1309F">
        <w:rPr>
          <w:sz w:val="22"/>
          <w:szCs w:val="22"/>
        </w:rPr>
        <w:t>All officers of the Family Court involved in parenting disputes will need ongoing training to ensure accessibility for, and to avoid discrimination against, Indigenous people</w:t>
      </w:r>
      <w:r w:rsidR="00A3206B">
        <w:t>.</w:t>
      </w:r>
      <w:r w:rsidR="00EF038B">
        <w:rPr>
          <w:rStyle w:val="EndnoteReference"/>
        </w:rPr>
        <w:endnoteReference w:id="181"/>
      </w:r>
    </w:p>
    <w:p w14:paraId="58AEAD06" w14:textId="77777777" w:rsidR="00D20214" w:rsidRPr="00FD6FF6" w:rsidRDefault="00D20214" w:rsidP="00230BE6">
      <w:pPr>
        <w:pStyle w:val="SubmissionNormal"/>
      </w:pPr>
      <w:r w:rsidRPr="00FD6FF6">
        <w:t xml:space="preserve">The </w:t>
      </w:r>
      <w:r>
        <w:t>UN Committee on the Rights of the Child</w:t>
      </w:r>
      <w:r w:rsidRPr="00FD6FF6">
        <w:t xml:space="preserve"> has</w:t>
      </w:r>
      <w:r>
        <w:t xml:space="preserve"> echoed this statement, noting</w:t>
      </w:r>
      <w:r w:rsidRPr="00FD6FF6">
        <w:t xml:space="preserve"> that judicial officers should receive specific training on the rights of </w:t>
      </w:r>
      <w:r>
        <w:t>Indigenous</w:t>
      </w:r>
      <w:r w:rsidRPr="00FD6FF6">
        <w:t xml:space="preserve"> children under the CRC and its Optional Protocols: </w:t>
      </w:r>
    </w:p>
    <w:p w14:paraId="4030A9CE" w14:textId="77777777" w:rsidR="00D20214" w:rsidRPr="00FD6FF6" w:rsidRDefault="00D20214" w:rsidP="00D20214">
      <w:pPr>
        <w:spacing w:before="0" w:after="0"/>
        <w:ind w:left="1440" w:right="848"/>
        <w:rPr>
          <w:rFonts w:cs="Arial"/>
          <w:sz w:val="22"/>
        </w:rPr>
      </w:pPr>
      <w:r w:rsidRPr="00FD6FF6">
        <w:rPr>
          <w:rFonts w:cs="Arial"/>
          <w:sz w:val="22"/>
        </w:rPr>
        <w:t>Professionals involved in law enforcement and the judiciary should receive appropriate training on the content and meaning of the provisions of the Convention and its Optional Protocols, including the need to adopt special protection measures for indigenous children and other specific groups.</w:t>
      </w:r>
      <w:r w:rsidR="00EF038B">
        <w:rPr>
          <w:rStyle w:val="EndnoteReference"/>
          <w:rFonts w:cs="Arial"/>
        </w:rPr>
        <w:endnoteReference w:id="182"/>
      </w:r>
    </w:p>
    <w:p w14:paraId="25EF0985" w14:textId="77777777" w:rsidR="00D20214" w:rsidRDefault="00D20214" w:rsidP="00230BE6">
      <w:pPr>
        <w:pStyle w:val="SubmissionNormal"/>
      </w:pPr>
      <w:r w:rsidRPr="00FD6FF6">
        <w:t xml:space="preserve">The </w:t>
      </w:r>
      <w:r>
        <w:t>UN Committee</w:t>
      </w:r>
      <w:r w:rsidRPr="00FD6FF6">
        <w:t xml:space="preserve"> has also stated that relevant professional categories </w:t>
      </w:r>
      <w:r>
        <w:t xml:space="preserve">in State judicial systems </w:t>
      </w:r>
      <w:r w:rsidRPr="00FD6FF6">
        <w:t xml:space="preserve">should receive training and </w:t>
      </w:r>
      <w:proofErr w:type="gramStart"/>
      <w:r w:rsidRPr="00FD6FF6">
        <w:t>awareness-raising</w:t>
      </w:r>
      <w:proofErr w:type="gramEnd"/>
      <w:r w:rsidRPr="00FD6FF6">
        <w:t xml:space="preserve"> on the importance of collective cultural rights </w:t>
      </w:r>
      <w:r w:rsidRPr="00636326">
        <w:t>in conjunction with the determination of the best interests of the child</w:t>
      </w:r>
      <w:r>
        <w:t>.</w:t>
      </w:r>
      <w:r w:rsidR="00EF038B">
        <w:rPr>
          <w:rStyle w:val="EndnoteReference"/>
        </w:rPr>
        <w:endnoteReference w:id="183"/>
      </w:r>
    </w:p>
    <w:p w14:paraId="0004E485" w14:textId="77777777" w:rsidR="00A83467" w:rsidRPr="00A83467" w:rsidRDefault="00A83467" w:rsidP="00A83467">
      <w:pPr>
        <w:pStyle w:val="SubmissionNormal"/>
        <w:rPr>
          <w:b/>
        </w:rPr>
      </w:pPr>
      <w:r w:rsidRPr="00A83467">
        <w:rPr>
          <w:b/>
        </w:rPr>
        <w:t xml:space="preserve">Recommendation 26: Judicial officers and family law professionals, including Independent Children’s Lawyers, family consultants and mediators </w:t>
      </w:r>
      <w:proofErr w:type="gramStart"/>
      <w:r w:rsidRPr="00A83467">
        <w:rPr>
          <w:b/>
        </w:rPr>
        <w:t>are provided</w:t>
      </w:r>
      <w:proofErr w:type="gramEnd"/>
      <w:r w:rsidRPr="00A83467">
        <w:rPr>
          <w:b/>
        </w:rPr>
        <w:t xml:space="preserve"> with training and resources to assist them to have and maintain cultural competency skills, in particular in relation to Aboriginal and Torres Strait Islander peoples. </w:t>
      </w:r>
    </w:p>
    <w:p w14:paraId="5DDCE080" w14:textId="77777777" w:rsidR="00A83467" w:rsidRPr="00A83467" w:rsidRDefault="00A83467" w:rsidP="00A83467">
      <w:pPr>
        <w:pStyle w:val="SubmissionNormal"/>
        <w:rPr>
          <w:b/>
          <w:szCs w:val="22"/>
        </w:rPr>
      </w:pPr>
      <w:r w:rsidRPr="00A83467">
        <w:rPr>
          <w:b/>
          <w:szCs w:val="22"/>
        </w:rPr>
        <w:t xml:space="preserve">Recommendation 27: Judicial officers </w:t>
      </w:r>
      <w:r w:rsidRPr="00A83467">
        <w:rPr>
          <w:rFonts w:cs="Arial"/>
          <w:b/>
          <w:szCs w:val="22"/>
        </w:rPr>
        <w:t xml:space="preserve">receive appropriate training on the content and meaning of the provisions of the </w:t>
      </w:r>
      <w:r w:rsidRPr="00A83467">
        <w:rPr>
          <w:rFonts w:cs="Arial"/>
          <w:b/>
          <w:i/>
          <w:szCs w:val="22"/>
        </w:rPr>
        <w:t>United Nations Declaration on the Rights of Indigenous Peoples</w:t>
      </w:r>
      <w:r w:rsidRPr="00A83467">
        <w:rPr>
          <w:rFonts w:cs="Arial"/>
          <w:b/>
          <w:szCs w:val="22"/>
        </w:rPr>
        <w:t xml:space="preserve"> and the </w:t>
      </w:r>
      <w:r w:rsidRPr="00A83467">
        <w:rPr>
          <w:rFonts w:cs="Arial"/>
          <w:b/>
          <w:i/>
          <w:szCs w:val="22"/>
        </w:rPr>
        <w:t>Convention on the Rights of the Child</w:t>
      </w:r>
      <w:r w:rsidRPr="00A83467">
        <w:rPr>
          <w:rFonts w:cs="Arial"/>
          <w:b/>
          <w:szCs w:val="22"/>
        </w:rPr>
        <w:t xml:space="preserve"> and its Optional Protocols.</w:t>
      </w:r>
    </w:p>
    <w:p w14:paraId="7D6EB16E" w14:textId="33E67EF1" w:rsidR="00D34A31" w:rsidRDefault="00D34A31" w:rsidP="00D34A31">
      <w:pPr>
        <w:pStyle w:val="SubmissionNormal"/>
      </w:pPr>
      <w:r w:rsidRPr="00985462">
        <w:t xml:space="preserve">The impact of colonisation and past policies of child removal continue to have a </w:t>
      </w:r>
      <w:r w:rsidR="00752855">
        <w:t>significant</w:t>
      </w:r>
      <w:r w:rsidR="00752855" w:rsidRPr="00985462">
        <w:t xml:space="preserve"> </w:t>
      </w:r>
      <w:r w:rsidRPr="00985462">
        <w:t>effect on the lives of Aboriginal and Torres Strait Islander peoples, including through intergenerational trauma. Intergenerational trauma refers to the process by which</w:t>
      </w:r>
      <w:r>
        <w:t>:</w:t>
      </w:r>
    </w:p>
    <w:p w14:paraId="1A99D5AE" w14:textId="77777777" w:rsidR="00D34A31" w:rsidRPr="00B57B94" w:rsidRDefault="00D34A31" w:rsidP="00D34A31">
      <w:pPr>
        <w:ind w:left="1440"/>
        <w:rPr>
          <w:sz w:val="22"/>
          <w:szCs w:val="22"/>
        </w:rPr>
      </w:pPr>
      <w:proofErr w:type="gramStart"/>
      <w:r w:rsidRPr="00B57B94">
        <w:rPr>
          <w:sz w:val="22"/>
          <w:szCs w:val="22"/>
        </w:rPr>
        <w:t>historical</w:t>
      </w:r>
      <w:proofErr w:type="gramEnd"/>
      <w:r w:rsidRPr="00B57B94">
        <w:rPr>
          <w:sz w:val="22"/>
          <w:szCs w:val="22"/>
        </w:rPr>
        <w:t xml:space="preserve"> trauma is transmitted across generations … it is transferred from the first generation of survivors that directly experiences or witnessed traumatic events to the second and further generations.</w:t>
      </w:r>
      <w:r w:rsidRPr="00860E6A">
        <w:rPr>
          <w:rStyle w:val="EndnoteReference"/>
          <w:rFonts w:cs="Arial"/>
          <w:szCs w:val="22"/>
        </w:rPr>
        <w:endnoteReference w:id="184"/>
      </w:r>
      <w:r w:rsidRPr="00B57B94">
        <w:rPr>
          <w:sz w:val="22"/>
          <w:szCs w:val="22"/>
        </w:rPr>
        <w:t xml:space="preserve"> </w:t>
      </w:r>
    </w:p>
    <w:p w14:paraId="1AA72C7C" w14:textId="77777777" w:rsidR="00D34A31" w:rsidRDefault="00D34A31" w:rsidP="00D34A31">
      <w:pPr>
        <w:pStyle w:val="SubmissionNormal"/>
      </w:pPr>
      <w:r w:rsidRPr="00985462">
        <w:t xml:space="preserve">As noted </w:t>
      </w:r>
      <w:r w:rsidR="00F5104B">
        <w:t>in</w:t>
      </w:r>
      <w:r w:rsidR="00F5104B" w:rsidRPr="00985462">
        <w:t xml:space="preserve"> </w:t>
      </w:r>
      <w:r w:rsidRPr="00985462">
        <w:t xml:space="preserve">the </w:t>
      </w:r>
      <w:r w:rsidRPr="00985462">
        <w:rPr>
          <w:i/>
        </w:rPr>
        <w:t>Bringing them Home</w:t>
      </w:r>
      <w:r w:rsidRPr="00985462">
        <w:t xml:space="preserve"> report, the impact of intergenerational trauma has meant that Aboriginal and Torres Strait Islander peoples, particularly those who have been forcibly separated from their own families, have been ‘deprived of the experiences to become “successful” parents themselves’.</w:t>
      </w:r>
      <w:r w:rsidR="0082265D">
        <w:rPr>
          <w:rStyle w:val="EndnoteReference"/>
        </w:rPr>
        <w:endnoteReference w:id="185"/>
      </w:r>
      <w:r w:rsidRPr="00985462">
        <w:t xml:space="preserve"> </w:t>
      </w:r>
      <w:r>
        <w:t xml:space="preserve">There is also increasing neuro-biological evidence to show that trauma can have a severe ongoing impact on the brain and body, manifesting </w:t>
      </w:r>
      <w:r w:rsidRPr="00985462">
        <w:t xml:space="preserve">itself through issues such as family </w:t>
      </w:r>
      <w:r w:rsidR="003B02EE">
        <w:t xml:space="preserve">and domestic </w:t>
      </w:r>
      <w:r w:rsidRPr="00985462">
        <w:t xml:space="preserve">violence, excessive drug and alcohol use, as well as knowledge of parenting itself. </w:t>
      </w:r>
    </w:p>
    <w:p w14:paraId="1A625456" w14:textId="77777777" w:rsidR="00D34A31" w:rsidRDefault="00D34A31" w:rsidP="00D34A31">
      <w:pPr>
        <w:pStyle w:val="SubmissionNormal"/>
      </w:pPr>
      <w:r w:rsidRPr="00985462">
        <w:t>To address the safety and support needs of Indigenous peoples in the family law system, it is therefore critical that a trauma-informed approach is applied, which incorporates an understanding of the specific experiences of trauma for Aboriginal and Torres Strait Islander peoples, including intergenerational trauma.</w:t>
      </w:r>
      <w:r w:rsidR="0082265D">
        <w:rPr>
          <w:rStyle w:val="EndnoteReference"/>
        </w:rPr>
        <w:endnoteReference w:id="186"/>
      </w:r>
    </w:p>
    <w:p w14:paraId="3A26C140" w14:textId="77777777" w:rsidR="00A83467" w:rsidRPr="0075695F" w:rsidRDefault="00A83467" w:rsidP="00A83467">
      <w:pPr>
        <w:pStyle w:val="SubmissionNormal"/>
        <w:rPr>
          <w:b/>
        </w:rPr>
      </w:pPr>
      <w:r w:rsidRPr="0075695F">
        <w:rPr>
          <w:b/>
        </w:rPr>
        <w:t xml:space="preserve">Recommendation 28: Judicial officers and family law professionals, including Independent Children’s Lawyers, family consultants and mediators </w:t>
      </w:r>
      <w:proofErr w:type="gramStart"/>
      <w:r w:rsidRPr="0075695F">
        <w:rPr>
          <w:b/>
        </w:rPr>
        <w:t>are provided</w:t>
      </w:r>
      <w:proofErr w:type="gramEnd"/>
      <w:r w:rsidRPr="0075695F">
        <w:rPr>
          <w:b/>
        </w:rPr>
        <w:t xml:space="preserve"> with training and resources on trauma-informed practices, in particular in relation to the impact of inter-generational trauma on Aboriginal and Torres Strait Islander peoples.</w:t>
      </w:r>
    </w:p>
    <w:p w14:paraId="3B968F04" w14:textId="77777777" w:rsidR="00D34A31" w:rsidRPr="00A96892" w:rsidRDefault="00D34A31" w:rsidP="00A83467">
      <w:pPr>
        <w:pStyle w:val="SubmissionNormal"/>
        <w:numPr>
          <w:ilvl w:val="0"/>
          <w:numId w:val="0"/>
        </w:numPr>
      </w:pPr>
    </w:p>
    <w:sectPr w:rsidR="00D34A31" w:rsidRPr="00A96892"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FBF24" w16cid:durableId="1EA026F0"/>
  <w16cid:commentId w16cid:paraId="2101FC6C" w16cid:durableId="1EA026F1"/>
  <w16cid:commentId w16cid:paraId="643D741A" w16cid:durableId="1EA026F2"/>
  <w16cid:commentId w16cid:paraId="7D7C484A" w16cid:durableId="1EA026F3"/>
  <w16cid:commentId w16cid:paraId="33C84016" w16cid:durableId="1EA026F4"/>
  <w16cid:commentId w16cid:paraId="46871589" w16cid:durableId="1EA026F5"/>
  <w16cid:commentId w16cid:paraId="7F5723C0" w16cid:durableId="1EA026F6"/>
  <w16cid:commentId w16cid:paraId="4663FFD6" w16cid:durableId="1EA026F7"/>
  <w16cid:commentId w16cid:paraId="553F8DAA" w16cid:durableId="1EA026F8"/>
  <w16cid:commentId w16cid:paraId="2F197972" w16cid:durableId="1EA026F9"/>
  <w16cid:commentId w16cid:paraId="41262C14" w16cid:durableId="1EA026FA"/>
  <w16cid:commentId w16cid:paraId="4D037DDA" w16cid:durableId="1EA026FB"/>
  <w16cid:commentId w16cid:paraId="782118CB" w16cid:durableId="1EA026FC"/>
  <w16cid:commentId w16cid:paraId="4D609001" w16cid:durableId="1EA026FD"/>
  <w16cid:commentId w16cid:paraId="47ED5CBB" w16cid:durableId="1EA026FE"/>
  <w16cid:commentId w16cid:paraId="634A13E1" w16cid:durableId="1EA026FF"/>
  <w16cid:commentId w16cid:paraId="01393873" w16cid:durableId="1EA02700"/>
  <w16cid:commentId w16cid:paraId="4A82AD38" w16cid:durableId="1EA02701"/>
  <w16cid:commentId w16cid:paraId="4B6BC5B9" w16cid:durableId="1EA02702"/>
  <w16cid:commentId w16cid:paraId="397A3E79" w16cid:durableId="1EA02703"/>
  <w16cid:commentId w16cid:paraId="0A2D62AE" w16cid:durableId="1EA02704"/>
  <w16cid:commentId w16cid:paraId="249C0F80" w16cid:durableId="1EA02705"/>
  <w16cid:commentId w16cid:paraId="43044289" w16cid:durableId="1EA02706"/>
  <w16cid:commentId w16cid:paraId="18EEC558" w16cid:durableId="1EA02707"/>
  <w16cid:commentId w16cid:paraId="24CF87E9" w16cid:durableId="1EA02708"/>
  <w16cid:commentId w16cid:paraId="4D44B20A" w16cid:durableId="1EA02709"/>
  <w16cid:commentId w16cid:paraId="5C019031" w16cid:durableId="1EA0270A"/>
  <w16cid:commentId w16cid:paraId="42C7936D" w16cid:durableId="1EA0270B"/>
  <w16cid:commentId w16cid:paraId="524B4FDF" w16cid:durableId="1EA0270C"/>
  <w16cid:commentId w16cid:paraId="796352CF" w16cid:durableId="1EA0270D"/>
  <w16cid:commentId w16cid:paraId="36B93CDA" w16cid:durableId="1EA0270E"/>
  <w16cid:commentId w16cid:paraId="19FFECD7" w16cid:durableId="1EA0270F"/>
  <w16cid:commentId w16cid:paraId="132AA7DF" w16cid:durableId="1EA02710"/>
  <w16cid:commentId w16cid:paraId="1C4DA56D" w16cid:durableId="1EA02711"/>
  <w16cid:commentId w16cid:paraId="680E3E1B" w16cid:durableId="1EA02712"/>
  <w16cid:commentId w16cid:paraId="5DF6418E" w16cid:durableId="1EA02713"/>
  <w16cid:commentId w16cid:paraId="62D68141" w16cid:durableId="1EA02714"/>
  <w16cid:commentId w16cid:paraId="1E0822A3" w16cid:durableId="1EA02715"/>
  <w16cid:commentId w16cid:paraId="45EC507A" w16cid:durableId="1EA02716"/>
  <w16cid:commentId w16cid:paraId="7BD71C85" w16cid:durableId="1EA02717"/>
  <w16cid:commentId w16cid:paraId="6B2A3BEF" w16cid:durableId="1EA02718"/>
  <w16cid:commentId w16cid:paraId="4B25329A" w16cid:durableId="1EA02719"/>
  <w16cid:commentId w16cid:paraId="6A641BF6" w16cid:durableId="1EA0271A"/>
  <w16cid:commentId w16cid:paraId="1CFD887C" w16cid:durableId="1EA0271B"/>
  <w16cid:commentId w16cid:paraId="00A10E1D" w16cid:durableId="1EA0271C"/>
  <w16cid:commentId w16cid:paraId="00F9C98A" w16cid:durableId="1EA0271D"/>
  <w16cid:commentId w16cid:paraId="4A3F6ACC" w16cid:durableId="1EA0271E"/>
  <w16cid:commentId w16cid:paraId="58CDD31D" w16cid:durableId="1EA0271F"/>
  <w16cid:commentId w16cid:paraId="53008397" w16cid:durableId="1EA02720"/>
  <w16cid:commentId w16cid:paraId="3F902698" w16cid:durableId="1EA02721"/>
  <w16cid:commentId w16cid:paraId="17B501D0" w16cid:durableId="1EA02722"/>
  <w16cid:commentId w16cid:paraId="04CDF938" w16cid:durableId="1EA02723"/>
  <w16cid:commentId w16cid:paraId="08FB9B1D" w16cid:durableId="1EA02724"/>
  <w16cid:commentId w16cid:paraId="0E9CBBF1" w16cid:durableId="1EA02725"/>
  <w16cid:commentId w16cid:paraId="7856494F" w16cid:durableId="1EA02726"/>
  <w16cid:commentId w16cid:paraId="51773327" w16cid:durableId="1EA02727"/>
  <w16cid:commentId w16cid:paraId="2D4740A8" w16cid:durableId="1EA02728"/>
  <w16cid:commentId w16cid:paraId="04F0F5BF" w16cid:durableId="1EA02729"/>
  <w16cid:commentId w16cid:paraId="2D7BEDA2" w16cid:durableId="1EA0272A"/>
  <w16cid:commentId w16cid:paraId="4AAD5ABC" w16cid:durableId="1EA0272B"/>
  <w16cid:commentId w16cid:paraId="4AD110E7" w16cid:durableId="1EA0272C"/>
  <w16cid:commentId w16cid:paraId="01EB5397" w16cid:durableId="1EA0272D"/>
  <w16cid:commentId w16cid:paraId="59B3F713" w16cid:durableId="1EA0272E"/>
  <w16cid:commentId w16cid:paraId="37B4E6FD" w16cid:durableId="1EA0272F"/>
  <w16cid:commentId w16cid:paraId="26C11C19" w16cid:durableId="1EA02730"/>
  <w16cid:commentId w16cid:paraId="0E06D02B" w16cid:durableId="1EA02731"/>
  <w16cid:commentId w16cid:paraId="6399947E" w16cid:durableId="1EA02732"/>
  <w16cid:commentId w16cid:paraId="1622EAF5" w16cid:durableId="1EA02733"/>
  <w16cid:commentId w16cid:paraId="37CD231C" w16cid:durableId="1EA02734"/>
  <w16cid:commentId w16cid:paraId="00293FDB" w16cid:durableId="1EA02735"/>
  <w16cid:commentId w16cid:paraId="018DD212" w16cid:durableId="1EA02736"/>
  <w16cid:commentId w16cid:paraId="23FBDB42" w16cid:durableId="1EA02737"/>
  <w16cid:commentId w16cid:paraId="3D068B52" w16cid:durableId="1EA02738"/>
  <w16cid:commentId w16cid:paraId="126B12BF" w16cid:durableId="1EA02739"/>
  <w16cid:commentId w16cid:paraId="24FB86F5" w16cid:durableId="1EA0273A"/>
  <w16cid:commentId w16cid:paraId="2705159A" w16cid:durableId="1EA0273B"/>
  <w16cid:commentId w16cid:paraId="661AB89D" w16cid:durableId="1EA0273C"/>
  <w16cid:commentId w16cid:paraId="5960FE42" w16cid:durableId="1EA0273D"/>
  <w16cid:commentId w16cid:paraId="57952DF5" w16cid:durableId="1EA0273E"/>
  <w16cid:commentId w16cid:paraId="2D3649B5" w16cid:durableId="1EA0273F"/>
  <w16cid:commentId w16cid:paraId="7AAD8909" w16cid:durableId="1EA027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B4ECD" w14:textId="77777777" w:rsidR="0070575F" w:rsidRDefault="0070575F" w:rsidP="00F14C6D">
      <w:r>
        <w:separator/>
      </w:r>
    </w:p>
  </w:endnote>
  <w:endnote w:type="continuationSeparator" w:id="0">
    <w:p w14:paraId="58D95D25" w14:textId="77777777" w:rsidR="0070575F" w:rsidRDefault="0070575F" w:rsidP="00F14C6D">
      <w:r>
        <w:continuationSeparator/>
      </w:r>
    </w:p>
  </w:endnote>
  <w:endnote w:id="1">
    <w:p w14:paraId="05AEA310" w14:textId="0CEF6EB2" w:rsidR="0070575F" w:rsidRDefault="0070575F">
      <w:pPr>
        <w:pStyle w:val="EndnoteText"/>
      </w:pPr>
      <w:r>
        <w:rPr>
          <w:rStyle w:val="EndnoteReference"/>
        </w:rPr>
        <w:endnoteRef/>
      </w:r>
      <w:r>
        <w:t xml:space="preserve"> </w:t>
      </w:r>
      <w:r w:rsidRPr="000041E9">
        <w:rPr>
          <w:i/>
        </w:rPr>
        <w:t>Australian Law Reform Commission Act 1996</w:t>
      </w:r>
      <w:r>
        <w:t xml:space="preserve"> (</w:t>
      </w:r>
      <w:proofErr w:type="spellStart"/>
      <w:r>
        <w:t>Cth</w:t>
      </w:r>
      <w:proofErr w:type="spellEnd"/>
      <w:r>
        <w:t>), s 24(1).</w:t>
      </w:r>
    </w:p>
  </w:endnote>
  <w:endnote w:id="2">
    <w:p w14:paraId="17B24D4B" w14:textId="77777777" w:rsidR="0070575F" w:rsidRPr="000C6174" w:rsidRDefault="0070575F">
      <w:pPr>
        <w:pStyle w:val="EndnoteText"/>
        <w:rPr>
          <w:rFonts w:ascii="Times New Roman" w:hAnsi="Times New Roman"/>
        </w:rPr>
      </w:pPr>
      <w:r>
        <w:rPr>
          <w:rStyle w:val="EndnoteReference"/>
        </w:rPr>
        <w:endnoteRef/>
      </w:r>
      <w:r>
        <w:t xml:space="preserve"> </w:t>
      </w:r>
      <w:r w:rsidRPr="000B2D9E">
        <w:rPr>
          <w:i/>
        </w:rPr>
        <w:t>International Covenant on Civil and Political Rights</w:t>
      </w:r>
      <w:r w:rsidRPr="000B2D9E">
        <w:t>, opened for signature on 16 December 1966, 999 UNTS 171 (entered into force 23 March 1976</w:t>
      </w:r>
      <w:r>
        <w:t>), article 23.</w:t>
      </w:r>
    </w:p>
  </w:endnote>
  <w:endnote w:id="3">
    <w:p w14:paraId="2E4BFDBB" w14:textId="77777777" w:rsidR="0070575F" w:rsidRDefault="0070575F">
      <w:pPr>
        <w:pStyle w:val="EndnoteText"/>
      </w:pPr>
      <w:r>
        <w:rPr>
          <w:rStyle w:val="EndnoteReference"/>
        </w:rPr>
        <w:endnoteRef/>
      </w:r>
      <w:r>
        <w:t xml:space="preserve"> </w:t>
      </w:r>
      <w:r w:rsidRPr="004D2BDE">
        <w:rPr>
          <w:rFonts w:cs="Arial"/>
          <w:i/>
        </w:rPr>
        <w:t xml:space="preserve">Convention on the Rights of the </w:t>
      </w:r>
      <w:proofErr w:type="gramStart"/>
      <w:r w:rsidRPr="004D2BDE">
        <w:rPr>
          <w:rFonts w:cs="Arial"/>
          <w:i/>
        </w:rPr>
        <w:t>Child</w:t>
      </w:r>
      <w:r w:rsidRPr="004D2BDE">
        <w:rPr>
          <w:rFonts w:cs="Arial"/>
        </w:rPr>
        <w:t>,</w:t>
      </w:r>
      <w:proofErr w:type="gramEnd"/>
      <w:r w:rsidRPr="004D2BDE">
        <w:rPr>
          <w:rFonts w:cs="Arial"/>
        </w:rPr>
        <w:t xml:space="preserve"> opened for signature 20 November 1989, 1577 UNTS 3 (entered in</w:t>
      </w:r>
      <w:r>
        <w:rPr>
          <w:rFonts w:cs="Arial"/>
        </w:rPr>
        <w:t>to force 2 September 1990), Preamble.</w:t>
      </w:r>
    </w:p>
  </w:endnote>
  <w:endnote w:id="4">
    <w:p w14:paraId="3451AD5A" w14:textId="58764880" w:rsidR="0070575F" w:rsidRDefault="0070575F">
      <w:pPr>
        <w:pStyle w:val="EndnoteText"/>
      </w:pPr>
      <w:r>
        <w:rPr>
          <w:rStyle w:val="EndnoteReference"/>
        </w:rPr>
        <w:endnoteRef/>
      </w:r>
      <w:r>
        <w:t xml:space="preserve"> </w:t>
      </w:r>
      <w:r w:rsidRPr="004D2BDE">
        <w:rPr>
          <w:rFonts w:cs="Arial"/>
          <w:i/>
        </w:rPr>
        <w:t>Convention on the Rights of the Child</w:t>
      </w:r>
      <w:r w:rsidRPr="004D2BDE">
        <w:rPr>
          <w:rFonts w:cs="Arial"/>
        </w:rPr>
        <w:t>, opened for signature 20 November 1989, 1577 UNTS 3 (entered in</w:t>
      </w:r>
      <w:r>
        <w:rPr>
          <w:rFonts w:cs="Arial"/>
        </w:rPr>
        <w:t xml:space="preserve">to force 2 September 1990), </w:t>
      </w:r>
      <w:r>
        <w:t>article 3 and</w:t>
      </w:r>
      <w:r>
        <w:rPr>
          <w:lang w:val="en"/>
        </w:rPr>
        <w:t xml:space="preserve">, before that, </w:t>
      </w:r>
      <w:r w:rsidRPr="003A0E62">
        <w:rPr>
          <w:lang w:val="en"/>
        </w:rPr>
        <w:t xml:space="preserve">the </w:t>
      </w:r>
      <w:r w:rsidRPr="003A0E62">
        <w:rPr>
          <w:i/>
          <w:lang w:val="en"/>
        </w:rPr>
        <w:t>United Nations Declaration of the Rights of the Child</w:t>
      </w:r>
      <w:r w:rsidRPr="003A0E62">
        <w:rPr>
          <w:lang w:val="en"/>
        </w:rPr>
        <w:t>,</w:t>
      </w:r>
      <w:r>
        <w:rPr>
          <w:lang w:val="en"/>
        </w:rPr>
        <w:t xml:space="preserve"> GA Resolution 1386 (XIV), 14 UN GAOR </w:t>
      </w:r>
      <w:proofErr w:type="spellStart"/>
      <w:r>
        <w:rPr>
          <w:lang w:val="en"/>
        </w:rPr>
        <w:t>Supp</w:t>
      </w:r>
      <w:proofErr w:type="spellEnd"/>
      <w:r>
        <w:rPr>
          <w:lang w:val="en"/>
        </w:rPr>
        <w:t xml:space="preserve"> No 16, UN Doc A/4354 (2 November 1959), p</w:t>
      </w:r>
      <w:r w:rsidRPr="003A0E62">
        <w:rPr>
          <w:lang w:val="en"/>
        </w:rPr>
        <w:t>rinciple 2.</w:t>
      </w:r>
    </w:p>
  </w:endnote>
  <w:endnote w:id="5">
    <w:p w14:paraId="3C7414EF" w14:textId="77777777" w:rsidR="0070575F" w:rsidRDefault="0070575F">
      <w:pPr>
        <w:pStyle w:val="EndnoteText"/>
      </w:pPr>
      <w:r>
        <w:rPr>
          <w:rStyle w:val="EndnoteReference"/>
        </w:rPr>
        <w:endnoteRef/>
      </w:r>
      <w:r>
        <w:t xml:space="preserve"> </w:t>
      </w:r>
      <w:r w:rsidRPr="000479B2">
        <w:rPr>
          <w:i/>
        </w:rPr>
        <w:t>Family Law Act 1975</w:t>
      </w:r>
      <w:r>
        <w:t xml:space="preserve"> (</w:t>
      </w:r>
      <w:proofErr w:type="spellStart"/>
      <w:r>
        <w:t>Cth</w:t>
      </w:r>
      <w:proofErr w:type="spellEnd"/>
      <w:proofErr w:type="gramStart"/>
      <w:r>
        <w:t>)(</w:t>
      </w:r>
      <w:proofErr w:type="gramEnd"/>
      <w:r>
        <w:t>Family Law Act), s 60CA.</w:t>
      </w:r>
    </w:p>
  </w:endnote>
  <w:endnote w:id="6">
    <w:p w14:paraId="4C53FA5A" w14:textId="77777777" w:rsidR="0070575F" w:rsidRDefault="0070575F">
      <w:pPr>
        <w:pStyle w:val="EndnoteText"/>
      </w:pPr>
      <w:r>
        <w:rPr>
          <w:rStyle w:val="EndnoteReference"/>
        </w:rPr>
        <w:endnoteRef/>
      </w:r>
      <w:r>
        <w:t xml:space="preserve"> Australian Human Rights Commission, Submission No 254 to the Senate Standing Committee on Legal and Constitutional Affairs, Parliament of Australia, </w:t>
      </w:r>
      <w:r>
        <w:rPr>
          <w:i/>
        </w:rPr>
        <w:t>Inquiry into the Family Law Legislation Amendment (Family Violence and Other Measures) Bill 2011</w:t>
      </w:r>
      <w:r>
        <w:t xml:space="preserve">, 29 July 2011. At </w:t>
      </w:r>
      <w:hyperlink r:id="rId1" w:history="1">
        <w:r w:rsidRPr="005E1718">
          <w:rPr>
            <w:rStyle w:val="Hyperlink"/>
          </w:rPr>
          <w:t>https://www.humanrights.gov.au/inquiry-family-law-legislation-amendment-family-violence-and-other-measures-bill-2011</w:t>
        </w:r>
      </w:hyperlink>
      <w:r>
        <w:t>.</w:t>
      </w:r>
    </w:p>
  </w:endnote>
  <w:endnote w:id="7">
    <w:p w14:paraId="638A75E6" w14:textId="77777777" w:rsidR="0070575F" w:rsidRDefault="0070575F" w:rsidP="00BD424B">
      <w:pPr>
        <w:pStyle w:val="EndnoteText"/>
      </w:pPr>
      <w:r>
        <w:rPr>
          <w:rStyle w:val="EndnoteReference"/>
        </w:rPr>
        <w:endnoteRef/>
      </w:r>
      <w:r>
        <w:t xml:space="preserve"> Patrick Parkinson, ‘The Family Law Act and the UN Convention on Children’s Rights: A New Focus on Children?</w:t>
      </w:r>
      <w:proofErr w:type="gramStart"/>
      <w:r>
        <w:t>’,</w:t>
      </w:r>
      <w:proofErr w:type="gramEnd"/>
      <w:r>
        <w:t xml:space="preserve"> </w:t>
      </w:r>
      <w:r w:rsidRPr="006B5BA2">
        <w:rPr>
          <w:i/>
        </w:rPr>
        <w:t>Right Now – Human Rights in Australia</w:t>
      </w:r>
      <w:r>
        <w:t xml:space="preserve"> (Online), July 13 2012. At </w:t>
      </w:r>
      <w:hyperlink r:id="rId2" w:history="1">
        <w:r w:rsidRPr="00C1497B">
          <w:rPr>
            <w:rStyle w:val="Hyperlink"/>
          </w:rPr>
          <w:t>http://rightnow.org.au/opinion-3/the-family-law-act-and-the-un-convention-on-childrens-rights-a-new-focus-on-children/</w:t>
        </w:r>
      </w:hyperlink>
      <w:r>
        <w:t xml:space="preserve"> (viewed 11 April 2018).</w:t>
      </w:r>
    </w:p>
  </w:endnote>
  <w:endnote w:id="8">
    <w:p w14:paraId="1C1D9D33" w14:textId="5C69BE10" w:rsidR="0070575F" w:rsidRDefault="0070575F">
      <w:pPr>
        <w:pStyle w:val="EndnoteText"/>
      </w:pPr>
      <w:r>
        <w:rPr>
          <w:rStyle w:val="EndnoteReference"/>
        </w:rPr>
        <w:endnoteRef/>
      </w:r>
      <w:r>
        <w:t xml:space="preserve"> Workplace Gender Equality Agency, ‘What is the gender pay gap?’ At: </w:t>
      </w:r>
      <w:hyperlink r:id="rId3" w:history="1">
        <w:r w:rsidRPr="00BD7B15">
          <w:rPr>
            <w:rStyle w:val="Hyperlink"/>
          </w:rPr>
          <w:t>https://www.wgea.gov.au/addressing-pay-equity/what-gender-pay-gap</w:t>
        </w:r>
      </w:hyperlink>
      <w:r>
        <w:t xml:space="preserve"> (viewed 15 May 2018).</w:t>
      </w:r>
    </w:p>
  </w:endnote>
  <w:endnote w:id="9">
    <w:p w14:paraId="05D12E0B" w14:textId="04882D36" w:rsidR="0070575F" w:rsidRDefault="0070575F">
      <w:pPr>
        <w:pStyle w:val="EndnoteText"/>
      </w:pPr>
      <w:r>
        <w:rPr>
          <w:rStyle w:val="EndnoteReference"/>
        </w:rPr>
        <w:endnoteRef/>
      </w:r>
      <w:r>
        <w:t xml:space="preserve"> Workplace Gender Equality Agency, ‘What is the gender pay gap?’ At: </w:t>
      </w:r>
      <w:hyperlink r:id="rId4" w:history="1">
        <w:r w:rsidRPr="00BD7B15">
          <w:rPr>
            <w:rStyle w:val="Hyperlink"/>
          </w:rPr>
          <w:t>https://www.wgea.gov.au/addressing-pay-equity/what-gender-pay-gap</w:t>
        </w:r>
      </w:hyperlink>
      <w:r>
        <w:t xml:space="preserve"> (viewed 15 May 2018).</w:t>
      </w:r>
    </w:p>
  </w:endnote>
  <w:endnote w:id="10">
    <w:p w14:paraId="73398A6B" w14:textId="1C66922D" w:rsidR="0070575F" w:rsidRDefault="0070575F">
      <w:pPr>
        <w:pStyle w:val="EndnoteText"/>
      </w:pPr>
      <w:r>
        <w:rPr>
          <w:rStyle w:val="EndnoteReference"/>
        </w:rPr>
        <w:endnoteRef/>
      </w:r>
      <w:r>
        <w:t xml:space="preserve"> </w:t>
      </w:r>
      <w:r w:rsidRPr="0016309C">
        <w:rPr>
          <w:rFonts w:cs="Arial"/>
        </w:rPr>
        <w:t>Australian Bureau of Statistics, 2016 Cens</w:t>
      </w:r>
      <w:r>
        <w:rPr>
          <w:rFonts w:cs="Arial"/>
        </w:rPr>
        <w:t>us Community Profiles Australia.</w:t>
      </w:r>
      <w:r w:rsidRPr="0016309C">
        <w:rPr>
          <w:rFonts w:cs="Arial"/>
        </w:rPr>
        <w:t xml:space="preserve"> At: </w:t>
      </w:r>
      <w:hyperlink r:id="rId5" w:tgtFrame="_blank" w:history="1">
        <w:r w:rsidRPr="0016309C">
          <w:rPr>
            <w:rStyle w:val="Hyperlink"/>
            <w:rFonts w:cs="Arial"/>
            <w:shd w:val="clear" w:color="auto" w:fill="FFFFFF"/>
          </w:rPr>
          <w:t>http://www.censusdata.abs.gov.au/census_services/getproduct/census/2016/communityprofile/036?opendocument</w:t>
        </w:r>
      </w:hyperlink>
      <w:r w:rsidRPr="0016309C">
        <w:rPr>
          <w:rFonts w:cs="Arial"/>
        </w:rPr>
        <w:t xml:space="preserve"> (</w:t>
      </w:r>
      <w:r>
        <w:t>viewed 15 May 2018</w:t>
      </w:r>
      <w:r w:rsidRPr="0016309C">
        <w:rPr>
          <w:rFonts w:cs="Arial"/>
        </w:rPr>
        <w:t>).</w:t>
      </w:r>
    </w:p>
  </w:endnote>
  <w:endnote w:id="11">
    <w:p w14:paraId="74A789DC" w14:textId="44B18940" w:rsidR="0070575F" w:rsidRDefault="0070575F">
      <w:pPr>
        <w:pStyle w:val="EndnoteText"/>
      </w:pPr>
      <w:r>
        <w:rPr>
          <w:rStyle w:val="EndnoteReference"/>
        </w:rPr>
        <w:endnoteRef/>
      </w:r>
      <w:r>
        <w:t xml:space="preserve"> Australian Bureau of Statistics, </w:t>
      </w:r>
      <w:r>
        <w:rPr>
          <w:i/>
        </w:rPr>
        <w:t xml:space="preserve">4906.0 </w:t>
      </w:r>
      <w:r w:rsidRPr="004A00B6">
        <w:rPr>
          <w:i/>
        </w:rPr>
        <w:t>Personal Safety, Australia, 2016</w:t>
      </w:r>
      <w:r>
        <w:t xml:space="preserve"> (8 November 2017). At: </w:t>
      </w:r>
      <w:hyperlink r:id="rId6" w:history="1">
        <w:r w:rsidRPr="00EF0B1A">
          <w:rPr>
            <w:rStyle w:val="Hyperlink"/>
          </w:rPr>
          <w:t>http://www.abs.gov.au/ausstats/abs@.nsf/mf/4906.0</w:t>
        </w:r>
      </w:hyperlink>
      <w:r>
        <w:t xml:space="preserve"> (viewed 16 April 2018).</w:t>
      </w:r>
    </w:p>
  </w:endnote>
  <w:endnote w:id="12">
    <w:p w14:paraId="3A947807" w14:textId="652E4988" w:rsidR="0070575F" w:rsidRPr="0075695F" w:rsidRDefault="0070575F" w:rsidP="00311B10">
      <w:pPr>
        <w:pStyle w:val="EndnoteText"/>
        <w:rPr>
          <w:lang w:val="en-US"/>
        </w:rPr>
      </w:pPr>
      <w:r>
        <w:rPr>
          <w:rStyle w:val="EndnoteReference"/>
        </w:rPr>
        <w:endnoteRef/>
      </w:r>
      <w:r>
        <w:t xml:space="preserve"> </w:t>
      </w:r>
      <w:r>
        <w:rPr>
          <w:lang w:val="en-US"/>
        </w:rPr>
        <w:t xml:space="preserve">Australian Bureau of Statistics, Gender Indicators, Australia, 2016 (19 September 2017). At: </w:t>
      </w:r>
      <w:hyperlink r:id="rId7" w:history="1">
        <w:r w:rsidRPr="00FF29F0">
          <w:rPr>
            <w:rStyle w:val="Hyperlink"/>
            <w:lang w:val="en-US"/>
          </w:rPr>
          <w:t>http://www.abs.gov.au/ausstats/abs@.nsf/Lookup/by%20Subject/4125.0~Sep%202017~Main%20Features~Work%20and%20Family%20Balance~7</w:t>
        </w:r>
      </w:hyperlink>
      <w:r>
        <w:rPr>
          <w:lang w:val="en-US"/>
        </w:rPr>
        <w:t xml:space="preserve"> (viewed 14 May 2018). </w:t>
      </w:r>
      <w:r w:rsidRPr="0075695F">
        <w:rPr>
          <w:lang w:val="en-US"/>
        </w:rPr>
        <w:t xml:space="preserve">See, for example: </w:t>
      </w:r>
      <w:r w:rsidRPr="0075695F">
        <w:rPr>
          <w:rFonts w:cs="Arial"/>
          <w:shd w:val="clear" w:color="auto" w:fill="FFFFFF"/>
        </w:rPr>
        <w:t xml:space="preserve">In 2015-16, </w:t>
      </w:r>
      <w:proofErr w:type="gramStart"/>
      <w:r w:rsidRPr="0075695F">
        <w:rPr>
          <w:rFonts w:cs="Arial"/>
          <w:shd w:val="clear" w:color="auto" w:fill="FFFFFF"/>
        </w:rPr>
        <w:t>95% of primary parental leave used by non-public sector employees was taken by women</w:t>
      </w:r>
      <w:proofErr w:type="gramEnd"/>
      <w:r w:rsidRPr="0075695F">
        <w:rPr>
          <w:rFonts w:cs="Arial"/>
          <w:shd w:val="clear" w:color="auto" w:fill="FFFFFF"/>
        </w:rPr>
        <w:t xml:space="preserve">. See also, ANROWS, Our Watch and VicHealth, </w:t>
      </w:r>
      <w:r w:rsidRPr="0075695F">
        <w:rPr>
          <w:rFonts w:cs="Arial"/>
          <w:i/>
          <w:shd w:val="clear" w:color="auto" w:fill="FFFFFF"/>
        </w:rPr>
        <w:t>Change the Story: A shared framework for the primary prevention of violence against women and their children in Australia</w:t>
      </w:r>
      <w:r w:rsidRPr="0075695F">
        <w:rPr>
          <w:rFonts w:cs="Arial"/>
          <w:shd w:val="clear" w:color="auto" w:fill="FFFFFF"/>
        </w:rPr>
        <w:t xml:space="preserve"> (2015), 19. At: </w:t>
      </w:r>
      <w:hyperlink r:id="rId8" w:history="1">
        <w:r w:rsidRPr="0075695F">
          <w:rPr>
            <w:rStyle w:val="Hyperlink"/>
            <w:rFonts w:cs="Arial"/>
            <w:color w:val="auto"/>
            <w:shd w:val="clear" w:color="auto" w:fill="FFFFFF"/>
          </w:rPr>
          <w:t>https://www.ourwatch.org.au/getmedia/0aa0109b-6b03-43f2-85fe-a9f5ec92ae4e/Change-the-story-framework-prevent-violence-women-children-AA-new.pdf.aspx</w:t>
        </w:r>
      </w:hyperlink>
      <w:r w:rsidRPr="0075695F">
        <w:rPr>
          <w:rFonts w:cs="Arial"/>
          <w:shd w:val="clear" w:color="auto" w:fill="FFFFFF"/>
        </w:rPr>
        <w:t xml:space="preserve"> (viewed 14 May 2018).  </w:t>
      </w:r>
    </w:p>
  </w:endnote>
  <w:endnote w:id="13">
    <w:p w14:paraId="50ACF94B" w14:textId="77777777" w:rsidR="0070575F" w:rsidRDefault="0070575F" w:rsidP="00343A85">
      <w:pPr>
        <w:pStyle w:val="EndnoteText"/>
      </w:pPr>
      <w:r>
        <w:rPr>
          <w:rStyle w:val="EndnoteReference"/>
        </w:rPr>
        <w:endnoteRef/>
      </w:r>
      <w:r>
        <w:t xml:space="preserve"> Australian Bureau of Statistics, </w:t>
      </w:r>
      <w:r>
        <w:rPr>
          <w:i/>
        </w:rPr>
        <w:t xml:space="preserve">4906.0 </w:t>
      </w:r>
      <w:r w:rsidRPr="004A00B6">
        <w:rPr>
          <w:i/>
        </w:rPr>
        <w:t>Personal Safety, Australia, 2016</w:t>
      </w:r>
      <w:r>
        <w:t xml:space="preserve"> (8 November 2017). At: </w:t>
      </w:r>
      <w:hyperlink r:id="rId9" w:history="1">
        <w:r w:rsidRPr="00EF0B1A">
          <w:rPr>
            <w:rStyle w:val="Hyperlink"/>
          </w:rPr>
          <w:t>http://www.abs.gov.au/ausstats/abs@.nsf/mf/4906.0</w:t>
        </w:r>
      </w:hyperlink>
      <w:r>
        <w:t xml:space="preserve"> (viewed 16 April 2018).</w:t>
      </w:r>
    </w:p>
  </w:endnote>
  <w:endnote w:id="14">
    <w:p w14:paraId="304428FE" w14:textId="77346C1C" w:rsidR="0070575F" w:rsidRPr="0075695F" w:rsidRDefault="0070575F" w:rsidP="001D00E8">
      <w:pPr>
        <w:pStyle w:val="EndnoteText"/>
        <w:rPr>
          <w:rFonts w:cs="Arial"/>
          <w:shd w:val="clear" w:color="auto" w:fill="FFFFFF"/>
        </w:rPr>
      </w:pPr>
      <w:r>
        <w:rPr>
          <w:rStyle w:val="EndnoteReference"/>
        </w:rPr>
        <w:endnoteRef/>
      </w:r>
      <w:r>
        <w:t xml:space="preserve"> </w:t>
      </w:r>
      <w:r w:rsidRPr="0075695F">
        <w:rPr>
          <w:rFonts w:cs="Arial"/>
          <w:shd w:val="clear" w:color="auto" w:fill="FFFFFF"/>
        </w:rPr>
        <w:t xml:space="preserve">ANROWS, Domestic and family violence and parenting: Mixed method insights into impact and support needs: Final report (June 2017), 14. At: </w:t>
      </w:r>
      <w:hyperlink r:id="rId10" w:history="1">
        <w:r w:rsidRPr="0075695F">
          <w:rPr>
            <w:rStyle w:val="Hyperlink"/>
            <w:rFonts w:cs="Arial"/>
            <w:color w:val="auto"/>
            <w:shd w:val="clear" w:color="auto" w:fill="FFFFFF"/>
          </w:rPr>
          <w:t>https://www.anrows.org.au/publications/landscapes-0/domestic-and-family-violence-and-parenting-mixed-methods-insights-impact-and</w:t>
        </w:r>
      </w:hyperlink>
      <w:r w:rsidRPr="0075695F">
        <w:rPr>
          <w:rFonts w:cs="Arial"/>
          <w:shd w:val="clear" w:color="auto" w:fill="FFFFFF"/>
        </w:rPr>
        <w:t xml:space="preserve"> (viewed 15 May 2018). </w:t>
      </w:r>
    </w:p>
  </w:endnote>
  <w:endnote w:id="15">
    <w:p w14:paraId="16E4948E" w14:textId="77777777" w:rsidR="0070575F" w:rsidRDefault="0070575F">
      <w:pPr>
        <w:pStyle w:val="EndnoteText"/>
      </w:pPr>
      <w:r>
        <w:rPr>
          <w:rStyle w:val="EndnoteReference"/>
        </w:rPr>
        <w:endnoteRef/>
      </w:r>
      <w:r>
        <w:t xml:space="preserve"> </w:t>
      </w:r>
      <w:r w:rsidRPr="007150B4">
        <w:rPr>
          <w:i/>
        </w:rPr>
        <w:t xml:space="preserve">Convention on the Elimination of All Forms of Discrimination </w:t>
      </w:r>
      <w:proofErr w:type="gramStart"/>
      <w:r w:rsidRPr="007150B4">
        <w:rPr>
          <w:i/>
        </w:rPr>
        <w:t>Against</w:t>
      </w:r>
      <w:proofErr w:type="gramEnd"/>
      <w:r w:rsidRPr="007150B4">
        <w:rPr>
          <w:i/>
        </w:rPr>
        <w:t xml:space="preserve"> Women</w:t>
      </w:r>
      <w:r>
        <w:t>, opened for signature 18 December 1979, Vol 1249 (entered into force 3 September 1981), article 1.</w:t>
      </w:r>
    </w:p>
  </w:endnote>
  <w:endnote w:id="16">
    <w:p w14:paraId="5A23CB0D" w14:textId="77777777" w:rsidR="0070575F" w:rsidRPr="00A86417" w:rsidRDefault="0070575F" w:rsidP="00343A85">
      <w:pPr>
        <w:pStyle w:val="EndnoteText"/>
        <w:rPr>
          <w:rFonts w:cs="Arial"/>
        </w:rPr>
      </w:pPr>
      <w:r w:rsidRPr="00A86417">
        <w:rPr>
          <w:rStyle w:val="EndnoteReference"/>
          <w:rFonts w:cs="Arial"/>
        </w:rPr>
        <w:endnoteRef/>
      </w:r>
      <w:r w:rsidRPr="006C170C">
        <w:rPr>
          <w:rFonts w:cs="Arial"/>
        </w:rPr>
        <w:t xml:space="preserve"> </w:t>
      </w:r>
      <w:r w:rsidRPr="007912FB">
        <w:rPr>
          <w:rStyle w:val="Hyperlink"/>
          <w:color w:val="auto"/>
          <w:u w:val="none"/>
        </w:rPr>
        <w:t>UN</w:t>
      </w:r>
      <w:r>
        <w:rPr>
          <w:rStyle w:val="Hyperlink"/>
          <w:color w:val="auto"/>
          <w:u w:val="none"/>
        </w:rPr>
        <w:t xml:space="preserve"> Committee on the Elimination of Discrimination </w:t>
      </w:r>
      <w:proofErr w:type="gramStart"/>
      <w:r>
        <w:rPr>
          <w:rStyle w:val="Hyperlink"/>
          <w:color w:val="auto"/>
          <w:u w:val="none"/>
        </w:rPr>
        <w:t>Against</w:t>
      </w:r>
      <w:proofErr w:type="gramEnd"/>
      <w:r>
        <w:rPr>
          <w:rStyle w:val="Hyperlink"/>
          <w:color w:val="auto"/>
          <w:u w:val="none"/>
        </w:rPr>
        <w:t xml:space="preserve"> Women, </w:t>
      </w:r>
      <w:r>
        <w:rPr>
          <w:rStyle w:val="Hyperlink"/>
          <w:i/>
          <w:color w:val="auto"/>
          <w:u w:val="none"/>
        </w:rPr>
        <w:t xml:space="preserve">General Recommendation No. 19: Violence Against Women </w:t>
      </w:r>
      <w:r>
        <w:rPr>
          <w:rStyle w:val="Hyperlink"/>
          <w:color w:val="auto"/>
          <w:u w:val="none"/>
        </w:rPr>
        <w:t>11</w:t>
      </w:r>
      <w:r w:rsidRPr="005522C2">
        <w:rPr>
          <w:rStyle w:val="Hyperlink"/>
          <w:color w:val="auto"/>
          <w:u w:val="none"/>
          <w:vertAlign w:val="superscript"/>
        </w:rPr>
        <w:t>th</w:t>
      </w:r>
      <w:r>
        <w:rPr>
          <w:rStyle w:val="Hyperlink"/>
          <w:color w:val="auto"/>
          <w:u w:val="none"/>
        </w:rPr>
        <w:t xml:space="preserve"> session, UN Doc A/47/38 (1992). </w:t>
      </w:r>
      <w:r w:rsidRPr="005522C2">
        <w:rPr>
          <w:rStyle w:val="Hyperlink"/>
          <w:color w:val="auto"/>
          <w:u w:val="none"/>
        </w:rPr>
        <w:t xml:space="preserve">At </w:t>
      </w:r>
      <w:hyperlink r:id="rId11" w:history="1">
        <w:r w:rsidRPr="005522C2">
          <w:rPr>
            <w:rStyle w:val="Hyperlink"/>
          </w:rPr>
          <w:t>http://www.un.org/womenwatch/daw/cedaw/recommendations/recomm.htm</w:t>
        </w:r>
      </w:hyperlink>
      <w:r w:rsidRPr="005522C2">
        <w:rPr>
          <w:rStyle w:val="Hyperlink"/>
        </w:rPr>
        <w:t xml:space="preserve">  </w:t>
      </w:r>
      <w:r w:rsidRPr="005522C2">
        <w:rPr>
          <w:rStyle w:val="Hyperlink"/>
          <w:color w:val="auto"/>
          <w:u w:val="none"/>
        </w:rPr>
        <w:t>(viewed 26 July 2011)</w:t>
      </w:r>
      <w:r>
        <w:rPr>
          <w:rFonts w:cs="Arial"/>
        </w:rPr>
        <w:t>.</w:t>
      </w:r>
    </w:p>
  </w:endnote>
  <w:endnote w:id="17">
    <w:p w14:paraId="48E68EF1" w14:textId="77777777" w:rsidR="0070575F" w:rsidRPr="003361C8" w:rsidRDefault="0070575F" w:rsidP="00343A85">
      <w:pPr>
        <w:pStyle w:val="EndnoteText"/>
      </w:pPr>
      <w:r w:rsidRPr="005B7B8A">
        <w:rPr>
          <w:rStyle w:val="EndnoteReference"/>
        </w:rPr>
        <w:endnoteRef/>
      </w:r>
      <w:r w:rsidRPr="002C2086">
        <w:t xml:space="preserve"> See</w:t>
      </w:r>
      <w:r>
        <w:t>,</w:t>
      </w:r>
      <w:r w:rsidRPr="002C2086">
        <w:t xml:space="preserve"> for example</w:t>
      </w:r>
      <w:r>
        <w:t>,</w:t>
      </w:r>
      <w:r w:rsidRPr="002C2086">
        <w:t xml:space="preserve"> concerns recently expressed by the Victorian Equal Opportunity and Human Rights Commission that parents with disability are being forced to relinquish their children due to a lack of support services</w:t>
      </w:r>
      <w:r w:rsidRPr="005914B5">
        <w:rPr>
          <w:i/>
        </w:rPr>
        <w:t xml:space="preserve">: </w:t>
      </w:r>
      <w:r w:rsidRPr="005914B5">
        <w:t>Victorian Equal Opportunity and Human Rights Commission</w:t>
      </w:r>
      <w:r>
        <w:t>,</w:t>
      </w:r>
      <w:r w:rsidRPr="002C2086">
        <w:rPr>
          <w:i/>
        </w:rPr>
        <w:t xml:space="preserve"> </w:t>
      </w:r>
      <w:r>
        <w:t xml:space="preserve">Submission to the </w:t>
      </w:r>
      <w:r>
        <w:rPr>
          <w:i/>
        </w:rPr>
        <w:t xml:space="preserve">Protecting Victoria’s Vulnerable Children Inquiry </w:t>
      </w:r>
      <w:r>
        <w:t xml:space="preserve">(April 2011), 6. At </w:t>
      </w:r>
      <w:hyperlink r:id="rId12" w:history="1">
        <w:r w:rsidRPr="005E1718">
          <w:rPr>
            <w:rStyle w:val="Hyperlink"/>
          </w:rPr>
          <w:t>http://www.childprotectioninquiry.vic.gov.au/images/stories/submissions/victorian-equal-opportunity-and-human-rights-commission.pdf</w:t>
        </w:r>
      </w:hyperlink>
      <w:r>
        <w:t xml:space="preserve"> (viewed</w:t>
      </w:r>
      <w:r w:rsidRPr="002C2086">
        <w:t xml:space="preserve"> 26 July 2011)</w:t>
      </w:r>
      <w:r>
        <w:t>.</w:t>
      </w:r>
    </w:p>
  </w:endnote>
  <w:endnote w:id="18">
    <w:p w14:paraId="63E9DA17" w14:textId="2B80BAC4" w:rsidR="0070575F" w:rsidRDefault="0070575F">
      <w:pPr>
        <w:pStyle w:val="EndnoteText"/>
      </w:pPr>
      <w:r>
        <w:rPr>
          <w:rStyle w:val="EndnoteReference"/>
        </w:rPr>
        <w:endnoteRef/>
      </w:r>
      <w:r>
        <w:t xml:space="preserve"> </w:t>
      </w:r>
      <w:r w:rsidRPr="0027534F">
        <w:rPr>
          <w:rFonts w:cs="Arial"/>
        </w:rPr>
        <w:t xml:space="preserve">The Senate Community Affairs References Committee, The Australian Senate, </w:t>
      </w:r>
      <w:r w:rsidRPr="0027534F">
        <w:rPr>
          <w:rFonts w:cs="Arial"/>
          <w:i/>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27534F">
        <w:rPr>
          <w:rFonts w:cs="Arial"/>
        </w:rPr>
        <w:t>(2015) 27</w:t>
      </w:r>
      <w:r>
        <w:rPr>
          <w:rFonts w:cs="Arial"/>
          <w:sz w:val="18"/>
          <w:szCs w:val="18"/>
        </w:rPr>
        <w:t>.</w:t>
      </w:r>
    </w:p>
  </w:endnote>
  <w:endnote w:id="19">
    <w:p w14:paraId="5006975B" w14:textId="77777777" w:rsidR="0070575F" w:rsidRPr="005914B5" w:rsidRDefault="0070575F" w:rsidP="00D16CA9">
      <w:pPr>
        <w:pStyle w:val="EndnoteText"/>
        <w:rPr>
          <w:rFonts w:cs="Arial"/>
          <w:lang w:val="en-US"/>
        </w:rPr>
      </w:pPr>
      <w:r w:rsidRPr="005914B5">
        <w:rPr>
          <w:rStyle w:val="EndnoteReference"/>
          <w:rFonts w:cs="Arial"/>
        </w:rPr>
        <w:endnoteRef/>
      </w:r>
      <w:r w:rsidRPr="005914B5">
        <w:rPr>
          <w:rFonts w:cs="Arial"/>
        </w:rPr>
        <w:t xml:space="preserve"> </w:t>
      </w:r>
      <w:r w:rsidRPr="005914B5">
        <w:rPr>
          <w:rFonts w:cs="Arial"/>
          <w:i/>
        </w:rPr>
        <w:t>United Nations Declaration on the Rights of Indigenous Peoples</w:t>
      </w:r>
      <w:r w:rsidRPr="005914B5">
        <w:rPr>
          <w:rFonts w:cs="Arial"/>
        </w:rPr>
        <w:t>, GA Res 61/295, UN GAOR, 61</w:t>
      </w:r>
      <w:r w:rsidRPr="005914B5">
        <w:rPr>
          <w:rFonts w:cs="Arial"/>
          <w:vertAlign w:val="superscript"/>
        </w:rPr>
        <w:t>st</w:t>
      </w:r>
      <w:r w:rsidRPr="005914B5">
        <w:rPr>
          <w:rFonts w:cs="Arial"/>
        </w:rPr>
        <w:t xml:space="preserve"> sess</w:t>
      </w:r>
      <w:r>
        <w:rPr>
          <w:rFonts w:cs="Arial"/>
        </w:rPr>
        <w:t>ion</w:t>
      </w:r>
      <w:r w:rsidRPr="005914B5">
        <w:rPr>
          <w:rFonts w:cs="Arial"/>
        </w:rPr>
        <w:t>, 107</w:t>
      </w:r>
      <w:r w:rsidRPr="005914B5">
        <w:rPr>
          <w:rFonts w:cs="Arial"/>
          <w:vertAlign w:val="superscript"/>
        </w:rPr>
        <w:t>th</w:t>
      </w:r>
      <w:r w:rsidRPr="005914B5">
        <w:rPr>
          <w:rFonts w:cs="Arial"/>
        </w:rPr>
        <w:t xml:space="preserve"> </w:t>
      </w:r>
      <w:proofErr w:type="spellStart"/>
      <w:r w:rsidRPr="005914B5">
        <w:rPr>
          <w:rFonts w:cs="Arial"/>
        </w:rPr>
        <w:t>plen</w:t>
      </w:r>
      <w:proofErr w:type="spellEnd"/>
      <w:r w:rsidRPr="005914B5">
        <w:rPr>
          <w:rFonts w:cs="Arial"/>
        </w:rPr>
        <w:t xml:space="preserve"> </w:t>
      </w:r>
      <w:proofErr w:type="spellStart"/>
      <w:r w:rsidRPr="005914B5">
        <w:rPr>
          <w:rFonts w:cs="Arial"/>
        </w:rPr>
        <w:t>mtg</w:t>
      </w:r>
      <w:proofErr w:type="spellEnd"/>
      <w:r w:rsidRPr="005914B5">
        <w:rPr>
          <w:rFonts w:cs="Arial"/>
        </w:rPr>
        <w:t xml:space="preserve">, </w:t>
      </w:r>
      <w:proofErr w:type="spellStart"/>
      <w:r w:rsidRPr="005914B5">
        <w:rPr>
          <w:rFonts w:cs="Arial"/>
        </w:rPr>
        <w:t>Supp</w:t>
      </w:r>
      <w:proofErr w:type="spellEnd"/>
      <w:r w:rsidRPr="005914B5">
        <w:rPr>
          <w:rFonts w:cs="Arial"/>
        </w:rPr>
        <w:t xml:space="preserve"> No 49, UN Doc A/Res/61/295 (13 September 2007).</w:t>
      </w:r>
    </w:p>
  </w:endnote>
  <w:endnote w:id="20">
    <w:p w14:paraId="27E955CD" w14:textId="77777777" w:rsidR="0070575F" w:rsidRPr="00C74610" w:rsidRDefault="0070575F" w:rsidP="00D16CA9">
      <w:pPr>
        <w:pStyle w:val="EndnoteText"/>
      </w:pPr>
      <w:r w:rsidRPr="00A84888">
        <w:rPr>
          <w:rStyle w:val="EndnoteReference"/>
        </w:rPr>
        <w:endnoteRef/>
      </w:r>
      <w:r w:rsidRPr="00A84888">
        <w:t xml:space="preserve"> Office of the United Nations High Commissioner for Human Rights, </w:t>
      </w:r>
      <w:r w:rsidRPr="00A84888">
        <w:rPr>
          <w:i/>
        </w:rPr>
        <w:t>Indigenous Peoples and the United Nations Human Rights System</w:t>
      </w:r>
      <w:r w:rsidRPr="00A84888">
        <w:t xml:space="preserve">, </w:t>
      </w:r>
      <w:r>
        <w:t xml:space="preserve">Fact Sheet No.9 Rev.2 (2013), </w:t>
      </w:r>
      <w:r w:rsidRPr="00A84888">
        <w:t xml:space="preserve">8. At: </w:t>
      </w:r>
      <w:hyperlink r:id="rId13" w:history="1">
        <w:r w:rsidRPr="00A84888">
          <w:rPr>
            <w:rStyle w:val="Hyperlink"/>
          </w:rPr>
          <w:t>http://www.ohchr.org/Documents/Publications/fs9Rev.2.pdf</w:t>
        </w:r>
      </w:hyperlink>
      <w:r w:rsidRPr="00A84888">
        <w:t xml:space="preserve"> (viewed 24 April 2018).</w:t>
      </w:r>
      <w:r>
        <w:t xml:space="preserve"> </w:t>
      </w:r>
    </w:p>
  </w:endnote>
  <w:endnote w:id="21">
    <w:p w14:paraId="3D8D67D9" w14:textId="77777777" w:rsidR="0070575F" w:rsidRPr="000B2D9E" w:rsidRDefault="0070575F">
      <w:pPr>
        <w:pStyle w:val="EndnoteText"/>
        <w:rPr>
          <w:rFonts w:ascii="Times New Roman" w:hAnsi="Times New Roman"/>
        </w:rPr>
      </w:pPr>
      <w:r>
        <w:rPr>
          <w:rStyle w:val="EndnoteReference"/>
        </w:rPr>
        <w:endnoteRef/>
      </w:r>
      <w:r>
        <w:t xml:space="preserve"> </w:t>
      </w:r>
      <w:r w:rsidRPr="000B2D9E">
        <w:rPr>
          <w:i/>
        </w:rPr>
        <w:t>International Covenant on Civil and Political Rights</w:t>
      </w:r>
      <w:r w:rsidRPr="000B2D9E">
        <w:t>, opened for signature on 16 December 1966, 999 UNTS 171 (entered into force 23 March 1976</w:t>
      </w:r>
      <w:r>
        <w:t>), article</w:t>
      </w:r>
      <w:r w:rsidRPr="000B2D9E">
        <w:t xml:space="preserve"> 27.</w:t>
      </w:r>
      <w:r w:rsidRPr="00265598">
        <w:rPr>
          <w:rFonts w:ascii="Times New Roman" w:eastAsia="Times New Roman" w:hAnsi="Times New Roman"/>
          <w:color w:val="000000"/>
        </w:rPr>
        <w:t xml:space="preserve"> </w:t>
      </w:r>
    </w:p>
  </w:endnote>
  <w:endnote w:id="22">
    <w:p w14:paraId="74D5C985" w14:textId="77777777" w:rsidR="0070575F" w:rsidRDefault="0070575F">
      <w:pPr>
        <w:pStyle w:val="EndnoteText"/>
      </w:pPr>
      <w:r>
        <w:rPr>
          <w:rStyle w:val="EndnoteReference"/>
        </w:rPr>
        <w:endnoteRef/>
      </w:r>
      <w:r>
        <w:t xml:space="preserve"> </w:t>
      </w:r>
      <w:r w:rsidRPr="000B2D9E">
        <w:t>Human Rights Committee, Concluding Observations: United States of America, 87th session, UN Doc CCPR/C/USA/CO/3 (15 September 2006); and Office of the United Nations High Commissioner for Human Rights, Indigenous Peoples and the United Nations Human Rights System, F</w:t>
      </w:r>
      <w:r>
        <w:t xml:space="preserve">act Sheet No. 9 Rev 2 (2013) </w:t>
      </w:r>
      <w:r w:rsidRPr="000B2D9E">
        <w:t>20.</w:t>
      </w:r>
    </w:p>
  </w:endnote>
  <w:endnote w:id="23">
    <w:p w14:paraId="5E5B0D23" w14:textId="77777777" w:rsidR="0070575F" w:rsidRDefault="0070575F">
      <w:pPr>
        <w:pStyle w:val="EndnoteText"/>
      </w:pPr>
      <w:r>
        <w:rPr>
          <w:rStyle w:val="EndnoteReference"/>
        </w:rPr>
        <w:endnoteRef/>
      </w:r>
      <w:r>
        <w:t xml:space="preserve"> </w:t>
      </w:r>
      <w:r w:rsidRPr="000B2D9E">
        <w:t xml:space="preserve">Committee on the Elimination of Racial Discrimination, General recommendation XXIII on the rights of indigenous peoples, 51st </w:t>
      </w:r>
      <w:proofErr w:type="spellStart"/>
      <w:r w:rsidRPr="000B2D9E">
        <w:t>sess</w:t>
      </w:r>
      <w:proofErr w:type="spellEnd"/>
      <w:r w:rsidRPr="000B2D9E">
        <w:t>, contained in document A/52/18, annex V (1997)</w:t>
      </w:r>
      <w:r>
        <w:t>, [</w:t>
      </w:r>
      <w:r w:rsidRPr="000B2D9E">
        <w:t>1</w:t>
      </w:r>
      <w:r>
        <w:t>].</w:t>
      </w:r>
    </w:p>
  </w:endnote>
  <w:endnote w:id="24">
    <w:p w14:paraId="6613EB8D" w14:textId="77777777" w:rsidR="0070575F" w:rsidRDefault="0070575F">
      <w:pPr>
        <w:pStyle w:val="EndnoteText"/>
      </w:pPr>
      <w:r>
        <w:rPr>
          <w:rStyle w:val="EndnoteReference"/>
        </w:rPr>
        <w:endnoteRef/>
      </w:r>
      <w:r>
        <w:t xml:space="preserve"> </w:t>
      </w:r>
      <w:r w:rsidRPr="00E831F2">
        <w:rPr>
          <w:i/>
        </w:rPr>
        <w:t>International Convention on the Elimination of All Forms of Racial Discrimination</w:t>
      </w:r>
      <w:r w:rsidRPr="000B2D9E">
        <w:t>, opened for signature on 21 December 1965, 660 UNTS 195 (entered into force 4 January 1969), art</w:t>
      </w:r>
      <w:r>
        <w:t>icle</w:t>
      </w:r>
      <w:r w:rsidRPr="000B2D9E">
        <w:t xml:space="preserve"> </w:t>
      </w:r>
      <w:proofErr w:type="gramStart"/>
      <w:r w:rsidRPr="000B2D9E">
        <w:t>5</w:t>
      </w:r>
      <w:proofErr w:type="gramEnd"/>
      <w:r w:rsidRPr="000B2D9E">
        <w:t xml:space="preserve">. </w:t>
      </w:r>
    </w:p>
  </w:endnote>
  <w:endnote w:id="25">
    <w:p w14:paraId="25407962" w14:textId="77777777" w:rsidR="0070575F" w:rsidRDefault="0070575F" w:rsidP="00B732DC">
      <w:pPr>
        <w:pStyle w:val="EndnoteText"/>
      </w:pPr>
      <w:r>
        <w:rPr>
          <w:rStyle w:val="EndnoteReference"/>
        </w:rPr>
        <w:endnoteRef/>
      </w:r>
      <w:r>
        <w:t xml:space="preserve"> </w:t>
      </w:r>
      <w:r w:rsidRPr="000B2D9E">
        <w:t xml:space="preserve">Committee on the Elimination of Racial Discrimination, General recommendation XX on article 5 of the Convention, 48th </w:t>
      </w:r>
      <w:proofErr w:type="spellStart"/>
      <w:r w:rsidRPr="000B2D9E">
        <w:t>sess</w:t>
      </w:r>
      <w:proofErr w:type="spellEnd"/>
      <w:r w:rsidRPr="000B2D9E">
        <w:t>, contained in document</w:t>
      </w:r>
      <w:r>
        <w:t xml:space="preserve"> A/51/18 (1996), [1 and 3]. </w:t>
      </w:r>
    </w:p>
  </w:endnote>
  <w:endnote w:id="26">
    <w:p w14:paraId="49321AC4" w14:textId="24A7ED4C" w:rsidR="0070575F" w:rsidRDefault="0070575F" w:rsidP="00B732DC">
      <w:pPr>
        <w:pStyle w:val="EndnoteText"/>
      </w:pPr>
      <w:r>
        <w:rPr>
          <w:rStyle w:val="EndnoteReference"/>
        </w:rPr>
        <w:endnoteRef/>
      </w:r>
      <w:r>
        <w:t xml:space="preserve"> </w:t>
      </w:r>
      <w:r w:rsidRPr="006844FD">
        <w:t xml:space="preserve">International Commission of Jurists (ICJ), </w:t>
      </w:r>
      <w:r w:rsidRPr="0027534F">
        <w:rPr>
          <w:i/>
        </w:rPr>
        <w:t>Yogyakarta Principles – Principles on the application of international human rights law in relation to sexual orientation and gender identity</w:t>
      </w:r>
      <w:r w:rsidRPr="006844FD">
        <w:t xml:space="preserve">, March 2007. At: </w:t>
      </w:r>
      <w:hyperlink r:id="rId14" w:history="1">
        <w:r w:rsidRPr="006844FD">
          <w:rPr>
            <w:rStyle w:val="Hyperlink"/>
          </w:rPr>
          <w:t>http://www.refworld.org/docid/48244e602.html</w:t>
        </w:r>
      </w:hyperlink>
      <w:r w:rsidRPr="006844FD">
        <w:t xml:space="preserve"> </w:t>
      </w:r>
      <w:r>
        <w:t>(viewed 14 May 2018</w:t>
      </w:r>
      <w:r w:rsidRPr="006844FD">
        <w:t>).</w:t>
      </w:r>
    </w:p>
  </w:endnote>
  <w:endnote w:id="27">
    <w:p w14:paraId="1E66055E" w14:textId="3145B301" w:rsidR="0070575F" w:rsidRDefault="0070575F">
      <w:pPr>
        <w:pStyle w:val="EndnoteText"/>
      </w:pPr>
      <w:r>
        <w:rPr>
          <w:rStyle w:val="EndnoteReference"/>
        </w:rPr>
        <w:endnoteRef/>
      </w:r>
      <w:r>
        <w:t xml:space="preserve"> </w:t>
      </w:r>
      <w:r w:rsidRPr="004D2BDE">
        <w:t xml:space="preserve">ARC International and International Service for Human Rights, </w:t>
      </w:r>
      <w:r w:rsidRPr="00F047E1">
        <w:rPr>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t xml:space="preserve"> (November 2017). </w:t>
      </w:r>
      <w:r>
        <w:rPr>
          <w:rFonts w:cs="Arial"/>
        </w:rPr>
        <w:t xml:space="preserve">At </w:t>
      </w:r>
      <w:hyperlink r:id="rId15" w:history="1">
        <w:r w:rsidRPr="00876A35">
          <w:rPr>
            <w:rStyle w:val="Hyperlink"/>
            <w:rFonts w:cs="Arial"/>
          </w:rPr>
          <w:t>https://yogyakartaprinciples.org/principles-en/yp10/</w:t>
        </w:r>
      </w:hyperlink>
      <w:r>
        <w:rPr>
          <w:rFonts w:cs="Arial"/>
        </w:rPr>
        <w:t xml:space="preserve"> (viewed 24 April 2018).</w:t>
      </w:r>
      <w:r>
        <w:t xml:space="preserve"> </w:t>
      </w:r>
    </w:p>
  </w:endnote>
  <w:endnote w:id="28">
    <w:p w14:paraId="3EA83B30" w14:textId="28F39D1C" w:rsidR="0070575F" w:rsidRDefault="0070575F">
      <w:pPr>
        <w:pStyle w:val="EndnoteText"/>
      </w:pPr>
      <w:r>
        <w:rPr>
          <w:rStyle w:val="EndnoteReference"/>
        </w:rPr>
        <w:endnoteRef/>
      </w:r>
      <w:r>
        <w:t xml:space="preserve"> Australian Human Rights Commission, </w:t>
      </w:r>
      <w:r w:rsidRPr="00FB73A0">
        <w:rPr>
          <w:i/>
        </w:rPr>
        <w:t>Resilient Individuals: Sexual Orientation, Gender Identity &amp; Intersex Rights: National Consultation Report</w:t>
      </w:r>
      <w:r>
        <w:t xml:space="preserve"> (2015). At </w:t>
      </w:r>
      <w:hyperlink r:id="rId16" w:history="1">
        <w:r w:rsidRPr="00314AE0">
          <w:rPr>
            <w:rStyle w:val="Hyperlink"/>
          </w:rPr>
          <w:t>https://www.humanrights.gov.au/our-work/sexual-orientation-gender-identity-intersex-status/publications/resilient-individuals</w:t>
        </w:r>
      </w:hyperlink>
      <w:r>
        <w:t xml:space="preserve"> (viewed 14 May 2018). </w:t>
      </w:r>
    </w:p>
  </w:endnote>
  <w:endnote w:id="29">
    <w:p w14:paraId="47C5B717" w14:textId="4B1CB04D" w:rsidR="0070575F" w:rsidRDefault="0070575F">
      <w:pPr>
        <w:pStyle w:val="EndnoteText"/>
      </w:pPr>
      <w:r>
        <w:rPr>
          <w:rStyle w:val="EndnoteReference"/>
        </w:rPr>
        <w:endnoteRef/>
      </w:r>
      <w:r>
        <w:t xml:space="preserve"> Australian Human Rights Commission, ‘Australia legalises marriage equality’ (Media Release, 7 December 2017). At </w:t>
      </w:r>
      <w:hyperlink r:id="rId17" w:history="1">
        <w:r w:rsidRPr="00314AE0">
          <w:rPr>
            <w:rStyle w:val="Hyperlink"/>
          </w:rPr>
          <w:t>https://www.humanrights.gov.au/news/stories/australia-legalises-marriage-equality</w:t>
        </w:r>
      </w:hyperlink>
      <w:r>
        <w:t xml:space="preserve"> (viewed 11 May 2018).</w:t>
      </w:r>
    </w:p>
  </w:endnote>
  <w:endnote w:id="30">
    <w:p w14:paraId="357D736D" w14:textId="77777777" w:rsidR="0070575F" w:rsidRPr="00D63302" w:rsidRDefault="0070575F" w:rsidP="00D16CA9">
      <w:pPr>
        <w:pStyle w:val="EndnoteText"/>
      </w:pPr>
      <w:r w:rsidRPr="000524C7">
        <w:rPr>
          <w:rStyle w:val="EndnoteReference"/>
          <w:sz w:val="22"/>
          <w:szCs w:val="22"/>
        </w:rPr>
        <w:endnoteRef/>
      </w:r>
      <w:r>
        <w:t xml:space="preserve"> </w:t>
      </w:r>
      <w:r w:rsidRPr="00B31065">
        <w:rPr>
          <w:i/>
        </w:rPr>
        <w:t>United Nations Declaration on the Rights of Indigenous Peoples</w:t>
      </w:r>
      <w:r w:rsidRPr="00D63302">
        <w:t>, GA Res 61/295, UN GAOR, 61st sess</w:t>
      </w:r>
      <w:r>
        <w:t>ion</w:t>
      </w:r>
      <w:r w:rsidRPr="00D63302">
        <w:t xml:space="preserve">, 107th </w:t>
      </w:r>
      <w:proofErr w:type="spellStart"/>
      <w:r w:rsidRPr="00D63302">
        <w:t>plen</w:t>
      </w:r>
      <w:proofErr w:type="spellEnd"/>
      <w:r w:rsidRPr="00D63302">
        <w:t xml:space="preserve"> </w:t>
      </w:r>
      <w:proofErr w:type="spellStart"/>
      <w:r w:rsidRPr="00D63302">
        <w:t>mtg</w:t>
      </w:r>
      <w:proofErr w:type="spellEnd"/>
      <w:r w:rsidRPr="00D63302">
        <w:t xml:space="preserve">, </w:t>
      </w:r>
      <w:proofErr w:type="spellStart"/>
      <w:r w:rsidRPr="00D63302">
        <w:t>Supp</w:t>
      </w:r>
      <w:proofErr w:type="spellEnd"/>
      <w:r w:rsidRPr="00D63302">
        <w:t xml:space="preserve"> No 49, UN Doc A/Res/61/295 (13 September 2007), art</w:t>
      </w:r>
      <w:r>
        <w:t xml:space="preserve">icle </w:t>
      </w:r>
      <w:r w:rsidRPr="00D63302">
        <w:t xml:space="preserve">2. </w:t>
      </w:r>
    </w:p>
  </w:endnote>
  <w:endnote w:id="31">
    <w:p w14:paraId="28C1F9BC" w14:textId="77777777" w:rsidR="0070575F" w:rsidRDefault="0070575F">
      <w:pPr>
        <w:pStyle w:val="EndnoteText"/>
      </w:pPr>
      <w:r>
        <w:rPr>
          <w:rStyle w:val="EndnoteReference"/>
        </w:rPr>
        <w:endnoteRef/>
      </w:r>
      <w:r>
        <w:t xml:space="preserve"> </w:t>
      </w:r>
      <w:r w:rsidRPr="00D63302">
        <w:t xml:space="preserve">Mick </w:t>
      </w:r>
      <w:proofErr w:type="spellStart"/>
      <w:r w:rsidRPr="00D63302">
        <w:t>Gooda</w:t>
      </w:r>
      <w:proofErr w:type="spellEnd"/>
      <w:r w:rsidRPr="00D63302">
        <w:t xml:space="preserve">, </w:t>
      </w:r>
      <w:r w:rsidRPr="00F047E1">
        <w:rPr>
          <w:i/>
        </w:rPr>
        <w:t>Social Justice Report 2011</w:t>
      </w:r>
      <w:r w:rsidRPr="00D63302">
        <w:t xml:space="preserve">, Australian Human Rights Commission, 121. </w:t>
      </w:r>
      <w:r>
        <w:t xml:space="preserve">At </w:t>
      </w:r>
      <w:hyperlink r:id="rId18" w:history="1">
        <w:r w:rsidRPr="005E1718">
          <w:rPr>
            <w:rStyle w:val="Hyperlink"/>
          </w:rPr>
          <w:t>https://www.humanrights.gov.au/our-work/aboriginal-and-torres-strait-islander-social-justice/publications/social-justice-report-3</w:t>
        </w:r>
      </w:hyperlink>
      <w:r>
        <w:t xml:space="preserve"> (viewed 23 April 2018).</w:t>
      </w:r>
    </w:p>
  </w:endnote>
  <w:endnote w:id="32">
    <w:p w14:paraId="349672AC" w14:textId="77777777" w:rsidR="0070575F" w:rsidRDefault="0070575F">
      <w:pPr>
        <w:pStyle w:val="EndnoteText"/>
      </w:pPr>
      <w:r>
        <w:rPr>
          <w:rStyle w:val="EndnoteReference"/>
        </w:rPr>
        <w:endnoteRef/>
      </w:r>
      <w:r>
        <w:t xml:space="preserve"> </w:t>
      </w:r>
      <w:r w:rsidRPr="00D63302">
        <w:t xml:space="preserve">Australian Law Reform Commission, Review of the Family Law System, Issues Paper 48 March 2018, 26 and 34. </w:t>
      </w:r>
      <w:r>
        <w:t xml:space="preserve">At </w:t>
      </w:r>
      <w:hyperlink r:id="rId19" w:history="1">
        <w:r w:rsidRPr="005E1718">
          <w:rPr>
            <w:rStyle w:val="Hyperlink"/>
          </w:rPr>
          <w:t>https://www.alrc.gov.au/publications/family-law-system-ip</w:t>
        </w:r>
      </w:hyperlink>
      <w:r>
        <w:t xml:space="preserve"> (viewed 23 April 2018).</w:t>
      </w:r>
    </w:p>
  </w:endnote>
  <w:endnote w:id="33">
    <w:p w14:paraId="0AB9EE01" w14:textId="77777777" w:rsidR="0070575F" w:rsidRDefault="0070575F">
      <w:pPr>
        <w:pStyle w:val="EndnoteText"/>
      </w:pPr>
      <w:r>
        <w:rPr>
          <w:rStyle w:val="EndnoteReference"/>
        </w:rPr>
        <w:endnoteRef/>
      </w:r>
      <w:r>
        <w:t xml:space="preserve"> </w:t>
      </w:r>
      <w:r w:rsidRPr="005522C2">
        <w:t xml:space="preserve">Committee on the Rights of the Child, </w:t>
      </w:r>
      <w:r w:rsidRPr="005522C2">
        <w:rPr>
          <w:i/>
        </w:rPr>
        <w:t>General comment No. 11 (2009): Indigenous children and their rights under the Convention</w:t>
      </w:r>
      <w:r>
        <w:t>, 50th</w:t>
      </w:r>
      <w:r w:rsidRPr="005522C2">
        <w:t xml:space="preserve"> session, UN Doc CRC/C/GC/11 (12 February 2009) [</w:t>
      </w:r>
      <w:r>
        <w:t>76].</w:t>
      </w:r>
    </w:p>
  </w:endnote>
  <w:endnote w:id="34">
    <w:p w14:paraId="19EC54B6" w14:textId="77777777" w:rsidR="0070575F" w:rsidRDefault="0070575F">
      <w:pPr>
        <w:pStyle w:val="EndnoteText"/>
      </w:pPr>
      <w:r>
        <w:rPr>
          <w:rStyle w:val="EndnoteReference"/>
        </w:rPr>
        <w:endnoteRef/>
      </w:r>
      <w:r>
        <w:t xml:space="preserve"> </w:t>
      </w:r>
      <w:r w:rsidRPr="00012035">
        <w:t xml:space="preserve">Adelaide </w:t>
      </w:r>
      <w:proofErr w:type="spellStart"/>
      <w:r w:rsidRPr="00012035">
        <w:t>Titterton</w:t>
      </w:r>
      <w:proofErr w:type="spellEnd"/>
      <w:r w:rsidRPr="00012035">
        <w:t xml:space="preserve">, 'Indigenous access to family law in Australia and caring for indigenous children' (2017) 40(1) </w:t>
      </w:r>
      <w:r w:rsidRPr="005914B5">
        <w:rPr>
          <w:i/>
        </w:rPr>
        <w:t>University of New South Wales Law Journal</w:t>
      </w:r>
      <w:r w:rsidRPr="00012035">
        <w:t xml:space="preserve"> </w:t>
      </w:r>
      <w:r>
        <w:t xml:space="preserve">169. </w:t>
      </w:r>
    </w:p>
  </w:endnote>
  <w:endnote w:id="35">
    <w:p w14:paraId="1A7A9460" w14:textId="77777777" w:rsidR="0070575F" w:rsidRDefault="0070575F">
      <w:pPr>
        <w:pStyle w:val="EndnoteText"/>
      </w:pPr>
      <w:r>
        <w:rPr>
          <w:rStyle w:val="EndnoteReference"/>
        </w:rPr>
        <w:endnoteRef/>
      </w:r>
      <w:r>
        <w:t xml:space="preserve"> </w:t>
      </w:r>
      <w:r w:rsidRPr="00012035">
        <w:t>M</w:t>
      </w:r>
      <w:r>
        <w:t>onica</w:t>
      </w:r>
      <w:r w:rsidRPr="00012035">
        <w:t xml:space="preserve"> </w:t>
      </w:r>
      <w:proofErr w:type="spellStart"/>
      <w:r w:rsidRPr="00012035">
        <w:t>Howlett</w:t>
      </w:r>
      <w:proofErr w:type="spellEnd"/>
      <w:r w:rsidRPr="00012035">
        <w:t>, M</w:t>
      </w:r>
      <w:r>
        <w:t>atthew</w:t>
      </w:r>
      <w:r w:rsidRPr="00012035">
        <w:t xml:space="preserve"> Gray and B</w:t>
      </w:r>
      <w:r>
        <w:t>oyd</w:t>
      </w:r>
      <w:r w:rsidRPr="00012035">
        <w:t xml:space="preserve"> Hunter, 'Unpacking the Income of Indigenous and Non-Indigenous Australians: Wages, Government Payments and Other Income' (Work</w:t>
      </w:r>
      <w:r>
        <w:t>i</w:t>
      </w:r>
      <w:r w:rsidRPr="00012035">
        <w:t>ng Paper No 99/2015, Centre for Aboriginal Economic Policy Research,</w:t>
      </w:r>
      <w:r>
        <w:t xml:space="preserve"> January 2015) </w:t>
      </w:r>
      <w:proofErr w:type="gramStart"/>
      <w:r w:rsidRPr="00D63302">
        <w:t>1</w:t>
      </w:r>
      <w:proofErr w:type="gramEnd"/>
      <w:r w:rsidRPr="00D63302">
        <w:t>.</w:t>
      </w:r>
    </w:p>
  </w:endnote>
  <w:endnote w:id="36">
    <w:p w14:paraId="6B9ADA93" w14:textId="77777777" w:rsidR="0070575F" w:rsidRDefault="0070575F">
      <w:pPr>
        <w:pStyle w:val="EndnoteText"/>
      </w:pPr>
      <w:r>
        <w:rPr>
          <w:rStyle w:val="EndnoteReference"/>
        </w:rPr>
        <w:endnoteRef/>
      </w:r>
      <w:r>
        <w:t xml:space="preserve"> </w:t>
      </w:r>
      <w:r w:rsidRPr="00D63302">
        <w:t xml:space="preserve">Human Rights Committee, Concluding observations on the sixth periodic report of Australia, 3442nd and 3444th meetings, UN Doc CCPR/C/AUS/CO/6, </w:t>
      </w:r>
      <w:r>
        <w:t>[</w:t>
      </w:r>
      <w:r w:rsidRPr="00D63302">
        <w:t>39</w:t>
      </w:r>
      <w:r>
        <w:t>]</w:t>
      </w:r>
      <w:r w:rsidRPr="00D63302">
        <w:t>.</w:t>
      </w:r>
    </w:p>
  </w:endnote>
  <w:endnote w:id="37">
    <w:p w14:paraId="2EC01FFB" w14:textId="77777777" w:rsidR="0070575F" w:rsidRDefault="0070575F">
      <w:pPr>
        <w:pStyle w:val="EndnoteText"/>
      </w:pPr>
      <w:r>
        <w:rPr>
          <w:rStyle w:val="EndnoteReference"/>
        </w:rPr>
        <w:endnoteRef/>
      </w:r>
      <w:r>
        <w:t xml:space="preserve"> </w:t>
      </w:r>
      <w:r w:rsidRPr="00D63302">
        <w:t xml:space="preserve">Human Rights Committee, Concluding observations on the sixth periodic report of Australia, 3442nd and 3444th meetings, UN Doc CCPR/C/AUS/CO/6, </w:t>
      </w:r>
      <w:r>
        <w:t>[</w:t>
      </w:r>
      <w:r w:rsidRPr="00D63302">
        <w:t>40</w:t>
      </w:r>
      <w:r>
        <w:t xml:space="preserve">]. </w:t>
      </w:r>
    </w:p>
  </w:endnote>
  <w:endnote w:id="38">
    <w:p w14:paraId="319B8905" w14:textId="153BA421" w:rsidR="0070575F" w:rsidRPr="00B56A0D" w:rsidRDefault="0070575F">
      <w:pPr>
        <w:pStyle w:val="EndnoteText"/>
      </w:pPr>
      <w:r>
        <w:rPr>
          <w:rStyle w:val="EndnoteReference"/>
        </w:rPr>
        <w:endnoteRef/>
      </w:r>
      <w:r>
        <w:t xml:space="preserve"> Secretariat of National Aboriginal and Islander Child Care, </w:t>
      </w:r>
      <w:r>
        <w:rPr>
          <w:i/>
        </w:rPr>
        <w:t xml:space="preserve">Growing up our </w:t>
      </w:r>
      <w:r w:rsidRPr="00B56A0D">
        <w:rPr>
          <w:i/>
        </w:rPr>
        <w:t>way</w:t>
      </w:r>
      <w:r>
        <w:rPr>
          <w:i/>
        </w:rPr>
        <w:t xml:space="preserve">—Aboriginal and Torres Strait Islander Child Rearing </w:t>
      </w:r>
      <w:r w:rsidRPr="00305B76">
        <w:rPr>
          <w:i/>
        </w:rPr>
        <w:t>Practices Matrix</w:t>
      </w:r>
      <w:r>
        <w:t xml:space="preserve"> (2011) 31–45, 119–124.</w:t>
      </w:r>
    </w:p>
  </w:endnote>
  <w:endnote w:id="39">
    <w:p w14:paraId="1B97AD4A" w14:textId="77777777" w:rsidR="0070575F" w:rsidRPr="007669E8" w:rsidRDefault="0070575F" w:rsidP="00BC550F">
      <w:pPr>
        <w:pStyle w:val="EndnoteText"/>
      </w:pPr>
      <w:r>
        <w:rPr>
          <w:rStyle w:val="EndnoteReference"/>
        </w:rPr>
        <w:endnoteRef/>
      </w:r>
      <w:r>
        <w:t xml:space="preserve"> Australian Bureau of Statistics, </w:t>
      </w:r>
      <w:r>
        <w:rPr>
          <w:i/>
        </w:rPr>
        <w:t xml:space="preserve">2071.0 Census of Population and Housing: Reflecting Australia – Stories from the Census, 2016 </w:t>
      </w:r>
      <w:r>
        <w:t xml:space="preserve">(27 March 2018). At </w:t>
      </w:r>
      <w:hyperlink r:id="rId20" w:history="1">
        <w:r w:rsidRPr="005E1718">
          <w:rPr>
            <w:rStyle w:val="Hyperlink"/>
          </w:rPr>
          <w:t>http://www.abs.gov.au/ausstats/abs@.nsf/mf/2071.0</w:t>
        </w:r>
      </w:hyperlink>
      <w:r>
        <w:t xml:space="preserve"> (viewed 23 April 2018).</w:t>
      </w:r>
    </w:p>
  </w:endnote>
  <w:endnote w:id="40">
    <w:p w14:paraId="24DF9FD7" w14:textId="77777777" w:rsidR="0070575F" w:rsidRDefault="0070575F" w:rsidP="00BC550F">
      <w:pPr>
        <w:pStyle w:val="EndnoteText"/>
      </w:pPr>
      <w:r>
        <w:rPr>
          <w:rStyle w:val="EndnoteReference"/>
        </w:rPr>
        <w:endnoteRef/>
      </w:r>
      <w:r>
        <w:t xml:space="preserve"> Family Law Council, </w:t>
      </w:r>
      <w:r>
        <w:rPr>
          <w:i/>
        </w:rPr>
        <w:t>Improving the family law system for clients from culturally and linguistically diverse backgrounds</w:t>
      </w:r>
      <w:r>
        <w:t xml:space="preserve"> (2012) </w:t>
      </w:r>
      <w:proofErr w:type="gramStart"/>
      <w:r>
        <w:t>4</w:t>
      </w:r>
      <w:proofErr w:type="gramEnd"/>
      <w:r>
        <w:t>.</w:t>
      </w:r>
    </w:p>
  </w:endnote>
  <w:endnote w:id="41">
    <w:p w14:paraId="3203B82C" w14:textId="77777777" w:rsidR="0070575F" w:rsidRPr="007C5CA8" w:rsidRDefault="0070575F" w:rsidP="00BC550F">
      <w:pPr>
        <w:pStyle w:val="EndnoteText"/>
      </w:pPr>
      <w:r>
        <w:rPr>
          <w:rStyle w:val="EndnoteReference"/>
        </w:rPr>
        <w:endnoteRef/>
      </w:r>
      <w:r>
        <w:t xml:space="preserve"> Family Law Council, </w:t>
      </w:r>
      <w:r>
        <w:rPr>
          <w:i/>
        </w:rPr>
        <w:t>Improving the family law system for clients from culturally and linguistically diverse backgrounds</w:t>
      </w:r>
      <w:r>
        <w:t xml:space="preserve"> (2012).</w:t>
      </w:r>
    </w:p>
  </w:endnote>
  <w:endnote w:id="42">
    <w:p w14:paraId="53BD4B3F" w14:textId="77777777" w:rsidR="0070575F" w:rsidRDefault="0070575F" w:rsidP="00BC550F">
      <w:pPr>
        <w:pStyle w:val="EndnoteText"/>
      </w:pPr>
      <w:r>
        <w:rPr>
          <w:rStyle w:val="EndnoteReference"/>
        </w:rPr>
        <w:endnoteRef/>
      </w:r>
      <w:r>
        <w:t xml:space="preserve"> Department of Social Services, ‘Feedback – Legally Assisted and Culturally Appropriate Family Dispute Resolution’, Community Grants Hub. At: </w:t>
      </w:r>
      <w:hyperlink r:id="rId21" w:history="1">
        <w:r w:rsidRPr="00801165">
          <w:rPr>
            <w:rStyle w:val="Hyperlink"/>
          </w:rPr>
          <w:t>https://www.communitygrants.gov.au/grants/legally-assisted-and-culturally-appropriate-family-dispute-resol</w:t>
        </w:r>
      </w:hyperlink>
      <w:r>
        <w:t xml:space="preserve"> (viewed 17 April 2018).</w:t>
      </w:r>
    </w:p>
  </w:endnote>
  <w:endnote w:id="43">
    <w:p w14:paraId="1FFC92DF" w14:textId="77777777" w:rsidR="0070575F" w:rsidRPr="007C5CA8" w:rsidRDefault="0070575F" w:rsidP="00BC550F">
      <w:pPr>
        <w:pStyle w:val="EndnoteText"/>
      </w:pPr>
      <w:r>
        <w:rPr>
          <w:rStyle w:val="EndnoteReference"/>
        </w:rPr>
        <w:endnoteRef/>
      </w:r>
      <w:r>
        <w:t xml:space="preserve"> </w:t>
      </w:r>
      <w:r w:rsidRPr="00F232AA">
        <w:t xml:space="preserve">Attorney-General's Department, Australian Government, </w:t>
      </w:r>
      <w:r w:rsidRPr="005914B5">
        <w:rPr>
          <w:i/>
        </w:rPr>
        <w:t>Multicultu</w:t>
      </w:r>
      <w:r>
        <w:rPr>
          <w:i/>
        </w:rPr>
        <w:t>ral Access and Equity Plan 2017–</w:t>
      </w:r>
      <w:r w:rsidRPr="005914B5">
        <w:rPr>
          <w:i/>
        </w:rPr>
        <w:t>2019</w:t>
      </w:r>
      <w:r>
        <w:t xml:space="preserve"> (2017) </w:t>
      </w:r>
      <w:proofErr w:type="gramStart"/>
      <w:r>
        <w:t>6</w:t>
      </w:r>
      <w:proofErr w:type="gramEnd"/>
      <w:r>
        <w:t>.</w:t>
      </w:r>
    </w:p>
  </w:endnote>
  <w:endnote w:id="44">
    <w:p w14:paraId="379B2677" w14:textId="77777777" w:rsidR="0070575F" w:rsidRDefault="0070575F" w:rsidP="001013E3">
      <w:pPr>
        <w:pStyle w:val="EndnoteText"/>
      </w:pPr>
      <w:r>
        <w:rPr>
          <w:rStyle w:val="EndnoteReference"/>
        </w:rPr>
        <w:endnoteRef/>
      </w:r>
      <w:r>
        <w:t xml:space="preserve"> Australian Human Rights Commission. </w:t>
      </w:r>
      <w:r>
        <w:rPr>
          <w:i/>
        </w:rPr>
        <w:t xml:space="preserve">Equal before the law: Towards disability justice strategies. </w:t>
      </w:r>
      <w:r>
        <w:t xml:space="preserve">(February 2014). At </w:t>
      </w:r>
      <w:hyperlink r:id="rId22" w:history="1">
        <w:r w:rsidRPr="00FF15A6">
          <w:rPr>
            <w:rStyle w:val="Hyperlink"/>
          </w:rPr>
          <w:t>https://www.humanrights.gov.au/sites/default/files/document/publication/2014_Equal_Before_the_Law.pdf</w:t>
        </w:r>
      </w:hyperlink>
      <w:r>
        <w:t xml:space="preserve"> (viewed 17 April 2018). </w:t>
      </w:r>
    </w:p>
  </w:endnote>
  <w:endnote w:id="45">
    <w:p w14:paraId="561F7893" w14:textId="77777777" w:rsidR="0070575F" w:rsidRDefault="0070575F" w:rsidP="001013E3">
      <w:pPr>
        <w:pStyle w:val="EndnoteText"/>
      </w:pPr>
      <w:r>
        <w:rPr>
          <w:rStyle w:val="EndnoteReference"/>
        </w:rPr>
        <w:endnoteRef/>
      </w:r>
      <w:r>
        <w:t xml:space="preserve"> </w:t>
      </w:r>
      <w:r w:rsidRPr="005522C2">
        <w:rPr>
          <w:i/>
        </w:rPr>
        <w:t xml:space="preserve">Convention on the Rights of Persons with </w:t>
      </w:r>
      <w:proofErr w:type="gramStart"/>
      <w:r w:rsidRPr="005522C2">
        <w:rPr>
          <w:i/>
        </w:rPr>
        <w:t>Disabilities</w:t>
      </w:r>
      <w:r>
        <w:t>,</w:t>
      </w:r>
      <w:proofErr w:type="gramEnd"/>
      <w:r>
        <w:t xml:space="preserve"> opened for signature 30 March 2007, 2515 UNTS 3 (entered into force 3 May 2008). </w:t>
      </w:r>
    </w:p>
  </w:endnote>
  <w:endnote w:id="46">
    <w:p w14:paraId="106174F9" w14:textId="77777777" w:rsidR="0070575F" w:rsidRDefault="0070575F" w:rsidP="001013E3">
      <w:pPr>
        <w:pStyle w:val="EndnoteText"/>
      </w:pPr>
      <w:r>
        <w:rPr>
          <w:rStyle w:val="EndnoteReference"/>
        </w:rPr>
        <w:endnoteRef/>
      </w:r>
      <w:r>
        <w:t xml:space="preserve"> </w:t>
      </w:r>
      <w:r w:rsidRPr="005522C2">
        <w:rPr>
          <w:i/>
        </w:rPr>
        <w:t>Convention on the Rights of Persons with Disabilities</w:t>
      </w:r>
      <w:r>
        <w:t>, opened for signature 30 March 2007, 2515 UNTS 3 (entered into force 3 May 2008), article 12.</w:t>
      </w:r>
    </w:p>
  </w:endnote>
  <w:endnote w:id="47">
    <w:p w14:paraId="05D13892" w14:textId="77777777" w:rsidR="0070575F" w:rsidRDefault="0070575F" w:rsidP="009C44CF">
      <w:pPr>
        <w:pStyle w:val="EndnoteText"/>
      </w:pPr>
      <w:r>
        <w:rPr>
          <w:rStyle w:val="EndnoteReference"/>
        </w:rPr>
        <w:endnoteRef/>
      </w:r>
      <w:r>
        <w:t xml:space="preserve"> </w:t>
      </w:r>
      <w:r w:rsidRPr="005522C2">
        <w:rPr>
          <w:i/>
        </w:rPr>
        <w:t>Convention on the Rights of Persons with Disabilities</w:t>
      </w:r>
      <w:r>
        <w:t>, opened for signature 30 March 2007, 2515 UNTS 3 (entered into force 3 May 2008), article 13.</w:t>
      </w:r>
    </w:p>
  </w:endnote>
  <w:endnote w:id="48">
    <w:p w14:paraId="4673F0C9" w14:textId="77777777" w:rsidR="0070575F" w:rsidRDefault="0070575F" w:rsidP="001013E3">
      <w:pPr>
        <w:pStyle w:val="EndnoteText"/>
      </w:pPr>
      <w:r>
        <w:rPr>
          <w:rStyle w:val="EndnoteReference"/>
        </w:rPr>
        <w:endnoteRef/>
      </w:r>
      <w:r>
        <w:t xml:space="preserve"> Office of the Public Advocate, </w:t>
      </w:r>
      <w:r w:rsidRPr="00B212F4">
        <w:rPr>
          <w:i/>
        </w:rPr>
        <w:t>Rebuilding the village: Supporting families where a parent has a disability</w:t>
      </w:r>
      <w:r>
        <w:t xml:space="preserve"> (2015). At </w:t>
      </w:r>
      <w:hyperlink r:id="rId23" w:history="1">
        <w:r w:rsidRPr="00FF15A6">
          <w:rPr>
            <w:rStyle w:val="Hyperlink"/>
          </w:rPr>
          <w:t>http://www.publicadvocate.vic.gov.au/our-services/publications-forms/241-rebuilding-the-village-supporting-families-where-a-parent-has-a-disability-report-2-child-protection-2015</w:t>
        </w:r>
      </w:hyperlink>
      <w:r>
        <w:t xml:space="preserve"> (viewed 17 April 2018). </w:t>
      </w:r>
    </w:p>
  </w:endnote>
  <w:endnote w:id="49">
    <w:p w14:paraId="68E92E40" w14:textId="77777777" w:rsidR="0070575F" w:rsidRDefault="0070575F" w:rsidP="001013E3">
      <w:pPr>
        <w:pStyle w:val="EndnoteText"/>
      </w:pPr>
      <w:r>
        <w:rPr>
          <w:rStyle w:val="EndnoteReference"/>
        </w:rPr>
        <w:endnoteRef/>
      </w:r>
      <w:r>
        <w:t xml:space="preserve"> </w:t>
      </w:r>
      <w:r w:rsidRPr="005522C2">
        <w:rPr>
          <w:i/>
        </w:rPr>
        <w:t xml:space="preserve">Convention on the Rights of Persons with </w:t>
      </w:r>
      <w:proofErr w:type="gramStart"/>
      <w:r w:rsidRPr="005522C2">
        <w:rPr>
          <w:i/>
        </w:rPr>
        <w:t>Disabilities</w:t>
      </w:r>
      <w:r>
        <w:t>,</w:t>
      </w:r>
      <w:proofErr w:type="gramEnd"/>
      <w:r>
        <w:t xml:space="preserve"> opened for signature 30 March 2007, 2515 UNTS 3 (entered into force 3 May 2008).</w:t>
      </w:r>
    </w:p>
  </w:endnote>
  <w:endnote w:id="50">
    <w:p w14:paraId="54A04848" w14:textId="77777777" w:rsidR="0070575F" w:rsidRDefault="0070575F" w:rsidP="006F321E">
      <w:pPr>
        <w:pStyle w:val="EndnoteText"/>
      </w:pPr>
      <w:r>
        <w:rPr>
          <w:rStyle w:val="EndnoteReference"/>
        </w:rPr>
        <w:endnoteRef/>
      </w:r>
      <w:r>
        <w:t xml:space="preserve"> </w:t>
      </w:r>
      <w:r w:rsidRPr="001140E6">
        <w:t xml:space="preserve">Committee on the Rights of the Child, </w:t>
      </w:r>
      <w:r>
        <w:rPr>
          <w:i/>
          <w:iCs/>
        </w:rPr>
        <w:t>General Comment No.14 on the rights of the child to have his or her best interests taken as a primary consideration</w:t>
      </w:r>
      <w:r>
        <w:t>, UN Doc CRC/C/GC/14 (29 May 2013) [47</w:t>
      </w:r>
      <w:r w:rsidRPr="001140E6">
        <w:t xml:space="preserve">].  </w:t>
      </w:r>
    </w:p>
  </w:endnote>
  <w:endnote w:id="51">
    <w:p w14:paraId="2401D5BD" w14:textId="77777777" w:rsidR="0070575F" w:rsidRDefault="0070575F">
      <w:pPr>
        <w:pStyle w:val="EndnoteText"/>
      </w:pPr>
      <w:r>
        <w:rPr>
          <w:rStyle w:val="EndnoteReference"/>
        </w:rPr>
        <w:endnoteRef/>
      </w:r>
      <w:r>
        <w:t xml:space="preserve"> Family Law Act, s </w:t>
      </w:r>
      <w:proofErr w:type="gramStart"/>
      <w:r>
        <w:t>60CC(</w:t>
      </w:r>
      <w:proofErr w:type="gramEnd"/>
      <w:r>
        <w:t>3).</w:t>
      </w:r>
    </w:p>
  </w:endnote>
  <w:endnote w:id="52">
    <w:p w14:paraId="7571767E" w14:textId="77777777" w:rsidR="0070575F" w:rsidRDefault="0070575F" w:rsidP="00D21A50">
      <w:pPr>
        <w:pStyle w:val="EndnoteText"/>
      </w:pPr>
      <w:r>
        <w:rPr>
          <w:rStyle w:val="EndnoteReference"/>
        </w:rPr>
        <w:endnoteRef/>
      </w:r>
      <w:r>
        <w:t xml:space="preserve"> Family Law Act, s </w:t>
      </w:r>
      <w:proofErr w:type="gramStart"/>
      <w:r>
        <w:t>60CC(</w:t>
      </w:r>
      <w:proofErr w:type="gramEnd"/>
      <w:r>
        <w:t>2A).</w:t>
      </w:r>
    </w:p>
  </w:endnote>
  <w:endnote w:id="53">
    <w:p w14:paraId="1CDBC0E1" w14:textId="77777777" w:rsidR="0070575F" w:rsidRDefault="0070575F" w:rsidP="00D21A50">
      <w:pPr>
        <w:pStyle w:val="EndnoteText"/>
      </w:pPr>
      <w:r>
        <w:rPr>
          <w:rStyle w:val="EndnoteReference"/>
        </w:rPr>
        <w:endnoteRef/>
      </w:r>
      <w:r>
        <w:t xml:space="preserve"> Rae </w:t>
      </w:r>
      <w:proofErr w:type="spellStart"/>
      <w:r>
        <w:t>Kaspiew</w:t>
      </w:r>
      <w:proofErr w:type="spellEnd"/>
      <w:r>
        <w:t xml:space="preserve"> et al, </w:t>
      </w:r>
      <w:r w:rsidRPr="00343352">
        <w:rPr>
          <w:i/>
        </w:rPr>
        <w:t>Evaluation of the 2012 family violence amendments</w:t>
      </w:r>
      <w:r>
        <w:t xml:space="preserve"> (October 2015) Australian Institute of Family Studies, 2.3. At </w:t>
      </w:r>
      <w:hyperlink r:id="rId24" w:history="1">
        <w:r w:rsidRPr="005E1718">
          <w:rPr>
            <w:rStyle w:val="Hyperlink"/>
          </w:rPr>
          <w:t>https://aifs.gov.au/publications/evaluation-2012-family-violence-amendments</w:t>
        </w:r>
      </w:hyperlink>
      <w:r>
        <w:t xml:space="preserve">. </w:t>
      </w:r>
    </w:p>
  </w:endnote>
  <w:endnote w:id="54">
    <w:p w14:paraId="35832A04" w14:textId="77777777" w:rsidR="0070575F" w:rsidRDefault="0070575F">
      <w:pPr>
        <w:pStyle w:val="EndnoteText"/>
      </w:pPr>
      <w:r>
        <w:rPr>
          <w:rStyle w:val="EndnoteReference"/>
        </w:rPr>
        <w:endnoteRef/>
      </w:r>
      <w:r>
        <w:t xml:space="preserve"> Human Rights and Equal Opportunity Commission, Submission to the Senate Legal and Constitutional Committee, Parliament of Australia, </w:t>
      </w:r>
      <w:r w:rsidRPr="0054514F">
        <w:rPr>
          <w:i/>
        </w:rPr>
        <w:t>Inquiry into the Family Law Amendment (Shared Parental Responsibility) Bill 2005</w:t>
      </w:r>
      <w:r>
        <w:t xml:space="preserve">. At </w:t>
      </w:r>
      <w:hyperlink r:id="rId25" w:history="1">
        <w:r w:rsidRPr="00E078B5">
          <w:rPr>
            <w:rStyle w:val="Hyperlink"/>
          </w:rPr>
          <w:t>https://www.humanrights.gov.au/shared-parental-responsibility</w:t>
        </w:r>
      </w:hyperlink>
      <w:r>
        <w:t xml:space="preserve"> (viewed 30 April 2018).</w:t>
      </w:r>
    </w:p>
  </w:endnote>
  <w:endnote w:id="55">
    <w:p w14:paraId="03EFB0BA" w14:textId="77777777" w:rsidR="0070575F" w:rsidRPr="00D63302" w:rsidRDefault="0070575F" w:rsidP="00D63302">
      <w:pPr>
        <w:pStyle w:val="EndnoteText"/>
      </w:pPr>
      <w:r w:rsidRPr="000524C7">
        <w:rPr>
          <w:rStyle w:val="EndnoteReference"/>
          <w:sz w:val="22"/>
          <w:szCs w:val="22"/>
        </w:rPr>
        <w:endnoteRef/>
      </w:r>
      <w:r w:rsidRPr="000524C7">
        <w:t xml:space="preserve"> </w:t>
      </w:r>
      <w:r w:rsidRPr="00F232AA">
        <w:t xml:space="preserve">Fiona </w:t>
      </w:r>
      <w:proofErr w:type="spellStart"/>
      <w:r w:rsidRPr="00F232AA">
        <w:t>Arney</w:t>
      </w:r>
      <w:proofErr w:type="spellEnd"/>
      <w:r w:rsidRPr="00F232AA">
        <w:t xml:space="preserve"> et al, 'Enhancing the implementation of the Aboriginal and Torres Strait Islander Child Placement Principle' (Paper No 34, Australian Institute of Family Studies, 2015)</w:t>
      </w:r>
      <w:r>
        <w:t xml:space="preserve"> </w:t>
      </w:r>
      <w:proofErr w:type="gramStart"/>
      <w:r w:rsidRPr="00D63302">
        <w:t>At</w:t>
      </w:r>
      <w:proofErr w:type="gramEnd"/>
      <w:r w:rsidRPr="00D63302">
        <w:t xml:space="preserve">: </w:t>
      </w:r>
      <w:hyperlink r:id="rId26" w:history="1">
        <w:r w:rsidRPr="005E1718">
          <w:rPr>
            <w:rStyle w:val="Hyperlink"/>
          </w:rPr>
          <w:t>https://aifs.gov.au/cfca/publications/enhancing-implementation-aboriginal-and-torres-strait-islander-child</w:t>
        </w:r>
      </w:hyperlink>
      <w:r>
        <w:t>.</w:t>
      </w:r>
    </w:p>
  </w:endnote>
  <w:endnote w:id="56">
    <w:p w14:paraId="1D5B77CF" w14:textId="77777777" w:rsidR="0070575F" w:rsidRDefault="0070575F">
      <w:pPr>
        <w:pStyle w:val="EndnoteText"/>
      </w:pPr>
      <w:r>
        <w:rPr>
          <w:rStyle w:val="EndnoteReference"/>
        </w:rPr>
        <w:endnoteRef/>
      </w:r>
      <w:r>
        <w:t xml:space="preserve"> Department of the Prime Minister and Cabinet Office for the Arts, </w:t>
      </w:r>
      <w:r>
        <w:rPr>
          <w:i/>
        </w:rPr>
        <w:t>Culture and Closing the Gap</w:t>
      </w:r>
      <w:r>
        <w:t xml:space="preserve"> (2013). At: </w:t>
      </w:r>
      <w:hyperlink r:id="rId27" w:history="1">
        <w:r w:rsidRPr="005E1718">
          <w:rPr>
            <w:rStyle w:val="Hyperlink"/>
          </w:rPr>
          <w:t>http://iaha.com.au/wp-content/uploads/2013/03/000214_cultureclosinggap.pdf</w:t>
        </w:r>
      </w:hyperlink>
      <w:r>
        <w:t xml:space="preserve"> </w:t>
      </w:r>
      <w:r w:rsidRPr="00D63302">
        <w:t xml:space="preserve">(viewed 17 April 2018). </w:t>
      </w:r>
    </w:p>
  </w:endnote>
  <w:endnote w:id="57">
    <w:p w14:paraId="5910086E" w14:textId="77777777" w:rsidR="0070575F" w:rsidRDefault="0070575F">
      <w:pPr>
        <w:pStyle w:val="EndnoteText"/>
      </w:pPr>
      <w:r>
        <w:rPr>
          <w:rStyle w:val="EndnoteReference"/>
        </w:rPr>
        <w:endnoteRef/>
      </w:r>
      <w:r>
        <w:t xml:space="preserve"> </w:t>
      </w:r>
      <w:r w:rsidRPr="00D63302">
        <w:t>June Oscar, ‘</w:t>
      </w:r>
      <w:proofErr w:type="spellStart"/>
      <w:r w:rsidRPr="00D63302">
        <w:t>Wiyi</w:t>
      </w:r>
      <w:proofErr w:type="spellEnd"/>
      <w:r w:rsidRPr="00D63302">
        <w:t xml:space="preserve"> </w:t>
      </w:r>
      <w:proofErr w:type="spellStart"/>
      <w:r w:rsidRPr="00D63302">
        <w:t>Yani</w:t>
      </w:r>
      <w:proofErr w:type="spellEnd"/>
      <w:r w:rsidRPr="00D63302">
        <w:t xml:space="preserve"> U </w:t>
      </w:r>
      <w:proofErr w:type="spellStart"/>
      <w:r w:rsidRPr="00D63302">
        <w:t>Thangani</w:t>
      </w:r>
      <w:proofErr w:type="spellEnd"/>
      <w:r w:rsidRPr="00D63302">
        <w:t xml:space="preserve"> Project’, (Speech delivered at </w:t>
      </w:r>
      <w:r>
        <w:t>United Nations CSW62 Side Event</w:t>
      </w:r>
      <w:r w:rsidRPr="00D63302">
        <w:t xml:space="preserve">, New York, 16 March 2018). At: </w:t>
      </w:r>
      <w:hyperlink r:id="rId28" w:history="1">
        <w:r w:rsidRPr="005E1718">
          <w:rPr>
            <w:rStyle w:val="Hyperlink"/>
          </w:rPr>
          <w:t>https://www.humanrights.gov.au/news/speeches/united-nations-csw62-side-event-wiyi-yani-u-thangani-project</w:t>
        </w:r>
      </w:hyperlink>
      <w:r>
        <w:t xml:space="preserve"> </w:t>
      </w:r>
      <w:r w:rsidRPr="00D63302">
        <w:t>(viewed 17 April 2018).</w:t>
      </w:r>
    </w:p>
  </w:endnote>
  <w:endnote w:id="58">
    <w:p w14:paraId="572041B2" w14:textId="77777777" w:rsidR="0070575F" w:rsidRDefault="0070575F">
      <w:pPr>
        <w:pStyle w:val="EndnoteText"/>
      </w:pPr>
      <w:r>
        <w:rPr>
          <w:rStyle w:val="EndnoteReference"/>
        </w:rPr>
        <w:endnoteRef/>
      </w:r>
      <w:r>
        <w:t xml:space="preserve"> </w:t>
      </w:r>
      <w:r w:rsidRPr="00B2199A">
        <w:t>Committee on the Rights of the Children, General comment No. 11 (2009): Indigenous children and their rights under the C</w:t>
      </w:r>
      <w:r>
        <w:t>onvention, Fiftieth session, 12–</w:t>
      </w:r>
      <w:r w:rsidRPr="00B2199A">
        <w:t xml:space="preserve">30 January 2009, </w:t>
      </w:r>
      <w:r>
        <w:t>UN Doc CRC/C/GC/11, [</w:t>
      </w:r>
      <w:r w:rsidRPr="00B2199A">
        <w:t>31</w:t>
      </w:r>
      <w:r>
        <w:t>].</w:t>
      </w:r>
    </w:p>
  </w:endnote>
  <w:endnote w:id="59">
    <w:p w14:paraId="0B852C6C" w14:textId="77777777" w:rsidR="0070575F" w:rsidRDefault="0070575F">
      <w:pPr>
        <w:pStyle w:val="EndnoteText"/>
      </w:pPr>
      <w:r>
        <w:rPr>
          <w:rStyle w:val="EndnoteReference"/>
        </w:rPr>
        <w:endnoteRef/>
      </w:r>
      <w:r>
        <w:t xml:space="preserve"> </w:t>
      </w:r>
      <w:r w:rsidRPr="00B2199A">
        <w:t xml:space="preserve">Committee on the Rights of the Children, General comment No. 11 (2009): Indigenous children and their rights under the Convention, Fiftieth session, 12-30 January 2009, UN Doc CRC/C/GC/11, </w:t>
      </w:r>
      <w:r>
        <w:t>[</w:t>
      </w:r>
      <w:r w:rsidRPr="00B2199A">
        <w:t>48</w:t>
      </w:r>
      <w:r>
        <w:t>]</w:t>
      </w:r>
      <w:r w:rsidRPr="00B2199A">
        <w:t>.</w:t>
      </w:r>
    </w:p>
  </w:endnote>
  <w:endnote w:id="60">
    <w:p w14:paraId="0F05EE26" w14:textId="77777777" w:rsidR="0070575F" w:rsidRDefault="0070575F">
      <w:pPr>
        <w:pStyle w:val="EndnoteText"/>
      </w:pPr>
      <w:r>
        <w:rPr>
          <w:rStyle w:val="EndnoteReference"/>
        </w:rPr>
        <w:endnoteRef/>
      </w:r>
      <w:r>
        <w:t xml:space="preserve"> T</w:t>
      </w:r>
      <w:r w:rsidRPr="00CC0C85">
        <w:t>he Secretariat of National Aboriginal and Islander Child Care</w:t>
      </w:r>
      <w:r>
        <w:t>,</w:t>
      </w:r>
      <w:r w:rsidRPr="00381EDC">
        <w:rPr>
          <w:i/>
        </w:rPr>
        <w:t xml:space="preserve"> Understanding and Applying the Aboriginal and Torres Strait Islander Child Placement Principle: a Resource for Legislation, Policy, and Program Development</w:t>
      </w:r>
      <w:r>
        <w:t xml:space="preserve"> (30 June 2017), 3–12. At: </w:t>
      </w:r>
      <w:hyperlink r:id="rId29" w:history="1">
        <w:r w:rsidRPr="00A14C90">
          <w:rPr>
            <w:rStyle w:val="Hyperlink"/>
          </w:rPr>
          <w:t>http://www.snaicc.org.au/wp-content/uploads/2017/07/Understanding_applying_ATSICCP.pdf</w:t>
        </w:r>
      </w:hyperlink>
      <w:r>
        <w:t xml:space="preserve"> (viewed 21 April 2018). The ATSICPP placement hierarchy </w:t>
      </w:r>
      <w:proofErr w:type="gramStart"/>
      <w:r>
        <w:t>is set out</w:t>
      </w:r>
      <w:proofErr w:type="gramEnd"/>
      <w:r>
        <w:t xml:space="preserve"> in state and territory child protection laws and policies.</w:t>
      </w:r>
    </w:p>
  </w:endnote>
  <w:endnote w:id="61">
    <w:p w14:paraId="718DE325" w14:textId="77777777" w:rsidR="0070575F" w:rsidRPr="00381EDC" w:rsidRDefault="0070575F" w:rsidP="00D16CA9">
      <w:pPr>
        <w:pStyle w:val="EndnoteText"/>
      </w:pPr>
      <w:r>
        <w:rPr>
          <w:rStyle w:val="EndnoteReference"/>
        </w:rPr>
        <w:endnoteRef/>
      </w:r>
      <w:r>
        <w:t xml:space="preserve"> T</w:t>
      </w:r>
      <w:r w:rsidRPr="00CC0C85">
        <w:t>he Secretariat of National Aboriginal and Islander Child Care</w:t>
      </w:r>
      <w:r>
        <w:t>,</w:t>
      </w:r>
      <w:r w:rsidRPr="00381EDC">
        <w:rPr>
          <w:i/>
        </w:rPr>
        <w:t xml:space="preserve"> Understanding and Applying the Aboriginal and Torres Strait Islander Child Placement Principle: a Resource for Legislation, Policy, and Program Development</w:t>
      </w:r>
      <w:r>
        <w:t xml:space="preserve"> (30 June 2017), 3–12. At: </w:t>
      </w:r>
      <w:hyperlink r:id="rId30" w:history="1">
        <w:r w:rsidRPr="00A14C90">
          <w:rPr>
            <w:rStyle w:val="Hyperlink"/>
          </w:rPr>
          <w:t>http://www.snaicc.org.au/wp-content/uploads/2017/07/Understanding_applying_ATSICCP.pdf</w:t>
        </w:r>
      </w:hyperlink>
      <w:r>
        <w:t xml:space="preserve"> (viewed 21 April 2018). </w:t>
      </w:r>
    </w:p>
  </w:endnote>
  <w:endnote w:id="62">
    <w:p w14:paraId="6B4FFD3F" w14:textId="77777777" w:rsidR="0070575F" w:rsidRDefault="0070575F">
      <w:pPr>
        <w:pStyle w:val="EndnoteText"/>
      </w:pPr>
      <w:r>
        <w:rPr>
          <w:rStyle w:val="EndnoteReference"/>
        </w:rPr>
        <w:endnoteRef/>
      </w:r>
      <w:r>
        <w:t xml:space="preserve"> </w:t>
      </w:r>
      <w:r w:rsidRPr="00D63302">
        <w:t xml:space="preserve">Australian Human Rights Commission, </w:t>
      </w:r>
      <w:r w:rsidRPr="005914B5">
        <w:rPr>
          <w:i/>
        </w:rPr>
        <w:t>Children’s Rights Report 201</w:t>
      </w:r>
      <w:r>
        <w:t>5</w:t>
      </w:r>
      <w:r w:rsidRPr="00D63302">
        <w:t xml:space="preserve"> </w:t>
      </w:r>
      <w:r>
        <w:t xml:space="preserve">(14 October </w:t>
      </w:r>
      <w:r w:rsidRPr="00D63302">
        <w:t>2015</w:t>
      </w:r>
      <w:r>
        <w:t xml:space="preserve">) </w:t>
      </w:r>
      <w:r w:rsidRPr="00D63302">
        <w:t>113.</w:t>
      </w:r>
      <w:r>
        <w:t xml:space="preserve"> At: </w:t>
      </w:r>
      <w:hyperlink r:id="rId31" w:history="1">
        <w:r w:rsidRPr="005E1718">
          <w:rPr>
            <w:rStyle w:val="Hyperlink"/>
          </w:rPr>
          <w:t>https://www.humanrights.gov.au/our-work/childrens-rights/publications/childrens-rights-report-2015</w:t>
        </w:r>
      </w:hyperlink>
      <w:r>
        <w:t>.</w:t>
      </w:r>
    </w:p>
  </w:endnote>
  <w:endnote w:id="63">
    <w:p w14:paraId="76B34EFF" w14:textId="77777777" w:rsidR="0070575F" w:rsidRDefault="0070575F">
      <w:pPr>
        <w:pStyle w:val="EndnoteText"/>
      </w:pPr>
      <w:r>
        <w:rPr>
          <w:rStyle w:val="EndnoteReference"/>
        </w:rPr>
        <w:endnoteRef/>
      </w:r>
      <w:r>
        <w:t xml:space="preserve"> </w:t>
      </w:r>
      <w:r w:rsidRPr="00D63302">
        <w:t xml:space="preserve">Australian Bureau of Statistics, </w:t>
      </w:r>
      <w:r w:rsidRPr="005522C2">
        <w:rPr>
          <w:i/>
        </w:rPr>
        <w:t xml:space="preserve">4533.0 - Directory of Family and Domestic Violence Statistics, 2013 </w:t>
      </w:r>
      <w:r>
        <w:t xml:space="preserve">(3 October 2013). At </w:t>
      </w:r>
      <w:hyperlink r:id="rId32" w:history="1">
        <w:r w:rsidRPr="00D6108C">
          <w:rPr>
            <w:rStyle w:val="Hyperlink"/>
          </w:rPr>
          <w:t>http://www.abs.gov.au/ausstats/abs@.nsf/Lookup/4533.0Main+Features72013</w:t>
        </w:r>
      </w:hyperlink>
      <w:r>
        <w:t>.</w:t>
      </w:r>
    </w:p>
  </w:endnote>
  <w:endnote w:id="64">
    <w:p w14:paraId="57EA893E" w14:textId="77777777" w:rsidR="0070575F" w:rsidRDefault="0070575F">
      <w:pPr>
        <w:pStyle w:val="EndnoteText"/>
      </w:pPr>
      <w:r>
        <w:rPr>
          <w:rStyle w:val="EndnoteReference"/>
        </w:rPr>
        <w:endnoteRef/>
      </w:r>
      <w:r>
        <w:t xml:space="preserve"> </w:t>
      </w:r>
      <w:r w:rsidRPr="00D63302">
        <w:t xml:space="preserve">Australian Bureau of Statistics, </w:t>
      </w:r>
      <w:r w:rsidRPr="005522C2">
        <w:rPr>
          <w:i/>
        </w:rPr>
        <w:t xml:space="preserve">4533.0 - Directory of Family and Domestic Violence Statistics, 2013 </w:t>
      </w:r>
      <w:r>
        <w:t xml:space="preserve">(3 October 2013). At </w:t>
      </w:r>
      <w:hyperlink r:id="rId33" w:history="1">
        <w:r w:rsidRPr="00D6108C">
          <w:rPr>
            <w:rStyle w:val="Hyperlink"/>
          </w:rPr>
          <w:t>http://www.abs.gov.au/ausstats/abs@.nsf/Lookup/4533.0Main+Features72013</w:t>
        </w:r>
      </w:hyperlink>
      <w:r>
        <w:t>.</w:t>
      </w:r>
    </w:p>
  </w:endnote>
  <w:endnote w:id="65">
    <w:p w14:paraId="5B9FEC0F" w14:textId="77777777" w:rsidR="0070575F" w:rsidRDefault="0070575F" w:rsidP="00343A85">
      <w:pPr>
        <w:pStyle w:val="EndnoteText"/>
      </w:pPr>
      <w:r>
        <w:rPr>
          <w:rStyle w:val="EndnoteReference"/>
        </w:rPr>
        <w:endnoteRef/>
      </w:r>
      <w:r>
        <w:t xml:space="preserve"> </w:t>
      </w:r>
      <w:r w:rsidRPr="007A09CC">
        <w:t>A</w:t>
      </w:r>
      <w:r>
        <w:t xml:space="preserve">ustralian </w:t>
      </w:r>
      <w:r w:rsidRPr="007A09CC">
        <w:t>L</w:t>
      </w:r>
      <w:r>
        <w:t xml:space="preserve">aw </w:t>
      </w:r>
      <w:r w:rsidRPr="007A09CC">
        <w:t>R</w:t>
      </w:r>
      <w:r>
        <w:t xml:space="preserve">eform </w:t>
      </w:r>
      <w:r w:rsidRPr="007A09CC">
        <w:t>C</w:t>
      </w:r>
      <w:r>
        <w:t xml:space="preserve">ommission, </w:t>
      </w:r>
      <w:r w:rsidRPr="002C2086">
        <w:rPr>
          <w:i/>
        </w:rPr>
        <w:t>Family Violence - A National Legal Response</w:t>
      </w:r>
      <w:r w:rsidRPr="007A09CC">
        <w:t xml:space="preserve"> </w:t>
      </w:r>
      <w:r>
        <w:t xml:space="preserve">(Report 114) </w:t>
      </w:r>
      <w:r w:rsidRPr="007A09CC">
        <w:t>(2010)</w:t>
      </w:r>
      <w:r>
        <w:t xml:space="preserve"> 19. At: </w:t>
      </w:r>
      <w:hyperlink r:id="rId34" w:history="1">
        <w:r w:rsidRPr="00EF0B1A">
          <w:rPr>
            <w:rStyle w:val="Hyperlink"/>
          </w:rPr>
          <w:t>https://www.alrc.gov.au/publications/family-violence-national-legal-response-alrc-report-114</w:t>
        </w:r>
      </w:hyperlink>
      <w:r>
        <w:t xml:space="preserve"> (viewed 16 April 2018). </w:t>
      </w:r>
    </w:p>
  </w:endnote>
  <w:endnote w:id="66">
    <w:p w14:paraId="212FE1CE" w14:textId="77777777" w:rsidR="0070575F" w:rsidRDefault="0070575F" w:rsidP="00343A85">
      <w:pPr>
        <w:pStyle w:val="EndnoteText"/>
      </w:pPr>
      <w:r>
        <w:rPr>
          <w:rStyle w:val="EndnoteReference"/>
        </w:rPr>
        <w:endnoteRef/>
      </w:r>
      <w:r>
        <w:t xml:space="preserve"> Australian Bureau of Statistics, </w:t>
      </w:r>
      <w:r>
        <w:rPr>
          <w:i/>
        </w:rPr>
        <w:t xml:space="preserve">4906.0 </w:t>
      </w:r>
      <w:r w:rsidRPr="004A00B6">
        <w:rPr>
          <w:i/>
        </w:rPr>
        <w:t>Personal Safety, Australia, 2016</w:t>
      </w:r>
      <w:r>
        <w:t xml:space="preserve"> (8 November 2017). At: </w:t>
      </w:r>
      <w:hyperlink r:id="rId35" w:history="1">
        <w:r w:rsidRPr="00EF0B1A">
          <w:rPr>
            <w:rStyle w:val="Hyperlink"/>
          </w:rPr>
          <w:t>http://www.abs.gov.au/ausstats/abs@.nsf/mf/4906.0</w:t>
        </w:r>
      </w:hyperlink>
      <w:r>
        <w:t xml:space="preserve"> (viewed 16 April 2018).</w:t>
      </w:r>
    </w:p>
  </w:endnote>
  <w:endnote w:id="67">
    <w:p w14:paraId="44F653F5" w14:textId="77777777" w:rsidR="0070575F" w:rsidRDefault="0070575F">
      <w:pPr>
        <w:pStyle w:val="EndnoteText"/>
      </w:pPr>
      <w:r>
        <w:rPr>
          <w:rStyle w:val="EndnoteReference"/>
        </w:rPr>
        <w:endnoteRef/>
      </w:r>
      <w:r>
        <w:t xml:space="preserve"> Australian Human Rights Commission, Submission to the Inquiry into the Family Law Legislation Amendment (Family Violence and Other Measures) Bill 2011, 29 July 2011, section 5.2. At </w:t>
      </w:r>
      <w:hyperlink r:id="rId36" w:anchor="s5_2" w:history="1">
        <w:r w:rsidRPr="0082180F">
          <w:rPr>
            <w:rStyle w:val="Hyperlink"/>
          </w:rPr>
          <w:t>https://www.humanrights.gov.au/inquiry-family-law-legislation-amendment-family-violence-and-other-measures-bill-2011#s5_2</w:t>
        </w:r>
      </w:hyperlink>
      <w:r>
        <w:t xml:space="preserve"> (viewed 19 April 2018).</w:t>
      </w:r>
    </w:p>
  </w:endnote>
  <w:endnote w:id="68">
    <w:p w14:paraId="38FFB9B8" w14:textId="77777777" w:rsidR="0070575F" w:rsidRDefault="0070575F" w:rsidP="00C407B9">
      <w:pPr>
        <w:pStyle w:val="EndnoteText"/>
      </w:pPr>
      <w:r>
        <w:rPr>
          <w:rStyle w:val="EndnoteReference"/>
        </w:rPr>
        <w:endnoteRef/>
      </w:r>
      <w:r>
        <w:t xml:space="preserve"> House of Representatives Standing Committee on Social Policy and Legal Affairs, </w:t>
      </w:r>
      <w:r w:rsidRPr="00FC4AD3">
        <w:rPr>
          <w:i/>
        </w:rPr>
        <w:t>A better family law system to support and protect those affected by family violence: recommendations for an accessible, equitable and responsive family law system which better prioritises safety of those affected by family violence</w:t>
      </w:r>
      <w:r>
        <w:rPr>
          <w:i/>
        </w:rPr>
        <w:t xml:space="preserve"> </w:t>
      </w:r>
      <w:r>
        <w:t xml:space="preserve">(December 2017). At: </w:t>
      </w:r>
      <w:hyperlink r:id="rId37" w:history="1">
        <w:r w:rsidRPr="00EF0B1A">
          <w:rPr>
            <w:rStyle w:val="Hyperlink"/>
          </w:rPr>
          <w:t>https://www.aph.gov.au/Parliamentary_Business/Committees/House/Social_Policy_and_Legal_Affairs/FVlawreform/Report</w:t>
        </w:r>
      </w:hyperlink>
      <w:r>
        <w:t xml:space="preserve"> (viewed 16 April 2018). </w:t>
      </w:r>
    </w:p>
  </w:endnote>
  <w:endnote w:id="69">
    <w:p w14:paraId="458487E8" w14:textId="77777777" w:rsidR="0070575F" w:rsidRPr="009D2323" w:rsidRDefault="0070575F" w:rsidP="00C407B9">
      <w:pPr>
        <w:pStyle w:val="EndnoteText"/>
      </w:pPr>
      <w:r>
        <w:rPr>
          <w:rStyle w:val="EndnoteReference"/>
        </w:rPr>
        <w:endnoteRef/>
      </w:r>
      <w:r>
        <w:t xml:space="preserve"> House of Representatives Standing Committee on Social Policy and Legal Affairs, </w:t>
      </w:r>
      <w:r w:rsidRPr="00FC4AD3">
        <w:rPr>
          <w:i/>
        </w:rPr>
        <w:t>A better family law system to support and protect those affected by family violence: recommendations for an accessible, equitable and responsive family law system which better prioritises safety of those affected by family violence</w:t>
      </w:r>
      <w:r>
        <w:rPr>
          <w:i/>
        </w:rPr>
        <w:t xml:space="preserve"> </w:t>
      </w:r>
      <w:r>
        <w:t xml:space="preserve">(December 2017), x. At: </w:t>
      </w:r>
      <w:hyperlink r:id="rId38" w:history="1">
        <w:r w:rsidRPr="00EF0B1A">
          <w:rPr>
            <w:rStyle w:val="Hyperlink"/>
          </w:rPr>
          <w:t>https://www.aph.gov.au/Parliamentary_Business/Committees/House/Social_Policy_and_Legal_Affairs/FVlawreform/Report</w:t>
        </w:r>
      </w:hyperlink>
      <w:r>
        <w:t xml:space="preserve"> (viewed 16 April 2018).</w:t>
      </w:r>
    </w:p>
  </w:endnote>
  <w:endnote w:id="70">
    <w:p w14:paraId="085EB4BD" w14:textId="77777777" w:rsidR="0070575F" w:rsidRDefault="0070575F" w:rsidP="00C407B9">
      <w:pPr>
        <w:pStyle w:val="EndnoteText"/>
      </w:pPr>
      <w:r>
        <w:rPr>
          <w:rStyle w:val="EndnoteReference"/>
        </w:rPr>
        <w:endnoteRef/>
      </w:r>
      <w:r>
        <w:t xml:space="preserve"> </w:t>
      </w:r>
      <w:r>
        <w:rPr>
          <w:lang w:val="en"/>
        </w:rPr>
        <w:t xml:space="preserve">House of Representatives Standing Committee on Social Policy and Legal Affairs </w:t>
      </w:r>
      <w:r w:rsidRPr="006D3F17">
        <w:rPr>
          <w:i/>
          <w:lang w:val="en"/>
        </w:rPr>
        <w:t>Inquiry into a better family law system to support and protect those affected by family violence</w:t>
      </w:r>
      <w:r>
        <w:rPr>
          <w:lang w:val="en"/>
        </w:rPr>
        <w:t>, [6.33].</w:t>
      </w:r>
      <w:r w:rsidRPr="00431EBD">
        <w:t xml:space="preserve"> </w:t>
      </w:r>
      <w:r>
        <w:t xml:space="preserve">At: </w:t>
      </w:r>
      <w:hyperlink r:id="rId39" w:history="1">
        <w:r w:rsidRPr="00EF0B1A">
          <w:rPr>
            <w:rStyle w:val="Hyperlink"/>
          </w:rPr>
          <w:t>https://www.aph.gov.au/Parliamentary_Business/Committees/House/Social_Policy_and_Legal_Affairs/FVlawreform/Report</w:t>
        </w:r>
      </w:hyperlink>
      <w:r>
        <w:t xml:space="preserve"> (viewed 16 April 2018).</w:t>
      </w:r>
    </w:p>
  </w:endnote>
  <w:endnote w:id="71">
    <w:p w14:paraId="344867E4" w14:textId="77777777" w:rsidR="0070575F" w:rsidRDefault="0070575F" w:rsidP="00C407B9">
      <w:pPr>
        <w:pStyle w:val="EndnoteText"/>
      </w:pPr>
      <w:r>
        <w:rPr>
          <w:rStyle w:val="EndnoteReference"/>
        </w:rPr>
        <w:endnoteRef/>
      </w:r>
      <w:r>
        <w:t xml:space="preserve"> House of Representatives Standing Committee on Social Policy and Legal Affairs, </w:t>
      </w:r>
      <w:r w:rsidRPr="00FC4AD3">
        <w:rPr>
          <w:i/>
        </w:rPr>
        <w:t>A better family law system to support and protect those affected by family violence: recommendations for an accessible, equitable and responsive family law system which better prioritises safety of those affected by family violence</w:t>
      </w:r>
      <w:r>
        <w:rPr>
          <w:i/>
        </w:rPr>
        <w:t xml:space="preserve"> </w:t>
      </w:r>
      <w:r>
        <w:t xml:space="preserve">(December 2017), 191. At: </w:t>
      </w:r>
      <w:hyperlink r:id="rId40" w:history="1">
        <w:r w:rsidRPr="00EF0B1A">
          <w:rPr>
            <w:rStyle w:val="Hyperlink"/>
          </w:rPr>
          <w:t>https://www.aph.gov.au/Parliamentary_Business/Committees/House/Social_Policy_and_Legal_Affairs/FVlawreform/Report</w:t>
        </w:r>
      </w:hyperlink>
      <w:r>
        <w:t xml:space="preserve"> (viewed 16 April 2018).</w:t>
      </w:r>
    </w:p>
  </w:endnote>
  <w:endnote w:id="72">
    <w:p w14:paraId="58C65644" w14:textId="77777777" w:rsidR="0070575F" w:rsidRDefault="0070575F" w:rsidP="00C407B9">
      <w:pPr>
        <w:pStyle w:val="EndnoteText"/>
      </w:pPr>
      <w:r>
        <w:rPr>
          <w:rStyle w:val="EndnoteReference"/>
        </w:rPr>
        <w:endnoteRef/>
      </w:r>
      <w:r>
        <w:t xml:space="preserve"> Rae </w:t>
      </w:r>
      <w:proofErr w:type="spellStart"/>
      <w:r>
        <w:t>Kaspiew</w:t>
      </w:r>
      <w:proofErr w:type="spellEnd"/>
      <w:r>
        <w:t xml:space="preserve"> et al, </w:t>
      </w:r>
      <w:r w:rsidRPr="00343352">
        <w:rPr>
          <w:i/>
        </w:rPr>
        <w:t>Evaluation of the 2012 family violence amendments</w:t>
      </w:r>
      <w:r>
        <w:t xml:space="preserve"> (October 2015) Australian Institute of Family Studies, 66, 190. At </w:t>
      </w:r>
      <w:hyperlink r:id="rId41" w:history="1">
        <w:r w:rsidRPr="005E1718">
          <w:rPr>
            <w:rStyle w:val="Hyperlink"/>
          </w:rPr>
          <w:t>https://aifs.gov.au/publications/evaluation-2012-family-violence-amendments</w:t>
        </w:r>
      </w:hyperlink>
      <w:r>
        <w:t xml:space="preserve">. </w:t>
      </w:r>
    </w:p>
  </w:endnote>
  <w:endnote w:id="73">
    <w:p w14:paraId="4BE850A2" w14:textId="77777777" w:rsidR="0070575F" w:rsidRDefault="0070575F">
      <w:pPr>
        <w:pStyle w:val="EndnoteText"/>
      </w:pPr>
      <w:r>
        <w:rPr>
          <w:rStyle w:val="EndnoteReference"/>
        </w:rPr>
        <w:endnoteRef/>
      </w:r>
      <w:r>
        <w:t xml:space="preserve"> House of Representatives Standing Committee on Social Policy and Legal Affairs, </w:t>
      </w:r>
      <w:r w:rsidRPr="00FC4AD3">
        <w:rPr>
          <w:i/>
        </w:rPr>
        <w:t>A better family law system to support and protect those affected by family violence: recommendations for an accessible, equitable and responsive family law system which better prioritises safety of those affected by family violence</w:t>
      </w:r>
      <w:r>
        <w:rPr>
          <w:i/>
        </w:rPr>
        <w:t xml:space="preserve"> </w:t>
      </w:r>
      <w:r>
        <w:t xml:space="preserve">(December 2017), xxxiii [6.130]. At: </w:t>
      </w:r>
      <w:hyperlink r:id="rId42" w:history="1">
        <w:r w:rsidRPr="00EF0B1A">
          <w:rPr>
            <w:rStyle w:val="Hyperlink"/>
          </w:rPr>
          <w:t>https://www.aph.gov.au/Parliamentary_Business/Committees/House/Social_Policy_and_Legal_Affairs/FVlawreform/Report</w:t>
        </w:r>
      </w:hyperlink>
      <w:r>
        <w:t xml:space="preserve"> (viewed 16 April 2018).</w:t>
      </w:r>
    </w:p>
  </w:endnote>
  <w:endnote w:id="74">
    <w:p w14:paraId="2A6A4034" w14:textId="77777777" w:rsidR="0070575F" w:rsidRDefault="0070575F" w:rsidP="00C407B9">
      <w:pPr>
        <w:pStyle w:val="EndnoteText"/>
      </w:pPr>
      <w:r>
        <w:rPr>
          <w:rStyle w:val="EndnoteReference"/>
        </w:rPr>
        <w:endnoteRef/>
      </w:r>
      <w:r>
        <w:t xml:space="preserve"> </w:t>
      </w:r>
      <w:r w:rsidRPr="001140E6">
        <w:t xml:space="preserve">Committee on the Rights of the Child, </w:t>
      </w:r>
      <w:r>
        <w:rPr>
          <w:i/>
          <w:iCs/>
        </w:rPr>
        <w:t>General Comment No.14 on the rights of the child to have his or her best interests taken as a primary consideration</w:t>
      </w:r>
      <w:r>
        <w:t>, UN Doc CRC/C/GC/14 (29 May 2013) [67</w:t>
      </w:r>
      <w:r w:rsidRPr="001140E6">
        <w:t xml:space="preserve">].  </w:t>
      </w:r>
    </w:p>
  </w:endnote>
  <w:endnote w:id="75">
    <w:p w14:paraId="492DCD34" w14:textId="77777777" w:rsidR="0070575F" w:rsidRDefault="0070575F">
      <w:pPr>
        <w:pStyle w:val="EndnoteText"/>
      </w:pPr>
      <w:r>
        <w:rPr>
          <w:rStyle w:val="EndnoteReference"/>
        </w:rPr>
        <w:endnoteRef/>
      </w:r>
      <w:r>
        <w:t xml:space="preserve"> </w:t>
      </w:r>
      <w:r w:rsidRPr="00D63302">
        <w:t xml:space="preserve">Australian Law Reform Commission, </w:t>
      </w:r>
      <w:r w:rsidRPr="005522C2">
        <w:rPr>
          <w:i/>
        </w:rPr>
        <w:t>Review of the Family Law System - Issues Paper 48</w:t>
      </w:r>
      <w:r w:rsidRPr="00D63302">
        <w:t xml:space="preserve"> </w:t>
      </w:r>
      <w:r>
        <w:t xml:space="preserve">(14 </w:t>
      </w:r>
      <w:r w:rsidRPr="00D63302">
        <w:t>March 2018</w:t>
      </w:r>
      <w:r>
        <w:t>)</w:t>
      </w:r>
      <w:r w:rsidRPr="00D63302">
        <w:t>.</w:t>
      </w:r>
      <w:r>
        <w:t xml:space="preserve"> At </w:t>
      </w:r>
      <w:hyperlink r:id="rId43" w:history="1">
        <w:r w:rsidRPr="005914B5">
          <w:rPr>
            <w:rStyle w:val="Hyperlink"/>
          </w:rPr>
          <w:t>https://www.alrc.gov.au/sites/default/files/pdfs/publications/issues_paer_48_19_march_2018_.pdf</w:t>
        </w:r>
      </w:hyperlink>
      <w:r>
        <w:rPr>
          <w:i/>
        </w:rPr>
        <w:t xml:space="preserve"> </w:t>
      </w:r>
      <w:r>
        <w:t xml:space="preserve">(viewed 18 April 2018). </w:t>
      </w:r>
    </w:p>
  </w:endnote>
  <w:endnote w:id="76">
    <w:p w14:paraId="5FCEBACE" w14:textId="77777777" w:rsidR="0070575F" w:rsidRPr="007D0C03" w:rsidRDefault="0070575F" w:rsidP="00141A5B">
      <w:pPr>
        <w:pStyle w:val="EndnoteText"/>
      </w:pPr>
      <w:r>
        <w:rPr>
          <w:rStyle w:val="EndnoteReference"/>
        </w:rPr>
        <w:endnoteRef/>
      </w:r>
      <w:r>
        <w:t xml:space="preserve"> United Nations Committee on the Rights of Persons with Disabilities, </w:t>
      </w:r>
      <w:r>
        <w:rPr>
          <w:i/>
        </w:rPr>
        <w:t xml:space="preserve">Concluding observations on the initial report of Australia, </w:t>
      </w:r>
      <w:r>
        <w:t xml:space="preserve">UN Document CRPD/C/AUS/CO/1 (21 October 2013) paras 39-40. </w:t>
      </w:r>
    </w:p>
  </w:endnote>
  <w:endnote w:id="77">
    <w:p w14:paraId="7D261436" w14:textId="77777777" w:rsidR="0070575F" w:rsidRDefault="0070575F" w:rsidP="00FC1CF4">
      <w:pPr>
        <w:pStyle w:val="EndnoteText"/>
      </w:pPr>
      <w:r>
        <w:rPr>
          <w:rStyle w:val="EndnoteReference"/>
        </w:rPr>
        <w:endnoteRef/>
      </w:r>
      <w:r>
        <w:t xml:space="preserve"> United Nations Human Rights Committee, </w:t>
      </w:r>
      <w:r w:rsidRPr="007E1F75">
        <w:rPr>
          <w:i/>
        </w:rPr>
        <w:t>Concluding observations on the sixth periodic report of Australia</w:t>
      </w:r>
      <w:r>
        <w:rPr>
          <w:i/>
        </w:rPr>
        <w:t xml:space="preserve">, </w:t>
      </w:r>
      <w:r>
        <w:t>Agenda item 5, UN Document CCPR/C/AUS/CO/6</w:t>
      </w:r>
      <w:r>
        <w:rPr>
          <w:i/>
        </w:rPr>
        <w:t xml:space="preserve"> </w:t>
      </w:r>
      <w:r>
        <w:t>(16 October-10 November 2017).</w:t>
      </w:r>
    </w:p>
  </w:endnote>
  <w:endnote w:id="78">
    <w:p w14:paraId="38E25108" w14:textId="77777777" w:rsidR="0070575F" w:rsidRDefault="0070575F">
      <w:pPr>
        <w:pStyle w:val="EndnoteText"/>
      </w:pPr>
      <w:r>
        <w:rPr>
          <w:rStyle w:val="EndnoteReference"/>
        </w:rPr>
        <w:endnoteRef/>
      </w:r>
      <w:r>
        <w:t xml:space="preserve"> Australian </w:t>
      </w:r>
      <w:r w:rsidRPr="00860E6A">
        <w:t xml:space="preserve">Human Rights Commission. </w:t>
      </w:r>
      <w:r w:rsidRPr="00860E6A">
        <w:rPr>
          <w:i/>
        </w:rPr>
        <w:t xml:space="preserve">The Involuntary or Coerced Sterilisation of People with Disabilities in Australia </w:t>
      </w:r>
      <w:r w:rsidRPr="00860E6A">
        <w:t>(28 November 2012). At</w:t>
      </w:r>
      <w:r w:rsidRPr="005914B5">
        <w:rPr>
          <w:u w:val="single"/>
        </w:rPr>
        <w:t xml:space="preserve"> </w:t>
      </w:r>
      <w:hyperlink r:id="rId44" w:history="1">
        <w:r w:rsidRPr="005914B5">
          <w:rPr>
            <w:rStyle w:val="Hyperlink"/>
          </w:rPr>
          <w:t>https://www.humanrights.gov.au/submissions/involuntary-or-coerced-sterilisation-people-disabilities-australia</w:t>
        </w:r>
      </w:hyperlink>
      <w:r w:rsidRPr="00860E6A">
        <w:t xml:space="preserve"> (viewed 17 April 2018).</w:t>
      </w:r>
    </w:p>
  </w:endnote>
  <w:endnote w:id="79">
    <w:p w14:paraId="5D4B6BA8" w14:textId="77777777" w:rsidR="0070575F" w:rsidRDefault="0070575F">
      <w:pPr>
        <w:pStyle w:val="EndnoteText"/>
      </w:pPr>
      <w:r>
        <w:rPr>
          <w:rStyle w:val="EndnoteReference"/>
        </w:rPr>
        <w:endnoteRef/>
      </w:r>
      <w:r>
        <w:t xml:space="preserve"> Australian </w:t>
      </w:r>
      <w:r w:rsidRPr="00860E6A">
        <w:t xml:space="preserve">Human Rights Commission. </w:t>
      </w:r>
      <w:r w:rsidRPr="00860E6A">
        <w:rPr>
          <w:i/>
        </w:rPr>
        <w:t xml:space="preserve">The Involuntary or Coerced Sterilisation of People with Disabilities in Australia </w:t>
      </w:r>
      <w:r w:rsidRPr="00860E6A">
        <w:t>(28 November 2012). At</w:t>
      </w:r>
      <w:r w:rsidRPr="005914B5">
        <w:rPr>
          <w:u w:val="single"/>
        </w:rPr>
        <w:t xml:space="preserve"> </w:t>
      </w:r>
      <w:hyperlink r:id="rId45" w:history="1">
        <w:r w:rsidRPr="005914B5">
          <w:rPr>
            <w:rStyle w:val="Hyperlink"/>
          </w:rPr>
          <w:t>https://www.humanrights.gov.au/submissions/involuntary-or-coerced-sterilisation-people-disabilities-australia</w:t>
        </w:r>
      </w:hyperlink>
      <w:r w:rsidRPr="00860E6A">
        <w:t xml:space="preserve"> (viewed 17 April 20180.</w:t>
      </w:r>
    </w:p>
  </w:endnote>
  <w:endnote w:id="80">
    <w:p w14:paraId="316DFE5F" w14:textId="77777777" w:rsidR="0070575F" w:rsidRDefault="0070575F">
      <w:pPr>
        <w:pStyle w:val="EndnoteText"/>
      </w:pPr>
      <w:r>
        <w:rPr>
          <w:rStyle w:val="EndnoteReference"/>
        </w:rPr>
        <w:endnoteRef/>
      </w:r>
      <w:r>
        <w:t xml:space="preserve"> </w:t>
      </w:r>
      <w:r w:rsidRPr="001852CC">
        <w:t xml:space="preserve">Anne </w:t>
      </w:r>
      <w:proofErr w:type="spellStart"/>
      <w:r w:rsidRPr="001852CC">
        <w:t>Fausto</w:t>
      </w:r>
      <w:proofErr w:type="spellEnd"/>
      <w:r w:rsidRPr="001852CC">
        <w:t xml:space="preserve">-Sterling, </w:t>
      </w:r>
      <w:r w:rsidRPr="000A14A6">
        <w:rPr>
          <w:i/>
        </w:rPr>
        <w:t xml:space="preserve">Sexing </w:t>
      </w:r>
      <w:proofErr w:type="gramStart"/>
      <w:r w:rsidRPr="000A14A6">
        <w:rPr>
          <w:i/>
        </w:rPr>
        <w:t>The</w:t>
      </w:r>
      <w:proofErr w:type="gramEnd"/>
      <w:r w:rsidRPr="000A14A6">
        <w:rPr>
          <w:i/>
        </w:rPr>
        <w:t xml:space="preserve"> Body: Gender Politics and the Construction of Sexuality</w:t>
      </w:r>
      <w:r w:rsidRPr="001852CC">
        <w:t xml:space="preserve"> (Basic Books, 2000) 53; Intersex Human Rights Australia, </w:t>
      </w:r>
      <w:r>
        <w:t>‘</w:t>
      </w:r>
      <w:r w:rsidRPr="001852CC">
        <w:t>On the number of intersex people</w:t>
      </w:r>
      <w:r>
        <w:t xml:space="preserve">’ (28 September 2013) At </w:t>
      </w:r>
      <w:hyperlink r:id="rId46" w:history="1">
        <w:r w:rsidRPr="001852CC">
          <w:rPr>
            <w:rStyle w:val="Hyperlink"/>
          </w:rPr>
          <w:t>https://ihra.org.au/16601/intersex-numbers/</w:t>
        </w:r>
      </w:hyperlink>
      <w:r>
        <w:t xml:space="preserve"> (viewed 30 April 2018).</w:t>
      </w:r>
    </w:p>
  </w:endnote>
  <w:endnote w:id="81">
    <w:p w14:paraId="63C46364" w14:textId="77777777" w:rsidR="0070575F" w:rsidRDefault="0070575F">
      <w:pPr>
        <w:pStyle w:val="EndnoteText"/>
      </w:pPr>
      <w:r>
        <w:rPr>
          <w:rStyle w:val="EndnoteReference"/>
        </w:rPr>
        <w:endnoteRef/>
      </w:r>
      <w:r>
        <w:t xml:space="preserve"> </w:t>
      </w:r>
      <w:r w:rsidRPr="004D2BDE">
        <w:rPr>
          <w:rFonts w:cs="Arial"/>
        </w:rPr>
        <w:t xml:space="preserve">Office of the United Nations High Commissioner for Human Rights, </w:t>
      </w:r>
      <w:r w:rsidRPr="004D2BDE">
        <w:rPr>
          <w:rFonts w:cs="Arial"/>
          <w:i/>
        </w:rPr>
        <w:t>Free &amp; Equal campaign: Intersex Fact Sheet</w:t>
      </w:r>
      <w:r w:rsidRPr="004D2BDE">
        <w:rPr>
          <w:rFonts w:cs="Arial"/>
        </w:rPr>
        <w:t xml:space="preserve"> (5 September 2015</w:t>
      </w:r>
      <w:r>
        <w:rPr>
          <w:rFonts w:cs="Arial"/>
        </w:rPr>
        <w:t xml:space="preserve">). At </w:t>
      </w:r>
      <w:hyperlink r:id="rId47" w:history="1">
        <w:r w:rsidRPr="005E1718">
          <w:rPr>
            <w:rStyle w:val="Hyperlink"/>
            <w:rFonts w:cs="Arial"/>
          </w:rPr>
          <w:t>https://unfe.org/system/unfe-65-Intersex_Factsheet_ENGLISH.pdf</w:t>
        </w:r>
      </w:hyperlink>
      <w:r>
        <w:rPr>
          <w:rFonts w:cs="Arial"/>
        </w:rPr>
        <w:t xml:space="preserve"> (viewed 23 April 2018)</w:t>
      </w:r>
      <w:r>
        <w:t>.</w:t>
      </w:r>
    </w:p>
  </w:endnote>
  <w:endnote w:id="82">
    <w:p w14:paraId="0025EE37" w14:textId="77777777" w:rsidR="0070575F" w:rsidRDefault="0070575F">
      <w:pPr>
        <w:pStyle w:val="EndnoteText"/>
      </w:pPr>
      <w:r>
        <w:rPr>
          <w:rStyle w:val="EndnoteReference"/>
        </w:rPr>
        <w:endnoteRef/>
      </w:r>
      <w:r>
        <w:t xml:space="preserve"> </w:t>
      </w:r>
      <w:r w:rsidRPr="00E23635">
        <w:rPr>
          <w:i/>
        </w:rPr>
        <w:t>Re: Kelvin</w:t>
      </w:r>
      <w:r>
        <w:t xml:space="preserve"> [2017] </w:t>
      </w:r>
      <w:proofErr w:type="spellStart"/>
      <w:r>
        <w:t>FamCA</w:t>
      </w:r>
      <w:proofErr w:type="spellEnd"/>
      <w:r>
        <w:t xml:space="preserve"> 78. </w:t>
      </w:r>
    </w:p>
  </w:endnote>
  <w:endnote w:id="83">
    <w:p w14:paraId="4A306343" w14:textId="77777777" w:rsidR="0070575F" w:rsidRDefault="0070575F">
      <w:pPr>
        <w:pStyle w:val="EndnoteText"/>
      </w:pPr>
      <w:r>
        <w:rPr>
          <w:rStyle w:val="EndnoteReference"/>
        </w:rPr>
        <w:endnoteRef/>
      </w:r>
      <w:r>
        <w:t xml:space="preserve"> </w:t>
      </w:r>
      <w:r>
        <w:rPr>
          <w:i/>
        </w:rPr>
        <w:t>Re: Matthew</w:t>
      </w:r>
      <w:r>
        <w:t xml:space="preserve"> [2018] </w:t>
      </w:r>
      <w:proofErr w:type="spellStart"/>
      <w:r>
        <w:t>FamCA</w:t>
      </w:r>
      <w:proofErr w:type="spellEnd"/>
      <w:r>
        <w:t xml:space="preserve"> 161.</w:t>
      </w:r>
    </w:p>
  </w:endnote>
  <w:endnote w:id="84">
    <w:p w14:paraId="3D5CCC6C" w14:textId="77777777" w:rsidR="0070575F" w:rsidRDefault="0070575F">
      <w:pPr>
        <w:pStyle w:val="EndnoteText"/>
      </w:pPr>
      <w:r>
        <w:rPr>
          <w:rStyle w:val="EndnoteReference"/>
        </w:rPr>
        <w:endnoteRef/>
      </w:r>
      <w:r>
        <w:t xml:space="preserve"> </w:t>
      </w:r>
      <w:r w:rsidRPr="004D2BDE">
        <w:rPr>
          <w:rFonts w:cs="Arial"/>
          <w:i/>
        </w:rPr>
        <w:t>Convention on the Rights of the Child</w:t>
      </w:r>
      <w:r w:rsidRPr="004D2BDE">
        <w:rPr>
          <w:rFonts w:cs="Arial"/>
        </w:rPr>
        <w:t>, opened for signature 20 November 1989, 1577 UNTS 3 (entered in</w:t>
      </w:r>
      <w:r>
        <w:rPr>
          <w:rFonts w:cs="Arial"/>
        </w:rPr>
        <w:t xml:space="preserve">to force 2 September 1990), articles 24, 12 and 37(a); </w:t>
      </w:r>
      <w:r w:rsidRPr="004D2BDE">
        <w:rPr>
          <w:rFonts w:cs="Arial"/>
          <w:i/>
        </w:rPr>
        <w:t>International Covenant on Civil and Political Rights</w:t>
      </w:r>
      <w:r w:rsidRPr="004D2BDE">
        <w:rPr>
          <w:rFonts w:cs="Arial"/>
        </w:rPr>
        <w:t>, opened for signature 16 December 1966, 999 UNTS 171 (entered into for</w:t>
      </w:r>
      <w:r>
        <w:rPr>
          <w:rFonts w:cs="Arial"/>
        </w:rPr>
        <w:t>ce 23 March 1976), articles 7 and 17(2).</w:t>
      </w:r>
    </w:p>
  </w:endnote>
  <w:endnote w:id="85">
    <w:p w14:paraId="2C1B0D3F" w14:textId="77777777" w:rsidR="0070575F" w:rsidRDefault="0070575F">
      <w:pPr>
        <w:pStyle w:val="EndnoteText"/>
      </w:pPr>
      <w:r>
        <w:rPr>
          <w:rStyle w:val="EndnoteReference"/>
        </w:rPr>
        <w:endnoteRef/>
      </w:r>
      <w:r>
        <w:t xml:space="preserve"> </w:t>
      </w:r>
      <w:r w:rsidRPr="004D2BDE">
        <w:rPr>
          <w:rFonts w:cs="Arial"/>
          <w:i/>
        </w:rPr>
        <w:t>Convention on the Rights of the Child</w:t>
      </w:r>
      <w:r w:rsidRPr="004D2BDE">
        <w:rPr>
          <w:rFonts w:cs="Arial"/>
        </w:rPr>
        <w:t>, opened for signature 20 November 1989, 1577 UNTS 3 (enter</w:t>
      </w:r>
      <w:r>
        <w:rPr>
          <w:rFonts w:cs="Arial"/>
        </w:rPr>
        <w:t>ed into force 2 September 1990), article</w:t>
      </w:r>
      <w:r w:rsidRPr="004D2BDE">
        <w:rPr>
          <w:rFonts w:cs="Arial"/>
        </w:rPr>
        <w:t xml:space="preserve"> </w:t>
      </w:r>
      <w:proofErr w:type="gramStart"/>
      <w:r w:rsidRPr="004D2BDE">
        <w:rPr>
          <w:rFonts w:cs="Arial"/>
        </w:rPr>
        <w:t>3</w:t>
      </w:r>
      <w:proofErr w:type="gramEnd"/>
      <w:r>
        <w:rPr>
          <w:rFonts w:cs="Arial"/>
        </w:rPr>
        <w:t>.</w:t>
      </w:r>
    </w:p>
  </w:endnote>
  <w:endnote w:id="86">
    <w:p w14:paraId="24D804B4" w14:textId="77777777" w:rsidR="0070575F" w:rsidRPr="00083BE9" w:rsidRDefault="0070575F" w:rsidP="00EF1FD0">
      <w:pPr>
        <w:pStyle w:val="EndnoteText"/>
      </w:pPr>
      <w:r>
        <w:rPr>
          <w:rStyle w:val="EndnoteReference"/>
        </w:rPr>
        <w:endnoteRef/>
      </w:r>
      <w:r>
        <w:t xml:space="preserve"> </w:t>
      </w:r>
      <w:r w:rsidRPr="00083BE9">
        <w:rPr>
          <w:rFonts w:cs="Arial"/>
        </w:rPr>
        <w:t xml:space="preserve">ARC International and International Service for Human Rights, </w:t>
      </w:r>
      <w:r w:rsidRPr="00083BE9">
        <w:rPr>
          <w:rFonts w:cs="Arial"/>
          <w:i/>
        </w:rPr>
        <w:t>Yogyakarta Principles plus 10 – Additional principles and state obligations on the application of international human rights law in</w:t>
      </w:r>
      <w:r w:rsidRPr="00D93671">
        <w:rPr>
          <w:rFonts w:cs="Arial"/>
          <w:i/>
        </w:rPr>
        <w:t xml:space="preserve"> relation to sexual orientation, gender identity, gender expression and sex characteristics to complement the Yogyakarta Principles </w:t>
      </w:r>
      <w:r w:rsidRPr="0099222B">
        <w:rPr>
          <w:rFonts w:cs="Arial"/>
        </w:rPr>
        <w:t>(November 2017). At</w:t>
      </w:r>
      <w:r>
        <w:rPr>
          <w:rFonts w:cs="Arial"/>
        </w:rPr>
        <w:t xml:space="preserve"> </w:t>
      </w:r>
      <w:hyperlink r:id="rId48" w:history="1">
        <w:r w:rsidRPr="00876A35">
          <w:rPr>
            <w:rStyle w:val="Hyperlink"/>
            <w:rFonts w:cs="Arial"/>
          </w:rPr>
          <w:t>https://yogyakartaprinciples.org/principles-en/yp10/</w:t>
        </w:r>
      </w:hyperlink>
      <w:r>
        <w:rPr>
          <w:rFonts w:cs="Arial"/>
        </w:rPr>
        <w:t xml:space="preserve"> (viewed 24 April 2018).</w:t>
      </w:r>
    </w:p>
  </w:endnote>
  <w:endnote w:id="87">
    <w:p w14:paraId="0E392690" w14:textId="77777777" w:rsidR="0070575F" w:rsidRDefault="0070575F" w:rsidP="00EF1FD0">
      <w:pPr>
        <w:pStyle w:val="EndnoteText"/>
      </w:pPr>
      <w:r>
        <w:rPr>
          <w:rStyle w:val="EndnoteReference"/>
        </w:rPr>
        <w:endnoteRef/>
      </w:r>
      <w:r>
        <w:t xml:space="preserve"> </w:t>
      </w:r>
      <w:r w:rsidRPr="004D2BDE">
        <w:t xml:space="preserve">ARC International and International Service for Human Rights, </w:t>
      </w:r>
      <w:r w:rsidRPr="00F047E1">
        <w:rPr>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t xml:space="preserve"> (November 2017), principle 32 (E). </w:t>
      </w:r>
      <w:r>
        <w:rPr>
          <w:rFonts w:cs="Arial"/>
        </w:rPr>
        <w:t xml:space="preserve">At </w:t>
      </w:r>
      <w:hyperlink r:id="rId49" w:history="1">
        <w:r w:rsidRPr="00876A35">
          <w:rPr>
            <w:rStyle w:val="Hyperlink"/>
            <w:rFonts w:cs="Arial"/>
          </w:rPr>
          <w:t>https://yogyakartaprinciples.org/principles-en/yp10/</w:t>
        </w:r>
      </w:hyperlink>
      <w:r>
        <w:rPr>
          <w:rFonts w:cs="Arial"/>
        </w:rPr>
        <w:t xml:space="preserve"> (viewed 24 April 2018).</w:t>
      </w:r>
    </w:p>
  </w:endnote>
  <w:endnote w:id="88">
    <w:p w14:paraId="41892C7E" w14:textId="77777777" w:rsidR="0070575F" w:rsidRDefault="0070575F" w:rsidP="00EF1FD0">
      <w:pPr>
        <w:pStyle w:val="EndnoteText"/>
      </w:pPr>
      <w:r>
        <w:rPr>
          <w:rStyle w:val="EndnoteReference"/>
        </w:rPr>
        <w:endnoteRef/>
      </w:r>
      <w:r>
        <w:t xml:space="preserve"> </w:t>
      </w:r>
      <w:r w:rsidRPr="004D2BDE">
        <w:t>Secretary, Department of Health and Community Services v JWB (1992) 175 CLR 218 (‘Marion’s case’)</w:t>
      </w:r>
      <w:proofErr w:type="gramStart"/>
      <w:r w:rsidRPr="004D2BDE">
        <w:t>;</w:t>
      </w:r>
      <w:proofErr w:type="gramEnd"/>
      <w:r w:rsidRPr="004D2BDE">
        <w:t xml:space="preserve"> </w:t>
      </w:r>
      <w:proofErr w:type="spellStart"/>
      <w:r w:rsidRPr="004D2BDE">
        <w:rPr>
          <w:iCs/>
        </w:rPr>
        <w:t>Gillick</w:t>
      </w:r>
      <w:proofErr w:type="spellEnd"/>
      <w:r w:rsidRPr="004D2BDE">
        <w:rPr>
          <w:iCs/>
        </w:rPr>
        <w:t xml:space="preserve"> v West Norfolk and </w:t>
      </w:r>
      <w:proofErr w:type="spellStart"/>
      <w:r w:rsidRPr="004D2BDE">
        <w:rPr>
          <w:iCs/>
        </w:rPr>
        <w:t>Wisbech</w:t>
      </w:r>
      <w:proofErr w:type="spellEnd"/>
      <w:r w:rsidRPr="004D2BDE">
        <w:rPr>
          <w:iCs/>
        </w:rPr>
        <w:t xml:space="preserve"> Area Health Authority </w:t>
      </w:r>
      <w:r w:rsidRPr="004D2BDE">
        <w:t>[1986] AC 112.</w:t>
      </w:r>
    </w:p>
  </w:endnote>
  <w:endnote w:id="89">
    <w:p w14:paraId="467CB0DE" w14:textId="77777777" w:rsidR="0070575F" w:rsidRDefault="0070575F">
      <w:pPr>
        <w:pStyle w:val="EndnoteText"/>
      </w:pPr>
      <w:r>
        <w:rPr>
          <w:rStyle w:val="EndnoteReference"/>
        </w:rPr>
        <w:endnoteRef/>
      </w:r>
      <w:r>
        <w:t xml:space="preserve"> </w:t>
      </w:r>
      <w:r>
        <w:rPr>
          <w:rFonts w:cs="Arial"/>
        </w:rPr>
        <w:t xml:space="preserve">Family Law Act, s </w:t>
      </w:r>
      <w:r w:rsidRPr="004D2BDE">
        <w:rPr>
          <w:rFonts w:cs="Arial"/>
        </w:rPr>
        <w:t>61C.</w:t>
      </w:r>
    </w:p>
  </w:endnote>
  <w:endnote w:id="90">
    <w:p w14:paraId="389A1F59" w14:textId="77777777" w:rsidR="0070575F" w:rsidRDefault="0070575F">
      <w:pPr>
        <w:pStyle w:val="EndnoteText"/>
      </w:pPr>
      <w:r>
        <w:rPr>
          <w:rStyle w:val="EndnoteReference"/>
        </w:rPr>
        <w:endnoteRef/>
      </w:r>
      <w:r>
        <w:t xml:space="preserve"> </w:t>
      </w:r>
      <w:r w:rsidRPr="005522C2">
        <w:rPr>
          <w:i/>
        </w:rPr>
        <w:t>Secretary, Department of Health and Community Services v JWB</w:t>
      </w:r>
      <w:r w:rsidRPr="004D2BDE">
        <w:t xml:space="preserve"> </w:t>
      </w:r>
      <w:r w:rsidRPr="004D2BDE">
        <w:rPr>
          <w:rFonts w:cs="Arial"/>
        </w:rPr>
        <w:t>(1992) 175 CLR 218, [48]</w:t>
      </w:r>
      <w:r w:rsidRPr="004D2BDE">
        <w:rPr>
          <w:rFonts w:cs="Arial"/>
          <w:iCs/>
        </w:rPr>
        <w:t>–</w:t>
      </w:r>
      <w:r w:rsidRPr="004D2BDE">
        <w:rPr>
          <w:rFonts w:cs="Arial"/>
        </w:rPr>
        <w:t>[49].</w:t>
      </w:r>
    </w:p>
  </w:endnote>
  <w:endnote w:id="91">
    <w:p w14:paraId="0BB165FD" w14:textId="77777777" w:rsidR="0070575F" w:rsidRDefault="0070575F">
      <w:pPr>
        <w:pStyle w:val="EndnoteText"/>
      </w:pPr>
      <w:r>
        <w:rPr>
          <w:rStyle w:val="EndnoteReference"/>
        </w:rPr>
        <w:endnoteRef/>
      </w:r>
      <w:r>
        <w:t xml:space="preserve"> See, for example, </w:t>
      </w:r>
      <w:r>
        <w:rPr>
          <w:i/>
        </w:rPr>
        <w:t>Re: Sally (Special Medical Procedure)</w:t>
      </w:r>
      <w:r>
        <w:t xml:space="preserve"> [2010] </w:t>
      </w:r>
      <w:proofErr w:type="spellStart"/>
      <w:r>
        <w:t>FamCA</w:t>
      </w:r>
      <w:proofErr w:type="spellEnd"/>
      <w:r>
        <w:t xml:space="preserve"> 237; </w:t>
      </w:r>
      <w:r>
        <w:rPr>
          <w:i/>
        </w:rPr>
        <w:t>Re: Dylan</w:t>
      </w:r>
      <w:r>
        <w:t xml:space="preserve"> [2014] </w:t>
      </w:r>
      <w:proofErr w:type="spellStart"/>
      <w:r>
        <w:t>FamCA</w:t>
      </w:r>
      <w:proofErr w:type="spellEnd"/>
      <w:r>
        <w:t xml:space="preserve"> 969; </w:t>
      </w:r>
      <w:r>
        <w:rPr>
          <w:i/>
        </w:rPr>
        <w:t xml:space="preserve">Re: Lesley (Special Medical Procedure) </w:t>
      </w:r>
      <w:r>
        <w:t xml:space="preserve">[2008] </w:t>
      </w:r>
      <w:proofErr w:type="spellStart"/>
      <w:r>
        <w:t>FamCA</w:t>
      </w:r>
      <w:proofErr w:type="spellEnd"/>
      <w:r>
        <w:t xml:space="preserve"> 1226.</w:t>
      </w:r>
    </w:p>
  </w:endnote>
  <w:endnote w:id="92">
    <w:p w14:paraId="2FA2476B" w14:textId="77777777" w:rsidR="0070575F" w:rsidRDefault="0070575F">
      <w:pPr>
        <w:pStyle w:val="EndnoteText"/>
      </w:pPr>
      <w:r>
        <w:rPr>
          <w:rStyle w:val="EndnoteReference"/>
        </w:rPr>
        <w:endnoteRef/>
      </w:r>
      <w:r>
        <w:t xml:space="preserve"> </w:t>
      </w:r>
      <w:r>
        <w:rPr>
          <w:rFonts w:cs="Arial"/>
        </w:rPr>
        <w:t xml:space="preserve">Family Law Act, </w:t>
      </w:r>
      <w:r w:rsidRPr="004D2BDE">
        <w:rPr>
          <w:rFonts w:cs="Arial"/>
        </w:rPr>
        <w:t>s 60CC</w:t>
      </w:r>
      <w:proofErr w:type="gramStart"/>
      <w:r w:rsidRPr="004D2BDE">
        <w:rPr>
          <w:rFonts w:cs="Arial"/>
        </w:rPr>
        <w:t>;</w:t>
      </w:r>
      <w:proofErr w:type="gramEnd"/>
      <w:r w:rsidRPr="004D2BDE">
        <w:rPr>
          <w:rFonts w:cs="Arial"/>
        </w:rPr>
        <w:t xml:space="preserve"> Family</w:t>
      </w:r>
      <w:r w:rsidRPr="004D2BDE">
        <w:rPr>
          <w:rFonts w:cs="Arial"/>
          <w:i/>
        </w:rPr>
        <w:t xml:space="preserve"> Law Rules 2004</w:t>
      </w:r>
      <w:r w:rsidRPr="004D2BDE">
        <w:rPr>
          <w:rFonts w:cs="Arial"/>
        </w:rPr>
        <w:t xml:space="preserve"> (</w:t>
      </w:r>
      <w:proofErr w:type="spellStart"/>
      <w:r w:rsidRPr="004D2BDE">
        <w:rPr>
          <w:rFonts w:cs="Arial"/>
        </w:rPr>
        <w:t>Cth</w:t>
      </w:r>
      <w:proofErr w:type="spellEnd"/>
      <w:r w:rsidRPr="004D2BDE">
        <w:rPr>
          <w:rFonts w:cs="Arial"/>
        </w:rPr>
        <w:t>) r 4.09.</w:t>
      </w:r>
    </w:p>
  </w:endnote>
  <w:endnote w:id="93">
    <w:p w14:paraId="7F9AA9A9" w14:textId="77777777" w:rsidR="0070575F" w:rsidRDefault="0070575F">
      <w:pPr>
        <w:pStyle w:val="EndnoteText"/>
      </w:pPr>
      <w:r>
        <w:rPr>
          <w:rStyle w:val="EndnoteReference"/>
        </w:rPr>
        <w:endnoteRef/>
      </w:r>
      <w:r>
        <w:t xml:space="preserve"> </w:t>
      </w:r>
      <w:r w:rsidRPr="004F6057">
        <w:t>See</w:t>
      </w:r>
      <w:r>
        <w:t>, for example,</w:t>
      </w:r>
      <w:r w:rsidRPr="004F6057">
        <w:t xml:space="preserve"> </w:t>
      </w:r>
      <w:r w:rsidRPr="004F6057">
        <w:rPr>
          <w:i/>
        </w:rPr>
        <w:t>Re: Lesley</w:t>
      </w:r>
      <w:r>
        <w:rPr>
          <w:i/>
        </w:rPr>
        <w:t xml:space="preserve"> (Special Medical Procedure) </w:t>
      </w:r>
      <w:r>
        <w:t xml:space="preserve">[2008] </w:t>
      </w:r>
      <w:proofErr w:type="spellStart"/>
      <w:r>
        <w:t>FamCA</w:t>
      </w:r>
      <w:proofErr w:type="spellEnd"/>
      <w:r>
        <w:t xml:space="preserve"> 1226</w:t>
      </w:r>
      <w:proofErr w:type="gramStart"/>
      <w:r>
        <w:t>;</w:t>
      </w:r>
      <w:proofErr w:type="gramEnd"/>
      <w:r>
        <w:t xml:space="preserve"> </w:t>
      </w:r>
      <w:r w:rsidRPr="00304973">
        <w:rPr>
          <w:i/>
        </w:rPr>
        <w:t>Re: Carla (medical procedure)</w:t>
      </w:r>
      <w:r w:rsidRPr="00304973">
        <w:t xml:space="preserve"> [2016] </w:t>
      </w:r>
      <w:proofErr w:type="spellStart"/>
      <w:r w:rsidRPr="00304973">
        <w:t>FamCA</w:t>
      </w:r>
      <w:proofErr w:type="spellEnd"/>
      <w:r w:rsidRPr="00304973">
        <w:t xml:space="preserve"> 7</w:t>
      </w:r>
      <w:r>
        <w:t>.</w:t>
      </w:r>
    </w:p>
  </w:endnote>
  <w:endnote w:id="94">
    <w:p w14:paraId="1E75F8AE" w14:textId="77777777" w:rsidR="0070575F" w:rsidRDefault="0070575F" w:rsidP="0027534F">
      <w:pPr>
        <w:pStyle w:val="EndnoteText"/>
      </w:pPr>
      <w:r>
        <w:rPr>
          <w:rStyle w:val="EndnoteReference"/>
        </w:rPr>
        <w:endnoteRef/>
      </w:r>
      <w:r>
        <w:t xml:space="preserve"> </w:t>
      </w:r>
      <w:r>
        <w:rPr>
          <w:i/>
        </w:rPr>
        <w:t>Re: Kaitlin</w:t>
      </w:r>
      <w:r>
        <w:t xml:space="preserve"> [2017] </w:t>
      </w:r>
      <w:proofErr w:type="spellStart"/>
      <w:r>
        <w:t>FamCA</w:t>
      </w:r>
      <w:proofErr w:type="spellEnd"/>
      <w:r>
        <w:t xml:space="preserve"> 83.</w:t>
      </w:r>
    </w:p>
  </w:endnote>
  <w:endnote w:id="95">
    <w:p w14:paraId="68CF039F" w14:textId="2858DBB7" w:rsidR="0070575F" w:rsidRDefault="0070575F" w:rsidP="0027534F">
      <w:pPr>
        <w:pStyle w:val="EndnoteText"/>
      </w:pPr>
      <w:r>
        <w:rPr>
          <w:rStyle w:val="EndnoteReference"/>
        </w:rPr>
        <w:endnoteRef/>
      </w:r>
      <w:r>
        <w:t xml:space="preserve"> </w:t>
      </w:r>
      <w:r w:rsidRPr="00C46C59">
        <w:t xml:space="preserve">Re: Carla (Medical procedure) [2016] </w:t>
      </w:r>
      <w:proofErr w:type="spellStart"/>
      <w:r w:rsidRPr="00C46C59">
        <w:t>FamCA</w:t>
      </w:r>
      <w:proofErr w:type="spellEnd"/>
      <w:r w:rsidRPr="00C46C59">
        <w:t xml:space="preserve"> 7</w:t>
      </w:r>
      <w:r>
        <w:t xml:space="preserve">; </w:t>
      </w:r>
      <w:r w:rsidRPr="00C46C59">
        <w:t xml:space="preserve">Re Lesley (Special Medical Procedure) [2008] </w:t>
      </w:r>
      <w:proofErr w:type="spellStart"/>
      <w:r w:rsidRPr="00C46C59">
        <w:t>FamCA</w:t>
      </w:r>
      <w:proofErr w:type="spellEnd"/>
      <w:r w:rsidRPr="00C46C59">
        <w:t xml:space="preserve"> 1226</w:t>
      </w:r>
    </w:p>
  </w:endnote>
  <w:endnote w:id="96">
    <w:p w14:paraId="2ED1E548" w14:textId="77777777" w:rsidR="0070575F" w:rsidRDefault="0070575F">
      <w:pPr>
        <w:pStyle w:val="EndnoteText"/>
      </w:pPr>
      <w:r>
        <w:rPr>
          <w:rStyle w:val="EndnoteReference"/>
        </w:rPr>
        <w:endnoteRef/>
      </w:r>
      <w:r>
        <w:t xml:space="preserve"> </w:t>
      </w:r>
      <w:r w:rsidRPr="004D2BDE">
        <w:rPr>
          <w:rFonts w:cs="Arial"/>
        </w:rPr>
        <w:t xml:space="preserve">Senate Community Affairs References Committee, Parliament of Australia, </w:t>
      </w:r>
      <w:r w:rsidRPr="004D2BDE">
        <w:rPr>
          <w:rFonts w:cs="Arial"/>
          <w:i/>
        </w:rPr>
        <w:t>Involuntary or coerced sterilisation of intersex people in Australia</w:t>
      </w:r>
      <w:r>
        <w:rPr>
          <w:rFonts w:cs="Arial"/>
        </w:rPr>
        <w:t xml:space="preserve"> (2013) 13.</w:t>
      </w:r>
    </w:p>
  </w:endnote>
  <w:endnote w:id="97">
    <w:p w14:paraId="4555CC3B" w14:textId="77777777" w:rsidR="0070575F" w:rsidRPr="002815A6" w:rsidRDefault="0070575F" w:rsidP="00D77881">
      <w:pPr>
        <w:pStyle w:val="EndnoteText"/>
      </w:pPr>
      <w:r>
        <w:rPr>
          <w:rStyle w:val="EndnoteReference"/>
        </w:rPr>
        <w:endnoteRef/>
      </w:r>
      <w:r>
        <w:t xml:space="preserve"> </w:t>
      </w:r>
      <w:r w:rsidRPr="00D63302">
        <w:t xml:space="preserve">Australian Law Reform Commission, </w:t>
      </w:r>
      <w:r w:rsidRPr="005522C2">
        <w:rPr>
          <w:i/>
        </w:rPr>
        <w:t>Review</w:t>
      </w:r>
      <w:r>
        <w:rPr>
          <w:i/>
        </w:rPr>
        <w:t xml:space="preserve"> of the Family Law System—</w:t>
      </w:r>
      <w:r w:rsidRPr="005522C2">
        <w:rPr>
          <w:i/>
        </w:rPr>
        <w:t>Issues Paper 48</w:t>
      </w:r>
      <w:r w:rsidRPr="00D63302">
        <w:t xml:space="preserve"> </w:t>
      </w:r>
      <w:r>
        <w:t xml:space="preserve">(14 </w:t>
      </w:r>
      <w:r w:rsidRPr="00D63302">
        <w:t>March 2018</w:t>
      </w:r>
      <w:r>
        <w:t>) 31–32</w:t>
      </w:r>
      <w:r w:rsidRPr="00D63302">
        <w:t>.</w:t>
      </w:r>
      <w:r>
        <w:t xml:space="preserve"> At </w:t>
      </w:r>
      <w:hyperlink r:id="rId50" w:history="1">
        <w:r w:rsidRPr="005E1718">
          <w:rPr>
            <w:rStyle w:val="Hyperlink"/>
          </w:rPr>
          <w:t>https://www.alrc.gov.au/publications/family-law-system-ip</w:t>
        </w:r>
      </w:hyperlink>
      <w:r>
        <w:t xml:space="preserve"> (viewed 23 April 2018). </w:t>
      </w:r>
    </w:p>
  </w:endnote>
  <w:endnote w:id="98">
    <w:p w14:paraId="0788BB72" w14:textId="77777777" w:rsidR="0070575F" w:rsidRDefault="0070575F" w:rsidP="00D77881">
      <w:pPr>
        <w:pStyle w:val="EndnoteText"/>
      </w:pPr>
      <w:r>
        <w:rPr>
          <w:rStyle w:val="EndnoteReference"/>
        </w:rPr>
        <w:endnoteRef/>
      </w:r>
      <w:r>
        <w:t xml:space="preserve"> </w:t>
      </w:r>
      <w:r w:rsidRPr="00E1309F">
        <w:rPr>
          <w:i/>
        </w:rPr>
        <w:t>Re Kelvin</w:t>
      </w:r>
      <w:r>
        <w:t xml:space="preserve"> [2017] </w:t>
      </w:r>
      <w:proofErr w:type="spellStart"/>
      <w:r>
        <w:t>FamCAFC</w:t>
      </w:r>
      <w:proofErr w:type="spellEnd"/>
      <w:r>
        <w:t xml:space="preserve"> 258.</w:t>
      </w:r>
    </w:p>
  </w:endnote>
  <w:endnote w:id="99">
    <w:p w14:paraId="238BA6E2" w14:textId="77777777" w:rsidR="0070575F" w:rsidRDefault="0070575F" w:rsidP="00D77881">
      <w:pPr>
        <w:pStyle w:val="EndnoteText"/>
      </w:pPr>
      <w:r>
        <w:rPr>
          <w:rStyle w:val="EndnoteReference"/>
        </w:rPr>
        <w:endnoteRef/>
      </w:r>
      <w:r>
        <w:t xml:space="preserve"> Section 67ZC of the </w:t>
      </w:r>
      <w:r w:rsidRPr="00B7574C">
        <w:rPr>
          <w:i/>
        </w:rPr>
        <w:t>Family Law Act 1975</w:t>
      </w:r>
      <w:r>
        <w:t xml:space="preserve"> (</w:t>
      </w:r>
      <w:proofErr w:type="spellStart"/>
      <w:r>
        <w:t>Cth</w:t>
      </w:r>
      <w:proofErr w:type="spellEnd"/>
      <w:r>
        <w:t xml:space="preserve">) expressly recognises the ‘welfare jurisdiction’ of the Family Court. Pursuant to this provision, the Court is empowered to determine applications for Stage 2 treatment of gender dysphoria. </w:t>
      </w:r>
    </w:p>
  </w:endnote>
  <w:endnote w:id="100">
    <w:p w14:paraId="3F8DF4DB" w14:textId="77777777" w:rsidR="0070575F" w:rsidRPr="007463FF" w:rsidRDefault="0070575F" w:rsidP="00D77881">
      <w:pPr>
        <w:pStyle w:val="EndnoteText"/>
      </w:pPr>
      <w:r>
        <w:rPr>
          <w:rStyle w:val="EndnoteReference"/>
        </w:rPr>
        <w:endnoteRef/>
      </w:r>
      <w:r>
        <w:t xml:space="preserve"> Australian Human Rights Commission, </w:t>
      </w:r>
      <w:r>
        <w:rPr>
          <w:i/>
        </w:rPr>
        <w:t>Commission welcomes Re Kelvin decision</w:t>
      </w:r>
      <w:r>
        <w:t xml:space="preserve"> (30 November 2017). At </w:t>
      </w:r>
      <w:hyperlink r:id="rId51" w:history="1">
        <w:r w:rsidRPr="008C6EF2">
          <w:rPr>
            <w:rStyle w:val="Hyperlink"/>
          </w:rPr>
          <w:t>https://www.humanrights.gov.au/news/stories/commission-welcomes-re-kelvin-decision</w:t>
        </w:r>
      </w:hyperlink>
      <w:r>
        <w:t xml:space="preserve">. </w:t>
      </w:r>
    </w:p>
  </w:endnote>
  <w:endnote w:id="101">
    <w:p w14:paraId="43F75DB6" w14:textId="77777777" w:rsidR="0070575F" w:rsidRPr="009C09E0" w:rsidRDefault="0070575F" w:rsidP="00D77881">
      <w:pPr>
        <w:pStyle w:val="EndnoteText"/>
      </w:pPr>
      <w:r>
        <w:rPr>
          <w:rStyle w:val="EndnoteReference"/>
        </w:rPr>
        <w:endnoteRef/>
      </w:r>
      <w:r>
        <w:t xml:space="preserve"> Human Rights Committee, </w:t>
      </w:r>
      <w:r>
        <w:rPr>
          <w:i/>
        </w:rPr>
        <w:t xml:space="preserve">Concluding observations on the sixth periodic report of Australia, </w:t>
      </w:r>
      <w:r>
        <w:t>adopted by the Committee at its 121</w:t>
      </w:r>
      <w:r w:rsidRPr="009C09E0">
        <w:rPr>
          <w:vertAlign w:val="superscript"/>
        </w:rPr>
        <w:t>st</w:t>
      </w:r>
      <w:r>
        <w:t xml:space="preserve"> session (16 October-10 November 2017) CCPR/C/AUS/CO/6 (1 December 2017) 5 [28]. </w:t>
      </w:r>
    </w:p>
  </w:endnote>
  <w:endnote w:id="102">
    <w:p w14:paraId="03D2D507" w14:textId="77777777" w:rsidR="0070575F" w:rsidRDefault="0070575F" w:rsidP="00D77881">
      <w:pPr>
        <w:pStyle w:val="EndnoteText"/>
      </w:pPr>
      <w:r>
        <w:rPr>
          <w:rStyle w:val="EndnoteReference"/>
        </w:rPr>
        <w:endnoteRef/>
      </w:r>
      <w:r>
        <w:t xml:space="preserve"> </w:t>
      </w:r>
      <w:r w:rsidRPr="00B73477">
        <w:rPr>
          <w:i/>
        </w:rPr>
        <w:t>Re Kelvin</w:t>
      </w:r>
      <w:r w:rsidRPr="00D63302">
        <w:t xml:space="preserve"> [2017] </w:t>
      </w:r>
      <w:proofErr w:type="spellStart"/>
      <w:r w:rsidRPr="00D63302">
        <w:t>FamCAFC</w:t>
      </w:r>
      <w:proofErr w:type="spellEnd"/>
      <w:r w:rsidRPr="00D63302">
        <w:t xml:space="preserve"> 258 </w:t>
      </w:r>
      <w:r>
        <w:t>at [167].</w:t>
      </w:r>
    </w:p>
  </w:endnote>
  <w:endnote w:id="103">
    <w:p w14:paraId="4A433313" w14:textId="77777777" w:rsidR="0070575F" w:rsidRDefault="0070575F" w:rsidP="00D77881">
      <w:pPr>
        <w:pStyle w:val="EndnoteText"/>
      </w:pPr>
      <w:r>
        <w:rPr>
          <w:rStyle w:val="EndnoteReference"/>
        </w:rPr>
        <w:endnoteRef/>
      </w:r>
      <w:r>
        <w:t xml:space="preserve"> </w:t>
      </w:r>
      <w:r w:rsidRPr="00B73477">
        <w:rPr>
          <w:i/>
        </w:rPr>
        <w:t>Re Kelvin</w:t>
      </w:r>
      <w:r w:rsidRPr="00D63302">
        <w:t xml:space="preserve"> [2017] </w:t>
      </w:r>
      <w:proofErr w:type="spellStart"/>
      <w:r w:rsidRPr="00D63302">
        <w:t>FamCAFC</w:t>
      </w:r>
      <w:proofErr w:type="spellEnd"/>
      <w:r w:rsidRPr="00D63302">
        <w:t xml:space="preserve"> 258 </w:t>
      </w:r>
      <w:r>
        <w:t>at [167].</w:t>
      </w:r>
    </w:p>
  </w:endnote>
  <w:endnote w:id="104">
    <w:p w14:paraId="0F0B4F53" w14:textId="77777777" w:rsidR="0070575F" w:rsidRDefault="0070575F">
      <w:pPr>
        <w:pStyle w:val="EndnoteText"/>
      </w:pPr>
      <w:r>
        <w:rPr>
          <w:rStyle w:val="EndnoteReference"/>
        </w:rPr>
        <w:endnoteRef/>
      </w:r>
      <w:r>
        <w:t xml:space="preserve"> </w:t>
      </w:r>
      <w:r w:rsidRPr="00F047E1">
        <w:rPr>
          <w:i/>
        </w:rPr>
        <w:t>Re Matthew</w:t>
      </w:r>
      <w:r>
        <w:t xml:space="preserve"> [2018] </w:t>
      </w:r>
      <w:proofErr w:type="spellStart"/>
      <w:r>
        <w:t>FamCA</w:t>
      </w:r>
      <w:proofErr w:type="spellEnd"/>
      <w:r>
        <w:t xml:space="preserve"> 161.</w:t>
      </w:r>
    </w:p>
  </w:endnote>
  <w:endnote w:id="105">
    <w:p w14:paraId="3FEEDA73" w14:textId="77777777" w:rsidR="0070575F" w:rsidRPr="00F669EF" w:rsidRDefault="0070575F">
      <w:pPr>
        <w:pStyle w:val="EndnoteText"/>
      </w:pPr>
      <w:r w:rsidRPr="00F669EF">
        <w:rPr>
          <w:rStyle w:val="EndnoteReference"/>
        </w:rPr>
        <w:endnoteRef/>
      </w:r>
      <w:r w:rsidRPr="00F669EF">
        <w:t xml:space="preserve"> Australian Human Rights Commission, Submission</w:t>
      </w:r>
      <w:r>
        <w:t xml:space="preserve"> No 67</w:t>
      </w:r>
      <w:r w:rsidRPr="00F669EF">
        <w:t xml:space="preserve"> to the</w:t>
      </w:r>
      <w:r>
        <w:t xml:space="preserve"> House of Representatives Standing Committee on Social Policy and Legal Affairs, </w:t>
      </w:r>
      <w:r w:rsidRPr="005914B5">
        <w:rPr>
          <w:i/>
        </w:rPr>
        <w:t xml:space="preserve">Inquiry into the Regulatory and Legislative Aspects of </w:t>
      </w:r>
      <w:r>
        <w:rPr>
          <w:i/>
        </w:rPr>
        <w:t xml:space="preserve">International and Domestic </w:t>
      </w:r>
      <w:r w:rsidRPr="005914B5">
        <w:rPr>
          <w:i/>
        </w:rPr>
        <w:t>Surrogacy Arrangements</w:t>
      </w:r>
      <w:r w:rsidRPr="00F669EF">
        <w:t xml:space="preserve">, </w:t>
      </w:r>
      <w:r>
        <w:t>(</w:t>
      </w:r>
      <w:r w:rsidRPr="00F669EF">
        <w:t>17 February 2016</w:t>
      </w:r>
      <w:r>
        <w:t>)</w:t>
      </w:r>
      <w:r w:rsidRPr="00F669EF">
        <w:t xml:space="preserve">. At </w:t>
      </w:r>
      <w:hyperlink r:id="rId52" w:history="1">
        <w:r w:rsidRPr="00F669EF">
          <w:rPr>
            <w:rStyle w:val="Hyperlink"/>
          </w:rPr>
          <w:t>https://www.humanrights.gov.au/submissions/submission-inquiry-regulatory-and-legislative-aspects-surrogacy-arrangements-2016</w:t>
        </w:r>
      </w:hyperlink>
      <w:r>
        <w:t>.</w:t>
      </w:r>
    </w:p>
  </w:endnote>
  <w:endnote w:id="106">
    <w:p w14:paraId="493F4990" w14:textId="66607324" w:rsidR="0070575F" w:rsidRPr="00F669EF" w:rsidRDefault="0070575F" w:rsidP="00350AC1">
      <w:pPr>
        <w:pStyle w:val="EndnoteText"/>
      </w:pPr>
      <w:r w:rsidRPr="00F669EF">
        <w:rPr>
          <w:rStyle w:val="EndnoteReference"/>
        </w:rPr>
        <w:endnoteRef/>
      </w:r>
      <w:r w:rsidRPr="00F669EF">
        <w:t xml:space="preserve"> </w:t>
      </w:r>
      <w:proofErr w:type="gramStart"/>
      <w:r w:rsidRPr="00F669EF">
        <w:t>S</w:t>
      </w:r>
      <w:r>
        <w:t>usan</w:t>
      </w:r>
      <w:r w:rsidRPr="00F669EF">
        <w:t xml:space="preserve"> </w:t>
      </w:r>
      <w:proofErr w:type="spellStart"/>
      <w:r w:rsidRPr="00F669EF">
        <w:t>Golombok</w:t>
      </w:r>
      <w:proofErr w:type="spellEnd"/>
      <w:r w:rsidRPr="00F669EF">
        <w:t xml:space="preserve"> et al, ‘Parenting infants conceived by gamete donation’ (2004) 18 Journal of Family Psychology 443; S</w:t>
      </w:r>
      <w:r>
        <w:t>usan</w:t>
      </w:r>
      <w:r w:rsidRPr="00F669EF">
        <w:t xml:space="preserve"> </w:t>
      </w:r>
      <w:proofErr w:type="spellStart"/>
      <w:r w:rsidRPr="00F669EF">
        <w:t>Golombok</w:t>
      </w:r>
      <w:proofErr w:type="spellEnd"/>
      <w:r w:rsidRPr="00F669EF">
        <w:t xml:space="preserve"> et al, ‘Families created through a surrogacy arrangement: Parent-child relationships in the first year of life’ (2004) 40 Developmental Psychology 400; S</w:t>
      </w:r>
      <w:r>
        <w:t>usan</w:t>
      </w:r>
      <w:r w:rsidRPr="00F669EF">
        <w:t xml:space="preserve"> </w:t>
      </w:r>
      <w:proofErr w:type="spellStart"/>
      <w:r w:rsidRPr="00F669EF">
        <w:t>Golombok</w:t>
      </w:r>
      <w:proofErr w:type="spellEnd"/>
      <w:r w:rsidRPr="00F669EF">
        <w:t xml:space="preserve"> et al, ‘Families created by gamete donation: Follow-up at age 2’ (2005) 20 Human Reproduction 286; S</w:t>
      </w:r>
      <w:r>
        <w:t>usan</w:t>
      </w:r>
      <w:r w:rsidRPr="00F669EF">
        <w:t xml:space="preserve"> </w:t>
      </w:r>
      <w:proofErr w:type="spellStart"/>
      <w:r w:rsidRPr="00F669EF">
        <w:t>Golombok</w:t>
      </w:r>
      <w:proofErr w:type="spellEnd"/>
      <w:r w:rsidRPr="00F669EF">
        <w:t xml:space="preserve"> et al, ‘Surrogacy families: Parental functioning, parent-child relationships and children’s psychological development at age 2’ (2006) 47 Journal of Child Psychology and Psychiatry 213; S</w:t>
      </w:r>
      <w:r>
        <w:t>usan</w:t>
      </w:r>
      <w:r w:rsidRPr="00F669EF">
        <w:t xml:space="preserve"> </w:t>
      </w:r>
      <w:proofErr w:type="spellStart"/>
      <w:r w:rsidRPr="00F669EF">
        <w:t>Golombok</w:t>
      </w:r>
      <w:proofErr w:type="spellEnd"/>
      <w:r w:rsidRPr="00F669EF">
        <w:t xml:space="preserve"> et al, ‘Non-genetic and non-gestational parenthood: Consequences for parent-child relationships and the psychological well-being of mothers, fathers and children at age 3’ (2006) 21 Human Reproduction 1918; S</w:t>
      </w:r>
      <w:r>
        <w:t>usan</w:t>
      </w:r>
      <w:r w:rsidRPr="00F669EF">
        <w:t xml:space="preserve"> </w:t>
      </w:r>
      <w:proofErr w:type="spellStart"/>
      <w:r w:rsidRPr="00F669EF">
        <w:t>Golombok</w:t>
      </w:r>
      <w:proofErr w:type="spellEnd"/>
      <w:r w:rsidRPr="00F669EF">
        <w:t xml:space="preserve"> et al, ‘Children conceived by gamete donation: Psychological adjustment and mother-child relationships at age 7’ (2011) 25 Journal of Family Psychology 230; S</w:t>
      </w:r>
      <w:r>
        <w:t>usan</w:t>
      </w:r>
      <w:r w:rsidRPr="00F669EF">
        <w:t xml:space="preserve"> </w:t>
      </w:r>
      <w:proofErr w:type="spellStart"/>
      <w:r w:rsidRPr="00F669EF">
        <w:t>Golombok</w:t>
      </w:r>
      <w:proofErr w:type="spellEnd"/>
      <w:r w:rsidRPr="00F669EF">
        <w:t xml:space="preserve"> et al, ‘Families created through surrogacy: Mother-child relationships and children’s psychological adjustment at age 7’ (2011) 47 Developmental Psychology 1579: S</w:t>
      </w:r>
      <w:r>
        <w:t>usan</w:t>
      </w:r>
      <w:r w:rsidRPr="00F669EF">
        <w:t xml:space="preserve"> </w:t>
      </w:r>
      <w:proofErr w:type="spellStart"/>
      <w:r w:rsidRPr="00F669EF">
        <w:t>Golombok</w:t>
      </w:r>
      <w:proofErr w:type="spellEnd"/>
      <w:r>
        <w:t xml:space="preserve"> et al,</w:t>
      </w:r>
      <w:r w:rsidRPr="00F669EF">
        <w:t xml:space="preserve"> ‘Children born through reproductive donation: a longitudinal study of psychological adjustment’ (2013) 54(6) Journal of Child Psychology and Psychiatry 653.</w:t>
      </w:r>
      <w:proofErr w:type="gramEnd"/>
      <w:r w:rsidRPr="00F669EF">
        <w:t xml:space="preserve"> V </w:t>
      </w:r>
      <w:proofErr w:type="spellStart"/>
      <w:r w:rsidRPr="00F669EF">
        <w:t>Jadva</w:t>
      </w:r>
      <w:proofErr w:type="spellEnd"/>
      <w:r>
        <w:t xml:space="preserve"> et al</w:t>
      </w:r>
      <w:r w:rsidRPr="00F669EF">
        <w:t xml:space="preserve">, ‘Surrogacy families 10 years on: relationship with the surrogate, decisions over disclosure and </w:t>
      </w:r>
      <w:proofErr w:type="gramStart"/>
      <w:r w:rsidRPr="00F669EF">
        <w:t>children’s</w:t>
      </w:r>
      <w:proofErr w:type="gramEnd"/>
      <w:r w:rsidRPr="00F669EF">
        <w:t xml:space="preserve"> understanding of their surrogacy origins’ (2012) 27(10) Human Reproduction 3008.</w:t>
      </w:r>
    </w:p>
  </w:endnote>
  <w:endnote w:id="107">
    <w:p w14:paraId="1BF606B6" w14:textId="77777777" w:rsidR="0070575F" w:rsidRPr="00350AC1" w:rsidRDefault="0070575F" w:rsidP="00350AC1">
      <w:pPr>
        <w:pStyle w:val="EndnoteText"/>
      </w:pPr>
      <w:r>
        <w:rPr>
          <w:rStyle w:val="EndnoteReference"/>
        </w:rPr>
        <w:endnoteRef/>
      </w:r>
      <w:r>
        <w:t xml:space="preserve"> </w:t>
      </w:r>
      <w:r w:rsidRPr="00350AC1">
        <w:rPr>
          <w:rStyle w:val="EndnoteTextChar1"/>
        </w:rPr>
        <w:t>Family Law Council, Report on Parentage and the Family Law Act (</w:t>
      </w:r>
      <w:r>
        <w:rPr>
          <w:rStyle w:val="EndnoteTextChar1"/>
        </w:rPr>
        <w:t xml:space="preserve">December </w:t>
      </w:r>
      <w:r w:rsidRPr="00350AC1">
        <w:rPr>
          <w:rStyle w:val="EndnoteTextChar1"/>
        </w:rPr>
        <w:t>2013), 76-84 and 98-104.</w:t>
      </w:r>
    </w:p>
  </w:endnote>
  <w:endnote w:id="108">
    <w:p w14:paraId="486C2F16" w14:textId="77777777" w:rsidR="0070575F" w:rsidRPr="008B2712" w:rsidRDefault="0070575F">
      <w:pPr>
        <w:pStyle w:val="EndnoteText"/>
      </w:pPr>
      <w:r>
        <w:rPr>
          <w:rStyle w:val="EndnoteReference"/>
        </w:rPr>
        <w:endnoteRef/>
      </w:r>
      <w:r>
        <w:t xml:space="preserve"> </w:t>
      </w:r>
      <w:r w:rsidRPr="008B2712">
        <w:t xml:space="preserve">Human Rights and Equal Opportunity Commission, </w:t>
      </w:r>
      <w:r w:rsidRPr="005914B5">
        <w:rPr>
          <w:i/>
        </w:rPr>
        <w:t>Same-Sex: Sam</w:t>
      </w:r>
      <w:r>
        <w:rPr>
          <w:i/>
        </w:rPr>
        <w:t>e Entitlements—</w:t>
      </w:r>
      <w:r w:rsidRPr="005914B5">
        <w:rPr>
          <w:i/>
        </w:rPr>
        <w:t>National Inquiry into Discrimination against People in Same-Sex Relationships: Financial and Work-Related Entitlements and Benefits</w:t>
      </w:r>
      <w:r>
        <w:t xml:space="preserve"> (</w:t>
      </w:r>
      <w:r w:rsidRPr="008B2712">
        <w:t>2007</w:t>
      </w:r>
      <w:r>
        <w:t>)</w:t>
      </w:r>
      <w:r w:rsidRPr="008B2712">
        <w:t xml:space="preserve">. At </w:t>
      </w:r>
      <w:hyperlink r:id="rId53" w:history="1">
        <w:r w:rsidRPr="008B2712">
          <w:rPr>
            <w:rStyle w:val="Hyperlink"/>
          </w:rPr>
          <w:t>https://www.humanrights.gov.au/our-work/sexual-orientation-sex-gender-identity/publications/same-sex-same-entitlements</w:t>
        </w:r>
      </w:hyperlink>
      <w:r w:rsidRPr="008B2712">
        <w:t xml:space="preserve"> (viewed 18 April 2018)</w:t>
      </w:r>
      <w:r>
        <w:t>.</w:t>
      </w:r>
    </w:p>
  </w:endnote>
  <w:endnote w:id="109">
    <w:p w14:paraId="795736F4" w14:textId="77777777" w:rsidR="0070575F" w:rsidRPr="008B2712" w:rsidRDefault="0070575F" w:rsidP="006E5B26">
      <w:pPr>
        <w:pStyle w:val="EndnoteText"/>
      </w:pPr>
      <w:r w:rsidRPr="008B2712">
        <w:rPr>
          <w:rStyle w:val="EndnoteReference"/>
        </w:rPr>
        <w:endnoteRef/>
      </w:r>
      <w:r w:rsidRPr="008B2712">
        <w:t xml:space="preserve"> Human Rights and Equal Opportunity Commission, </w:t>
      </w:r>
      <w:r w:rsidRPr="005522C2">
        <w:rPr>
          <w:i/>
        </w:rPr>
        <w:t>Same-Sex: Same Entitlemen</w:t>
      </w:r>
      <w:r>
        <w:rPr>
          <w:i/>
        </w:rPr>
        <w:t>ts—</w:t>
      </w:r>
      <w:r w:rsidRPr="005522C2">
        <w:rPr>
          <w:i/>
        </w:rPr>
        <w:t>National Inquiry into Discrimination against People in Same-Sex Relationships: Financial and Work-Related Entitlements and Benefits</w:t>
      </w:r>
      <w:r>
        <w:t xml:space="preserve"> (</w:t>
      </w:r>
      <w:r w:rsidRPr="008B2712">
        <w:t>2007</w:t>
      </w:r>
      <w:r>
        <w:t>), 276.</w:t>
      </w:r>
      <w:r w:rsidRPr="008B2712">
        <w:t xml:space="preserve"> At </w:t>
      </w:r>
      <w:hyperlink r:id="rId54" w:history="1">
        <w:r w:rsidRPr="008B2712">
          <w:rPr>
            <w:rStyle w:val="Hyperlink"/>
          </w:rPr>
          <w:t>https://www.humanrights.gov.au/our-work/sexual-orientation-sex-gender-identity/publications/same-sex-same-entitlements</w:t>
        </w:r>
      </w:hyperlink>
      <w:r w:rsidRPr="008B2712">
        <w:t xml:space="preserve"> (viewed 18 April 2018)</w:t>
      </w:r>
    </w:p>
  </w:endnote>
  <w:endnote w:id="110">
    <w:p w14:paraId="21E43849" w14:textId="77777777" w:rsidR="0070575F" w:rsidRDefault="0070575F">
      <w:pPr>
        <w:pStyle w:val="EndnoteText"/>
      </w:pPr>
      <w:r>
        <w:rPr>
          <w:rStyle w:val="EndnoteReference"/>
        </w:rPr>
        <w:endnoteRef/>
      </w:r>
      <w:r>
        <w:t xml:space="preserve"> Australian Human Rights Commission, Submission to the Family Law Council Review of Parentage Laws, </w:t>
      </w:r>
      <w:proofErr w:type="gramStart"/>
      <w:r>
        <w:t>3</w:t>
      </w:r>
      <w:proofErr w:type="gramEnd"/>
      <w:r>
        <w:t xml:space="preserve"> May 2013. At </w:t>
      </w:r>
      <w:hyperlink r:id="rId55" w:history="1">
        <w:r w:rsidRPr="008B601B">
          <w:rPr>
            <w:rStyle w:val="Hyperlink"/>
          </w:rPr>
          <w:t>https://www.humanrights.gov.au/submissions/review-parentage-laws</w:t>
        </w:r>
      </w:hyperlink>
      <w:r>
        <w:t xml:space="preserve"> (viewed 18 April 2018).</w:t>
      </w:r>
    </w:p>
  </w:endnote>
  <w:endnote w:id="111">
    <w:p w14:paraId="4B5015EC" w14:textId="77777777" w:rsidR="0070575F" w:rsidRPr="003840DE" w:rsidRDefault="0070575F" w:rsidP="009C5F17">
      <w:pPr>
        <w:pStyle w:val="EndnoteText"/>
      </w:pPr>
      <w:r>
        <w:rPr>
          <w:rStyle w:val="EndnoteReference"/>
        </w:rPr>
        <w:endnoteRef/>
      </w:r>
      <w:r>
        <w:t xml:space="preserve"> Australian Human Rights Commission, Submission to Attorney-General’s Department, </w:t>
      </w:r>
      <w:r w:rsidRPr="003840DE">
        <w:t xml:space="preserve">Public Consultation Paper: </w:t>
      </w:r>
      <w:r w:rsidRPr="003840DE">
        <w:rPr>
          <w:i/>
        </w:rPr>
        <w:t>Proposed amendments to the Family Law Act 1975 (</w:t>
      </w:r>
      <w:proofErr w:type="spellStart"/>
      <w:r w:rsidRPr="003840DE">
        <w:rPr>
          <w:i/>
        </w:rPr>
        <w:t>Cth</w:t>
      </w:r>
      <w:proofErr w:type="spellEnd"/>
      <w:r w:rsidRPr="003840DE">
        <w:rPr>
          <w:i/>
        </w:rPr>
        <w:t>) to address direct cross-examination of parties in family law proceedings involving family violence</w:t>
      </w:r>
      <w:r>
        <w:rPr>
          <w:i/>
        </w:rPr>
        <w:t xml:space="preserve"> </w:t>
      </w:r>
      <w:r>
        <w:t xml:space="preserve">(25 August 2017). At: </w:t>
      </w:r>
      <w:hyperlink r:id="rId56" w:history="1">
        <w:r w:rsidRPr="00EF0B1A">
          <w:rPr>
            <w:rStyle w:val="Hyperlink"/>
          </w:rPr>
          <w:t>https://www.humanrights.gov.au/submissions/submission-family-law-amendment-family-violence-and-cross-examination-parties-bill-201-0</w:t>
        </w:r>
      </w:hyperlink>
      <w:r>
        <w:t xml:space="preserve"> (viewed 16 April 2018). </w:t>
      </w:r>
    </w:p>
  </w:endnote>
  <w:endnote w:id="112">
    <w:p w14:paraId="5A65CA8F" w14:textId="77777777" w:rsidR="0070575F" w:rsidRDefault="0070575F" w:rsidP="009C5F17">
      <w:pPr>
        <w:pStyle w:val="EndnoteText"/>
      </w:pPr>
      <w:r>
        <w:rPr>
          <w:rStyle w:val="EndnoteReference"/>
        </w:rPr>
        <w:endnoteRef/>
      </w:r>
      <w:r>
        <w:t xml:space="preserve"> </w:t>
      </w:r>
      <w:r w:rsidRPr="005000FE">
        <w:t xml:space="preserve">Australia’s National Research Organisation for Women’s Safety, Violence against women: key statistics (14 May 2014). At: </w:t>
      </w:r>
      <w:hyperlink r:id="rId57" w:history="1">
        <w:r w:rsidRPr="005000FE">
          <w:rPr>
            <w:rStyle w:val="Hyperlink"/>
          </w:rPr>
          <w:t>https://www.anrows.org.au/publications/fast-facts-0/violence-against-women-key-statistics%20</w:t>
        </w:r>
      </w:hyperlink>
      <w:r w:rsidRPr="005000FE">
        <w:t xml:space="preserve"> (viewed 24 April 2018); Australia’s National Research Organisation for Women’s Safety, Personal Safety Survey 2016 Factsheet (November 2017). At: </w:t>
      </w:r>
      <w:hyperlink r:id="rId58" w:history="1">
        <w:r w:rsidRPr="005000FE">
          <w:rPr>
            <w:rStyle w:val="Hyperlink"/>
          </w:rPr>
          <w:t>https://www.anrows.org.au/node/1462</w:t>
        </w:r>
      </w:hyperlink>
      <w:r w:rsidRPr="005000FE">
        <w:t xml:space="preserve"> (viewed 24 April 2018).</w:t>
      </w:r>
    </w:p>
  </w:endnote>
  <w:endnote w:id="113">
    <w:p w14:paraId="0E18C943" w14:textId="77777777" w:rsidR="0070575F" w:rsidRDefault="0070575F" w:rsidP="00B97E1B">
      <w:pPr>
        <w:pStyle w:val="EndnoteText"/>
      </w:pPr>
      <w:r>
        <w:rPr>
          <w:rStyle w:val="EndnoteReference"/>
        </w:rPr>
        <w:endnoteRef/>
      </w:r>
      <w:r>
        <w:t xml:space="preserve"> </w:t>
      </w:r>
      <w:r w:rsidRPr="00CF0CDA">
        <w:t>Committee</w:t>
      </w:r>
      <w:r w:rsidRPr="00D920A1">
        <w:rPr>
          <w:color w:val="000000"/>
          <w:shd w:val="clear" w:color="auto" w:fill="FFFFFF"/>
        </w:rPr>
        <w:t xml:space="preserve"> on the Elimination o</w:t>
      </w:r>
      <w:r>
        <w:rPr>
          <w:color w:val="000000"/>
          <w:shd w:val="clear" w:color="auto" w:fill="FFFFFF"/>
        </w:rPr>
        <w:t xml:space="preserve">f Discrimination against Women, </w:t>
      </w:r>
      <w:r w:rsidRPr="00D920A1">
        <w:rPr>
          <w:rStyle w:val="Emphasis"/>
          <w:shd w:val="clear" w:color="auto" w:fill="FFFFFF"/>
        </w:rPr>
        <w:t>General Recommendati</w:t>
      </w:r>
      <w:r>
        <w:rPr>
          <w:rStyle w:val="Emphasis"/>
          <w:shd w:val="clear" w:color="auto" w:fill="FFFFFF"/>
        </w:rPr>
        <w:t>on No. 33 – women’s access to justice</w:t>
      </w:r>
      <w:r w:rsidRPr="00965F13">
        <w:rPr>
          <w:rStyle w:val="Emphasis"/>
          <w:shd w:val="clear" w:color="auto" w:fill="FFFFFF"/>
        </w:rPr>
        <w:t xml:space="preserve">, </w:t>
      </w:r>
      <w:r>
        <w:rPr>
          <w:rStyle w:val="Emphasis"/>
          <w:i w:val="0"/>
          <w:shd w:val="clear" w:color="auto" w:fill="FFFFFF"/>
        </w:rPr>
        <w:t>61</w:t>
      </w:r>
      <w:r w:rsidRPr="00F047E1">
        <w:rPr>
          <w:rStyle w:val="Emphasis"/>
          <w:i w:val="0"/>
          <w:shd w:val="clear" w:color="auto" w:fill="FFFFFF"/>
          <w:vertAlign w:val="superscript"/>
        </w:rPr>
        <w:t>st</w:t>
      </w:r>
      <w:r>
        <w:rPr>
          <w:rStyle w:val="Emphasis"/>
          <w:i w:val="0"/>
          <w:shd w:val="clear" w:color="auto" w:fill="FFFFFF"/>
        </w:rPr>
        <w:t xml:space="preserve"> session, </w:t>
      </w:r>
      <w:r w:rsidRPr="00F047E1">
        <w:rPr>
          <w:rStyle w:val="Emphasis"/>
          <w:i w:val="0"/>
          <w:shd w:val="clear" w:color="auto" w:fill="FFFFFF"/>
        </w:rPr>
        <w:t>CEDAW/C/GC/33 (</w:t>
      </w:r>
      <w:r>
        <w:rPr>
          <w:rStyle w:val="Emphasis"/>
          <w:i w:val="0"/>
          <w:shd w:val="clear" w:color="auto" w:fill="FFFFFF"/>
        </w:rPr>
        <w:t xml:space="preserve">23 July </w:t>
      </w:r>
      <w:r w:rsidRPr="00F047E1">
        <w:rPr>
          <w:rStyle w:val="Emphasis"/>
          <w:i w:val="0"/>
          <w:shd w:val="clear" w:color="auto" w:fill="FFFFFF"/>
        </w:rPr>
        <w:t>2015</w:t>
      </w:r>
      <w:r w:rsidRPr="00965F13">
        <w:rPr>
          <w:rStyle w:val="Emphasis"/>
          <w:shd w:val="clear" w:color="auto" w:fill="FFFFFF"/>
        </w:rPr>
        <w:t>).</w:t>
      </w:r>
      <w:r>
        <w:rPr>
          <w:rStyle w:val="Emphasis"/>
          <w:shd w:val="clear" w:color="auto" w:fill="FFFFFF"/>
        </w:rPr>
        <w:t xml:space="preserve"> </w:t>
      </w:r>
      <w:r w:rsidRPr="00965F13">
        <w:rPr>
          <w:rStyle w:val="Emphasis"/>
          <w:shd w:val="clear" w:color="auto" w:fill="FFFFFF"/>
        </w:rPr>
        <w:t>At:</w:t>
      </w:r>
      <w:r>
        <w:rPr>
          <w:rStyle w:val="Emphasis"/>
          <w:shd w:val="clear" w:color="auto" w:fill="FFFFFF"/>
        </w:rPr>
        <w:t xml:space="preserve"> </w:t>
      </w:r>
      <w:hyperlink r:id="rId59" w:history="1">
        <w:r w:rsidRPr="00AD5D7D">
          <w:rPr>
            <w:rStyle w:val="Hyperlink"/>
            <w:shd w:val="clear" w:color="auto" w:fill="FFFFFF"/>
          </w:rPr>
          <w:t>http://www.ohchr.org/EN/HRBodies/</w:t>
        </w:r>
        <w:r w:rsidRPr="00AD5D7D">
          <w:rPr>
            <w:rStyle w:val="Hyperlink"/>
            <w:shd w:val="clear" w:color="auto" w:fill="FFFFFF"/>
          </w:rPr>
          <w:br/>
          <w:t>CEDAW/Pages/Recommendations.aspx</w:t>
        </w:r>
      </w:hyperlink>
      <w:r>
        <w:rPr>
          <w:rStyle w:val="Emphasis"/>
          <w:shd w:val="clear" w:color="auto" w:fill="FFFFFF"/>
        </w:rPr>
        <w:t xml:space="preserve"> </w:t>
      </w:r>
      <w:r w:rsidRPr="00C66BD9">
        <w:rPr>
          <w:rStyle w:val="Emphasis"/>
          <w:i w:val="0"/>
          <w:shd w:val="clear" w:color="auto" w:fill="FFFFFF"/>
        </w:rPr>
        <w:t>(viewed 15 August 2017).</w:t>
      </w:r>
    </w:p>
  </w:endnote>
  <w:endnote w:id="114">
    <w:p w14:paraId="67EDC5BC" w14:textId="77777777" w:rsidR="0070575F" w:rsidRDefault="0070575F" w:rsidP="00B97E1B">
      <w:pPr>
        <w:pStyle w:val="EndnoteText"/>
      </w:pPr>
      <w:r>
        <w:rPr>
          <w:rStyle w:val="EndnoteReference"/>
        </w:rPr>
        <w:endnoteRef/>
      </w:r>
      <w:r>
        <w:t xml:space="preserve"> Committee on the Rights of the Child, </w:t>
      </w:r>
      <w:r>
        <w:rPr>
          <w:i/>
        </w:rPr>
        <w:t>General Comment No 13: The right of the child to freedom from all forms of violence</w:t>
      </w:r>
      <w:r>
        <w:t>, 56</w:t>
      </w:r>
      <w:r w:rsidRPr="00E652DC">
        <w:rPr>
          <w:vertAlign w:val="superscript"/>
        </w:rPr>
        <w:t>th</w:t>
      </w:r>
      <w:r>
        <w:t xml:space="preserve"> session, UN Doc CRC/C/GC/13 (18 April 2011) [45–57].</w:t>
      </w:r>
    </w:p>
  </w:endnote>
  <w:endnote w:id="115">
    <w:p w14:paraId="27C7B88E" w14:textId="77777777" w:rsidR="0070575F" w:rsidRDefault="0070575F">
      <w:pPr>
        <w:pStyle w:val="EndnoteText"/>
      </w:pPr>
      <w:r>
        <w:rPr>
          <w:rStyle w:val="EndnoteReference"/>
        </w:rPr>
        <w:endnoteRef/>
      </w:r>
      <w:r>
        <w:t xml:space="preserve"> Australian Human Rights Commission, </w:t>
      </w:r>
      <w:r>
        <w:rPr>
          <w:i/>
          <w:iCs/>
        </w:rPr>
        <w:t xml:space="preserve">Children’s Rights Report 2015 </w:t>
      </w:r>
      <w:r>
        <w:t xml:space="preserve">(2015) 144-150. At </w:t>
      </w:r>
      <w:hyperlink r:id="rId60" w:history="1">
        <w:r w:rsidRPr="006F3760">
          <w:rPr>
            <w:rStyle w:val="Hyperlink"/>
          </w:rPr>
          <w:t>https://www.humanrights.gov.au/our-work/childrens-rights/publications/childrens-rights-report-2015</w:t>
        </w:r>
      </w:hyperlink>
      <w:r>
        <w:t xml:space="preserve">  (viewed 10 January 2018).</w:t>
      </w:r>
    </w:p>
  </w:endnote>
  <w:endnote w:id="116">
    <w:p w14:paraId="33FFF1B5" w14:textId="77777777" w:rsidR="0070575F" w:rsidRDefault="0070575F" w:rsidP="00B97E1B">
      <w:pPr>
        <w:pStyle w:val="EndnoteText"/>
      </w:pPr>
      <w:r>
        <w:rPr>
          <w:rStyle w:val="EndnoteReference"/>
        </w:rPr>
        <w:endnoteRef/>
      </w:r>
      <w:r>
        <w:t xml:space="preserve"> New South Wales Local Court, </w:t>
      </w:r>
      <w:r>
        <w:rPr>
          <w:i/>
        </w:rPr>
        <w:t xml:space="preserve">Practice Notes </w:t>
      </w:r>
      <w:r>
        <w:t xml:space="preserve">(13 April 2018). At </w:t>
      </w:r>
      <w:hyperlink r:id="rId61" w:history="1">
        <w:r w:rsidRPr="00452CD7">
          <w:rPr>
            <w:rStyle w:val="Hyperlink"/>
          </w:rPr>
          <w:t>http://www.localcourt.justice.nsw.gov.au/publications/practice-notes</w:t>
        </w:r>
      </w:hyperlink>
      <w:r>
        <w:t>.</w:t>
      </w:r>
    </w:p>
  </w:endnote>
  <w:endnote w:id="117">
    <w:p w14:paraId="7CE88996" w14:textId="77777777" w:rsidR="0070575F" w:rsidRPr="00477DD5" w:rsidRDefault="0070575F" w:rsidP="000819C1">
      <w:pPr>
        <w:pStyle w:val="EndnoteText"/>
      </w:pPr>
      <w:r>
        <w:rPr>
          <w:rStyle w:val="EndnoteReference"/>
        </w:rPr>
        <w:endnoteRef/>
      </w:r>
      <w:r>
        <w:t xml:space="preserve"> </w:t>
      </w:r>
      <w:r w:rsidRPr="00D920A1">
        <w:t xml:space="preserve">Australian Human Rights Commission, </w:t>
      </w:r>
      <w:r w:rsidRPr="00EF05DB">
        <w:rPr>
          <w:i/>
        </w:rPr>
        <w:t xml:space="preserve">Violence against women in Australia - Submission to the </w:t>
      </w:r>
      <w:r>
        <w:rPr>
          <w:i/>
        </w:rPr>
        <w:t xml:space="preserve">UN </w:t>
      </w:r>
      <w:r w:rsidRPr="00EF05DB">
        <w:rPr>
          <w:i/>
        </w:rPr>
        <w:t xml:space="preserve">Special Rapporteur on </w:t>
      </w:r>
      <w:r>
        <w:rPr>
          <w:i/>
        </w:rPr>
        <w:t>V</w:t>
      </w:r>
      <w:r w:rsidRPr="00EF05DB">
        <w:rPr>
          <w:i/>
        </w:rPr>
        <w:t xml:space="preserve">iolence against </w:t>
      </w:r>
      <w:r>
        <w:rPr>
          <w:i/>
        </w:rPr>
        <w:t>W</w:t>
      </w:r>
      <w:r w:rsidRPr="00EF05DB">
        <w:rPr>
          <w:i/>
        </w:rPr>
        <w:t>omen</w:t>
      </w:r>
      <w:r>
        <w:t xml:space="preserve"> (</w:t>
      </w:r>
      <w:r w:rsidRPr="00D920A1">
        <w:t>20 January 2017</w:t>
      </w:r>
      <w:r>
        <w:t>)</w:t>
      </w:r>
      <w:r w:rsidRPr="00D920A1">
        <w:t xml:space="preserve">. At </w:t>
      </w:r>
      <w:hyperlink r:id="rId62" w:history="1">
        <w:r w:rsidRPr="00D920A1">
          <w:rPr>
            <w:rStyle w:val="Hyperlink"/>
          </w:rPr>
          <w:t>https://www.humanrights.gov.au/submissions/violence-against-women-australia-2017</w:t>
        </w:r>
      </w:hyperlink>
      <w:r>
        <w:rPr>
          <w:rStyle w:val="Hyperlink"/>
        </w:rPr>
        <w:t xml:space="preserve"> </w:t>
      </w:r>
      <w:r w:rsidRPr="00EF05DB">
        <w:t xml:space="preserve">(viewed </w:t>
      </w:r>
      <w:r>
        <w:t>16 April 2018)</w:t>
      </w:r>
      <w:proofErr w:type="gramStart"/>
      <w:r>
        <w:t>;</w:t>
      </w:r>
      <w:proofErr w:type="gramEnd"/>
      <w:r>
        <w:t xml:space="preserve"> Australian Human Rights Commission, ‘Information for List of Issues on Australia’, </w:t>
      </w:r>
      <w:r w:rsidRPr="005914B5">
        <w:t>Submission to the Committee on the Elimination of Discrimination against Women</w:t>
      </w:r>
      <w:r>
        <w:t xml:space="preserve"> (29 September 2017). At: </w:t>
      </w:r>
      <w:hyperlink r:id="rId63" w:history="1">
        <w:r w:rsidRPr="00EF0B1A">
          <w:rPr>
            <w:rStyle w:val="Hyperlink"/>
          </w:rPr>
          <w:t>https://www.humanrights.gov.au/submissions/submission-committee-elimination-discrimination-against-women-information-list-issues-0</w:t>
        </w:r>
      </w:hyperlink>
      <w:r>
        <w:t xml:space="preserve"> </w:t>
      </w:r>
      <w:r w:rsidRPr="00ED026A">
        <w:t xml:space="preserve"> </w:t>
      </w:r>
      <w:r>
        <w:t xml:space="preserve">(viewed 16 April 2018). </w:t>
      </w:r>
    </w:p>
  </w:endnote>
  <w:endnote w:id="118">
    <w:p w14:paraId="7FF341B7" w14:textId="77777777" w:rsidR="0070575F" w:rsidRDefault="0070575F">
      <w:pPr>
        <w:pStyle w:val="EndnoteText"/>
      </w:pPr>
      <w:r>
        <w:rPr>
          <w:rStyle w:val="EndnoteReference"/>
        </w:rPr>
        <w:endnoteRef/>
      </w:r>
      <w:r>
        <w:t xml:space="preserve"> </w:t>
      </w:r>
      <w:r w:rsidRPr="00D63302">
        <w:t>June Oscar, ‘</w:t>
      </w:r>
      <w:r>
        <w:t>Women of the World Festival 2018’</w:t>
      </w:r>
      <w:r w:rsidRPr="00D63302">
        <w:t xml:space="preserve">, (Speech delivered at </w:t>
      </w:r>
      <w:r>
        <w:t>the Women of the World Festival 2018</w:t>
      </w:r>
      <w:r w:rsidRPr="00D63302">
        <w:t xml:space="preserve">, </w:t>
      </w:r>
      <w:r>
        <w:t>6 April</w:t>
      </w:r>
      <w:r w:rsidRPr="00D63302">
        <w:t xml:space="preserve"> 2018). At: </w:t>
      </w:r>
      <w:hyperlink r:id="rId64" w:history="1">
        <w:r w:rsidRPr="002771A3">
          <w:rPr>
            <w:rStyle w:val="Hyperlink"/>
          </w:rPr>
          <w:t>https://www.humanrights.gov.au/news/speeches/women-world-festival-2018</w:t>
        </w:r>
      </w:hyperlink>
      <w:r>
        <w:t xml:space="preserve"> </w:t>
      </w:r>
      <w:r w:rsidRPr="00D63302">
        <w:t xml:space="preserve">(viewed </w:t>
      </w:r>
      <w:r>
        <w:t>22</w:t>
      </w:r>
      <w:r w:rsidRPr="00D63302">
        <w:t xml:space="preserve"> April 2018).</w:t>
      </w:r>
    </w:p>
  </w:endnote>
  <w:endnote w:id="119">
    <w:p w14:paraId="322CFDFF" w14:textId="77777777" w:rsidR="0070575F" w:rsidRDefault="0070575F" w:rsidP="000819C1">
      <w:pPr>
        <w:pStyle w:val="EndnoteText"/>
      </w:pPr>
      <w:r>
        <w:rPr>
          <w:rStyle w:val="EndnoteReference"/>
        </w:rPr>
        <w:endnoteRef/>
      </w:r>
      <w:r>
        <w:t xml:space="preserve"> Women’s Legal Services Australia, Submission No 6 to the House of Representatives Standing Committee on Social Policy and Legal Affairs, </w:t>
      </w:r>
      <w:r>
        <w:rPr>
          <w:i/>
        </w:rPr>
        <w:t xml:space="preserve">Inquiry into a better family law system to support and protect those affected by family violence </w:t>
      </w:r>
      <w:r>
        <w:t xml:space="preserve">(27 April 2017), 20. At: </w:t>
      </w:r>
      <w:hyperlink r:id="rId65" w:history="1">
        <w:r w:rsidRPr="00EF0B1A">
          <w:rPr>
            <w:rStyle w:val="Hyperlink"/>
          </w:rPr>
          <w:t>https://www.aph.gov.au/Parliamentary_Business/Committees/House/Social_Policy_and_Legal_Affairs/FVlawreform/Submissions</w:t>
        </w:r>
      </w:hyperlink>
      <w:r>
        <w:t xml:space="preserve"> (viewed 16 April 2018).</w:t>
      </w:r>
    </w:p>
  </w:endnote>
  <w:endnote w:id="120">
    <w:p w14:paraId="0318E480" w14:textId="77777777" w:rsidR="0070575F" w:rsidRDefault="0070575F" w:rsidP="000819C1">
      <w:pPr>
        <w:pStyle w:val="EndnoteText"/>
      </w:pPr>
      <w:r>
        <w:rPr>
          <w:rStyle w:val="EndnoteReference"/>
        </w:rPr>
        <w:endnoteRef/>
      </w:r>
      <w:r>
        <w:t xml:space="preserve"> Women’s Legal Services Australia, Submission No 6 to the House of Representatives Standing Committee on Social Policy and Legal Affairs, </w:t>
      </w:r>
      <w:r>
        <w:rPr>
          <w:i/>
        </w:rPr>
        <w:t xml:space="preserve">Inquiry into a better family law system to support and protect those affected by family violence </w:t>
      </w:r>
      <w:r>
        <w:t xml:space="preserve">(27 April 2017), 20. At: </w:t>
      </w:r>
      <w:hyperlink r:id="rId66" w:history="1">
        <w:r w:rsidRPr="00EF0B1A">
          <w:rPr>
            <w:rStyle w:val="Hyperlink"/>
          </w:rPr>
          <w:t>https://www.aph.gov.au/Parliamentary_Business/Committees/House/Social_Policy_and_Legal_Affairs/FVlawreform/Submissions</w:t>
        </w:r>
      </w:hyperlink>
      <w:r>
        <w:t xml:space="preserve"> (viewed 16 April 2018).</w:t>
      </w:r>
    </w:p>
  </w:endnote>
  <w:endnote w:id="121">
    <w:p w14:paraId="6D02B333" w14:textId="77777777" w:rsidR="0070575F" w:rsidRDefault="0070575F" w:rsidP="000819C1">
      <w:pPr>
        <w:pStyle w:val="EndnoteText"/>
      </w:pPr>
      <w:r>
        <w:rPr>
          <w:rStyle w:val="EndnoteReference"/>
        </w:rPr>
        <w:endnoteRef/>
      </w:r>
      <w:r>
        <w:t xml:space="preserve"> Women’s Legal Services Australia, Submission No 6 to the House of Representatives Standing Committee on Social Policy and Legal Affairs, </w:t>
      </w:r>
      <w:r>
        <w:rPr>
          <w:i/>
        </w:rPr>
        <w:t xml:space="preserve">Inquiry into a better family law system to support and protect those affected by family violence </w:t>
      </w:r>
      <w:r>
        <w:t xml:space="preserve">(27 April 2017), 20. At: </w:t>
      </w:r>
      <w:hyperlink r:id="rId67" w:history="1">
        <w:r w:rsidRPr="00EF0B1A">
          <w:rPr>
            <w:rStyle w:val="Hyperlink"/>
          </w:rPr>
          <w:t>https://www.aph.gov.au/Parliamentary_Business/Committees/House/Social_Policy_and_Legal_Affairs/FVlawreform/Submissions</w:t>
        </w:r>
      </w:hyperlink>
      <w:r>
        <w:t xml:space="preserve"> (viewed 16 April 2018).</w:t>
      </w:r>
    </w:p>
  </w:endnote>
  <w:endnote w:id="122">
    <w:p w14:paraId="1BA1AE48" w14:textId="77777777" w:rsidR="0070575F" w:rsidRDefault="0070575F" w:rsidP="000819C1">
      <w:pPr>
        <w:pStyle w:val="EndnoteText"/>
      </w:pPr>
      <w:r>
        <w:rPr>
          <w:rStyle w:val="EndnoteReference"/>
        </w:rPr>
        <w:endnoteRef/>
      </w:r>
      <w:r>
        <w:t xml:space="preserve"> Women’s Legal Services Australia, Submission No 6 to the House of Representatives Standing Committee on Social Policy and Legal Affairs, </w:t>
      </w:r>
      <w:r>
        <w:rPr>
          <w:i/>
        </w:rPr>
        <w:t xml:space="preserve">Inquiry into a better family law system to support and protect those affected by family violence </w:t>
      </w:r>
      <w:r>
        <w:t xml:space="preserve">(27 April 2017), 20. At: </w:t>
      </w:r>
      <w:hyperlink r:id="rId68" w:history="1">
        <w:r w:rsidRPr="00EF0B1A">
          <w:rPr>
            <w:rStyle w:val="Hyperlink"/>
          </w:rPr>
          <w:t>https://www.aph.gov.au/Parliamentary_Business/Committees/House/Social_Policy_and_Legal_Affairs/FVlawreform/Submissions</w:t>
        </w:r>
      </w:hyperlink>
      <w:r>
        <w:t xml:space="preserve"> (viewed 16 April 2018).</w:t>
      </w:r>
    </w:p>
  </w:endnote>
  <w:endnote w:id="123">
    <w:p w14:paraId="24A7C937" w14:textId="77777777" w:rsidR="0070575F" w:rsidRDefault="0070575F">
      <w:pPr>
        <w:pStyle w:val="EndnoteText"/>
      </w:pPr>
      <w:r>
        <w:rPr>
          <w:rStyle w:val="EndnoteReference"/>
        </w:rPr>
        <w:endnoteRef/>
      </w:r>
      <w:r>
        <w:t xml:space="preserve"> Australian Human Rights Commission, Submission No 7 to the Senate Standing Committee on Legal and Constitutional Affairs, </w:t>
      </w:r>
      <w:r w:rsidRPr="005914B5">
        <w:rPr>
          <w:i/>
        </w:rPr>
        <w:t>Inquiry into the Family Law Amendment (Parenting Management Hearings) Bill 2017</w:t>
      </w:r>
      <w:r>
        <w:t xml:space="preserve"> (6 March 2018). At </w:t>
      </w:r>
      <w:hyperlink r:id="rId69" w:history="1">
        <w:r w:rsidRPr="008B601B">
          <w:rPr>
            <w:rStyle w:val="Hyperlink"/>
          </w:rPr>
          <w:t>https://www.humanrights.gov.au/submissions/family-law-amendment-parenting-management-hearings-bill-2017</w:t>
        </w:r>
      </w:hyperlink>
      <w:r>
        <w:t>.</w:t>
      </w:r>
    </w:p>
  </w:endnote>
  <w:endnote w:id="124">
    <w:p w14:paraId="53DEFA47" w14:textId="77777777" w:rsidR="0070575F" w:rsidRDefault="0070575F" w:rsidP="00E75D03">
      <w:pPr>
        <w:pStyle w:val="EndnoteText"/>
      </w:pPr>
      <w:r>
        <w:rPr>
          <w:rStyle w:val="EndnoteReference"/>
        </w:rPr>
        <w:endnoteRef/>
      </w:r>
      <w:r>
        <w:t xml:space="preserve"> Nicola </w:t>
      </w:r>
      <w:r w:rsidRPr="005914B5">
        <w:rPr>
          <w:lang w:val="en"/>
        </w:rPr>
        <w:t>Taylor et al</w:t>
      </w:r>
      <w:r w:rsidRPr="007912FB">
        <w:rPr>
          <w:lang w:val="en"/>
        </w:rPr>
        <w:t xml:space="preserve">, </w:t>
      </w:r>
      <w:r w:rsidRPr="007C2863">
        <w:rPr>
          <w:lang w:val="en"/>
        </w:rPr>
        <w:t>‘International</w:t>
      </w:r>
      <w:r>
        <w:rPr>
          <w:lang w:val="en"/>
        </w:rPr>
        <w:t xml:space="preserve"> Models of Child Participation in Family Law Proceedings following Parental Separation/Divorce’ (2012) 20(4) </w:t>
      </w:r>
      <w:r w:rsidRPr="005914B5">
        <w:rPr>
          <w:i/>
          <w:lang w:val="en"/>
        </w:rPr>
        <w:t>International Journal of Children’s Rights</w:t>
      </w:r>
      <w:r>
        <w:rPr>
          <w:lang w:val="en"/>
        </w:rPr>
        <w:t xml:space="preserve"> 655.</w:t>
      </w:r>
    </w:p>
  </w:endnote>
  <w:endnote w:id="125">
    <w:p w14:paraId="2C345195" w14:textId="77777777" w:rsidR="0070575F" w:rsidRDefault="0070575F" w:rsidP="00283765">
      <w:pPr>
        <w:pStyle w:val="EndnoteText"/>
      </w:pPr>
      <w:r>
        <w:rPr>
          <w:rStyle w:val="EndnoteReference"/>
        </w:rPr>
        <w:endnoteRef/>
      </w:r>
      <w:r>
        <w:t xml:space="preserve"> Explanatory Memorandum, Family Law Amendment (Parenting Management Hearing) Bill 2007 (</w:t>
      </w:r>
      <w:proofErr w:type="spellStart"/>
      <w:r>
        <w:t>Cth</w:t>
      </w:r>
      <w:proofErr w:type="spellEnd"/>
      <w:r>
        <w:t>), 1 [5].</w:t>
      </w:r>
    </w:p>
  </w:endnote>
  <w:endnote w:id="126">
    <w:p w14:paraId="6E2A8829" w14:textId="77777777" w:rsidR="0070575F" w:rsidRDefault="0070575F" w:rsidP="00173E6C">
      <w:pPr>
        <w:pStyle w:val="EndnoteText"/>
      </w:pPr>
      <w:r>
        <w:rPr>
          <w:rStyle w:val="EndnoteReference"/>
        </w:rPr>
        <w:endnoteRef/>
      </w:r>
      <w:r>
        <w:t xml:space="preserve"> </w:t>
      </w:r>
      <w:r w:rsidRPr="007912FB">
        <w:rPr>
          <w:rFonts w:cs="Arial"/>
        </w:rPr>
        <w:t>Committee</w:t>
      </w:r>
      <w:r w:rsidRPr="005522C2">
        <w:rPr>
          <w:rFonts w:cs="Arial"/>
        </w:rPr>
        <w:t xml:space="preserve"> on the Rights of the Child, </w:t>
      </w:r>
      <w:r w:rsidRPr="005522C2">
        <w:rPr>
          <w:rFonts w:cs="Arial"/>
          <w:i/>
        </w:rPr>
        <w:t>General Comment No 14 (2013) on the rights of the child to have his or her best interests taken as a primary consideration (art. 3, para.1)</w:t>
      </w:r>
      <w:r w:rsidRPr="005522C2">
        <w:rPr>
          <w:rFonts w:cs="Arial"/>
        </w:rPr>
        <w:t>, UN Doc CRC/C/GC/14 (29 May 2013) [</w:t>
      </w:r>
      <w:r>
        <w:rPr>
          <w:rFonts w:cs="Arial"/>
        </w:rPr>
        <w:t>9</w:t>
      </w:r>
      <w:r w:rsidRPr="005522C2">
        <w:rPr>
          <w:rFonts w:cs="Arial"/>
        </w:rPr>
        <w:t>4].</w:t>
      </w:r>
    </w:p>
  </w:endnote>
  <w:endnote w:id="127">
    <w:p w14:paraId="70B66E39" w14:textId="77777777" w:rsidR="0070575F" w:rsidRDefault="0070575F" w:rsidP="00173E6C">
      <w:pPr>
        <w:pStyle w:val="EndnoteText"/>
      </w:pPr>
      <w:r>
        <w:rPr>
          <w:rStyle w:val="EndnoteReference"/>
        </w:rPr>
        <w:endnoteRef/>
      </w:r>
      <w:r>
        <w:t xml:space="preserve"> </w:t>
      </w:r>
      <w:r w:rsidRPr="00A33846">
        <w:t>Family Court of Australia</w:t>
      </w:r>
      <w:r>
        <w:t xml:space="preserve">, </w:t>
      </w:r>
      <w:r w:rsidRPr="00A33846">
        <w:rPr>
          <w:i/>
        </w:rPr>
        <w:t>Annual Report 2013-14</w:t>
      </w:r>
      <w:r>
        <w:t xml:space="preserve"> (2014) 74.</w:t>
      </w:r>
    </w:p>
  </w:endnote>
  <w:endnote w:id="128">
    <w:p w14:paraId="21AF7F1D" w14:textId="77777777" w:rsidR="0070575F" w:rsidRDefault="0070575F" w:rsidP="00173E6C">
      <w:pPr>
        <w:pStyle w:val="EndnoteText"/>
      </w:pPr>
      <w:r>
        <w:rPr>
          <w:rStyle w:val="EndnoteReference"/>
        </w:rPr>
        <w:endnoteRef/>
      </w:r>
      <w:r>
        <w:t xml:space="preserve"> House of Representatives Standing Committee on Social Policy and Legal Affairs, </w:t>
      </w:r>
      <w:r w:rsidRPr="00192370">
        <w:rPr>
          <w:i/>
        </w:rPr>
        <w:t>A better family law system to support and protect those affected by family violence</w:t>
      </w:r>
      <w:r>
        <w:t xml:space="preserve"> (2017) 204. At </w:t>
      </w:r>
      <w:hyperlink r:id="rId70" w:history="1">
        <w:r w:rsidRPr="00F959D1">
          <w:rPr>
            <w:rStyle w:val="Hyperlink"/>
          </w:rPr>
          <w:t>https://www.aph.gov.au/Parliamentary_Business/Committees/House/Social_Policy_and_Legal_Affairs/FVlawreform/Report</w:t>
        </w:r>
      </w:hyperlink>
      <w:r>
        <w:t xml:space="preserve"> (viewed 16 January 2018).</w:t>
      </w:r>
    </w:p>
  </w:endnote>
  <w:endnote w:id="129">
    <w:p w14:paraId="64AC3F7E" w14:textId="77777777" w:rsidR="0070575F" w:rsidRDefault="0070575F" w:rsidP="00173E6C">
      <w:pPr>
        <w:pStyle w:val="EndnoteText"/>
      </w:pPr>
      <w:r>
        <w:rPr>
          <w:rStyle w:val="EndnoteReference"/>
        </w:rPr>
        <w:endnoteRef/>
      </w:r>
      <w:r>
        <w:t xml:space="preserve"> Australian Human Rights Commission, </w:t>
      </w:r>
      <w:r>
        <w:rPr>
          <w:i/>
          <w:iCs/>
        </w:rPr>
        <w:t xml:space="preserve">Children’s Rights Report 2015 </w:t>
      </w:r>
      <w:r>
        <w:t xml:space="preserve">(2015) 150. At </w:t>
      </w:r>
      <w:hyperlink r:id="rId71" w:history="1">
        <w:r w:rsidRPr="006F3760">
          <w:rPr>
            <w:rStyle w:val="Hyperlink"/>
          </w:rPr>
          <w:t>https://www.humanrights.gov.au/our-work/childrens-rights/publications/childrens-rights-report-2015</w:t>
        </w:r>
      </w:hyperlink>
      <w:r>
        <w:t xml:space="preserve">  (viewed 10 January 2018).</w:t>
      </w:r>
    </w:p>
  </w:endnote>
  <w:endnote w:id="130">
    <w:p w14:paraId="3F0CBB4F" w14:textId="77777777" w:rsidR="0070575F" w:rsidRDefault="0070575F" w:rsidP="00173E6C">
      <w:pPr>
        <w:pStyle w:val="EndnoteText"/>
      </w:pPr>
      <w:r>
        <w:rPr>
          <w:rStyle w:val="EndnoteReference"/>
        </w:rPr>
        <w:endnoteRef/>
      </w:r>
      <w:r>
        <w:t xml:space="preserve"> House of Representatives Standing Committee on Social Policy and Legal Affairs, </w:t>
      </w:r>
      <w:r w:rsidRPr="00605460">
        <w:rPr>
          <w:i/>
        </w:rPr>
        <w:t>A better family law system to support and protect those affected by family violence</w:t>
      </w:r>
      <w:r>
        <w:t xml:space="preserve"> (2017), xxxiv [6.148]. At </w:t>
      </w:r>
      <w:hyperlink r:id="rId72" w:history="1">
        <w:r w:rsidRPr="00F959D1">
          <w:rPr>
            <w:rStyle w:val="Hyperlink"/>
          </w:rPr>
          <w:t>https://www.aph.gov.au/Parliamentary_Business/Committees/House/Social_Policy_and_Legal_Affairs/FVlawreform/Report</w:t>
        </w:r>
      </w:hyperlink>
      <w:r>
        <w:t xml:space="preserve"> (viewed 16 January 2018).</w:t>
      </w:r>
    </w:p>
  </w:endnote>
  <w:endnote w:id="131">
    <w:p w14:paraId="667AAD2C" w14:textId="77777777" w:rsidR="0070575F" w:rsidRDefault="0070575F" w:rsidP="002747F5">
      <w:pPr>
        <w:pStyle w:val="EndnoteText"/>
      </w:pPr>
      <w:r>
        <w:rPr>
          <w:rStyle w:val="EndnoteReference"/>
        </w:rPr>
        <w:endnoteRef/>
      </w:r>
      <w:r>
        <w:t xml:space="preserve"> Australian Government Department of Social Services, </w:t>
      </w:r>
      <w:r w:rsidRPr="005914B5">
        <w:rPr>
          <w:i/>
        </w:rPr>
        <w:t xml:space="preserve">Child inclusive practice in family and child counselling and family and child mediation </w:t>
      </w:r>
      <w:r>
        <w:t xml:space="preserve">(June 1998). At </w:t>
      </w:r>
      <w:hyperlink r:id="rId73" w:history="1">
        <w:r w:rsidRPr="00055C2A">
          <w:rPr>
            <w:rStyle w:val="Hyperlink"/>
          </w:rPr>
          <w:t>https://www.dss.gov.au/our-responsibilities/families-and-children/publications-articles/child-inclusive-practice-in-family-and-child-counselling-and-family-and-child-mediation-0?HTML</w:t>
        </w:r>
      </w:hyperlink>
      <w:r>
        <w:t xml:space="preserve"> (viewed 16 January 2018).</w:t>
      </w:r>
    </w:p>
  </w:endnote>
  <w:endnote w:id="132">
    <w:p w14:paraId="0B526B45" w14:textId="77777777" w:rsidR="0070575F" w:rsidRDefault="0070575F">
      <w:pPr>
        <w:pStyle w:val="EndnoteText"/>
      </w:pPr>
      <w:r>
        <w:rPr>
          <w:rStyle w:val="EndnoteReference"/>
        </w:rPr>
        <w:endnoteRef/>
      </w:r>
      <w:r>
        <w:t xml:space="preserve"> </w:t>
      </w:r>
      <w:r w:rsidRPr="007912FB">
        <w:rPr>
          <w:lang w:val="en"/>
        </w:rPr>
        <w:t xml:space="preserve">Committee on the Rights of the Child, </w:t>
      </w:r>
      <w:r w:rsidRPr="005914B5">
        <w:rPr>
          <w:i/>
          <w:lang w:val="en"/>
        </w:rPr>
        <w:t>General Comment No.10 – Children’s rights in juvenile justice,</w:t>
      </w:r>
      <w:r w:rsidRPr="005914B5">
        <w:rPr>
          <w:lang w:val="en"/>
        </w:rPr>
        <w:t xml:space="preserve"> 44</w:t>
      </w:r>
      <w:r w:rsidRPr="005914B5">
        <w:rPr>
          <w:vertAlign w:val="superscript"/>
          <w:lang w:val="en"/>
        </w:rPr>
        <w:t>th</w:t>
      </w:r>
      <w:r w:rsidRPr="005914B5">
        <w:rPr>
          <w:lang w:val="en"/>
        </w:rPr>
        <w:t xml:space="preserve"> session, UN Doc CRC/C/GC/10 (25 April 2007) 5</w:t>
      </w:r>
      <w:r>
        <w:rPr>
          <w:lang w:val="en"/>
        </w:rPr>
        <w:t>.</w:t>
      </w:r>
    </w:p>
  </w:endnote>
  <w:endnote w:id="133">
    <w:p w14:paraId="73E9FA53" w14:textId="77777777" w:rsidR="0070575F" w:rsidRDefault="0070575F" w:rsidP="00796990">
      <w:pPr>
        <w:pStyle w:val="EndnoteText"/>
      </w:pPr>
      <w:r>
        <w:rPr>
          <w:rStyle w:val="EndnoteReference"/>
        </w:rPr>
        <w:endnoteRef/>
      </w:r>
      <w:r>
        <w:t xml:space="preserve"> </w:t>
      </w:r>
      <w:r w:rsidRPr="007912FB">
        <w:rPr>
          <w:rFonts w:cs="Arial"/>
        </w:rPr>
        <w:t>Committee</w:t>
      </w:r>
      <w:r w:rsidRPr="005522C2">
        <w:rPr>
          <w:rFonts w:cs="Arial"/>
        </w:rPr>
        <w:t xml:space="preserve"> on the Rights of the Child, </w:t>
      </w:r>
      <w:r w:rsidRPr="005522C2">
        <w:rPr>
          <w:rFonts w:cs="Arial"/>
          <w:i/>
        </w:rPr>
        <w:t>General Comment No 14 (2013) on the rights of the child to have his or her best interests taken as a primary consideration (art. 3, para.1)</w:t>
      </w:r>
      <w:r w:rsidRPr="005522C2">
        <w:rPr>
          <w:rFonts w:cs="Arial"/>
        </w:rPr>
        <w:t>, UN Do</w:t>
      </w:r>
      <w:r>
        <w:rPr>
          <w:rFonts w:cs="Arial"/>
        </w:rPr>
        <w:t>c CRC/C/GC/14 (29 May 2013) [89</w:t>
      </w:r>
      <w:r w:rsidRPr="005522C2">
        <w:rPr>
          <w:rFonts w:cs="Arial"/>
        </w:rPr>
        <w:t>].</w:t>
      </w:r>
    </w:p>
  </w:endnote>
  <w:endnote w:id="134">
    <w:p w14:paraId="72352E32" w14:textId="77777777" w:rsidR="0070575F" w:rsidRDefault="0070575F" w:rsidP="00796990">
      <w:pPr>
        <w:pStyle w:val="EndnoteText"/>
      </w:pPr>
      <w:r>
        <w:rPr>
          <w:rStyle w:val="EndnoteReference"/>
        </w:rPr>
        <w:endnoteRef/>
      </w:r>
      <w:r>
        <w:t xml:space="preserve"> </w:t>
      </w:r>
      <w:r w:rsidRPr="001140E6">
        <w:t xml:space="preserve">Committee on the Rights of the Child, </w:t>
      </w:r>
      <w:r w:rsidRPr="001140E6">
        <w:rPr>
          <w:i/>
          <w:iCs/>
        </w:rPr>
        <w:t>General Comment No.12: The right of the child to be heard</w:t>
      </w:r>
      <w:r w:rsidRPr="001140E6">
        <w:t>,</w:t>
      </w:r>
      <w:r>
        <w:t xml:space="preserve"> 51</w:t>
      </w:r>
      <w:r w:rsidRPr="00F047E1">
        <w:rPr>
          <w:vertAlign w:val="superscript"/>
        </w:rPr>
        <w:t>st</w:t>
      </w:r>
      <w:r>
        <w:t xml:space="preserve"> session,</w:t>
      </w:r>
      <w:r w:rsidRPr="001140E6">
        <w:t xml:space="preserve"> UN D</w:t>
      </w:r>
      <w:r>
        <w:t>oc CRC/C/GC/12 (1 July 2009) [70</w:t>
      </w:r>
      <w:r w:rsidRPr="001140E6">
        <w:t xml:space="preserve">].  </w:t>
      </w:r>
    </w:p>
  </w:endnote>
  <w:endnote w:id="135">
    <w:p w14:paraId="7D3A31AA" w14:textId="77777777" w:rsidR="0070575F" w:rsidRPr="005C6E0F" w:rsidRDefault="0070575F" w:rsidP="00665B7D">
      <w:pPr>
        <w:pStyle w:val="EndnoteText"/>
      </w:pPr>
      <w:r w:rsidRPr="005C6E0F">
        <w:rPr>
          <w:rStyle w:val="EndnoteReference"/>
        </w:rPr>
        <w:endnoteRef/>
      </w:r>
      <w:r w:rsidRPr="005C6E0F">
        <w:t xml:space="preserve"> Committee on the Rights of the Child, </w:t>
      </w:r>
      <w:r w:rsidRPr="005C6E0F">
        <w:rPr>
          <w:i/>
          <w:iCs/>
        </w:rPr>
        <w:t>General Comment No.12: The right of the child to be heard</w:t>
      </w:r>
      <w:r w:rsidRPr="005C6E0F">
        <w:t xml:space="preserve">, </w:t>
      </w:r>
      <w:r>
        <w:t>51</w:t>
      </w:r>
      <w:r w:rsidRPr="00F047E1">
        <w:rPr>
          <w:vertAlign w:val="superscript"/>
        </w:rPr>
        <w:t>st</w:t>
      </w:r>
      <w:r>
        <w:t xml:space="preserve"> session, </w:t>
      </w:r>
      <w:r w:rsidRPr="005C6E0F">
        <w:t xml:space="preserve">UN Doc CRC/C/GC/12 (1 July 2009) [33]. </w:t>
      </w:r>
    </w:p>
  </w:endnote>
  <w:endnote w:id="136">
    <w:p w14:paraId="3C90508D" w14:textId="77777777" w:rsidR="0070575F" w:rsidRPr="001140E6" w:rsidRDefault="0070575F" w:rsidP="00004038">
      <w:pPr>
        <w:pStyle w:val="EndnoteText"/>
      </w:pPr>
      <w:r w:rsidRPr="001140E6">
        <w:rPr>
          <w:rStyle w:val="EndnoteReference"/>
        </w:rPr>
        <w:endnoteRef/>
      </w:r>
      <w:r w:rsidRPr="001140E6">
        <w:t xml:space="preserve"> Judy Cashmore &amp; Patrick Parkinson, ‘Children’s participation in family law disputes: The views of children, parents, lawyers and counsellors’ (2009) 82 </w:t>
      </w:r>
      <w:r w:rsidRPr="001140E6">
        <w:rPr>
          <w:i/>
          <w:iCs/>
        </w:rPr>
        <w:t xml:space="preserve">Family Matters </w:t>
      </w:r>
      <w:r w:rsidRPr="001140E6">
        <w:t xml:space="preserve">15, 20. At </w:t>
      </w:r>
      <w:hyperlink r:id="rId74" w:history="1">
        <w:r w:rsidRPr="00003A7D">
          <w:rPr>
            <w:rStyle w:val="Hyperlink"/>
          </w:rPr>
          <w:t>https://aifs.gov.au/publications/family-matters/issue-82/children-s-participation-family-law-disputes</w:t>
        </w:r>
      </w:hyperlink>
      <w:r>
        <w:t xml:space="preserve"> </w:t>
      </w:r>
      <w:r w:rsidRPr="001140E6">
        <w:t>(viewed 16 January 2018)</w:t>
      </w:r>
      <w:proofErr w:type="gramStart"/>
      <w:r w:rsidRPr="001140E6">
        <w:t>;</w:t>
      </w:r>
      <w:proofErr w:type="gramEnd"/>
      <w:r w:rsidRPr="001140E6">
        <w:t xml:space="preserve"> Australian Law Reform Commission, </w:t>
      </w:r>
      <w:r w:rsidRPr="001140E6">
        <w:rPr>
          <w:i/>
          <w:iCs/>
        </w:rPr>
        <w:t>Seen and heard: priority for children</w:t>
      </w:r>
      <w:r>
        <w:rPr>
          <w:i/>
          <w:iCs/>
        </w:rPr>
        <w:t xml:space="preserve"> </w:t>
      </w:r>
      <w:r w:rsidRPr="001140E6">
        <w:rPr>
          <w:i/>
          <w:iCs/>
        </w:rPr>
        <w:t xml:space="preserve">in the legal process, </w:t>
      </w:r>
      <w:r w:rsidRPr="001140E6">
        <w:t xml:space="preserve">Report </w:t>
      </w:r>
      <w:r>
        <w:t xml:space="preserve">No </w:t>
      </w:r>
      <w:r w:rsidRPr="001140E6">
        <w:t xml:space="preserve">84 (1997) [16.3] [16.27]. At </w:t>
      </w:r>
      <w:hyperlink r:id="rId75" w:history="1">
        <w:r w:rsidRPr="001140E6">
          <w:rPr>
            <w:rStyle w:val="Hyperlink"/>
          </w:rPr>
          <w:t>http://www.alrc.gov.au/publications/report-84</w:t>
        </w:r>
      </w:hyperlink>
      <w:r w:rsidRPr="001140E6">
        <w:t xml:space="preserve"> (viewed 16 January 2018).  </w:t>
      </w:r>
    </w:p>
  </w:endnote>
  <w:endnote w:id="137">
    <w:p w14:paraId="076F0C90" w14:textId="77777777" w:rsidR="0070575F" w:rsidRPr="001140E6" w:rsidRDefault="0070575F" w:rsidP="00387740">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41. At </w:t>
      </w:r>
      <w:hyperlink r:id="rId76" w:history="1">
        <w:r w:rsidRPr="00003A7D">
          <w:rPr>
            <w:rStyle w:val="Hyperlink"/>
          </w:rPr>
          <w:t>https://aifs.gov.au/publications/family-matters/issue-92/childrens-direct-participation-and-views-australian-judges</w:t>
        </w:r>
      </w:hyperlink>
      <w:r>
        <w:t xml:space="preserve"> </w:t>
      </w:r>
      <w:r w:rsidRPr="001140E6">
        <w:t xml:space="preserve">(viewed 16 January 2018).  </w:t>
      </w:r>
    </w:p>
  </w:endnote>
  <w:endnote w:id="138">
    <w:p w14:paraId="4A41B3E6" w14:textId="77777777" w:rsidR="0070575F" w:rsidRPr="001140E6" w:rsidRDefault="0070575F" w:rsidP="00386FB0">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42. At </w:t>
      </w:r>
      <w:hyperlink r:id="rId77" w:history="1">
        <w:r w:rsidRPr="00826A13">
          <w:rPr>
            <w:rStyle w:val="Hyperlink"/>
          </w:rPr>
          <w:t>https://aifs.gov.au/publications/family-matters/issue-92/childrens-direct-participation-and-views-australian-judges</w:t>
        </w:r>
      </w:hyperlink>
      <w:r>
        <w:t xml:space="preserve"> </w:t>
      </w:r>
      <w:r w:rsidRPr="001140E6">
        <w:t xml:space="preserve">(viewed 16 January 2018); Rae </w:t>
      </w:r>
      <w:proofErr w:type="spellStart"/>
      <w:r w:rsidRPr="001140E6">
        <w:t>Kaspiew</w:t>
      </w:r>
      <w:proofErr w:type="spellEnd"/>
      <w:r w:rsidRPr="001140E6">
        <w:t xml:space="preserve"> et al, </w:t>
      </w:r>
      <w:r w:rsidRPr="001140E6">
        <w:rPr>
          <w:i/>
          <w:iCs/>
        </w:rPr>
        <w:t xml:space="preserve">Independent Children’s Lawyers Study: Final report </w:t>
      </w:r>
      <w:r>
        <w:rPr>
          <w:i/>
          <w:iCs/>
        </w:rPr>
        <w:t xml:space="preserve">- </w:t>
      </w:r>
      <w:r w:rsidRPr="001140E6">
        <w:rPr>
          <w:i/>
          <w:iCs/>
        </w:rPr>
        <w:t>2nd e</w:t>
      </w:r>
      <w:r>
        <w:rPr>
          <w:i/>
          <w:iCs/>
        </w:rPr>
        <w:t>dition</w:t>
      </w:r>
      <w:r w:rsidRPr="001140E6">
        <w:rPr>
          <w:i/>
          <w:iCs/>
        </w:rPr>
        <w:t xml:space="preserve"> </w:t>
      </w:r>
      <w:r w:rsidRPr="001140E6">
        <w:t>(</w:t>
      </w:r>
      <w:r>
        <w:t xml:space="preserve">June </w:t>
      </w:r>
      <w:r w:rsidRPr="001140E6">
        <w:t xml:space="preserve">2014) </w:t>
      </w:r>
      <w:r>
        <w:t xml:space="preserve">Australian Government Attorney-General’s Department, </w:t>
      </w:r>
      <w:r w:rsidRPr="001140E6">
        <w:t xml:space="preserve">121-123, </w:t>
      </w:r>
      <w:proofErr w:type="gramStart"/>
      <w:r w:rsidRPr="001140E6">
        <w:t>132</w:t>
      </w:r>
      <w:proofErr w:type="gramEnd"/>
      <w:r w:rsidRPr="001140E6">
        <w:t xml:space="preserve">-139. At </w:t>
      </w:r>
      <w:hyperlink r:id="rId78" w:history="1">
        <w:r w:rsidRPr="009A5E49">
          <w:rPr>
            <w:rStyle w:val="Hyperlink"/>
          </w:rPr>
          <w:t>https://www.ag.gov.au/Publications/Pages/IndependentChildrensLawyersStudy.aspx</w:t>
        </w:r>
      </w:hyperlink>
      <w:r>
        <w:t xml:space="preserve">  (viewed 16 January 2018</w:t>
      </w:r>
      <w:r w:rsidRPr="001140E6">
        <w:t xml:space="preserve">); </w:t>
      </w:r>
      <w:r>
        <w:t xml:space="preserve">Office of the </w:t>
      </w:r>
      <w:r w:rsidRPr="001140E6">
        <w:t xml:space="preserve">ACT Children and Young People Commissioner, </w:t>
      </w:r>
      <w:r w:rsidRPr="001140E6">
        <w:rPr>
          <w:i/>
          <w:iCs/>
        </w:rPr>
        <w:t xml:space="preserve">Talking with children and young people about participation in family court proceedings </w:t>
      </w:r>
      <w:r w:rsidRPr="001140E6">
        <w:t>(</w:t>
      </w:r>
      <w:r>
        <w:t xml:space="preserve">August </w:t>
      </w:r>
      <w:r w:rsidRPr="001140E6">
        <w:t xml:space="preserve">2013) 17-28; Judy Cashmore &amp; Patrick Parkinson, ‘Children’s participation in family law disputes: The views of children, parents, lawyers and counsellors’ (2009) 82 </w:t>
      </w:r>
      <w:r w:rsidRPr="001140E6">
        <w:rPr>
          <w:i/>
          <w:iCs/>
        </w:rPr>
        <w:t xml:space="preserve">Family Matters </w:t>
      </w:r>
      <w:r w:rsidRPr="001140E6">
        <w:t xml:space="preserve">15, 17-18. At </w:t>
      </w:r>
      <w:hyperlink r:id="rId79" w:history="1">
        <w:r w:rsidRPr="00826A13">
          <w:rPr>
            <w:rStyle w:val="Hyperlink"/>
          </w:rPr>
          <w:t>https://aifs.gov.au/publications/family-matters/issue-82/children-s-participation-family-law-disputes</w:t>
        </w:r>
      </w:hyperlink>
      <w:r>
        <w:t xml:space="preserve"> (viewed 16 January 2018). </w:t>
      </w:r>
    </w:p>
  </w:endnote>
  <w:endnote w:id="139">
    <w:p w14:paraId="559F5240" w14:textId="77777777" w:rsidR="0070575F" w:rsidRPr="001140E6" w:rsidRDefault="0070575F" w:rsidP="00386FB0">
      <w:pPr>
        <w:pStyle w:val="EndnoteText"/>
      </w:pPr>
      <w:r w:rsidRPr="001140E6">
        <w:rPr>
          <w:rStyle w:val="EndnoteReference"/>
        </w:rPr>
        <w:endnoteRef/>
      </w:r>
      <w:r w:rsidRPr="001140E6">
        <w:t xml:space="preserve"> </w:t>
      </w:r>
      <w:r>
        <w:t xml:space="preserve">Office of the </w:t>
      </w:r>
      <w:r w:rsidRPr="001140E6">
        <w:t xml:space="preserve">ACT Children and Young People Commissioner, </w:t>
      </w:r>
      <w:r w:rsidRPr="001140E6">
        <w:rPr>
          <w:i/>
          <w:iCs/>
        </w:rPr>
        <w:t xml:space="preserve">Talking with children and young people about participation in family court proceedings </w:t>
      </w:r>
      <w:r>
        <w:t xml:space="preserve">(2013) 17. At </w:t>
      </w:r>
      <w:hyperlink r:id="rId80" w:history="1">
        <w:r w:rsidRPr="005E1718">
          <w:rPr>
            <w:rStyle w:val="Hyperlink"/>
          </w:rPr>
          <w:t>http://www.hrc.act.gov.au/res/Family%20Court%20Report.pdf</w:t>
        </w:r>
      </w:hyperlink>
      <w:r>
        <w:t xml:space="preserve"> (viewed 16 January 2018).</w:t>
      </w:r>
    </w:p>
  </w:endnote>
  <w:endnote w:id="140">
    <w:p w14:paraId="5C2336F7" w14:textId="77777777" w:rsidR="0070575F" w:rsidRPr="001140E6" w:rsidRDefault="0070575F" w:rsidP="00386FB0">
      <w:pPr>
        <w:pStyle w:val="EndnoteText"/>
      </w:pPr>
      <w:r w:rsidRPr="001140E6">
        <w:rPr>
          <w:rStyle w:val="EndnoteReference"/>
        </w:rPr>
        <w:endnoteRef/>
      </w:r>
      <w:r w:rsidRPr="001140E6">
        <w:t xml:space="preserve"> J</w:t>
      </w:r>
      <w:r>
        <w:t>oan</w:t>
      </w:r>
      <w:r w:rsidRPr="001140E6">
        <w:t xml:space="preserve"> Kelly, ‘Legal and educational interventions for families in residence and contact disputes’ (2001) 15(2) </w:t>
      </w:r>
      <w:r w:rsidRPr="001140E6">
        <w:rPr>
          <w:i/>
          <w:iCs/>
        </w:rPr>
        <w:t xml:space="preserve">Australian Journal of Family Law </w:t>
      </w:r>
      <w:r w:rsidRPr="001140E6">
        <w:t xml:space="preserve">92.  </w:t>
      </w:r>
    </w:p>
  </w:endnote>
  <w:endnote w:id="141">
    <w:p w14:paraId="4E009A24" w14:textId="77777777" w:rsidR="0070575F" w:rsidRDefault="0070575F">
      <w:pPr>
        <w:pStyle w:val="EndnoteText"/>
      </w:pPr>
      <w:r>
        <w:rPr>
          <w:rStyle w:val="EndnoteReference"/>
        </w:rPr>
        <w:endnoteRef/>
      </w:r>
      <w:r>
        <w:t xml:space="preserve"> Family Law Act, s </w:t>
      </w:r>
      <w:proofErr w:type="gramStart"/>
      <w:r>
        <w:t>68LA(</w:t>
      </w:r>
      <w:proofErr w:type="gramEnd"/>
      <w:r>
        <w:t>5).</w:t>
      </w:r>
    </w:p>
  </w:endnote>
  <w:endnote w:id="142">
    <w:p w14:paraId="08262CF3" w14:textId="77777777" w:rsidR="0070575F" w:rsidRDefault="0070575F">
      <w:pPr>
        <w:pStyle w:val="EndnoteText"/>
      </w:pPr>
      <w:r>
        <w:rPr>
          <w:rStyle w:val="EndnoteReference"/>
        </w:rPr>
        <w:endnoteRef/>
      </w:r>
      <w:r>
        <w:t xml:space="preserve"> </w:t>
      </w:r>
      <w:r w:rsidRPr="004A25E2">
        <w:rPr>
          <w:i/>
        </w:rPr>
        <w:t>Guidelines for Independent Children’s Lawyer</w:t>
      </w:r>
      <w:r>
        <w:rPr>
          <w:i/>
        </w:rPr>
        <w:t xml:space="preserve">s </w:t>
      </w:r>
      <w:r>
        <w:t xml:space="preserve">(2013), 6.2 </w:t>
      </w:r>
      <w:proofErr w:type="gramStart"/>
      <w:r>
        <w:t>At</w:t>
      </w:r>
      <w:proofErr w:type="gramEnd"/>
      <w:r>
        <w:t xml:space="preserve"> </w:t>
      </w:r>
      <w:hyperlink r:id="rId81" w:history="1">
        <w:r w:rsidRPr="00E078B5">
          <w:rPr>
            <w:rStyle w:val="Hyperlink"/>
          </w:rPr>
          <w:t>http://www.familycourt.gov.au/wps/wcm/connect/fcoaweb/about/policies-and-procedures/guidelines-independent-childrens-lawyer</w:t>
        </w:r>
      </w:hyperlink>
      <w:r>
        <w:t xml:space="preserve"> (viewed 30 April 2018).</w:t>
      </w:r>
    </w:p>
  </w:endnote>
  <w:endnote w:id="143">
    <w:p w14:paraId="3B971FE6" w14:textId="77777777" w:rsidR="0070575F" w:rsidRDefault="0070575F" w:rsidP="00835605">
      <w:pPr>
        <w:pStyle w:val="EndnoteText"/>
      </w:pPr>
      <w:r>
        <w:rPr>
          <w:rStyle w:val="EndnoteReference"/>
        </w:rPr>
        <w:endnoteRef/>
      </w:r>
      <w:r>
        <w:t xml:space="preserve"> </w:t>
      </w:r>
      <w:r w:rsidRPr="001140E6">
        <w:t xml:space="preserve">Rae </w:t>
      </w:r>
      <w:proofErr w:type="spellStart"/>
      <w:r w:rsidRPr="001140E6">
        <w:t>Kaspiew</w:t>
      </w:r>
      <w:proofErr w:type="spellEnd"/>
      <w:r w:rsidRPr="001140E6">
        <w:t xml:space="preserve"> et al, Attorney General’s Department, </w:t>
      </w:r>
      <w:r w:rsidRPr="001140E6">
        <w:rPr>
          <w:i/>
          <w:iCs/>
        </w:rPr>
        <w:t xml:space="preserve">Independent Children’s Lawyers Study: Final report (2nd </w:t>
      </w:r>
      <w:proofErr w:type="gramStart"/>
      <w:r w:rsidRPr="001140E6">
        <w:rPr>
          <w:i/>
          <w:iCs/>
        </w:rPr>
        <w:t>ed</w:t>
      </w:r>
      <w:proofErr w:type="gramEnd"/>
      <w:r w:rsidRPr="001140E6">
        <w:rPr>
          <w:i/>
          <w:iCs/>
        </w:rPr>
        <w:t xml:space="preserve">.) </w:t>
      </w:r>
      <w:r>
        <w:t>(2014) 121–123, 132–</w:t>
      </w:r>
      <w:r w:rsidRPr="001140E6">
        <w:t xml:space="preserve">139. At </w:t>
      </w:r>
      <w:hyperlink r:id="rId82" w:history="1">
        <w:r w:rsidRPr="009A5E49">
          <w:rPr>
            <w:rStyle w:val="Hyperlink"/>
          </w:rPr>
          <w:t>https://www.ag.gov.au/Publications/Pages/IndependentChildrensLawyersStudy.aspx</w:t>
        </w:r>
      </w:hyperlink>
      <w:r>
        <w:t xml:space="preserve">  (viewed 16 January 2018</w:t>
      </w:r>
      <w:r w:rsidRPr="001140E6">
        <w:t>)</w:t>
      </w:r>
      <w:r>
        <w:t xml:space="preserve"> </w:t>
      </w:r>
      <w:r>
        <w:rPr>
          <w:lang w:val="en"/>
        </w:rPr>
        <w:t xml:space="preserve">Australian Institute of Family Studies, </w:t>
      </w:r>
      <w:r>
        <w:rPr>
          <w:i/>
          <w:iCs/>
          <w:lang w:val="en"/>
        </w:rPr>
        <w:t xml:space="preserve">Independent Children’s Lawyers Study—Final Report, </w:t>
      </w:r>
      <w:r>
        <w:rPr>
          <w:lang w:val="en"/>
        </w:rPr>
        <w:t>2014 58.</w:t>
      </w:r>
    </w:p>
  </w:endnote>
  <w:endnote w:id="144">
    <w:p w14:paraId="2FAF882F" w14:textId="77777777" w:rsidR="0070575F" w:rsidRDefault="0070575F">
      <w:pPr>
        <w:pStyle w:val="EndnoteText"/>
      </w:pPr>
      <w:r>
        <w:rPr>
          <w:rStyle w:val="EndnoteReference"/>
        </w:rPr>
        <w:endnoteRef/>
      </w:r>
      <w:r>
        <w:t xml:space="preserve"> </w:t>
      </w:r>
      <w:r w:rsidRPr="001140E6">
        <w:t xml:space="preserve">Rae </w:t>
      </w:r>
      <w:proofErr w:type="spellStart"/>
      <w:r w:rsidRPr="001140E6">
        <w:t>Kaspiew</w:t>
      </w:r>
      <w:proofErr w:type="spellEnd"/>
      <w:r w:rsidRPr="001140E6">
        <w:t xml:space="preserve"> et al, Attorney General’s Department, </w:t>
      </w:r>
      <w:r w:rsidRPr="001140E6">
        <w:rPr>
          <w:i/>
          <w:iCs/>
        </w:rPr>
        <w:t>Indep</w:t>
      </w:r>
      <w:r>
        <w:rPr>
          <w:i/>
          <w:iCs/>
        </w:rPr>
        <w:t xml:space="preserve">endent Children’s Lawyers Study— </w:t>
      </w:r>
      <w:proofErr w:type="spellStart"/>
      <w:r>
        <w:rPr>
          <w:i/>
          <w:iCs/>
        </w:rPr>
        <w:t>FinalR</w:t>
      </w:r>
      <w:r w:rsidRPr="001140E6">
        <w:rPr>
          <w:i/>
          <w:iCs/>
        </w:rPr>
        <w:t>report</w:t>
      </w:r>
      <w:proofErr w:type="spellEnd"/>
      <w:r w:rsidRPr="001140E6">
        <w:rPr>
          <w:i/>
          <w:iCs/>
        </w:rPr>
        <w:t xml:space="preserve"> (2nd </w:t>
      </w:r>
      <w:proofErr w:type="gramStart"/>
      <w:r w:rsidRPr="001140E6">
        <w:rPr>
          <w:i/>
          <w:iCs/>
        </w:rPr>
        <w:t>ed</w:t>
      </w:r>
      <w:proofErr w:type="gramEnd"/>
      <w:r w:rsidRPr="001140E6">
        <w:rPr>
          <w:i/>
          <w:iCs/>
        </w:rPr>
        <w:t xml:space="preserve">.) </w:t>
      </w:r>
      <w:r>
        <w:t>(2014) 41</w:t>
      </w:r>
      <w:r w:rsidRPr="001140E6">
        <w:t xml:space="preserve">. At </w:t>
      </w:r>
      <w:hyperlink r:id="rId83" w:history="1">
        <w:r w:rsidRPr="009A5E49">
          <w:rPr>
            <w:rStyle w:val="Hyperlink"/>
          </w:rPr>
          <w:t>https://www.ag.gov.au/Publications/Pages/IndependentChildrensLawyersStudy.aspx</w:t>
        </w:r>
      </w:hyperlink>
      <w:r>
        <w:t xml:space="preserve">  (viewed 16 January 2018</w:t>
      </w:r>
      <w:r w:rsidRPr="001140E6">
        <w:t>)</w:t>
      </w:r>
      <w:r>
        <w:t xml:space="preserve"> </w:t>
      </w:r>
      <w:r>
        <w:rPr>
          <w:lang w:val="en"/>
        </w:rPr>
        <w:t xml:space="preserve">Australian Institute of Family Studies, </w:t>
      </w:r>
      <w:r>
        <w:rPr>
          <w:i/>
          <w:iCs/>
          <w:lang w:val="en"/>
        </w:rPr>
        <w:t xml:space="preserve">Independent Children’s Lawyers Study—Final Report, </w:t>
      </w:r>
      <w:r>
        <w:rPr>
          <w:lang w:val="en"/>
        </w:rPr>
        <w:t>2014 58.</w:t>
      </w:r>
    </w:p>
  </w:endnote>
  <w:endnote w:id="145">
    <w:p w14:paraId="7C082D71" w14:textId="77777777" w:rsidR="0070575F" w:rsidRPr="00C9393E" w:rsidRDefault="0070575F">
      <w:pPr>
        <w:pStyle w:val="EndnoteText"/>
        <w:rPr>
          <w:lang w:val="en-US"/>
        </w:rPr>
      </w:pPr>
      <w:r>
        <w:rPr>
          <w:rStyle w:val="EndnoteReference"/>
        </w:rPr>
        <w:endnoteRef/>
      </w:r>
      <w:r>
        <w:t xml:space="preserve"> </w:t>
      </w:r>
      <w:r w:rsidRPr="001140E6">
        <w:t xml:space="preserve">Rae </w:t>
      </w:r>
      <w:proofErr w:type="spellStart"/>
      <w:r w:rsidRPr="001140E6">
        <w:t>Kaspiew</w:t>
      </w:r>
      <w:proofErr w:type="spellEnd"/>
      <w:r w:rsidRPr="001140E6">
        <w:t xml:space="preserve"> et al, </w:t>
      </w:r>
      <w:r w:rsidRPr="001140E6">
        <w:rPr>
          <w:i/>
          <w:iCs/>
        </w:rPr>
        <w:t>Independent Childre</w:t>
      </w:r>
      <w:r>
        <w:rPr>
          <w:i/>
          <w:iCs/>
        </w:rPr>
        <w:t xml:space="preserve">n’s Lawyers Study: Final Report </w:t>
      </w:r>
      <w:r w:rsidRPr="00C66BD9">
        <w:rPr>
          <w:iCs/>
        </w:rPr>
        <w:t>(</w:t>
      </w:r>
      <w:proofErr w:type="gramStart"/>
      <w:r w:rsidRPr="00C66BD9">
        <w:rPr>
          <w:iCs/>
        </w:rPr>
        <w:t>2nd</w:t>
      </w:r>
      <w:proofErr w:type="gramEnd"/>
      <w:r w:rsidRPr="00C66BD9">
        <w:rPr>
          <w:iCs/>
        </w:rPr>
        <w:t xml:space="preserve"> </w:t>
      </w:r>
      <w:proofErr w:type="spellStart"/>
      <w:r w:rsidRPr="00C66BD9">
        <w:rPr>
          <w:iCs/>
        </w:rPr>
        <w:t>ed</w:t>
      </w:r>
      <w:proofErr w:type="spellEnd"/>
      <w:r w:rsidRPr="00C66BD9">
        <w:rPr>
          <w:iCs/>
        </w:rPr>
        <w:t xml:space="preserve">) </w:t>
      </w:r>
      <w:r w:rsidRPr="001140E6">
        <w:t>(</w:t>
      </w:r>
      <w:r>
        <w:t xml:space="preserve">June </w:t>
      </w:r>
      <w:r w:rsidRPr="001140E6">
        <w:t xml:space="preserve">2014) </w:t>
      </w:r>
      <w:r>
        <w:t>Australian Government Attorney-General’s Department, 122</w:t>
      </w:r>
      <w:r w:rsidRPr="001140E6">
        <w:t xml:space="preserve">. At </w:t>
      </w:r>
      <w:hyperlink r:id="rId84" w:history="1">
        <w:r w:rsidRPr="009A5E49">
          <w:rPr>
            <w:rStyle w:val="Hyperlink"/>
          </w:rPr>
          <w:t>https://www.ag.gov.au/Publications/Pages/IndependentChildrensLawyersStudy.aspx</w:t>
        </w:r>
      </w:hyperlink>
      <w:r>
        <w:t xml:space="preserve">  (viewed 16 January 2018</w:t>
      </w:r>
      <w:r w:rsidRPr="001140E6">
        <w:t>)</w:t>
      </w:r>
      <w:r>
        <w:t>.</w:t>
      </w:r>
    </w:p>
  </w:endnote>
  <w:endnote w:id="146">
    <w:p w14:paraId="60C434FF" w14:textId="77777777" w:rsidR="0070575F" w:rsidRPr="00C9393E" w:rsidRDefault="0070575F">
      <w:pPr>
        <w:pStyle w:val="EndnoteText"/>
        <w:rPr>
          <w:lang w:val="en-US"/>
        </w:rPr>
      </w:pPr>
      <w:r>
        <w:rPr>
          <w:rStyle w:val="EndnoteReference"/>
        </w:rPr>
        <w:endnoteRef/>
      </w:r>
      <w:r>
        <w:t xml:space="preserve"> </w:t>
      </w:r>
      <w:r w:rsidRPr="001140E6">
        <w:t xml:space="preserve">Rae </w:t>
      </w:r>
      <w:proofErr w:type="spellStart"/>
      <w:r w:rsidRPr="001140E6">
        <w:t>Kaspiew</w:t>
      </w:r>
      <w:proofErr w:type="spellEnd"/>
      <w:r w:rsidRPr="001140E6">
        <w:t xml:space="preserve"> et al, </w:t>
      </w:r>
      <w:r w:rsidRPr="001140E6">
        <w:rPr>
          <w:i/>
          <w:iCs/>
        </w:rPr>
        <w:t xml:space="preserve">Independent </w:t>
      </w:r>
      <w:r>
        <w:rPr>
          <w:i/>
          <w:iCs/>
        </w:rPr>
        <w:t>Children’s Lawyers Study: Final R</w:t>
      </w:r>
      <w:r w:rsidRPr="001140E6">
        <w:rPr>
          <w:i/>
          <w:iCs/>
        </w:rPr>
        <w:t xml:space="preserve">eport </w:t>
      </w:r>
      <w:r>
        <w:rPr>
          <w:iCs/>
        </w:rPr>
        <w:t>(</w:t>
      </w:r>
      <w:proofErr w:type="gramStart"/>
      <w:r>
        <w:rPr>
          <w:iCs/>
        </w:rPr>
        <w:t>2</w:t>
      </w:r>
      <w:r w:rsidRPr="00C66BD9">
        <w:rPr>
          <w:iCs/>
          <w:vertAlign w:val="superscript"/>
        </w:rPr>
        <w:t>nd</w:t>
      </w:r>
      <w:proofErr w:type="gramEnd"/>
      <w:r>
        <w:rPr>
          <w:iCs/>
        </w:rPr>
        <w:t xml:space="preserve"> </w:t>
      </w:r>
      <w:proofErr w:type="spellStart"/>
      <w:r>
        <w:rPr>
          <w:iCs/>
        </w:rPr>
        <w:t>ed</w:t>
      </w:r>
      <w:proofErr w:type="spellEnd"/>
      <w:r>
        <w:rPr>
          <w:iCs/>
        </w:rPr>
        <w:t>)</w:t>
      </w:r>
      <w:r w:rsidRPr="001140E6">
        <w:rPr>
          <w:i/>
          <w:iCs/>
        </w:rPr>
        <w:t xml:space="preserve"> </w:t>
      </w:r>
      <w:r w:rsidRPr="001140E6">
        <w:t>(</w:t>
      </w:r>
      <w:r>
        <w:t xml:space="preserve">June </w:t>
      </w:r>
      <w:r w:rsidRPr="001140E6">
        <w:t xml:space="preserve">2014) </w:t>
      </w:r>
      <w:r>
        <w:t>Australian Government Attorney-General’s Department, 42</w:t>
      </w:r>
      <w:r w:rsidRPr="001140E6">
        <w:t xml:space="preserve">. At </w:t>
      </w:r>
      <w:hyperlink r:id="rId85" w:history="1">
        <w:r w:rsidRPr="009A5E49">
          <w:rPr>
            <w:rStyle w:val="Hyperlink"/>
          </w:rPr>
          <w:t>https://www.ag.gov.au/Publications/Pages/IndependentChildrensLawyersStudy.aspx</w:t>
        </w:r>
      </w:hyperlink>
      <w:r>
        <w:t xml:space="preserve"> (viewed 16 January 2018).</w:t>
      </w:r>
    </w:p>
  </w:endnote>
  <w:endnote w:id="147">
    <w:p w14:paraId="6231F8AC" w14:textId="77777777" w:rsidR="0070575F" w:rsidRPr="00C9393E" w:rsidRDefault="0070575F">
      <w:pPr>
        <w:pStyle w:val="EndnoteText"/>
        <w:rPr>
          <w:lang w:val="en-US"/>
        </w:rPr>
      </w:pPr>
      <w:r>
        <w:rPr>
          <w:rStyle w:val="EndnoteReference"/>
        </w:rPr>
        <w:endnoteRef/>
      </w:r>
      <w:r>
        <w:t xml:space="preserve"> </w:t>
      </w:r>
      <w:r w:rsidRPr="001140E6">
        <w:t xml:space="preserve">Rae </w:t>
      </w:r>
      <w:proofErr w:type="spellStart"/>
      <w:r w:rsidRPr="001140E6">
        <w:t>Kaspiew</w:t>
      </w:r>
      <w:proofErr w:type="spellEnd"/>
      <w:r w:rsidRPr="001140E6">
        <w:t xml:space="preserve"> et al, </w:t>
      </w:r>
      <w:r w:rsidRPr="001140E6">
        <w:rPr>
          <w:i/>
          <w:iCs/>
        </w:rPr>
        <w:t>Independent Childre</w:t>
      </w:r>
      <w:r>
        <w:rPr>
          <w:i/>
          <w:iCs/>
        </w:rPr>
        <w:t>n’s Lawyers Study: Final Report</w:t>
      </w:r>
      <w:r w:rsidRPr="001140E6">
        <w:rPr>
          <w:i/>
          <w:iCs/>
        </w:rPr>
        <w:t xml:space="preserve"> </w:t>
      </w:r>
      <w:r>
        <w:rPr>
          <w:iCs/>
        </w:rPr>
        <w:t>(</w:t>
      </w:r>
      <w:proofErr w:type="gramStart"/>
      <w:r>
        <w:rPr>
          <w:iCs/>
        </w:rPr>
        <w:t>2</w:t>
      </w:r>
      <w:r w:rsidRPr="00C66BD9">
        <w:rPr>
          <w:iCs/>
          <w:vertAlign w:val="superscript"/>
        </w:rPr>
        <w:t>nd</w:t>
      </w:r>
      <w:proofErr w:type="gramEnd"/>
      <w:r>
        <w:rPr>
          <w:iCs/>
        </w:rPr>
        <w:t xml:space="preserve"> </w:t>
      </w:r>
      <w:proofErr w:type="spellStart"/>
      <w:r>
        <w:rPr>
          <w:iCs/>
        </w:rPr>
        <w:t>ed</w:t>
      </w:r>
      <w:proofErr w:type="spellEnd"/>
      <w:r>
        <w:rPr>
          <w:iCs/>
        </w:rPr>
        <w:t xml:space="preserve">) </w:t>
      </w:r>
      <w:r w:rsidRPr="001140E6">
        <w:t>(</w:t>
      </w:r>
      <w:r>
        <w:t xml:space="preserve">June </w:t>
      </w:r>
      <w:r w:rsidRPr="001140E6">
        <w:t xml:space="preserve">2014) </w:t>
      </w:r>
      <w:r>
        <w:t>Australian Government Attorney-General’s Department, 133</w:t>
      </w:r>
      <w:r w:rsidRPr="001140E6">
        <w:t xml:space="preserve">. At </w:t>
      </w:r>
      <w:hyperlink r:id="rId86" w:history="1">
        <w:r w:rsidRPr="009A5E49">
          <w:rPr>
            <w:rStyle w:val="Hyperlink"/>
          </w:rPr>
          <w:t>https://www.ag.gov.au/Publications/Pages/IndependentChildrensLawyersStudy.aspx</w:t>
        </w:r>
      </w:hyperlink>
      <w:r>
        <w:t xml:space="preserve"> (viewed 16 January 2018). </w:t>
      </w:r>
    </w:p>
  </w:endnote>
  <w:endnote w:id="148">
    <w:p w14:paraId="321DB6C0" w14:textId="749C8B17" w:rsidR="0070575F" w:rsidRPr="00C9393E" w:rsidRDefault="0070575F">
      <w:pPr>
        <w:pStyle w:val="EndnoteText"/>
        <w:rPr>
          <w:lang w:val="en-US"/>
        </w:rPr>
      </w:pPr>
      <w:r>
        <w:rPr>
          <w:rStyle w:val="EndnoteReference"/>
        </w:rPr>
        <w:endnoteRef/>
      </w:r>
      <w:r>
        <w:t xml:space="preserve"> </w:t>
      </w:r>
      <w:r w:rsidRPr="001140E6">
        <w:t xml:space="preserve">Rae </w:t>
      </w:r>
      <w:proofErr w:type="spellStart"/>
      <w:r w:rsidRPr="001140E6">
        <w:t>Kaspiew</w:t>
      </w:r>
      <w:proofErr w:type="spellEnd"/>
      <w:r w:rsidRPr="001140E6">
        <w:t xml:space="preserve"> et al, </w:t>
      </w:r>
      <w:r w:rsidRPr="001140E6">
        <w:rPr>
          <w:i/>
          <w:iCs/>
        </w:rPr>
        <w:t>Independent Childre</w:t>
      </w:r>
      <w:r>
        <w:rPr>
          <w:i/>
          <w:iCs/>
        </w:rPr>
        <w:t>n’s Lawyers Study: Final Report</w:t>
      </w:r>
      <w:r w:rsidRPr="001140E6">
        <w:rPr>
          <w:i/>
          <w:iCs/>
        </w:rPr>
        <w:t xml:space="preserve"> </w:t>
      </w:r>
      <w:r>
        <w:rPr>
          <w:iCs/>
        </w:rPr>
        <w:t>(</w:t>
      </w:r>
      <w:proofErr w:type="gramStart"/>
      <w:r>
        <w:rPr>
          <w:iCs/>
        </w:rPr>
        <w:t>2</w:t>
      </w:r>
      <w:r w:rsidRPr="00C66BD9">
        <w:rPr>
          <w:iCs/>
          <w:vertAlign w:val="superscript"/>
        </w:rPr>
        <w:t>nd</w:t>
      </w:r>
      <w:proofErr w:type="gramEnd"/>
      <w:r>
        <w:rPr>
          <w:iCs/>
        </w:rPr>
        <w:t xml:space="preserve"> </w:t>
      </w:r>
      <w:proofErr w:type="spellStart"/>
      <w:r>
        <w:rPr>
          <w:iCs/>
        </w:rPr>
        <w:t>ed</w:t>
      </w:r>
      <w:proofErr w:type="spellEnd"/>
      <w:r>
        <w:rPr>
          <w:iCs/>
        </w:rPr>
        <w:t xml:space="preserve">) </w:t>
      </w:r>
      <w:r w:rsidRPr="001140E6">
        <w:t>(</w:t>
      </w:r>
      <w:r>
        <w:t xml:space="preserve">June </w:t>
      </w:r>
      <w:r w:rsidRPr="001140E6">
        <w:t xml:space="preserve">2014) </w:t>
      </w:r>
      <w:r>
        <w:t>Australian Government Attorney-General’s Department, 136</w:t>
      </w:r>
      <w:r w:rsidRPr="001140E6">
        <w:t xml:space="preserve">. At </w:t>
      </w:r>
      <w:hyperlink r:id="rId87" w:history="1">
        <w:r w:rsidRPr="009A5E49">
          <w:rPr>
            <w:rStyle w:val="Hyperlink"/>
          </w:rPr>
          <w:t>https://www.ag.gov.au/Publications/Pages/IndependentChildrensLawyersStudy.aspx</w:t>
        </w:r>
      </w:hyperlink>
      <w:r>
        <w:t xml:space="preserve"> (viewed 16 January 2018</w:t>
      </w:r>
      <w:r w:rsidRPr="001140E6">
        <w:t>)</w:t>
      </w:r>
      <w:r>
        <w:t>.</w:t>
      </w:r>
    </w:p>
  </w:endnote>
  <w:endnote w:id="149">
    <w:p w14:paraId="38F8BC8A" w14:textId="77777777" w:rsidR="0070575F" w:rsidRPr="001140E6" w:rsidRDefault="0070575F" w:rsidP="00710D1C">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At </w:t>
      </w:r>
      <w:hyperlink r:id="rId88" w:history="1">
        <w:r w:rsidRPr="00003A7D">
          <w:rPr>
            <w:rStyle w:val="Hyperlink"/>
          </w:rPr>
          <w:t>https://aifs.gov.au/publications/family-matters/issue-92/childrens-direct-participation-and-views-australian-judges</w:t>
        </w:r>
      </w:hyperlink>
      <w:r>
        <w:t xml:space="preserve"> </w:t>
      </w:r>
      <w:r w:rsidRPr="001140E6">
        <w:t xml:space="preserve">(viewed 16 January 2018).  </w:t>
      </w:r>
    </w:p>
  </w:endnote>
  <w:endnote w:id="150">
    <w:p w14:paraId="3965DD57" w14:textId="77777777" w:rsidR="0070575F" w:rsidRPr="001140E6" w:rsidRDefault="0070575F" w:rsidP="00710D1C">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45. At </w:t>
      </w:r>
      <w:hyperlink r:id="rId89" w:history="1">
        <w:r w:rsidRPr="00003A7D">
          <w:rPr>
            <w:rStyle w:val="Hyperlink"/>
          </w:rPr>
          <w:t>https://aifs.gov.au/publications/family-matters/issue-92/childrens-direct-participation-and-views-australian-judges</w:t>
        </w:r>
      </w:hyperlink>
      <w:r>
        <w:t xml:space="preserve"> </w:t>
      </w:r>
      <w:r w:rsidRPr="001140E6">
        <w:t xml:space="preserve">(viewed 16 January 2018).  </w:t>
      </w:r>
    </w:p>
  </w:endnote>
  <w:endnote w:id="151">
    <w:p w14:paraId="13E918F7" w14:textId="77777777" w:rsidR="0070575F" w:rsidRPr="008418EB" w:rsidRDefault="0070575F">
      <w:pPr>
        <w:pStyle w:val="EndnoteText"/>
        <w:rPr>
          <w:lang w:val="en-US"/>
        </w:rPr>
      </w:pPr>
      <w:r>
        <w:rPr>
          <w:rStyle w:val="EndnoteReference"/>
        </w:rPr>
        <w:endnoteRef/>
      </w:r>
      <w:r>
        <w:t xml:space="preserve"> Anne </w:t>
      </w:r>
      <w:r>
        <w:rPr>
          <w:lang w:val="en"/>
        </w:rPr>
        <w:t xml:space="preserve">Graham and Robyn Fitzgerald, </w:t>
      </w:r>
      <w:r>
        <w:rPr>
          <w:i/>
          <w:lang w:val="en"/>
        </w:rPr>
        <w:t xml:space="preserve">Family Matters No. 84 – Exploring the promises and possibilities for children’s participation in Family Relationship </w:t>
      </w:r>
      <w:proofErr w:type="spellStart"/>
      <w:r>
        <w:rPr>
          <w:i/>
          <w:lang w:val="en"/>
        </w:rPr>
        <w:t>Centres</w:t>
      </w:r>
      <w:proofErr w:type="spellEnd"/>
      <w:r>
        <w:rPr>
          <w:lang w:val="en"/>
        </w:rPr>
        <w:t xml:space="preserve"> (May 2010) Australian Institute of family Studies 54. At </w:t>
      </w:r>
      <w:hyperlink r:id="rId90" w:history="1">
        <w:r w:rsidRPr="005E1718">
          <w:rPr>
            <w:rStyle w:val="Hyperlink"/>
            <w:lang w:val="en"/>
          </w:rPr>
          <w:t>https://aifs.gov.au/publications/family-matters/issue-84/exploring-promises-and-possibilities-childrens-participation-family-relationship-centres</w:t>
        </w:r>
      </w:hyperlink>
      <w:r>
        <w:rPr>
          <w:lang w:val="en"/>
        </w:rPr>
        <w:t xml:space="preserve">. </w:t>
      </w:r>
    </w:p>
  </w:endnote>
  <w:endnote w:id="152">
    <w:p w14:paraId="706F84B5" w14:textId="77777777" w:rsidR="0070575F" w:rsidRPr="008418EB" w:rsidRDefault="0070575F">
      <w:pPr>
        <w:pStyle w:val="EndnoteText"/>
        <w:rPr>
          <w:lang w:val="en-US"/>
        </w:rPr>
      </w:pPr>
      <w:r>
        <w:rPr>
          <w:rStyle w:val="EndnoteReference"/>
        </w:rPr>
        <w:endnoteRef/>
      </w:r>
      <w:r>
        <w:t xml:space="preserve"> Anne </w:t>
      </w:r>
      <w:r>
        <w:rPr>
          <w:lang w:val="en"/>
        </w:rPr>
        <w:t xml:space="preserve">Graham and Robyn Fitzgerald, </w:t>
      </w:r>
      <w:r>
        <w:rPr>
          <w:i/>
          <w:lang w:val="en"/>
        </w:rPr>
        <w:t xml:space="preserve">Family Matters No. 84—Exploring the promises and possibilities for children’s participation in Family Relationship </w:t>
      </w:r>
      <w:proofErr w:type="spellStart"/>
      <w:r>
        <w:rPr>
          <w:i/>
          <w:lang w:val="en"/>
        </w:rPr>
        <w:t>Centres</w:t>
      </w:r>
      <w:proofErr w:type="spellEnd"/>
      <w:r>
        <w:rPr>
          <w:lang w:val="en"/>
        </w:rPr>
        <w:t xml:space="preserve"> (May 2010) Australian Institute of family Studies 57. At </w:t>
      </w:r>
      <w:hyperlink r:id="rId91" w:history="1">
        <w:r w:rsidRPr="005E1718">
          <w:rPr>
            <w:rStyle w:val="Hyperlink"/>
            <w:lang w:val="en"/>
          </w:rPr>
          <w:t>https://aifs.gov.au/publications/family-matters/issue-84/exploring-promises-and-possibilities-childrens-participation-family-relationship-centres</w:t>
        </w:r>
      </w:hyperlink>
      <w:r>
        <w:rPr>
          <w:lang w:val="en"/>
        </w:rPr>
        <w:t xml:space="preserve">. </w:t>
      </w:r>
    </w:p>
  </w:endnote>
  <w:endnote w:id="153">
    <w:p w14:paraId="014310D0" w14:textId="77777777" w:rsidR="0070575F" w:rsidRPr="00387740" w:rsidRDefault="0070575F">
      <w:pPr>
        <w:pStyle w:val="EndnoteText"/>
        <w:rPr>
          <w:lang w:val="en-US"/>
        </w:rPr>
      </w:pPr>
      <w:r>
        <w:rPr>
          <w:rStyle w:val="EndnoteReference"/>
        </w:rPr>
        <w:endnoteRef/>
      </w:r>
      <w:r>
        <w:t xml:space="preserve"> </w:t>
      </w:r>
      <w:r w:rsidRPr="001140E6">
        <w:t xml:space="preserve">Rae </w:t>
      </w:r>
      <w:proofErr w:type="spellStart"/>
      <w:r w:rsidRPr="001140E6">
        <w:t>Kaspiew</w:t>
      </w:r>
      <w:proofErr w:type="spellEnd"/>
      <w:r w:rsidRPr="001140E6">
        <w:t xml:space="preserve"> et al, </w:t>
      </w:r>
      <w:r w:rsidRPr="001140E6">
        <w:rPr>
          <w:i/>
          <w:iCs/>
        </w:rPr>
        <w:t>Independent C</w:t>
      </w:r>
      <w:r>
        <w:rPr>
          <w:i/>
          <w:iCs/>
        </w:rPr>
        <w:t xml:space="preserve">hildren’s Lawyers Study: Final Report </w:t>
      </w:r>
      <w:r>
        <w:rPr>
          <w:iCs/>
        </w:rPr>
        <w:t>(</w:t>
      </w:r>
      <w:proofErr w:type="gramStart"/>
      <w:r w:rsidRPr="005F3A58">
        <w:rPr>
          <w:iCs/>
        </w:rPr>
        <w:t>2nd</w:t>
      </w:r>
      <w:proofErr w:type="gramEnd"/>
      <w:r w:rsidRPr="005F3A58">
        <w:rPr>
          <w:iCs/>
        </w:rPr>
        <w:t xml:space="preserve"> </w:t>
      </w:r>
      <w:proofErr w:type="spellStart"/>
      <w:r w:rsidRPr="005F3A58">
        <w:rPr>
          <w:iCs/>
        </w:rPr>
        <w:t>ed</w:t>
      </w:r>
      <w:proofErr w:type="spellEnd"/>
      <w:r w:rsidRPr="005F3A58">
        <w:rPr>
          <w:iCs/>
        </w:rPr>
        <w:t>)</w:t>
      </w:r>
      <w:r w:rsidRPr="001140E6">
        <w:rPr>
          <w:i/>
          <w:iCs/>
        </w:rPr>
        <w:t xml:space="preserve"> </w:t>
      </w:r>
      <w:r w:rsidRPr="001140E6">
        <w:t>(</w:t>
      </w:r>
      <w:r>
        <w:t xml:space="preserve">June </w:t>
      </w:r>
      <w:r w:rsidRPr="001140E6">
        <w:t xml:space="preserve">2014) </w:t>
      </w:r>
      <w:r>
        <w:t>Australian Government Attorney-General’s Department, xii</w:t>
      </w:r>
      <w:r w:rsidRPr="001140E6">
        <w:t xml:space="preserve">. At </w:t>
      </w:r>
      <w:hyperlink r:id="rId92" w:history="1">
        <w:r w:rsidRPr="009A5E49">
          <w:rPr>
            <w:rStyle w:val="Hyperlink"/>
          </w:rPr>
          <w:t>https://www.ag.gov.au/Publications/Pages/IndependentChildrensLawyersStudy.aspx</w:t>
        </w:r>
      </w:hyperlink>
      <w:r>
        <w:t xml:space="preserve"> (viewed 16 January 2018). </w:t>
      </w:r>
    </w:p>
  </w:endnote>
  <w:endnote w:id="154">
    <w:p w14:paraId="04E8B530" w14:textId="77777777" w:rsidR="0070575F" w:rsidRDefault="0070575F">
      <w:pPr>
        <w:pStyle w:val="EndnoteText"/>
      </w:pPr>
      <w:r>
        <w:rPr>
          <w:rStyle w:val="EndnoteReference"/>
        </w:rPr>
        <w:endnoteRef/>
      </w:r>
      <w:r>
        <w:t xml:space="preserve"> </w:t>
      </w:r>
      <w:r w:rsidRPr="001140E6">
        <w:t xml:space="preserve">Rae </w:t>
      </w:r>
      <w:proofErr w:type="spellStart"/>
      <w:r w:rsidRPr="001140E6">
        <w:t>Kaspiew</w:t>
      </w:r>
      <w:proofErr w:type="spellEnd"/>
      <w:r w:rsidRPr="001140E6">
        <w:t xml:space="preserve"> et al, </w:t>
      </w:r>
      <w:r w:rsidRPr="001140E6">
        <w:rPr>
          <w:i/>
          <w:iCs/>
        </w:rPr>
        <w:t xml:space="preserve">Independent Children’s Lawyers Study: Final report </w:t>
      </w:r>
      <w:r>
        <w:rPr>
          <w:iCs/>
        </w:rPr>
        <w:t>(2</w:t>
      </w:r>
      <w:r w:rsidRPr="005F3A58">
        <w:rPr>
          <w:iCs/>
          <w:vertAlign w:val="superscript"/>
        </w:rPr>
        <w:t>nd</w:t>
      </w:r>
      <w:r>
        <w:rPr>
          <w:iCs/>
        </w:rPr>
        <w:t xml:space="preserve"> </w:t>
      </w:r>
      <w:proofErr w:type="spellStart"/>
      <w:proofErr w:type="gramStart"/>
      <w:r>
        <w:rPr>
          <w:iCs/>
        </w:rPr>
        <w:t>ed</w:t>
      </w:r>
      <w:proofErr w:type="spellEnd"/>
      <w:proofErr w:type="gramEnd"/>
      <w:r>
        <w:rPr>
          <w:iCs/>
        </w:rPr>
        <w:t>)</w:t>
      </w:r>
      <w:r w:rsidRPr="001140E6">
        <w:rPr>
          <w:i/>
          <w:iCs/>
        </w:rPr>
        <w:t xml:space="preserve"> </w:t>
      </w:r>
      <w:r w:rsidRPr="001140E6">
        <w:t>(</w:t>
      </w:r>
      <w:r>
        <w:t xml:space="preserve">June </w:t>
      </w:r>
      <w:r w:rsidRPr="001140E6">
        <w:t xml:space="preserve">2014) </w:t>
      </w:r>
      <w:r>
        <w:t>Australian Government Attorney-General’s Department, 121-122</w:t>
      </w:r>
      <w:r w:rsidRPr="001140E6">
        <w:t xml:space="preserve">. At </w:t>
      </w:r>
      <w:hyperlink r:id="rId93" w:history="1">
        <w:r w:rsidRPr="009A5E49">
          <w:rPr>
            <w:rStyle w:val="Hyperlink"/>
          </w:rPr>
          <w:t>https://www.ag.gov.au/Publications/Pages/IndependentChildrensLawyersStudy.aspx</w:t>
        </w:r>
      </w:hyperlink>
      <w:r>
        <w:t xml:space="preserve"> (viewed 16 January 2018</w:t>
      </w:r>
      <w:r w:rsidRPr="001140E6">
        <w:t xml:space="preserve">); </w:t>
      </w:r>
      <w:r>
        <w:t xml:space="preserve">Office of the </w:t>
      </w:r>
      <w:r w:rsidRPr="001140E6">
        <w:t xml:space="preserve">ACT Children and Young People Commissioner, </w:t>
      </w:r>
      <w:r w:rsidRPr="001140E6">
        <w:rPr>
          <w:i/>
          <w:iCs/>
        </w:rPr>
        <w:t xml:space="preserve">Talking with children and young people about participation in family court proceedings </w:t>
      </w:r>
      <w:r>
        <w:t>(2013) 17.</w:t>
      </w:r>
      <w:r w:rsidRPr="001140E6">
        <w:t xml:space="preserve"> </w:t>
      </w:r>
      <w:r>
        <w:t xml:space="preserve">At </w:t>
      </w:r>
      <w:hyperlink r:id="rId94" w:history="1">
        <w:r w:rsidRPr="005E1718">
          <w:rPr>
            <w:rStyle w:val="Hyperlink"/>
          </w:rPr>
          <w:t>http://www.hrc.act.gov.au/res/Family%20Court%20Report.pdf</w:t>
        </w:r>
      </w:hyperlink>
      <w:r>
        <w:t xml:space="preserve"> (viewed 16 January 2018).</w:t>
      </w:r>
    </w:p>
  </w:endnote>
  <w:endnote w:id="155">
    <w:p w14:paraId="6E7B99B3" w14:textId="77777777" w:rsidR="0070575F" w:rsidRDefault="0070575F">
      <w:pPr>
        <w:pStyle w:val="EndnoteText"/>
      </w:pPr>
      <w:r>
        <w:rPr>
          <w:rStyle w:val="EndnoteReference"/>
        </w:rPr>
        <w:endnoteRef/>
      </w:r>
      <w:r>
        <w:t xml:space="preserve"> Family Law Act, s 68P. </w:t>
      </w:r>
    </w:p>
  </w:endnote>
  <w:endnote w:id="156">
    <w:p w14:paraId="16C45442" w14:textId="77777777" w:rsidR="0070575F" w:rsidRDefault="0070575F" w:rsidP="004143DD">
      <w:pPr>
        <w:pStyle w:val="EndnoteText"/>
      </w:pPr>
      <w:r>
        <w:rPr>
          <w:rStyle w:val="EndnoteReference"/>
        </w:rPr>
        <w:endnoteRef/>
      </w:r>
      <w:r>
        <w:t xml:space="preserve"> </w:t>
      </w:r>
      <w:r w:rsidRPr="00AE50A5">
        <w:t>Family Law Amendment (Family Violence and Other Measures) Bill 2017</w:t>
      </w:r>
      <w:r>
        <w:t xml:space="preserve"> (</w:t>
      </w:r>
      <w:proofErr w:type="spellStart"/>
      <w:r>
        <w:t>Cth</w:t>
      </w:r>
      <w:proofErr w:type="spellEnd"/>
      <w:r>
        <w:t>)</w:t>
      </w:r>
      <w:r w:rsidRPr="00AE50A5">
        <w:t xml:space="preserve">, </w:t>
      </w:r>
      <w:r>
        <w:t xml:space="preserve">Schedule </w:t>
      </w:r>
      <w:proofErr w:type="gramStart"/>
      <w:r>
        <w:t>1</w:t>
      </w:r>
      <w:proofErr w:type="gramEnd"/>
      <w:r>
        <w:t xml:space="preserve"> Item 17.</w:t>
      </w:r>
    </w:p>
  </w:endnote>
  <w:endnote w:id="157">
    <w:p w14:paraId="04E135AE" w14:textId="77777777" w:rsidR="0070575F" w:rsidRDefault="0070575F" w:rsidP="00B978D5">
      <w:pPr>
        <w:pStyle w:val="EndnoteText"/>
      </w:pPr>
      <w:r>
        <w:rPr>
          <w:rStyle w:val="EndnoteReference"/>
        </w:rPr>
        <w:endnoteRef/>
      </w:r>
      <w:r>
        <w:t xml:space="preserve"> </w:t>
      </w:r>
      <w:r w:rsidRPr="007912FB">
        <w:t xml:space="preserve">Megan Mitchell, National Children’s Commissioner, Submission to the Commonwealth Attorney-General’s Department on </w:t>
      </w:r>
      <w:r w:rsidRPr="005914B5">
        <w:t xml:space="preserve">the </w:t>
      </w:r>
      <w:r w:rsidRPr="005914B5">
        <w:rPr>
          <w:i/>
        </w:rPr>
        <w:t xml:space="preserve">Exposure Draft of Proposed Amendments to the </w:t>
      </w:r>
      <w:r w:rsidRPr="007912FB">
        <w:rPr>
          <w:i/>
        </w:rPr>
        <w:t>Family Law Act 1975</w:t>
      </w:r>
      <w:r w:rsidRPr="005914B5">
        <w:rPr>
          <w:i/>
        </w:rPr>
        <w:t xml:space="preserve"> (</w:t>
      </w:r>
      <w:proofErr w:type="spellStart"/>
      <w:r w:rsidRPr="005914B5">
        <w:rPr>
          <w:i/>
        </w:rPr>
        <w:t>Cth</w:t>
      </w:r>
      <w:proofErr w:type="spellEnd"/>
      <w:r w:rsidRPr="005914B5">
        <w:rPr>
          <w:i/>
        </w:rPr>
        <w:t>) to Respond to Family Violence</w:t>
      </w:r>
      <w:r w:rsidRPr="005914B5">
        <w:t xml:space="preserve"> (20 January </w:t>
      </w:r>
      <w:r w:rsidRPr="007912FB">
        <w:t>2017</w:t>
      </w:r>
      <w:r w:rsidRPr="005914B5">
        <w:t>)</w:t>
      </w:r>
      <w:r w:rsidRPr="007912FB">
        <w:t xml:space="preserve">. At </w:t>
      </w:r>
      <w:hyperlink r:id="rId95" w:history="1">
        <w:r w:rsidRPr="007912FB">
          <w:rPr>
            <w:rStyle w:val="Hyperlink"/>
          </w:rPr>
          <w:t>https://www.ag.gov.au/Consultations/Pages/Proposed-amendments-to-the-Family-Law-Act-1975-to-respond-to-family-violence.aspx</w:t>
        </w:r>
      </w:hyperlink>
      <w:r w:rsidRPr="007912FB">
        <w:t xml:space="preserve"> (viewed 16 January 2018).</w:t>
      </w:r>
      <w:r>
        <w:t xml:space="preserve"> </w:t>
      </w:r>
    </w:p>
  </w:endnote>
  <w:endnote w:id="158">
    <w:p w14:paraId="4ED5158C" w14:textId="77777777" w:rsidR="0070575F" w:rsidRDefault="0070575F">
      <w:pPr>
        <w:pStyle w:val="EndnoteText"/>
      </w:pPr>
      <w:r>
        <w:rPr>
          <w:rStyle w:val="EndnoteReference"/>
        </w:rPr>
        <w:endnoteRef/>
      </w:r>
      <w:r>
        <w:t xml:space="preserve"> Australian Human Rights Commission, Submission to the Senate Legal and Constitutional Affairs Legislation Committee, Parliament of Australia</w:t>
      </w:r>
      <w:r w:rsidRPr="005914B5">
        <w:rPr>
          <w:i/>
        </w:rPr>
        <w:t>, Inquiry into the Family Law Amendment (Family Violence and Other Measures) Bill 2017</w:t>
      </w:r>
      <w:r>
        <w:t xml:space="preserve"> (7 February 2018). At </w:t>
      </w:r>
      <w:hyperlink r:id="rId96" w:history="1">
        <w:r w:rsidRPr="008B601B">
          <w:rPr>
            <w:rStyle w:val="Hyperlink"/>
          </w:rPr>
          <w:t>https://www.humanrights.gov.au/submissions/family-law-amendment-family-violence-and-other-measures-bill-2017</w:t>
        </w:r>
      </w:hyperlink>
      <w:r>
        <w:t xml:space="preserve">. </w:t>
      </w:r>
    </w:p>
  </w:endnote>
  <w:endnote w:id="159">
    <w:p w14:paraId="5FA884AF" w14:textId="77777777" w:rsidR="0070575F" w:rsidRDefault="0070575F" w:rsidP="004143DD">
      <w:pPr>
        <w:pStyle w:val="EndnoteText"/>
      </w:pPr>
      <w:r>
        <w:rPr>
          <w:rStyle w:val="EndnoteReference"/>
        </w:rPr>
        <w:endnoteRef/>
      </w:r>
      <w:r>
        <w:t xml:space="preserve"> </w:t>
      </w:r>
      <w:r>
        <w:rPr>
          <w:iCs/>
        </w:rPr>
        <w:t>Family Law Act</w:t>
      </w:r>
      <w:r>
        <w:t xml:space="preserve">, s </w:t>
      </w:r>
      <w:proofErr w:type="gramStart"/>
      <w:r>
        <w:t>68P(</w:t>
      </w:r>
      <w:proofErr w:type="gramEnd"/>
      <w:r>
        <w:t xml:space="preserve">2)(c).  </w:t>
      </w:r>
    </w:p>
  </w:endnote>
  <w:endnote w:id="160">
    <w:p w14:paraId="5EF70BD5" w14:textId="77777777" w:rsidR="0070575F" w:rsidRDefault="0070575F" w:rsidP="004143DD">
      <w:pPr>
        <w:pStyle w:val="EndnoteText"/>
      </w:pPr>
      <w:r>
        <w:rPr>
          <w:rStyle w:val="EndnoteReference"/>
        </w:rPr>
        <w:endnoteRef/>
      </w:r>
      <w:r>
        <w:t xml:space="preserve"> </w:t>
      </w:r>
      <w:r>
        <w:rPr>
          <w:iCs/>
        </w:rPr>
        <w:t>Family Law Act</w:t>
      </w:r>
      <w:r>
        <w:t xml:space="preserve">, s </w:t>
      </w:r>
      <w:proofErr w:type="gramStart"/>
      <w:r>
        <w:t>68P(</w:t>
      </w:r>
      <w:proofErr w:type="gramEnd"/>
      <w:r>
        <w:t xml:space="preserve">2)(d).  </w:t>
      </w:r>
    </w:p>
  </w:endnote>
  <w:endnote w:id="161">
    <w:p w14:paraId="468DD78D" w14:textId="77777777" w:rsidR="0070575F" w:rsidRPr="001140E6" w:rsidRDefault="0070575F" w:rsidP="00F90F11">
      <w:pPr>
        <w:pStyle w:val="EndnoteText"/>
      </w:pPr>
      <w:r w:rsidRPr="001140E6">
        <w:rPr>
          <w:rStyle w:val="EndnoteReference"/>
        </w:rPr>
        <w:endnoteRef/>
      </w:r>
      <w:r w:rsidRPr="001140E6">
        <w:t xml:space="preserve"> Judy Cashmore &amp; Patrick Parkinson, ‘Children’s participation in family law disputes: The views of children, parents, lawyers and counsellors’ (2009) 82 </w:t>
      </w:r>
      <w:r w:rsidRPr="001140E6">
        <w:rPr>
          <w:i/>
          <w:iCs/>
        </w:rPr>
        <w:t xml:space="preserve">Family Matters </w:t>
      </w:r>
      <w:r w:rsidRPr="001140E6">
        <w:t xml:space="preserve">15, 15. At </w:t>
      </w:r>
      <w:hyperlink r:id="rId97" w:history="1">
        <w:r w:rsidRPr="009A5E49">
          <w:rPr>
            <w:rStyle w:val="Hyperlink"/>
          </w:rPr>
          <w:t>https://aifs.gov.au/publications/family-matters/issue-82/children-s-participation-family-law-disputes</w:t>
        </w:r>
      </w:hyperlink>
      <w:r>
        <w:t xml:space="preserve"> </w:t>
      </w:r>
      <w:r w:rsidRPr="001140E6">
        <w:t xml:space="preserve"> (viewed 16 January 2018); Michelle Fernando, ‘Children’s direct participation and the views of Australian judges’ (2013) 92 </w:t>
      </w:r>
      <w:r w:rsidRPr="001140E6">
        <w:rPr>
          <w:i/>
          <w:iCs/>
        </w:rPr>
        <w:t xml:space="preserve">Family Matters </w:t>
      </w:r>
      <w:r w:rsidRPr="001140E6">
        <w:t xml:space="preserve">40, 41. At </w:t>
      </w:r>
      <w:hyperlink r:id="rId98" w:history="1">
        <w:r w:rsidRPr="00003A7D">
          <w:rPr>
            <w:rStyle w:val="Hyperlink"/>
          </w:rPr>
          <w:t>https://aifs.gov.au/publications/family-matters/issue-92/childrens-direct-participation-and-views-australian-judges</w:t>
        </w:r>
      </w:hyperlink>
      <w:r>
        <w:t xml:space="preserve"> </w:t>
      </w:r>
      <w:r w:rsidRPr="001140E6">
        <w:t xml:space="preserve">(viewed 16 January 2018).  </w:t>
      </w:r>
    </w:p>
  </w:endnote>
  <w:endnote w:id="162">
    <w:p w14:paraId="4A9308A6" w14:textId="77777777" w:rsidR="0070575F" w:rsidRPr="001140E6" w:rsidRDefault="0070575F" w:rsidP="00F90F11">
      <w:pPr>
        <w:pStyle w:val="Default"/>
        <w:rPr>
          <w:sz w:val="20"/>
          <w:szCs w:val="20"/>
        </w:rPr>
      </w:pPr>
      <w:r w:rsidRPr="001140E6">
        <w:rPr>
          <w:rStyle w:val="EndnoteReference"/>
          <w:szCs w:val="20"/>
        </w:rPr>
        <w:endnoteRef/>
      </w:r>
      <w:r>
        <w:rPr>
          <w:sz w:val="20"/>
          <w:szCs w:val="20"/>
        </w:rPr>
        <w:t xml:space="preserve"> Judy Cashmore and</w:t>
      </w:r>
      <w:r w:rsidRPr="001140E6">
        <w:rPr>
          <w:sz w:val="20"/>
          <w:szCs w:val="20"/>
        </w:rPr>
        <w:t xml:space="preserve"> Patrick Parkinson, ‘Children’s participation in family law disputes: The views of children, parents, lawyers and counsellors’ (2009) 82 </w:t>
      </w:r>
      <w:r w:rsidRPr="001140E6">
        <w:rPr>
          <w:i/>
          <w:iCs/>
          <w:sz w:val="20"/>
          <w:szCs w:val="20"/>
        </w:rPr>
        <w:t xml:space="preserve">Family Matters </w:t>
      </w:r>
      <w:r>
        <w:rPr>
          <w:sz w:val="20"/>
          <w:szCs w:val="20"/>
        </w:rPr>
        <w:t>15</w:t>
      </w:r>
      <w:r w:rsidRPr="001140E6">
        <w:rPr>
          <w:sz w:val="20"/>
          <w:szCs w:val="20"/>
        </w:rPr>
        <w:t xml:space="preserve">. At </w:t>
      </w:r>
      <w:hyperlink r:id="rId99" w:history="1">
        <w:r w:rsidRPr="001140E6">
          <w:rPr>
            <w:rStyle w:val="Hyperlink"/>
            <w:sz w:val="20"/>
            <w:szCs w:val="20"/>
          </w:rPr>
          <w:t>https://aifs.gov.au/publications/family-matters/issue-82/children-s-participation-family-law-disputes</w:t>
        </w:r>
      </w:hyperlink>
      <w:r w:rsidRPr="001140E6">
        <w:rPr>
          <w:sz w:val="20"/>
          <w:szCs w:val="20"/>
        </w:rPr>
        <w:t xml:space="preserve"> (viewed 16 January 2018); </w:t>
      </w:r>
      <w:r w:rsidRPr="009C6E22">
        <w:rPr>
          <w:sz w:val="20"/>
          <w:szCs w:val="20"/>
        </w:rPr>
        <w:t xml:space="preserve">Office of the ACT Children and Young People Commissioner, </w:t>
      </w:r>
      <w:r w:rsidRPr="005914B5">
        <w:rPr>
          <w:i/>
          <w:sz w:val="20"/>
          <w:szCs w:val="20"/>
        </w:rPr>
        <w:t>Talking with children and young people about participation in family court proceedings</w:t>
      </w:r>
      <w:r>
        <w:rPr>
          <w:sz w:val="20"/>
          <w:szCs w:val="20"/>
        </w:rPr>
        <w:t xml:space="preserve"> (2013) 5. </w:t>
      </w:r>
      <w:r w:rsidRPr="009C6E22">
        <w:rPr>
          <w:sz w:val="20"/>
          <w:szCs w:val="20"/>
        </w:rPr>
        <w:t>At http://www.hrc.act.gov.au/res/Family%20Court%20Report.pdf (viewed 16 January 2018)</w:t>
      </w:r>
      <w:r>
        <w:rPr>
          <w:sz w:val="20"/>
          <w:szCs w:val="20"/>
        </w:rPr>
        <w:t>.</w:t>
      </w:r>
    </w:p>
  </w:endnote>
  <w:endnote w:id="163">
    <w:p w14:paraId="05BFACA3" w14:textId="3FF9DDB9" w:rsidR="0070575F" w:rsidRPr="002E675E" w:rsidRDefault="0070575F" w:rsidP="00282411">
      <w:pPr>
        <w:pStyle w:val="EndnoteText"/>
        <w:rPr>
          <w:lang w:val="en-US"/>
        </w:rPr>
      </w:pPr>
      <w:r>
        <w:rPr>
          <w:rStyle w:val="EndnoteReference"/>
        </w:rPr>
        <w:endnoteRef/>
      </w:r>
      <w:r>
        <w:t xml:space="preserve"> </w:t>
      </w:r>
      <w:r w:rsidRPr="001140E6">
        <w:t xml:space="preserve">Rae </w:t>
      </w:r>
      <w:proofErr w:type="spellStart"/>
      <w:r w:rsidRPr="001140E6">
        <w:t>Kaspiew</w:t>
      </w:r>
      <w:proofErr w:type="spellEnd"/>
      <w:r w:rsidRPr="001140E6">
        <w:t xml:space="preserve"> et al, </w:t>
      </w:r>
      <w:r w:rsidRPr="001140E6">
        <w:rPr>
          <w:i/>
          <w:iCs/>
        </w:rPr>
        <w:t>Independent Childre</w:t>
      </w:r>
      <w:r>
        <w:rPr>
          <w:i/>
          <w:iCs/>
        </w:rPr>
        <w:t>n’s Lawyers Study: Final Report</w:t>
      </w:r>
      <w:r>
        <w:rPr>
          <w:iCs/>
        </w:rPr>
        <w:t xml:space="preserve"> (</w:t>
      </w:r>
      <w:proofErr w:type="gramStart"/>
      <w:r>
        <w:rPr>
          <w:iCs/>
        </w:rPr>
        <w:t>2</w:t>
      </w:r>
      <w:r w:rsidRPr="005F3A58">
        <w:rPr>
          <w:iCs/>
          <w:vertAlign w:val="superscript"/>
        </w:rPr>
        <w:t>nd</w:t>
      </w:r>
      <w:proofErr w:type="gramEnd"/>
      <w:r>
        <w:rPr>
          <w:iCs/>
        </w:rPr>
        <w:t xml:space="preserve"> </w:t>
      </w:r>
      <w:proofErr w:type="spellStart"/>
      <w:r>
        <w:rPr>
          <w:iCs/>
        </w:rPr>
        <w:t>ed</w:t>
      </w:r>
      <w:proofErr w:type="spellEnd"/>
      <w:r>
        <w:rPr>
          <w:iCs/>
        </w:rPr>
        <w:t>)</w:t>
      </w:r>
      <w:r w:rsidRPr="001140E6">
        <w:rPr>
          <w:i/>
          <w:iCs/>
        </w:rPr>
        <w:t xml:space="preserve"> </w:t>
      </w:r>
      <w:r w:rsidRPr="001140E6">
        <w:t>(</w:t>
      </w:r>
      <w:r>
        <w:t xml:space="preserve">June </w:t>
      </w:r>
      <w:r w:rsidRPr="001140E6">
        <w:t xml:space="preserve">2014) </w:t>
      </w:r>
      <w:r>
        <w:t>Australian Government Attorney-General’s Department</w:t>
      </w:r>
      <w:r w:rsidRPr="001140E6">
        <w:t xml:space="preserve">. At </w:t>
      </w:r>
      <w:hyperlink r:id="rId100" w:history="1">
        <w:r w:rsidRPr="009A5E49">
          <w:rPr>
            <w:rStyle w:val="Hyperlink"/>
          </w:rPr>
          <w:t>https://www.ag.gov.au/Publications/Pages/IndependentChildrensLawyersStudy.aspx</w:t>
        </w:r>
      </w:hyperlink>
      <w:r>
        <w:t xml:space="preserve">  (viewed 16 January 2018).</w:t>
      </w:r>
    </w:p>
  </w:endnote>
  <w:endnote w:id="164">
    <w:p w14:paraId="3BD59C94" w14:textId="036C4F13" w:rsidR="0070575F" w:rsidRPr="00A83467" w:rsidRDefault="0070575F">
      <w:pPr>
        <w:pStyle w:val="EndnoteText"/>
        <w:rPr>
          <w:lang w:val="en-US"/>
        </w:rPr>
      </w:pPr>
      <w:r>
        <w:rPr>
          <w:rStyle w:val="EndnoteReference"/>
        </w:rPr>
        <w:endnoteRef/>
      </w:r>
      <w:r>
        <w:t xml:space="preserve"> </w:t>
      </w:r>
      <w:r w:rsidRPr="001140E6">
        <w:t xml:space="preserve">Rae </w:t>
      </w:r>
      <w:proofErr w:type="spellStart"/>
      <w:r w:rsidRPr="001140E6">
        <w:t>Kaspiew</w:t>
      </w:r>
      <w:proofErr w:type="spellEnd"/>
      <w:r w:rsidRPr="001140E6">
        <w:t xml:space="preserve"> et al, </w:t>
      </w:r>
      <w:r w:rsidRPr="001140E6">
        <w:rPr>
          <w:i/>
          <w:iCs/>
        </w:rPr>
        <w:t>Independent Childre</w:t>
      </w:r>
      <w:r>
        <w:rPr>
          <w:i/>
          <w:iCs/>
        </w:rPr>
        <w:t>n’s Lawyers Study: Final Report</w:t>
      </w:r>
      <w:r>
        <w:rPr>
          <w:iCs/>
        </w:rPr>
        <w:t xml:space="preserve"> (</w:t>
      </w:r>
      <w:proofErr w:type="gramStart"/>
      <w:r>
        <w:rPr>
          <w:iCs/>
        </w:rPr>
        <w:t>2</w:t>
      </w:r>
      <w:r w:rsidRPr="005F3A58">
        <w:rPr>
          <w:iCs/>
          <w:vertAlign w:val="superscript"/>
        </w:rPr>
        <w:t>nd</w:t>
      </w:r>
      <w:proofErr w:type="gramEnd"/>
      <w:r>
        <w:rPr>
          <w:iCs/>
        </w:rPr>
        <w:t xml:space="preserve"> </w:t>
      </w:r>
      <w:proofErr w:type="spellStart"/>
      <w:r>
        <w:rPr>
          <w:iCs/>
        </w:rPr>
        <w:t>ed</w:t>
      </w:r>
      <w:proofErr w:type="spellEnd"/>
      <w:r>
        <w:rPr>
          <w:iCs/>
        </w:rPr>
        <w:t>)</w:t>
      </w:r>
      <w:r w:rsidRPr="001140E6">
        <w:rPr>
          <w:i/>
          <w:iCs/>
        </w:rPr>
        <w:t xml:space="preserve"> </w:t>
      </w:r>
      <w:r w:rsidRPr="001140E6">
        <w:t>(</w:t>
      </w:r>
      <w:r>
        <w:t xml:space="preserve">June </w:t>
      </w:r>
      <w:r w:rsidRPr="001140E6">
        <w:t xml:space="preserve">2014) </w:t>
      </w:r>
      <w:r>
        <w:t xml:space="preserve">Australian Government Attorney-General’s Department 47–48. </w:t>
      </w:r>
      <w:r w:rsidRPr="001140E6">
        <w:t xml:space="preserve">At </w:t>
      </w:r>
      <w:hyperlink r:id="rId101" w:history="1">
        <w:r w:rsidRPr="009A5E49">
          <w:rPr>
            <w:rStyle w:val="Hyperlink"/>
          </w:rPr>
          <w:t>https://www.ag.gov.au/Publications/Pages/IndependentChildrensLawyersStudy.aspx</w:t>
        </w:r>
      </w:hyperlink>
      <w:r>
        <w:t xml:space="preserve">  (viewed 16 January 2018).</w:t>
      </w:r>
    </w:p>
  </w:endnote>
  <w:endnote w:id="165">
    <w:p w14:paraId="254EA502" w14:textId="77777777" w:rsidR="0070575F" w:rsidRDefault="0070575F" w:rsidP="003C36BF">
      <w:pPr>
        <w:pStyle w:val="EndnoteText"/>
      </w:pPr>
      <w:r>
        <w:rPr>
          <w:rStyle w:val="EndnoteReference"/>
        </w:rPr>
        <w:endnoteRef/>
      </w:r>
      <w:r>
        <w:t xml:space="preserve"> </w:t>
      </w:r>
      <w:r w:rsidRPr="001140E6">
        <w:t xml:space="preserve">Committee on the Rights of the Child, </w:t>
      </w:r>
      <w:r w:rsidRPr="001140E6">
        <w:rPr>
          <w:i/>
          <w:iCs/>
        </w:rPr>
        <w:t>General Comment No.12: The right of the child to be heard</w:t>
      </w:r>
      <w:r w:rsidRPr="001140E6">
        <w:t xml:space="preserve">, </w:t>
      </w:r>
      <w:r>
        <w:t>51</w:t>
      </w:r>
      <w:r w:rsidRPr="00F047E1">
        <w:rPr>
          <w:vertAlign w:val="superscript"/>
        </w:rPr>
        <w:t>st</w:t>
      </w:r>
      <w:r>
        <w:t xml:space="preserve"> session, </w:t>
      </w:r>
      <w:r w:rsidRPr="001140E6">
        <w:t>UN D</w:t>
      </w:r>
      <w:r>
        <w:t>oc CRC/C/GC/12 (1 July 2009) [34</w:t>
      </w:r>
      <w:r w:rsidRPr="001140E6">
        <w:t xml:space="preserve">].  </w:t>
      </w:r>
    </w:p>
  </w:endnote>
  <w:endnote w:id="166">
    <w:p w14:paraId="551D159E" w14:textId="77777777" w:rsidR="0070575F" w:rsidRPr="003C7101" w:rsidRDefault="0070575F">
      <w:pPr>
        <w:pStyle w:val="EndnoteText"/>
        <w:rPr>
          <w:lang w:val="en-US"/>
        </w:rPr>
      </w:pPr>
      <w:r>
        <w:rPr>
          <w:rStyle w:val="EndnoteReference"/>
        </w:rPr>
        <w:endnoteRef/>
      </w:r>
      <w:r>
        <w:t xml:space="preserve"> </w:t>
      </w:r>
      <w:r w:rsidRPr="007912FB">
        <w:rPr>
          <w:lang w:val="en"/>
        </w:rPr>
        <w:t xml:space="preserve">Committee on the Rights of the Child, </w:t>
      </w:r>
      <w:r w:rsidRPr="005914B5">
        <w:rPr>
          <w:i/>
          <w:lang w:val="en"/>
        </w:rPr>
        <w:t>General Comment No. 12: The right of the child to be heard</w:t>
      </w:r>
      <w:r w:rsidRPr="007912FB">
        <w:rPr>
          <w:lang w:val="en"/>
        </w:rPr>
        <w:t xml:space="preserve">, </w:t>
      </w:r>
      <w:r w:rsidRPr="005914B5">
        <w:rPr>
          <w:lang w:val="en"/>
        </w:rPr>
        <w:t>51</w:t>
      </w:r>
      <w:r w:rsidRPr="005914B5">
        <w:rPr>
          <w:vertAlign w:val="superscript"/>
          <w:lang w:val="en"/>
        </w:rPr>
        <w:t>st</w:t>
      </w:r>
      <w:r w:rsidRPr="005914B5">
        <w:rPr>
          <w:lang w:val="en"/>
        </w:rPr>
        <w:t xml:space="preserve"> session, UN Doc </w:t>
      </w:r>
      <w:r w:rsidRPr="007912FB">
        <w:rPr>
          <w:lang w:val="en"/>
        </w:rPr>
        <w:t>CRC/C/GC/12</w:t>
      </w:r>
      <w:r w:rsidRPr="005914B5">
        <w:rPr>
          <w:lang w:val="en"/>
        </w:rPr>
        <w:t xml:space="preserve">20 (1 July 2009) </w:t>
      </w:r>
      <w:r w:rsidRPr="007912FB">
        <w:rPr>
          <w:lang w:val="en"/>
        </w:rPr>
        <w:t>9</w:t>
      </w:r>
      <w:r>
        <w:rPr>
          <w:lang w:val="en-US"/>
        </w:rPr>
        <w:t>.</w:t>
      </w:r>
    </w:p>
  </w:endnote>
  <w:endnote w:id="167">
    <w:p w14:paraId="57D32AB5" w14:textId="77777777" w:rsidR="0070575F" w:rsidRPr="001140E6" w:rsidRDefault="0070575F" w:rsidP="00F90F11">
      <w:pPr>
        <w:pStyle w:val="EndnoteText"/>
      </w:pPr>
      <w:r w:rsidRPr="001140E6">
        <w:rPr>
          <w:rStyle w:val="EndnoteReference"/>
        </w:rPr>
        <w:endnoteRef/>
      </w:r>
      <w:r w:rsidRPr="001140E6">
        <w:t xml:space="preserve"> </w:t>
      </w:r>
      <w:r>
        <w:t xml:space="preserve">Office of the </w:t>
      </w:r>
      <w:r w:rsidRPr="001140E6">
        <w:t xml:space="preserve">ACT Children and Young People Commissioner, </w:t>
      </w:r>
      <w:r w:rsidRPr="001140E6">
        <w:rPr>
          <w:i/>
          <w:iCs/>
        </w:rPr>
        <w:t xml:space="preserve">Talking with children and young people about participation in family court proceedings </w:t>
      </w:r>
      <w:r>
        <w:t>(2013) 17.</w:t>
      </w:r>
      <w:r w:rsidRPr="001140E6">
        <w:t xml:space="preserve"> </w:t>
      </w:r>
      <w:r>
        <w:t xml:space="preserve">At </w:t>
      </w:r>
      <w:hyperlink r:id="rId102" w:history="1">
        <w:r w:rsidRPr="005E1718">
          <w:rPr>
            <w:rStyle w:val="Hyperlink"/>
          </w:rPr>
          <w:t>http://www.hrc.act.gov.au/res/Family%20Court%20Report.pdf</w:t>
        </w:r>
      </w:hyperlink>
      <w:r>
        <w:t xml:space="preserve"> (viewed 16 January 2018).</w:t>
      </w:r>
      <w:r w:rsidRPr="001140E6">
        <w:t xml:space="preserve"> </w:t>
      </w:r>
    </w:p>
  </w:endnote>
  <w:endnote w:id="168">
    <w:p w14:paraId="5B1A5990" w14:textId="77777777" w:rsidR="0070575F" w:rsidRPr="001140E6" w:rsidRDefault="0070575F" w:rsidP="00F90F11">
      <w:pPr>
        <w:pStyle w:val="EndnoteText"/>
      </w:pPr>
      <w:r w:rsidRPr="001140E6">
        <w:rPr>
          <w:rStyle w:val="EndnoteReference"/>
        </w:rPr>
        <w:endnoteRef/>
      </w:r>
      <w:r w:rsidRPr="001140E6">
        <w:t xml:space="preserve"> J</w:t>
      </w:r>
      <w:r>
        <w:t>oan</w:t>
      </w:r>
      <w:r w:rsidRPr="001140E6">
        <w:t xml:space="preserve"> Kelly, ‘Legal and educational interventions for families in residence and contact disputes’ (2001) 15(2) </w:t>
      </w:r>
      <w:r w:rsidRPr="001140E6">
        <w:rPr>
          <w:i/>
          <w:iCs/>
        </w:rPr>
        <w:t xml:space="preserve">Australian Journal of Family Law </w:t>
      </w:r>
      <w:r w:rsidRPr="001140E6">
        <w:t xml:space="preserve">92.  </w:t>
      </w:r>
    </w:p>
  </w:endnote>
  <w:endnote w:id="169">
    <w:p w14:paraId="1CEAD42A" w14:textId="77777777" w:rsidR="0070575F" w:rsidRPr="001140E6" w:rsidRDefault="0070575F" w:rsidP="00F90F11">
      <w:pPr>
        <w:pStyle w:val="EndnoteText"/>
      </w:pPr>
      <w:r w:rsidRPr="001140E6">
        <w:rPr>
          <w:rStyle w:val="EndnoteReference"/>
        </w:rPr>
        <w:endnoteRef/>
      </w:r>
      <w:r>
        <w:t xml:space="preserve"> Judy Cashmore and</w:t>
      </w:r>
      <w:r w:rsidRPr="001140E6">
        <w:t xml:space="preserve"> Patrick Parkinson, ‘Children’s participation in family law disputes: The views of children, parents, lawyers and counsellors’ (2009) 82 </w:t>
      </w:r>
      <w:r w:rsidRPr="001140E6">
        <w:rPr>
          <w:i/>
          <w:iCs/>
        </w:rPr>
        <w:t xml:space="preserve">Family Matters </w:t>
      </w:r>
      <w:r w:rsidRPr="001140E6">
        <w:t xml:space="preserve">15, 18. At https://aifs.gov.au/publications/family-matters/issue-82/children-s-participation-family-law-disputes (viewed 16 January 2018).  </w:t>
      </w:r>
    </w:p>
  </w:endnote>
  <w:endnote w:id="170">
    <w:p w14:paraId="77DA037B" w14:textId="77777777" w:rsidR="0070575F" w:rsidRPr="00635A16" w:rsidRDefault="0070575F">
      <w:pPr>
        <w:pStyle w:val="EndnoteText"/>
        <w:rPr>
          <w:lang w:val="en-US"/>
        </w:rPr>
      </w:pPr>
      <w:r>
        <w:rPr>
          <w:rStyle w:val="EndnoteReference"/>
        </w:rPr>
        <w:endnoteRef/>
      </w:r>
      <w:r>
        <w:t xml:space="preserve"> Anne </w:t>
      </w:r>
      <w:r>
        <w:rPr>
          <w:lang w:val="en"/>
        </w:rPr>
        <w:t xml:space="preserve">Graham and Robyn Fitzgerald, </w:t>
      </w:r>
      <w:r>
        <w:rPr>
          <w:i/>
          <w:lang w:val="en"/>
        </w:rPr>
        <w:t xml:space="preserve">Family Matters No. 84—Exploring the promises and possibilities for children’s participation in Family Relationship </w:t>
      </w:r>
      <w:proofErr w:type="spellStart"/>
      <w:r>
        <w:rPr>
          <w:i/>
          <w:lang w:val="en"/>
        </w:rPr>
        <w:t>Centres</w:t>
      </w:r>
      <w:proofErr w:type="spellEnd"/>
      <w:r>
        <w:rPr>
          <w:lang w:val="en"/>
        </w:rPr>
        <w:t xml:space="preserve"> (May 2010) Australian Institute of Family Studies, 55. At </w:t>
      </w:r>
      <w:hyperlink r:id="rId103" w:history="1">
        <w:r w:rsidRPr="005E1718">
          <w:rPr>
            <w:rStyle w:val="Hyperlink"/>
            <w:lang w:val="en"/>
          </w:rPr>
          <w:t>https://aifs.gov.au/publications/family-matters/issue-84/exploring-promises-and-possibilities-childrens-participation-family-relationship-centres</w:t>
        </w:r>
      </w:hyperlink>
      <w:r>
        <w:rPr>
          <w:lang w:val="en"/>
        </w:rPr>
        <w:t xml:space="preserve">. </w:t>
      </w:r>
    </w:p>
  </w:endnote>
  <w:endnote w:id="171">
    <w:p w14:paraId="01C476AE" w14:textId="77777777" w:rsidR="0070575F" w:rsidRDefault="0070575F">
      <w:pPr>
        <w:pStyle w:val="EndnoteText"/>
      </w:pPr>
      <w:r>
        <w:rPr>
          <w:rStyle w:val="EndnoteReference"/>
        </w:rPr>
        <w:endnoteRef/>
      </w:r>
      <w:r>
        <w:t xml:space="preserve"> See Australian Human Rights Commission, </w:t>
      </w:r>
      <w:r w:rsidRPr="00453254">
        <w:rPr>
          <w:i/>
        </w:rPr>
        <w:t>Children’s Rights Report 2013</w:t>
      </w:r>
      <w:r>
        <w:t xml:space="preserve"> (2013). At </w:t>
      </w:r>
      <w:hyperlink r:id="rId104" w:history="1">
        <w:r w:rsidRPr="00E078B5">
          <w:rPr>
            <w:rStyle w:val="Hyperlink"/>
          </w:rPr>
          <w:t>https://www.humanrights.gov.au/our-work/childrens-rights/publications/childrens-rights-report-2013</w:t>
        </w:r>
      </w:hyperlink>
      <w:r>
        <w:t xml:space="preserve"> (viewed 30 April 2018).</w:t>
      </w:r>
    </w:p>
  </w:endnote>
  <w:endnote w:id="172">
    <w:p w14:paraId="6909A163" w14:textId="77777777" w:rsidR="0070575F" w:rsidRPr="00873DBA" w:rsidRDefault="0070575F">
      <w:pPr>
        <w:pStyle w:val="EndnoteText"/>
        <w:rPr>
          <w:lang w:val="en-US"/>
        </w:rPr>
      </w:pPr>
      <w:r>
        <w:rPr>
          <w:rStyle w:val="EndnoteReference"/>
        </w:rPr>
        <w:endnoteRef/>
      </w:r>
      <w:r>
        <w:t xml:space="preserve"> Australian Institute of Family Studies, Children and Young People in Separated Families project. At </w:t>
      </w:r>
      <w:hyperlink r:id="rId105" w:history="1">
        <w:r w:rsidRPr="00950D90">
          <w:rPr>
            <w:rStyle w:val="Hyperlink"/>
          </w:rPr>
          <w:t>https://aifs.gov.au/projects/children-and-young-people-separated-families</w:t>
        </w:r>
      </w:hyperlink>
      <w:r>
        <w:t xml:space="preserve"> (viewed 17 April 2018).</w:t>
      </w:r>
    </w:p>
  </w:endnote>
  <w:endnote w:id="173">
    <w:p w14:paraId="31814B4E" w14:textId="77777777" w:rsidR="0070575F" w:rsidRPr="003B0A77" w:rsidRDefault="0070575F">
      <w:pPr>
        <w:pStyle w:val="EndnoteText"/>
        <w:rPr>
          <w:lang w:val="en-US"/>
        </w:rPr>
      </w:pPr>
      <w:r>
        <w:rPr>
          <w:rStyle w:val="EndnoteReference"/>
        </w:rPr>
        <w:endnoteRef/>
      </w:r>
      <w:r>
        <w:t xml:space="preserve"> Family Law Pathways Network South Australia</w:t>
      </w:r>
      <w:r w:rsidRPr="005914B5">
        <w:rPr>
          <w:i/>
        </w:rPr>
        <w:t>,</w:t>
      </w:r>
      <w:r>
        <w:t xml:space="preserve"> </w:t>
      </w:r>
      <w:r>
        <w:rPr>
          <w:i/>
        </w:rPr>
        <w:t xml:space="preserve">Young Peoples Family Law Advisory </w:t>
      </w:r>
      <w:r w:rsidRPr="007912FB">
        <w:rPr>
          <w:i/>
        </w:rPr>
        <w:t>Group</w:t>
      </w:r>
      <w:r>
        <w:t xml:space="preserve">. </w:t>
      </w:r>
      <w:proofErr w:type="gramStart"/>
      <w:r>
        <w:t xml:space="preserve">At </w:t>
      </w:r>
      <w:r>
        <w:rPr>
          <w:i/>
        </w:rPr>
        <w:t xml:space="preserve"> </w:t>
      </w:r>
      <w:proofErr w:type="gramEnd"/>
      <w:r w:rsidR="00EC14A3">
        <w:rPr>
          <w:rStyle w:val="Hyperlink"/>
        </w:rPr>
        <w:fldChar w:fldCharType="begin"/>
      </w:r>
      <w:r w:rsidR="00EC14A3">
        <w:rPr>
          <w:rStyle w:val="Hyperlink"/>
        </w:rPr>
        <w:instrText xml:space="preserve"> HYPERLINK </w:instrText>
      </w:r>
      <w:r w:rsidR="00EC14A3">
        <w:rPr>
          <w:rStyle w:val="Hyperlink"/>
        </w:rPr>
        <w:instrText xml:space="preserve">"https://www.pathwaysnetworksa.com.au/ypflag/" </w:instrText>
      </w:r>
      <w:r w:rsidR="00EC14A3">
        <w:rPr>
          <w:rStyle w:val="Hyperlink"/>
        </w:rPr>
        <w:fldChar w:fldCharType="separate"/>
      </w:r>
      <w:r w:rsidRPr="00950D90">
        <w:rPr>
          <w:rStyle w:val="Hyperlink"/>
        </w:rPr>
        <w:t>https://www.pathwaysnetworksa.com.au/ypflag/</w:t>
      </w:r>
      <w:r w:rsidR="00EC14A3">
        <w:rPr>
          <w:rStyle w:val="Hyperlink"/>
        </w:rPr>
        <w:fldChar w:fldCharType="end"/>
      </w:r>
      <w:r>
        <w:t xml:space="preserve">. </w:t>
      </w:r>
    </w:p>
  </w:endnote>
  <w:endnote w:id="174">
    <w:p w14:paraId="4832AEE0" w14:textId="77777777" w:rsidR="0070575F" w:rsidRDefault="0070575F">
      <w:pPr>
        <w:pStyle w:val="EndnoteText"/>
      </w:pPr>
      <w:r>
        <w:rPr>
          <w:rStyle w:val="EndnoteReference"/>
        </w:rPr>
        <w:endnoteRef/>
      </w:r>
      <w:r>
        <w:t xml:space="preserve"> </w:t>
      </w:r>
      <w:r w:rsidRPr="007912FB">
        <w:rPr>
          <w:rFonts w:cs="Arial"/>
        </w:rPr>
        <w:t>Committee</w:t>
      </w:r>
      <w:r w:rsidRPr="005522C2">
        <w:rPr>
          <w:rFonts w:cs="Arial"/>
        </w:rPr>
        <w:t xml:space="preserve"> on the Rights of the Child, </w:t>
      </w:r>
      <w:r w:rsidRPr="005522C2">
        <w:rPr>
          <w:rFonts w:cs="Arial"/>
          <w:i/>
        </w:rPr>
        <w:t>General Comment No 14 (2013) on the rights of the child to have his or her best interests taken as a primary consideration (art. 3, para.1)</w:t>
      </w:r>
      <w:r w:rsidRPr="005522C2">
        <w:rPr>
          <w:rFonts w:cs="Arial"/>
        </w:rPr>
        <w:t>, UN Doc CRC/C/GC/14 (29 May 2013) [</w:t>
      </w:r>
      <w:r>
        <w:rPr>
          <w:rFonts w:cs="Arial"/>
        </w:rPr>
        <w:t>9</w:t>
      </w:r>
      <w:r w:rsidRPr="005522C2">
        <w:rPr>
          <w:rFonts w:cs="Arial"/>
        </w:rPr>
        <w:t>4].</w:t>
      </w:r>
    </w:p>
  </w:endnote>
  <w:endnote w:id="175">
    <w:p w14:paraId="5B6BA269" w14:textId="77777777" w:rsidR="0070575F" w:rsidRPr="00860E6A" w:rsidRDefault="0070575F">
      <w:pPr>
        <w:pStyle w:val="EndnoteText"/>
      </w:pPr>
      <w:r>
        <w:rPr>
          <w:rStyle w:val="EndnoteReference"/>
        </w:rPr>
        <w:endnoteRef/>
      </w:r>
      <w:r>
        <w:t xml:space="preserve"> Family Court of Australia, </w:t>
      </w:r>
      <w:r>
        <w:rPr>
          <w:i/>
        </w:rPr>
        <w:t>Annual Report 2016-17</w:t>
      </w:r>
      <w:r>
        <w:t>, 2017, 6.</w:t>
      </w:r>
    </w:p>
  </w:endnote>
  <w:endnote w:id="176">
    <w:p w14:paraId="4B428A95" w14:textId="77777777" w:rsidR="0070575F" w:rsidRPr="001140E6" w:rsidRDefault="0070575F" w:rsidP="004143DD">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At </w:t>
      </w:r>
      <w:hyperlink r:id="rId106" w:history="1">
        <w:r w:rsidRPr="00003A7D">
          <w:rPr>
            <w:rStyle w:val="Hyperlink"/>
          </w:rPr>
          <w:t>https://aifs.gov.au/publications/family-matters/issue-92/childrens-direct-participation-and-views-australian-judges</w:t>
        </w:r>
      </w:hyperlink>
      <w:r>
        <w:t xml:space="preserve"> </w:t>
      </w:r>
      <w:r w:rsidRPr="001140E6">
        <w:t xml:space="preserve">(viewed 16 January 2018).  </w:t>
      </w:r>
    </w:p>
  </w:endnote>
  <w:endnote w:id="177">
    <w:p w14:paraId="52CB5A4F" w14:textId="77777777" w:rsidR="0070575F" w:rsidRPr="001140E6" w:rsidRDefault="0070575F" w:rsidP="004143DD">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41. At </w:t>
      </w:r>
      <w:hyperlink r:id="rId107" w:history="1">
        <w:r w:rsidRPr="00003A7D">
          <w:rPr>
            <w:rStyle w:val="Hyperlink"/>
          </w:rPr>
          <w:t>https://aifs.gov.au/publications/family-matters/issue-92/childrens-direct-participation-and-views-australian-judges</w:t>
        </w:r>
      </w:hyperlink>
      <w:r>
        <w:t xml:space="preserve"> </w:t>
      </w:r>
      <w:r w:rsidRPr="001140E6">
        <w:t xml:space="preserve">(viewed 16 January 2018).  </w:t>
      </w:r>
    </w:p>
  </w:endnote>
  <w:endnote w:id="178">
    <w:p w14:paraId="5E545CEB" w14:textId="77777777" w:rsidR="0070575F" w:rsidRPr="001140E6" w:rsidRDefault="0070575F" w:rsidP="004143DD">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45. At </w:t>
      </w:r>
      <w:hyperlink r:id="rId108" w:history="1">
        <w:r w:rsidRPr="00003A7D">
          <w:rPr>
            <w:rStyle w:val="Hyperlink"/>
          </w:rPr>
          <w:t>https://aifs.gov.au/publications/family-matters/issue-92/childrens-direct-participation-and-views-australian-judges</w:t>
        </w:r>
      </w:hyperlink>
      <w:r>
        <w:t xml:space="preserve"> </w:t>
      </w:r>
      <w:r w:rsidRPr="001140E6">
        <w:t xml:space="preserve">(viewed 16 January 2018).  </w:t>
      </w:r>
    </w:p>
  </w:endnote>
  <w:endnote w:id="179">
    <w:p w14:paraId="657D8381" w14:textId="77777777" w:rsidR="0070575F" w:rsidRDefault="0070575F">
      <w:pPr>
        <w:pStyle w:val="EndnoteText"/>
      </w:pPr>
      <w:r>
        <w:rPr>
          <w:rStyle w:val="EndnoteReference"/>
        </w:rPr>
        <w:endnoteRef/>
      </w:r>
      <w:r>
        <w:t xml:space="preserve"> </w:t>
      </w:r>
      <w:r w:rsidRPr="00D63302">
        <w:t xml:space="preserve">Committee on the Rights of the Child, General Comment No.12: The right of the child to be heard, </w:t>
      </w:r>
      <w:r>
        <w:t>51</w:t>
      </w:r>
      <w:r w:rsidRPr="00F047E1">
        <w:rPr>
          <w:vertAlign w:val="superscript"/>
        </w:rPr>
        <w:t>st</w:t>
      </w:r>
      <w:r>
        <w:t xml:space="preserve"> session, </w:t>
      </w:r>
      <w:r w:rsidRPr="00D63302">
        <w:t xml:space="preserve">UN Doc CRC/C/GC/12 (1 July 2009) [34].  </w:t>
      </w:r>
    </w:p>
  </w:endnote>
  <w:endnote w:id="180">
    <w:p w14:paraId="1B2AC76E" w14:textId="77777777" w:rsidR="0070575F" w:rsidRDefault="0070575F">
      <w:pPr>
        <w:pStyle w:val="EndnoteText"/>
      </w:pPr>
      <w:r>
        <w:rPr>
          <w:rStyle w:val="EndnoteReference"/>
        </w:rPr>
        <w:endnoteRef/>
      </w:r>
      <w:r>
        <w:t xml:space="preserve"> </w:t>
      </w:r>
      <w:r w:rsidRPr="00D63302">
        <w:t xml:space="preserve">Mick </w:t>
      </w:r>
      <w:proofErr w:type="spellStart"/>
      <w:r w:rsidRPr="00D63302">
        <w:t>Gooda</w:t>
      </w:r>
      <w:proofErr w:type="spellEnd"/>
      <w:r w:rsidRPr="00D63302">
        <w:t xml:space="preserve">, </w:t>
      </w:r>
      <w:r w:rsidRPr="005522C2">
        <w:rPr>
          <w:i/>
        </w:rPr>
        <w:t>Social Justice Report 2011</w:t>
      </w:r>
      <w:r>
        <w:t xml:space="preserve"> (24 October 2011)</w:t>
      </w:r>
      <w:r w:rsidRPr="00D63302">
        <w:t xml:space="preserve"> Australian Human Rights Commission,</w:t>
      </w:r>
      <w:r>
        <w:t xml:space="preserve"> 125, 153</w:t>
      </w:r>
      <w:r w:rsidRPr="00D63302">
        <w:t xml:space="preserve">. </w:t>
      </w:r>
      <w:r>
        <w:t xml:space="preserve">At </w:t>
      </w:r>
      <w:hyperlink r:id="rId109" w:history="1">
        <w:r w:rsidRPr="005E1718">
          <w:rPr>
            <w:rStyle w:val="Hyperlink"/>
          </w:rPr>
          <w:t>https://www.humanrights.gov.au/our-work/aboriginal-and-torres-strait-islander-social-justice/publications/social-justice-report-3</w:t>
        </w:r>
      </w:hyperlink>
      <w:r>
        <w:t xml:space="preserve"> (viewed 23 April 2018)</w:t>
      </w:r>
    </w:p>
  </w:endnote>
  <w:endnote w:id="181">
    <w:p w14:paraId="53317916" w14:textId="77777777" w:rsidR="0070575F" w:rsidRDefault="0070575F">
      <w:pPr>
        <w:pStyle w:val="EndnoteText"/>
      </w:pPr>
      <w:r>
        <w:rPr>
          <w:rStyle w:val="EndnoteReference"/>
        </w:rPr>
        <w:endnoteRef/>
      </w:r>
      <w:r>
        <w:t xml:space="preserve"> </w:t>
      </w:r>
      <w:r w:rsidRPr="00D63302">
        <w:t xml:space="preserve">Human Rights and Equal Opportunity Commission, </w:t>
      </w:r>
      <w:r w:rsidRPr="005914B5">
        <w:rPr>
          <w:i/>
        </w:rPr>
        <w:t xml:space="preserve">Bringing them Home: National Inquiry into the Separation of Aboriginal and Torres Strait Islander Children from their Families </w:t>
      </w:r>
      <w:r w:rsidRPr="00D63302">
        <w:t>(1997)</w:t>
      </w:r>
      <w:r>
        <w:t xml:space="preserve"> Australian Human Rights Commission</w:t>
      </w:r>
      <w:r w:rsidRPr="00D63302">
        <w:t xml:space="preserve">, </w:t>
      </w:r>
      <w:r>
        <w:t>C</w:t>
      </w:r>
      <w:r w:rsidRPr="00D63302">
        <w:t>hapter 23.</w:t>
      </w:r>
      <w:r>
        <w:t xml:space="preserve"> At </w:t>
      </w:r>
      <w:hyperlink r:id="rId110" w:history="1">
        <w:r w:rsidRPr="005E1718">
          <w:rPr>
            <w:rStyle w:val="Hyperlink"/>
          </w:rPr>
          <w:t>https://www.humanrights.gov.au/sites/default/files/content/pdf/social_justice/bringing_them_home_report.pdf</w:t>
        </w:r>
      </w:hyperlink>
      <w:r>
        <w:t xml:space="preserve"> (viewed 23 April 2018) </w:t>
      </w:r>
    </w:p>
  </w:endnote>
  <w:endnote w:id="182">
    <w:p w14:paraId="2BFF2EB0" w14:textId="77777777" w:rsidR="0070575F" w:rsidRDefault="0070575F">
      <w:pPr>
        <w:pStyle w:val="EndnoteText"/>
      </w:pPr>
      <w:r>
        <w:rPr>
          <w:rStyle w:val="EndnoteReference"/>
        </w:rPr>
        <w:endnoteRef/>
      </w:r>
      <w:r>
        <w:t xml:space="preserve"> </w:t>
      </w:r>
      <w:r w:rsidRPr="005914B5">
        <w:t xml:space="preserve">Committee on the Rights of the Child, </w:t>
      </w:r>
      <w:r w:rsidRPr="005914B5">
        <w:rPr>
          <w:i/>
        </w:rPr>
        <w:t>General comment No. 11 (2009): Indigenous children and their rights under the Convention</w:t>
      </w:r>
      <w:r w:rsidRPr="005914B5">
        <w:t>, Fiftieth session, UN Doc CRC/C/GC/11 (12 February 2009) [</w:t>
      </w:r>
      <w:r>
        <w:t>77</w:t>
      </w:r>
      <w:r w:rsidRPr="005914B5">
        <w:t>]</w:t>
      </w:r>
      <w:r>
        <w:t>.</w:t>
      </w:r>
    </w:p>
  </w:endnote>
  <w:endnote w:id="183">
    <w:p w14:paraId="77AEECC7" w14:textId="77777777" w:rsidR="0070575F" w:rsidRDefault="0070575F">
      <w:pPr>
        <w:pStyle w:val="EndnoteText"/>
      </w:pPr>
      <w:r>
        <w:rPr>
          <w:rStyle w:val="EndnoteReference"/>
        </w:rPr>
        <w:endnoteRef/>
      </w:r>
      <w:r>
        <w:t xml:space="preserve"> </w:t>
      </w:r>
      <w:r w:rsidRPr="005522C2">
        <w:t xml:space="preserve">Committee on the Rights of the Child, </w:t>
      </w:r>
      <w:r w:rsidRPr="005522C2">
        <w:rPr>
          <w:i/>
        </w:rPr>
        <w:t>General comment No. 11 (2009): Indigenous children and their righ</w:t>
      </w:r>
      <w:bookmarkStart w:id="57" w:name="_GoBack"/>
      <w:bookmarkEnd w:id="57"/>
      <w:r w:rsidRPr="005522C2">
        <w:rPr>
          <w:i/>
        </w:rPr>
        <w:t>ts under the Convention</w:t>
      </w:r>
      <w:r w:rsidRPr="005522C2">
        <w:t>, Fiftieth session, UN Doc CRC/C/GC/11 (12 February 2009) [</w:t>
      </w:r>
      <w:r>
        <w:t>33].</w:t>
      </w:r>
    </w:p>
  </w:endnote>
  <w:endnote w:id="184">
    <w:p w14:paraId="0CBE7C24" w14:textId="77777777" w:rsidR="0070575F" w:rsidRPr="00D63302" w:rsidRDefault="0070575F" w:rsidP="00D34A31">
      <w:pPr>
        <w:pStyle w:val="EndnoteText"/>
      </w:pPr>
      <w:r w:rsidRPr="000524C7">
        <w:rPr>
          <w:rStyle w:val="EndnoteReference"/>
          <w:sz w:val="22"/>
          <w:szCs w:val="22"/>
        </w:rPr>
        <w:endnoteRef/>
      </w:r>
      <w:r w:rsidRPr="000524C7">
        <w:t xml:space="preserve"> </w:t>
      </w:r>
      <w:r>
        <w:t xml:space="preserve">Judy </w:t>
      </w:r>
      <w:r w:rsidRPr="00D63302">
        <w:t>Atkinson, J</w:t>
      </w:r>
      <w:r>
        <w:t>eff</w:t>
      </w:r>
      <w:r w:rsidRPr="00D63302">
        <w:t xml:space="preserve"> Nelson and C</w:t>
      </w:r>
      <w:r>
        <w:t>aroline</w:t>
      </w:r>
      <w:r w:rsidRPr="00D63302">
        <w:t xml:space="preserve"> Atkinson, ‘Trauma, transgenerational transfer and effects on community wellbeing’, in N Purdie, P Dudgeon &amp; R Walker (</w:t>
      </w:r>
      <w:proofErr w:type="spellStart"/>
      <w:proofErr w:type="gramStart"/>
      <w:r w:rsidRPr="00D63302">
        <w:t>eds</w:t>
      </w:r>
      <w:proofErr w:type="spellEnd"/>
      <w:proofErr w:type="gramEnd"/>
      <w:r w:rsidRPr="00D63302">
        <w:t xml:space="preserve">), </w:t>
      </w:r>
      <w:r w:rsidRPr="005914B5">
        <w:rPr>
          <w:i/>
        </w:rPr>
        <w:t>Working together: Aboriginal and Torres Strait Islander mental health and wellbeing practices and principles</w:t>
      </w:r>
      <w:r w:rsidRPr="00D63302">
        <w:t xml:space="preserve"> </w:t>
      </w:r>
      <w:r>
        <w:t>(</w:t>
      </w:r>
      <w:r w:rsidRPr="00D63302">
        <w:t xml:space="preserve">Department </w:t>
      </w:r>
      <w:r>
        <w:t>of Health and Ageing, 2010) 135–</w:t>
      </w:r>
      <w:r w:rsidRPr="00D63302">
        <w:t>144</w:t>
      </w:r>
      <w:r>
        <w:t xml:space="preserve">. </w:t>
      </w:r>
    </w:p>
  </w:endnote>
  <w:endnote w:id="185">
    <w:p w14:paraId="02AD2FA6" w14:textId="77777777" w:rsidR="0070575F" w:rsidRDefault="0070575F">
      <w:pPr>
        <w:pStyle w:val="EndnoteText"/>
      </w:pPr>
      <w:r>
        <w:rPr>
          <w:rStyle w:val="EndnoteReference"/>
        </w:rPr>
        <w:endnoteRef/>
      </w:r>
      <w:r>
        <w:t xml:space="preserve"> </w:t>
      </w:r>
      <w:r w:rsidRPr="00D63302">
        <w:t xml:space="preserve">Mick </w:t>
      </w:r>
      <w:proofErr w:type="spellStart"/>
      <w:r w:rsidRPr="00D63302">
        <w:t>Gooda</w:t>
      </w:r>
      <w:proofErr w:type="spellEnd"/>
      <w:r w:rsidRPr="00D63302">
        <w:t xml:space="preserve">, </w:t>
      </w:r>
      <w:r w:rsidRPr="005914B5">
        <w:rPr>
          <w:i/>
        </w:rPr>
        <w:t>Social Justice and Native Title Report 2015</w:t>
      </w:r>
      <w:r w:rsidRPr="00D63302">
        <w:t xml:space="preserve">, </w:t>
      </w:r>
      <w:r>
        <w:t xml:space="preserve">(14 October 2015) </w:t>
      </w:r>
      <w:r w:rsidRPr="00D63302">
        <w:t xml:space="preserve">Australian Human Rights Commission, </w:t>
      </w:r>
      <w:r>
        <w:t xml:space="preserve">164. At </w:t>
      </w:r>
      <w:hyperlink r:id="rId111" w:history="1">
        <w:r w:rsidRPr="005E1718">
          <w:rPr>
            <w:rStyle w:val="Hyperlink"/>
          </w:rPr>
          <w:t>https://www.humanrights.gov.au/sites/default/files/document/publication/SJRNTR2015.pdf</w:t>
        </w:r>
      </w:hyperlink>
      <w:r>
        <w:t>.</w:t>
      </w:r>
    </w:p>
  </w:endnote>
  <w:endnote w:id="186">
    <w:p w14:paraId="49099A1E" w14:textId="77777777" w:rsidR="0070575F" w:rsidRPr="00D63302" w:rsidRDefault="0070575F" w:rsidP="0082265D">
      <w:pPr>
        <w:pStyle w:val="EndnoteText"/>
      </w:pPr>
      <w:r>
        <w:rPr>
          <w:rStyle w:val="EndnoteReference"/>
        </w:rPr>
        <w:endnoteRef/>
      </w:r>
      <w:r>
        <w:t xml:space="preserve"> </w:t>
      </w:r>
      <w:r w:rsidRPr="00EE7AC5">
        <w:t xml:space="preserve">See: Healing Foundation, Key Facts: Trauma (26 May 2016), Australian Indigenous Health </w:t>
      </w:r>
      <w:proofErr w:type="spellStart"/>
      <w:r w:rsidRPr="00EE7AC5">
        <w:t>Infonet</w:t>
      </w:r>
      <w:proofErr w:type="spellEnd"/>
      <w:r w:rsidRPr="00EE7AC5">
        <w:t xml:space="preserve">. At: </w:t>
      </w:r>
      <w:hyperlink r:id="rId112" w:history="1">
        <w:r w:rsidRPr="00EE7AC5">
          <w:t>http://www.healthinfonet.ecu.edu.au/related-issues/healing/trauma/key-facts</w:t>
        </w:r>
      </w:hyperlink>
      <w:r w:rsidRPr="00EE7AC5">
        <w:t xml:space="preserve"> (viewed 17 April 2018</w:t>
      </w:r>
      <w:r>
        <w:t>); Healing Foundation, Trauma—</w:t>
      </w:r>
      <w:r w:rsidRPr="00EE7AC5">
        <w:t xml:space="preserve">Resources (20 March 2018), Australian Indigenous Health </w:t>
      </w:r>
      <w:proofErr w:type="spellStart"/>
      <w:r w:rsidRPr="00EE7AC5">
        <w:t>Infonet</w:t>
      </w:r>
      <w:proofErr w:type="spellEnd"/>
      <w:r w:rsidRPr="00EE7AC5">
        <w:t xml:space="preserve">. At: </w:t>
      </w:r>
      <w:hyperlink r:id="rId113" w:history="1">
        <w:r w:rsidRPr="00EE7AC5">
          <w:t>https://healthinfonet.ecu.edu.au/learn/health-topics/healing/trauma/resources/</w:t>
        </w:r>
      </w:hyperlink>
      <w:r w:rsidRPr="00EE7AC5">
        <w:t xml:space="preserve"> (viewed 17 April 2018</w:t>
      </w:r>
      <w:r>
        <w:t>); Healing Foundation, Trauma—</w:t>
      </w:r>
      <w:r w:rsidRPr="00EE7AC5">
        <w:t xml:space="preserve">Publications (11 April 2018), Australian Indigenous Health </w:t>
      </w:r>
      <w:proofErr w:type="spellStart"/>
      <w:r w:rsidRPr="00EE7AC5">
        <w:t>Infonet</w:t>
      </w:r>
      <w:proofErr w:type="spellEnd"/>
      <w:r w:rsidRPr="00EE7AC5">
        <w:t xml:space="preserve">. At: </w:t>
      </w:r>
      <w:hyperlink r:id="rId114" w:history="1">
        <w:r w:rsidRPr="00EE7AC5">
          <w:t>https://healthinfonet.ecu.edu.au/learn/health-topics/healing/trauma/publications/</w:t>
        </w:r>
      </w:hyperlink>
      <w:r w:rsidRPr="00EE7AC5">
        <w:t xml:space="preserve"> (viewed 17 April 2018);</w:t>
      </w:r>
      <w:r>
        <w:t xml:space="preserve"> Judy Atkinson, Trauma Trails—</w:t>
      </w:r>
      <w:r w:rsidRPr="00EE7AC5">
        <w:t xml:space="preserve">Recreating </w:t>
      </w:r>
      <w:proofErr w:type="spellStart"/>
      <w:r w:rsidRPr="00EE7AC5">
        <w:t>Songlines</w:t>
      </w:r>
      <w:proofErr w:type="spellEnd"/>
      <w:r w:rsidRPr="00EE7AC5">
        <w:t xml:space="preserve">: The transgenerational effects of trauma in Indigenous Australia (Spinifex Press, 1st </w:t>
      </w:r>
      <w:proofErr w:type="spellStart"/>
      <w:proofErr w:type="gramStart"/>
      <w:r w:rsidRPr="00EE7AC5">
        <w:t>ed</w:t>
      </w:r>
      <w:proofErr w:type="spellEnd"/>
      <w:proofErr w:type="gramEnd"/>
      <w:r w:rsidRPr="00EE7AC5">
        <w:t>, 2002).</w:t>
      </w:r>
    </w:p>
    <w:p w14:paraId="106A4E31" w14:textId="77777777" w:rsidR="0070575F" w:rsidRDefault="0070575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97C9" w14:textId="77777777" w:rsidR="0070575F" w:rsidRPr="0090165F" w:rsidRDefault="0070575F"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026F" w14:textId="77777777" w:rsidR="0070575F" w:rsidRPr="004A187B" w:rsidRDefault="0070575F" w:rsidP="008B23BC">
    <w:pPr>
      <w:pStyle w:val="Footer"/>
    </w:pPr>
    <w:r>
      <w:rPr>
        <w:noProof/>
      </w:rPr>
      <mc:AlternateContent>
        <mc:Choice Requires="wps">
          <w:drawing>
            <wp:anchor distT="0" distB="0" distL="114300" distR="114300" simplePos="0" relativeHeight="251660288" behindDoc="0" locked="0" layoutInCell="1" allowOverlap="1" wp14:anchorId="553BB9EF" wp14:editId="6F58DC84">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1F3456E9" w14:textId="77777777" w:rsidR="0070575F" w:rsidRPr="0003606D" w:rsidRDefault="0070575F" w:rsidP="0003606D">
                          <w:pPr>
                            <w:pStyle w:val="coveraddresses"/>
                          </w:pPr>
                          <w:r w:rsidRPr="0003606D">
                            <w:t>ABN 47 996 232 602</w:t>
                          </w:r>
                        </w:p>
                        <w:p w14:paraId="35F6FA8B" w14:textId="77777777" w:rsidR="0070575F" w:rsidRPr="0003606D" w:rsidRDefault="0070575F" w:rsidP="0003606D">
                          <w:pPr>
                            <w:pStyle w:val="coveraddresses"/>
                          </w:pPr>
                          <w:r w:rsidRPr="0003606D">
                            <w:t xml:space="preserve">Level </w:t>
                          </w:r>
                          <w:proofErr w:type="gramStart"/>
                          <w:r w:rsidRPr="0003606D">
                            <w:t>3</w:t>
                          </w:r>
                          <w:proofErr w:type="gramEnd"/>
                          <w:r w:rsidRPr="0003606D">
                            <w:t>, 175 Pitt Street, Sydney NSW 2000</w:t>
                          </w:r>
                        </w:p>
                        <w:p w14:paraId="5EF66E6D" w14:textId="77777777" w:rsidR="0070575F" w:rsidRPr="0003606D" w:rsidRDefault="0070575F" w:rsidP="0003606D">
                          <w:pPr>
                            <w:pStyle w:val="coveraddresses"/>
                          </w:pPr>
                          <w:r w:rsidRPr="0003606D">
                            <w:t>GPO Box 5218, Sydney NSW 2001</w:t>
                          </w:r>
                        </w:p>
                        <w:p w14:paraId="2EF733D3" w14:textId="77777777" w:rsidR="0070575F" w:rsidRPr="0003606D" w:rsidRDefault="0070575F" w:rsidP="0003606D">
                          <w:pPr>
                            <w:pStyle w:val="coveraddresses"/>
                          </w:pPr>
                          <w:r w:rsidRPr="0003606D">
                            <w:t>General enquiries 1300 369 711</w:t>
                          </w:r>
                        </w:p>
                        <w:p w14:paraId="5C8BF287" w14:textId="77777777" w:rsidR="0070575F" w:rsidRPr="0003606D" w:rsidRDefault="0070575F" w:rsidP="0003606D">
                          <w:pPr>
                            <w:pStyle w:val="coveraddresses"/>
                          </w:pPr>
                          <w:r w:rsidRPr="0003606D">
                            <w:t>Complaints info line 1300 656 419</w:t>
                          </w:r>
                        </w:p>
                        <w:p w14:paraId="7FE40CD1" w14:textId="77777777" w:rsidR="0070575F" w:rsidRPr="0003606D" w:rsidRDefault="0070575F" w:rsidP="0003606D">
                          <w:pPr>
                            <w:pStyle w:val="coveraddresses"/>
                          </w:pPr>
                          <w:r w:rsidRPr="0003606D">
                            <w:t>TTY 1800 620 241</w:t>
                          </w:r>
                        </w:p>
                        <w:p w14:paraId="6ACC9DB7" w14:textId="77777777" w:rsidR="0070575F" w:rsidRPr="00B63D24" w:rsidRDefault="0070575F"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BB9EF"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1F3456E9" w14:textId="77777777" w:rsidR="0070575F" w:rsidRPr="0003606D" w:rsidRDefault="0070575F" w:rsidP="0003606D">
                    <w:pPr>
                      <w:pStyle w:val="coveraddresses"/>
                    </w:pPr>
                    <w:r w:rsidRPr="0003606D">
                      <w:t>ABN 47 996 232 602</w:t>
                    </w:r>
                  </w:p>
                  <w:p w14:paraId="35F6FA8B" w14:textId="77777777" w:rsidR="0070575F" w:rsidRPr="0003606D" w:rsidRDefault="0070575F" w:rsidP="0003606D">
                    <w:pPr>
                      <w:pStyle w:val="coveraddresses"/>
                    </w:pPr>
                    <w:r w:rsidRPr="0003606D">
                      <w:t xml:space="preserve">Level </w:t>
                    </w:r>
                    <w:proofErr w:type="gramStart"/>
                    <w:r w:rsidRPr="0003606D">
                      <w:t>3</w:t>
                    </w:r>
                    <w:proofErr w:type="gramEnd"/>
                    <w:r w:rsidRPr="0003606D">
                      <w:t>, 175 Pitt Street, Sydney NSW 2000</w:t>
                    </w:r>
                  </w:p>
                  <w:p w14:paraId="5EF66E6D" w14:textId="77777777" w:rsidR="0070575F" w:rsidRPr="0003606D" w:rsidRDefault="0070575F" w:rsidP="0003606D">
                    <w:pPr>
                      <w:pStyle w:val="coveraddresses"/>
                    </w:pPr>
                    <w:r w:rsidRPr="0003606D">
                      <w:t>GPO Box 5218, Sydney NSW 2001</w:t>
                    </w:r>
                  </w:p>
                  <w:p w14:paraId="2EF733D3" w14:textId="77777777" w:rsidR="0070575F" w:rsidRPr="0003606D" w:rsidRDefault="0070575F" w:rsidP="0003606D">
                    <w:pPr>
                      <w:pStyle w:val="coveraddresses"/>
                    </w:pPr>
                    <w:r w:rsidRPr="0003606D">
                      <w:t>General enquiries 1300 369 711</w:t>
                    </w:r>
                  </w:p>
                  <w:p w14:paraId="5C8BF287" w14:textId="77777777" w:rsidR="0070575F" w:rsidRPr="0003606D" w:rsidRDefault="0070575F" w:rsidP="0003606D">
                    <w:pPr>
                      <w:pStyle w:val="coveraddresses"/>
                    </w:pPr>
                    <w:r w:rsidRPr="0003606D">
                      <w:t>Complaints info line 1300 656 419</w:t>
                    </w:r>
                  </w:p>
                  <w:p w14:paraId="7FE40CD1" w14:textId="77777777" w:rsidR="0070575F" w:rsidRPr="0003606D" w:rsidRDefault="0070575F" w:rsidP="0003606D">
                    <w:pPr>
                      <w:pStyle w:val="coveraddresses"/>
                    </w:pPr>
                    <w:r w:rsidRPr="0003606D">
                      <w:t>TTY 1800 620 241</w:t>
                    </w:r>
                  </w:p>
                  <w:p w14:paraId="6ACC9DB7" w14:textId="77777777" w:rsidR="0070575F" w:rsidRPr="00B63D24" w:rsidRDefault="0070575F"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992448"/>
      <w:docPartObj>
        <w:docPartGallery w:val="Page Numbers (Bottom of Page)"/>
        <w:docPartUnique/>
      </w:docPartObj>
    </w:sdtPr>
    <w:sdtEndPr>
      <w:rPr>
        <w:noProof/>
      </w:rPr>
    </w:sdtEndPr>
    <w:sdtContent>
      <w:p w14:paraId="412079CB" w14:textId="54F7E928" w:rsidR="0070575F" w:rsidRDefault="0070575F">
        <w:pPr>
          <w:pStyle w:val="Footer"/>
          <w:jc w:val="right"/>
        </w:pPr>
        <w:r>
          <w:fldChar w:fldCharType="begin"/>
        </w:r>
        <w:r>
          <w:instrText xml:space="preserve"> PAGE   \* MERGEFORMAT </w:instrText>
        </w:r>
        <w:r>
          <w:fldChar w:fldCharType="separate"/>
        </w:r>
        <w:r w:rsidR="00EC14A3">
          <w:rPr>
            <w:noProof/>
          </w:rPr>
          <w:t>58</w:t>
        </w:r>
        <w:r>
          <w:rPr>
            <w:noProof/>
          </w:rPr>
          <w:fldChar w:fldCharType="end"/>
        </w:r>
      </w:p>
    </w:sdtContent>
  </w:sdt>
  <w:p w14:paraId="15ED4334" w14:textId="77777777" w:rsidR="0070575F" w:rsidRPr="0090165F" w:rsidRDefault="0070575F"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48537" w14:textId="77777777" w:rsidR="0070575F" w:rsidRDefault="0070575F" w:rsidP="00F14C6D">
      <w:r>
        <w:separator/>
      </w:r>
    </w:p>
  </w:footnote>
  <w:footnote w:type="continuationSeparator" w:id="0">
    <w:p w14:paraId="21A1AD70" w14:textId="77777777" w:rsidR="0070575F" w:rsidRDefault="0070575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F9DF" w14:textId="77777777" w:rsidR="0070575F" w:rsidRDefault="00EC14A3">
    <w:pPr>
      <w:pStyle w:val="Header"/>
    </w:pPr>
    <w:r>
      <w:rPr>
        <w:noProof/>
      </w:rPr>
      <w:pict w14:anchorId="001FC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ECD7" w14:textId="77777777" w:rsidR="0070575F" w:rsidRPr="00D27262" w:rsidRDefault="00EC14A3" w:rsidP="002B1B65">
    <w:pPr>
      <w:spacing w:before="0" w:after="0"/>
      <w:jc w:val="right"/>
      <w:rPr>
        <w:sz w:val="22"/>
        <w:szCs w:val="22"/>
      </w:rPr>
    </w:pPr>
    <w:r>
      <w:rPr>
        <w:noProof/>
        <w:sz w:val="22"/>
        <w:szCs w:val="22"/>
      </w:rPr>
      <w:pict w14:anchorId="5DED5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70575F" w:rsidRPr="00D27262">
      <w:rPr>
        <w:sz w:val="22"/>
        <w:szCs w:val="22"/>
      </w:rPr>
      <w:t>Au</w:t>
    </w:r>
    <w:r w:rsidR="0070575F">
      <w:rPr>
        <w:sz w:val="22"/>
        <w:szCs w:val="22"/>
      </w:rPr>
      <w:t>stralian Human Rights Commission</w:t>
    </w:r>
  </w:p>
  <w:p w14:paraId="7392CCE5" w14:textId="77777777" w:rsidR="0070575F" w:rsidRDefault="0070575F"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0575F" w:rsidRPr="00B85DD4" w14:paraId="0E59CD9E" w14:textId="77777777" w:rsidTr="00165E3C">
      <w:trPr>
        <w:trHeight w:val="1276"/>
      </w:trPr>
      <w:tc>
        <w:tcPr>
          <w:tcW w:w="1508" w:type="dxa"/>
        </w:tcPr>
        <w:p w14:paraId="7949A03D" w14:textId="77777777" w:rsidR="0070575F" w:rsidRPr="00B85DD4" w:rsidRDefault="0070575F" w:rsidP="00B520BC">
          <w:pPr>
            <w:pStyle w:val="Header"/>
            <w:tabs>
              <w:tab w:val="left" w:pos="4686"/>
              <w:tab w:val="left" w:pos="7088"/>
              <w:tab w:val="left" w:pos="7242"/>
            </w:tabs>
            <w:ind w:left="-108"/>
            <w:rPr>
              <w:rFonts w:cs="ArialMT"/>
              <w:b/>
              <w:spacing w:val="-20"/>
            </w:rPr>
          </w:pPr>
        </w:p>
      </w:tc>
      <w:tc>
        <w:tcPr>
          <w:tcW w:w="2688" w:type="dxa"/>
          <w:vAlign w:val="center"/>
        </w:tcPr>
        <w:p w14:paraId="189543EA" w14:textId="77777777" w:rsidR="0070575F" w:rsidRPr="00B85DD4" w:rsidRDefault="0070575F" w:rsidP="002B1B65">
          <w:pPr>
            <w:spacing w:before="0" w:after="0"/>
            <w:rPr>
              <w:rFonts w:cs="ArialMT"/>
              <w:i/>
              <w:color w:val="808080"/>
              <w:sz w:val="17"/>
            </w:rPr>
          </w:pPr>
        </w:p>
      </w:tc>
      <w:tc>
        <w:tcPr>
          <w:tcW w:w="2302" w:type="dxa"/>
        </w:tcPr>
        <w:p w14:paraId="315B364F" w14:textId="77777777" w:rsidR="0070575F" w:rsidRPr="00B85DD4" w:rsidRDefault="0070575F" w:rsidP="00B520BC">
          <w:pPr>
            <w:pStyle w:val="HeaderFooter"/>
            <w:rPr>
              <w:b/>
              <w:spacing w:val="-20"/>
              <w:sz w:val="40"/>
            </w:rPr>
          </w:pPr>
        </w:p>
      </w:tc>
      <w:tc>
        <w:tcPr>
          <w:tcW w:w="2130" w:type="dxa"/>
        </w:tcPr>
        <w:p w14:paraId="133F476C" w14:textId="77777777" w:rsidR="0070575F" w:rsidRPr="00B85DD4" w:rsidRDefault="0070575F" w:rsidP="00B520BC">
          <w:pPr>
            <w:pStyle w:val="HeaderFooter"/>
            <w:rPr>
              <w:b/>
              <w:spacing w:val="-20"/>
              <w:sz w:val="40"/>
            </w:rPr>
          </w:pPr>
        </w:p>
      </w:tc>
      <w:tc>
        <w:tcPr>
          <w:tcW w:w="1721" w:type="dxa"/>
        </w:tcPr>
        <w:p w14:paraId="7DA3C216" w14:textId="77777777" w:rsidR="0070575F" w:rsidRPr="00B85DD4" w:rsidRDefault="0070575F" w:rsidP="00B520BC">
          <w:pPr>
            <w:pStyle w:val="HeaderFooter"/>
            <w:spacing w:before="227" w:after="340"/>
            <w:rPr>
              <w:b/>
              <w:spacing w:val="-20"/>
              <w:sz w:val="40"/>
            </w:rPr>
          </w:pPr>
        </w:p>
      </w:tc>
    </w:tr>
  </w:tbl>
  <w:p w14:paraId="2631D12F" w14:textId="77777777" w:rsidR="0070575F" w:rsidRDefault="00EC14A3">
    <w:pPr>
      <w:pStyle w:val="Header"/>
    </w:pPr>
    <w:r>
      <w:rPr>
        <w:rFonts w:cs="ArialMT"/>
        <w:b/>
        <w:noProof/>
        <w:spacing w:val="-20"/>
      </w:rPr>
      <w:pict w14:anchorId="74394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B7C6" w14:textId="77777777" w:rsidR="0070575F" w:rsidRDefault="00EC14A3">
    <w:pPr>
      <w:pStyle w:val="Header"/>
    </w:pPr>
    <w:r>
      <w:rPr>
        <w:noProof/>
      </w:rPr>
      <w:pict w14:anchorId="3F109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3D34" w14:textId="77777777" w:rsidR="0070575F" w:rsidRPr="00D27262" w:rsidRDefault="0070575F" w:rsidP="00B34946">
    <w:pPr>
      <w:spacing w:before="0" w:after="60"/>
      <w:jc w:val="right"/>
      <w:rPr>
        <w:sz w:val="22"/>
        <w:szCs w:val="22"/>
      </w:rPr>
    </w:pPr>
    <w:r w:rsidRPr="00D27262">
      <w:rPr>
        <w:sz w:val="22"/>
        <w:szCs w:val="22"/>
      </w:rPr>
      <w:t>Au</w:t>
    </w:r>
    <w:r>
      <w:rPr>
        <w:sz w:val="22"/>
        <w:szCs w:val="22"/>
      </w:rPr>
      <w:t>stralian Human Rights Commission</w:t>
    </w:r>
  </w:p>
  <w:p w14:paraId="2B28D1C7" w14:textId="071C22B6" w:rsidR="0070575F" w:rsidRPr="00D729AD" w:rsidRDefault="0070575F" w:rsidP="002F4CE1">
    <w:pPr>
      <w:pStyle w:val="Footer"/>
      <w:spacing w:after="240"/>
      <w:jc w:val="right"/>
      <w:rPr>
        <w:i/>
        <w:szCs w:val="18"/>
      </w:rPr>
    </w:pPr>
    <w:r>
      <w:rPr>
        <w:b/>
        <w:i/>
        <w:szCs w:val="18"/>
      </w:rPr>
      <w:t>Submission to the ALRC Review of the Family Law System</w:t>
    </w:r>
    <w:r>
      <w:rPr>
        <w:i/>
        <w:szCs w:val="18"/>
      </w:rPr>
      <w:t xml:space="preserve"> 15 May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0575F" w:rsidRPr="00B85DD4" w14:paraId="28ADB011" w14:textId="77777777" w:rsidTr="002B1B65">
      <w:trPr>
        <w:trHeight w:val="1603"/>
      </w:trPr>
      <w:tc>
        <w:tcPr>
          <w:tcW w:w="1508" w:type="dxa"/>
        </w:tcPr>
        <w:p w14:paraId="5EE3DC12" w14:textId="77777777" w:rsidR="0070575F" w:rsidRPr="00B85DD4" w:rsidRDefault="0070575F"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7A054BF0" wp14:editId="383F4168">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67E97D9" w14:textId="77777777" w:rsidR="0070575F" w:rsidRPr="00D36BB2" w:rsidRDefault="0070575F" w:rsidP="002B1B65">
          <w:pPr>
            <w:pStyle w:val="LogoType"/>
            <w:pBdr>
              <w:bottom w:val="single" w:sz="4" w:space="1" w:color="808080"/>
            </w:pBdr>
            <w:spacing w:line="240" w:lineRule="auto"/>
          </w:pPr>
          <w:r w:rsidRPr="00D36BB2">
            <w:t>Australian</w:t>
          </w:r>
        </w:p>
        <w:p w14:paraId="21943C98" w14:textId="77777777" w:rsidR="0070575F" w:rsidRPr="00D36BB2" w:rsidRDefault="0070575F" w:rsidP="002B1B65">
          <w:pPr>
            <w:pStyle w:val="LogoType"/>
            <w:pBdr>
              <w:bottom w:val="single" w:sz="4" w:space="1" w:color="808080"/>
            </w:pBdr>
            <w:spacing w:line="240" w:lineRule="auto"/>
          </w:pPr>
          <w:r w:rsidRPr="00D36BB2">
            <w:t>Human Rights</w:t>
          </w:r>
        </w:p>
        <w:p w14:paraId="4EE5681D" w14:textId="77777777" w:rsidR="0070575F" w:rsidRPr="00D36BB2" w:rsidRDefault="0070575F" w:rsidP="002B1B65">
          <w:pPr>
            <w:pStyle w:val="LogoType"/>
            <w:pBdr>
              <w:bottom w:val="single" w:sz="4" w:space="1" w:color="808080"/>
            </w:pBdr>
            <w:spacing w:line="240" w:lineRule="auto"/>
          </w:pPr>
          <w:r w:rsidRPr="00D36BB2">
            <w:t>Commission</w:t>
          </w:r>
        </w:p>
        <w:p w14:paraId="51D7F2A8" w14:textId="77777777" w:rsidR="0070575F" w:rsidRPr="00B85DD4" w:rsidRDefault="0070575F"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484F3DE" w14:textId="77777777" w:rsidR="0070575F" w:rsidRPr="00B85DD4" w:rsidRDefault="0070575F" w:rsidP="00B520BC">
          <w:pPr>
            <w:pStyle w:val="HeaderFooter"/>
            <w:rPr>
              <w:b/>
              <w:spacing w:val="-20"/>
              <w:sz w:val="40"/>
            </w:rPr>
          </w:pPr>
        </w:p>
      </w:tc>
      <w:tc>
        <w:tcPr>
          <w:tcW w:w="2130" w:type="dxa"/>
        </w:tcPr>
        <w:p w14:paraId="5B8C6782" w14:textId="77777777" w:rsidR="0070575F" w:rsidRPr="00B85DD4" w:rsidRDefault="0070575F" w:rsidP="00B520BC">
          <w:pPr>
            <w:pStyle w:val="HeaderFooter"/>
            <w:rPr>
              <w:b/>
              <w:spacing w:val="-20"/>
              <w:sz w:val="40"/>
            </w:rPr>
          </w:pPr>
        </w:p>
      </w:tc>
      <w:tc>
        <w:tcPr>
          <w:tcW w:w="1721" w:type="dxa"/>
        </w:tcPr>
        <w:p w14:paraId="346BDA97" w14:textId="77777777" w:rsidR="0070575F" w:rsidRPr="00B85DD4" w:rsidRDefault="0070575F" w:rsidP="00B520BC">
          <w:pPr>
            <w:pStyle w:val="HeaderFooter"/>
            <w:spacing w:before="227" w:after="340"/>
            <w:rPr>
              <w:b/>
              <w:spacing w:val="-20"/>
              <w:sz w:val="40"/>
            </w:rPr>
          </w:pPr>
        </w:p>
      </w:tc>
    </w:tr>
  </w:tbl>
  <w:p w14:paraId="2A485485" w14:textId="77777777" w:rsidR="0070575F" w:rsidRDefault="00EC14A3">
    <w:pPr>
      <w:pStyle w:val="Header"/>
    </w:pPr>
    <w:r>
      <w:rPr>
        <w:rFonts w:cs="ArialMT"/>
        <w:b/>
        <w:noProof/>
        <w:spacing w:val="-20"/>
      </w:rPr>
      <w:pict w14:anchorId="6DBCF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3C8B"/>
    <w:multiLevelType w:val="hybridMultilevel"/>
    <w:tmpl w:val="A0D21B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007818AD"/>
    <w:multiLevelType w:val="multilevel"/>
    <w:tmpl w:val="3FB427B8"/>
    <w:lvl w:ilvl="0">
      <w:start w:val="1"/>
      <w:numFmt w:val="bullet"/>
      <w:lvlText w:val=""/>
      <w:lvlJc w:val="left"/>
      <w:pPr>
        <w:tabs>
          <w:tab w:val="num" w:pos="1571"/>
        </w:tabs>
        <w:ind w:left="1571" w:hanging="851"/>
      </w:pPr>
      <w:rPr>
        <w:rFonts w:ascii="Symbol" w:hAnsi="Symbol" w:hint="default"/>
      </w:rPr>
    </w:lvl>
    <w:lvl w:ilvl="1">
      <w:start w:val="1"/>
      <w:numFmt w:val="decimal"/>
      <w:lvlText w:val="%1.%2"/>
      <w:lvlJc w:val="left"/>
      <w:pPr>
        <w:tabs>
          <w:tab w:val="num" w:pos="1571"/>
        </w:tabs>
        <w:ind w:left="1571" w:hanging="851"/>
      </w:pPr>
      <w:rPr>
        <w:rFonts w:hint="default"/>
      </w:rPr>
    </w:lvl>
    <w:lvl w:ilvl="2">
      <w:start w:val="1"/>
      <w:numFmt w:val="lowerLetter"/>
      <w:lvlText w:val="(%3)"/>
      <w:lvlJc w:val="left"/>
      <w:pPr>
        <w:tabs>
          <w:tab w:val="num" w:pos="1571"/>
        </w:tabs>
        <w:ind w:left="1571" w:hanging="851"/>
      </w:pPr>
      <w:rPr>
        <w:rFonts w:hint="default"/>
      </w:rPr>
    </w:lvl>
    <w:lvl w:ilvl="3">
      <w:start w:val="1"/>
      <w:numFmt w:val="lowerRoman"/>
      <w:lvlText w:val="(%4)"/>
      <w:lvlJc w:val="left"/>
      <w:pPr>
        <w:tabs>
          <w:tab w:val="num" w:pos="1571"/>
        </w:tabs>
        <w:ind w:left="1571" w:hanging="851"/>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12"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90C4E47"/>
    <w:multiLevelType w:val="hybridMultilevel"/>
    <w:tmpl w:val="97762A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BCC2472"/>
    <w:multiLevelType w:val="hybridMultilevel"/>
    <w:tmpl w:val="E4BA48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164101"/>
    <w:multiLevelType w:val="hybridMultilevel"/>
    <w:tmpl w:val="0B1C87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DCB237C"/>
    <w:multiLevelType w:val="hybridMultilevel"/>
    <w:tmpl w:val="2FDEC922"/>
    <w:lvl w:ilvl="0" w:tplc="AF549996">
      <w:start w:val="1"/>
      <w:numFmt w:val="decimal"/>
      <w:pStyle w:val="SubmissionNormal"/>
      <w:lvlText w:val="%1."/>
      <w:lvlJc w:val="left"/>
      <w:pPr>
        <w:ind w:left="1003" w:hanging="720"/>
      </w:pPr>
      <w:rPr>
        <w:rFonts w:hint="default"/>
        <w:b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20E19DE"/>
    <w:multiLevelType w:val="hybridMultilevel"/>
    <w:tmpl w:val="2C38DE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255410A"/>
    <w:multiLevelType w:val="hybridMultilevel"/>
    <w:tmpl w:val="8BEE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E664E"/>
    <w:multiLevelType w:val="hybridMultilevel"/>
    <w:tmpl w:val="6DF83ABC"/>
    <w:lvl w:ilvl="0" w:tplc="723ABABC">
      <w:start w:val="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8F0A32"/>
    <w:multiLevelType w:val="hybridMultilevel"/>
    <w:tmpl w:val="7D686E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36037C9"/>
    <w:multiLevelType w:val="hybridMultilevel"/>
    <w:tmpl w:val="A7389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3D119B0"/>
    <w:multiLevelType w:val="hybridMultilevel"/>
    <w:tmpl w:val="B094B64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4350C76"/>
    <w:multiLevelType w:val="hybridMultilevel"/>
    <w:tmpl w:val="819E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C11AFD"/>
    <w:multiLevelType w:val="hybridMultilevel"/>
    <w:tmpl w:val="269EF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2476841"/>
    <w:multiLevelType w:val="hybridMultilevel"/>
    <w:tmpl w:val="C99E3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A1F444B"/>
    <w:multiLevelType w:val="hybridMultilevel"/>
    <w:tmpl w:val="7E9217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9001EBA"/>
    <w:multiLevelType w:val="hybridMultilevel"/>
    <w:tmpl w:val="B906C82E"/>
    <w:lvl w:ilvl="0" w:tplc="0C090001">
      <w:start w:val="1"/>
      <w:numFmt w:val="bullet"/>
      <w:lvlText w:val=""/>
      <w:lvlJc w:val="left"/>
      <w:pPr>
        <w:ind w:left="1440" w:hanging="360"/>
      </w:pPr>
      <w:rPr>
        <w:rFonts w:ascii="Symbol" w:hAnsi="Symbol" w:hint="default"/>
      </w:rPr>
    </w:lvl>
    <w:lvl w:ilvl="1" w:tplc="38580E54">
      <w:numFmt w:val="bullet"/>
      <w:lvlText w:val="-"/>
      <w:lvlJc w:val="left"/>
      <w:pPr>
        <w:ind w:left="2160" w:hanging="360"/>
      </w:pPr>
      <w:rPr>
        <w:rFonts w:ascii="Arial" w:eastAsia="MS Mincho" w:hAnsi="Arial"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2412547"/>
    <w:multiLevelType w:val="hybridMultilevel"/>
    <w:tmpl w:val="A54CCA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5FD5B6C"/>
    <w:multiLevelType w:val="hybridMultilevel"/>
    <w:tmpl w:val="33AEF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FB4D21"/>
    <w:multiLevelType w:val="multilevel"/>
    <w:tmpl w:val="3FB427B8"/>
    <w:lvl w:ilvl="0">
      <w:start w:val="1"/>
      <w:numFmt w:val="bullet"/>
      <w:lvlText w:val=""/>
      <w:lvlJc w:val="left"/>
      <w:pPr>
        <w:tabs>
          <w:tab w:val="num" w:pos="1571"/>
        </w:tabs>
        <w:ind w:left="1571" w:hanging="851"/>
      </w:pPr>
      <w:rPr>
        <w:rFonts w:ascii="Symbol" w:hAnsi="Symbol" w:hint="default"/>
      </w:rPr>
    </w:lvl>
    <w:lvl w:ilvl="1">
      <w:start w:val="1"/>
      <w:numFmt w:val="decimal"/>
      <w:lvlText w:val="%1.%2"/>
      <w:lvlJc w:val="left"/>
      <w:pPr>
        <w:tabs>
          <w:tab w:val="num" w:pos="1571"/>
        </w:tabs>
        <w:ind w:left="1571" w:hanging="851"/>
      </w:pPr>
      <w:rPr>
        <w:rFonts w:hint="default"/>
      </w:rPr>
    </w:lvl>
    <w:lvl w:ilvl="2">
      <w:start w:val="1"/>
      <w:numFmt w:val="lowerLetter"/>
      <w:lvlText w:val="(%3)"/>
      <w:lvlJc w:val="left"/>
      <w:pPr>
        <w:tabs>
          <w:tab w:val="num" w:pos="1571"/>
        </w:tabs>
        <w:ind w:left="1571" w:hanging="851"/>
      </w:pPr>
      <w:rPr>
        <w:rFonts w:hint="default"/>
      </w:rPr>
    </w:lvl>
    <w:lvl w:ilvl="3">
      <w:start w:val="1"/>
      <w:numFmt w:val="lowerRoman"/>
      <w:lvlText w:val="(%4)"/>
      <w:lvlJc w:val="left"/>
      <w:pPr>
        <w:tabs>
          <w:tab w:val="num" w:pos="1571"/>
        </w:tabs>
        <w:ind w:left="1571" w:hanging="851"/>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35" w15:restartNumberingAfterBreak="0">
    <w:nsid w:val="6802552B"/>
    <w:multiLevelType w:val="hybridMultilevel"/>
    <w:tmpl w:val="2B8A93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AD831DB"/>
    <w:multiLevelType w:val="hybridMultilevel"/>
    <w:tmpl w:val="D09A5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FFF68BC"/>
    <w:multiLevelType w:val="hybridMultilevel"/>
    <w:tmpl w:val="82A8F5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265551A"/>
    <w:multiLevelType w:val="hybridMultilevel"/>
    <w:tmpl w:val="09AC55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2771BA0"/>
    <w:multiLevelType w:val="hybridMultilevel"/>
    <w:tmpl w:val="06E4BF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342727A"/>
    <w:multiLevelType w:val="hybridMultilevel"/>
    <w:tmpl w:val="066EE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7"/>
  </w:num>
  <w:num w:numId="15">
    <w:abstractNumId w:val="16"/>
  </w:num>
  <w:num w:numId="16">
    <w:abstractNumId w:val="12"/>
  </w:num>
  <w:num w:numId="17">
    <w:abstractNumId w:val="32"/>
  </w:num>
  <w:num w:numId="18">
    <w:abstractNumId w:val="21"/>
  </w:num>
  <w:num w:numId="19">
    <w:abstractNumId w:val="18"/>
  </w:num>
  <w:num w:numId="20">
    <w:abstractNumId w:val="29"/>
  </w:num>
  <w:num w:numId="21">
    <w:abstractNumId w:val="31"/>
  </w:num>
  <w:num w:numId="22">
    <w:abstractNumId w:val="10"/>
  </w:num>
  <w:num w:numId="23">
    <w:abstractNumId w:val="37"/>
  </w:num>
  <w:num w:numId="24">
    <w:abstractNumId w:val="39"/>
  </w:num>
  <w:num w:numId="25">
    <w:abstractNumId w:val="26"/>
  </w:num>
  <w:num w:numId="26">
    <w:abstractNumId w:val="34"/>
  </w:num>
  <w:num w:numId="27">
    <w:abstractNumId w:val="11"/>
  </w:num>
  <w:num w:numId="28">
    <w:abstractNumId w:val="14"/>
  </w:num>
  <w:num w:numId="29">
    <w:abstractNumId w:val="35"/>
  </w:num>
  <w:num w:numId="30">
    <w:abstractNumId w:val="13"/>
  </w:num>
  <w:num w:numId="31">
    <w:abstractNumId w:val="16"/>
  </w:num>
  <w:num w:numId="32">
    <w:abstractNumId w:val="23"/>
  </w:num>
  <w:num w:numId="33">
    <w:abstractNumId w:val="24"/>
  </w:num>
  <w:num w:numId="34">
    <w:abstractNumId w:val="33"/>
  </w:num>
  <w:num w:numId="35">
    <w:abstractNumId w:val="16"/>
    <w:lvlOverride w:ilvl="0">
      <w:lvl w:ilvl="0" w:tplc="AF549996">
        <w:start w:val="1"/>
        <w:numFmt w:val="decimal"/>
        <w:pStyle w:val="SubmissionNormal"/>
        <w:suff w:val="space"/>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abstractNumId w:val="16"/>
  </w:num>
  <w:num w:numId="37">
    <w:abstractNumId w:val="16"/>
    <w:lvlOverride w:ilvl="0">
      <w:lvl w:ilvl="0" w:tplc="AF549996">
        <w:start w:val="1"/>
        <w:numFmt w:val="decimal"/>
        <w:pStyle w:val="SubmissionNormal"/>
        <w:lvlText w:val="%1."/>
        <w:lvlJc w:val="left"/>
        <w:pPr>
          <w:ind w:left="36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abstractNumId w:val="19"/>
  </w:num>
  <w:num w:numId="39">
    <w:abstractNumId w:val="20"/>
  </w:num>
  <w:num w:numId="40">
    <w:abstractNumId w:val="22"/>
  </w:num>
  <w:num w:numId="41">
    <w:abstractNumId w:val="27"/>
  </w:num>
  <w:num w:numId="42">
    <w:abstractNumId w:val="38"/>
  </w:num>
  <w:num w:numId="43">
    <w:abstractNumId w:val="36"/>
  </w:num>
  <w:num w:numId="44">
    <w:abstractNumId w:val="40"/>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71"/>
    <w:rsid w:val="00004038"/>
    <w:rsid w:val="000041E9"/>
    <w:rsid w:val="0001635A"/>
    <w:rsid w:val="00016940"/>
    <w:rsid w:val="00023560"/>
    <w:rsid w:val="000260EE"/>
    <w:rsid w:val="0002711B"/>
    <w:rsid w:val="00035BBC"/>
    <w:rsid w:val="0003606D"/>
    <w:rsid w:val="00037D0A"/>
    <w:rsid w:val="000409BD"/>
    <w:rsid w:val="00046F83"/>
    <w:rsid w:val="000475DA"/>
    <w:rsid w:val="000479B2"/>
    <w:rsid w:val="0005498B"/>
    <w:rsid w:val="000579B1"/>
    <w:rsid w:val="00067CA5"/>
    <w:rsid w:val="000724D2"/>
    <w:rsid w:val="00072D2F"/>
    <w:rsid w:val="00074319"/>
    <w:rsid w:val="0007531F"/>
    <w:rsid w:val="00081041"/>
    <w:rsid w:val="0008175A"/>
    <w:rsid w:val="000819C1"/>
    <w:rsid w:val="00082B4C"/>
    <w:rsid w:val="00083790"/>
    <w:rsid w:val="00083BE9"/>
    <w:rsid w:val="00085281"/>
    <w:rsid w:val="00087A1F"/>
    <w:rsid w:val="000925B6"/>
    <w:rsid w:val="00093FE0"/>
    <w:rsid w:val="000A1495"/>
    <w:rsid w:val="000A14A6"/>
    <w:rsid w:val="000A1DB8"/>
    <w:rsid w:val="000A3A5C"/>
    <w:rsid w:val="000A3C5B"/>
    <w:rsid w:val="000A48AC"/>
    <w:rsid w:val="000A5825"/>
    <w:rsid w:val="000A771F"/>
    <w:rsid w:val="000B0A5D"/>
    <w:rsid w:val="000B0D2E"/>
    <w:rsid w:val="000B2D9E"/>
    <w:rsid w:val="000B2DE4"/>
    <w:rsid w:val="000B71DC"/>
    <w:rsid w:val="000C1670"/>
    <w:rsid w:val="000C2835"/>
    <w:rsid w:val="000C3162"/>
    <w:rsid w:val="000C3706"/>
    <w:rsid w:val="000C6174"/>
    <w:rsid w:val="000C6AA2"/>
    <w:rsid w:val="000D086C"/>
    <w:rsid w:val="000D23B9"/>
    <w:rsid w:val="000D2D9C"/>
    <w:rsid w:val="000D377D"/>
    <w:rsid w:val="000D79EE"/>
    <w:rsid w:val="000E0D17"/>
    <w:rsid w:val="000E107C"/>
    <w:rsid w:val="000E130A"/>
    <w:rsid w:val="000E252C"/>
    <w:rsid w:val="000E5FED"/>
    <w:rsid w:val="000F0800"/>
    <w:rsid w:val="000F187C"/>
    <w:rsid w:val="000F2882"/>
    <w:rsid w:val="000F3AA2"/>
    <w:rsid w:val="000F5349"/>
    <w:rsid w:val="000F5E14"/>
    <w:rsid w:val="000F7D37"/>
    <w:rsid w:val="00100CC8"/>
    <w:rsid w:val="001013E3"/>
    <w:rsid w:val="001041AB"/>
    <w:rsid w:val="00105EEF"/>
    <w:rsid w:val="001139DB"/>
    <w:rsid w:val="0012213A"/>
    <w:rsid w:val="00122B38"/>
    <w:rsid w:val="00124845"/>
    <w:rsid w:val="00124D81"/>
    <w:rsid w:val="00134774"/>
    <w:rsid w:val="0013617A"/>
    <w:rsid w:val="00140274"/>
    <w:rsid w:val="00140831"/>
    <w:rsid w:val="00141A5B"/>
    <w:rsid w:val="00151263"/>
    <w:rsid w:val="00153EA9"/>
    <w:rsid w:val="00155B1B"/>
    <w:rsid w:val="0015710C"/>
    <w:rsid w:val="001578BC"/>
    <w:rsid w:val="00162A8D"/>
    <w:rsid w:val="00163891"/>
    <w:rsid w:val="00163F5C"/>
    <w:rsid w:val="00165E3C"/>
    <w:rsid w:val="00172981"/>
    <w:rsid w:val="00173BC5"/>
    <w:rsid w:val="00173E6C"/>
    <w:rsid w:val="00173FB5"/>
    <w:rsid w:val="001774EB"/>
    <w:rsid w:val="001822EF"/>
    <w:rsid w:val="00182337"/>
    <w:rsid w:val="001826C9"/>
    <w:rsid w:val="00184019"/>
    <w:rsid w:val="00185478"/>
    <w:rsid w:val="00185B6F"/>
    <w:rsid w:val="00191004"/>
    <w:rsid w:val="00194588"/>
    <w:rsid w:val="0019644E"/>
    <w:rsid w:val="0019648C"/>
    <w:rsid w:val="001A1FA8"/>
    <w:rsid w:val="001A261E"/>
    <w:rsid w:val="001A50F2"/>
    <w:rsid w:val="001A6F29"/>
    <w:rsid w:val="001A7C9A"/>
    <w:rsid w:val="001B0353"/>
    <w:rsid w:val="001C0D69"/>
    <w:rsid w:val="001C1579"/>
    <w:rsid w:val="001C1F8B"/>
    <w:rsid w:val="001C30AB"/>
    <w:rsid w:val="001D00E8"/>
    <w:rsid w:val="001E084F"/>
    <w:rsid w:val="001E1F4D"/>
    <w:rsid w:val="001E35D7"/>
    <w:rsid w:val="001E7188"/>
    <w:rsid w:val="001E74D5"/>
    <w:rsid w:val="001E7E74"/>
    <w:rsid w:val="001F04B6"/>
    <w:rsid w:val="001F1F6F"/>
    <w:rsid w:val="001F225B"/>
    <w:rsid w:val="001F2BBB"/>
    <w:rsid w:val="001F30B1"/>
    <w:rsid w:val="001F3B46"/>
    <w:rsid w:val="001F4E72"/>
    <w:rsid w:val="001F6736"/>
    <w:rsid w:val="00200677"/>
    <w:rsid w:val="002007F8"/>
    <w:rsid w:val="0020525D"/>
    <w:rsid w:val="00205F20"/>
    <w:rsid w:val="00213304"/>
    <w:rsid w:val="0021401F"/>
    <w:rsid w:val="00214FDD"/>
    <w:rsid w:val="00216021"/>
    <w:rsid w:val="002209A8"/>
    <w:rsid w:val="00221843"/>
    <w:rsid w:val="00224747"/>
    <w:rsid w:val="00224AA3"/>
    <w:rsid w:val="00230BE6"/>
    <w:rsid w:val="0023174F"/>
    <w:rsid w:val="00231B58"/>
    <w:rsid w:val="00231ED1"/>
    <w:rsid w:val="0023290A"/>
    <w:rsid w:val="0023329E"/>
    <w:rsid w:val="00237198"/>
    <w:rsid w:val="0023731C"/>
    <w:rsid w:val="00240CA5"/>
    <w:rsid w:val="00242624"/>
    <w:rsid w:val="00242B69"/>
    <w:rsid w:val="0024557E"/>
    <w:rsid w:val="0024582F"/>
    <w:rsid w:val="00246057"/>
    <w:rsid w:val="00246BA5"/>
    <w:rsid w:val="002479B3"/>
    <w:rsid w:val="00256974"/>
    <w:rsid w:val="00264C92"/>
    <w:rsid w:val="00270116"/>
    <w:rsid w:val="00270739"/>
    <w:rsid w:val="00271A83"/>
    <w:rsid w:val="00273DBA"/>
    <w:rsid w:val="00273E16"/>
    <w:rsid w:val="0027433C"/>
    <w:rsid w:val="002747F5"/>
    <w:rsid w:val="0027534F"/>
    <w:rsid w:val="002803FD"/>
    <w:rsid w:val="00282411"/>
    <w:rsid w:val="00283765"/>
    <w:rsid w:val="00284BA9"/>
    <w:rsid w:val="002863D7"/>
    <w:rsid w:val="002867EE"/>
    <w:rsid w:val="00286AB7"/>
    <w:rsid w:val="00293676"/>
    <w:rsid w:val="00293F26"/>
    <w:rsid w:val="0029411C"/>
    <w:rsid w:val="00294B50"/>
    <w:rsid w:val="00294E23"/>
    <w:rsid w:val="00297DC7"/>
    <w:rsid w:val="002A0C9B"/>
    <w:rsid w:val="002A4003"/>
    <w:rsid w:val="002A4EA4"/>
    <w:rsid w:val="002B1B65"/>
    <w:rsid w:val="002B409C"/>
    <w:rsid w:val="002B43A3"/>
    <w:rsid w:val="002B6953"/>
    <w:rsid w:val="002B6BA0"/>
    <w:rsid w:val="002C1866"/>
    <w:rsid w:val="002C4678"/>
    <w:rsid w:val="002C5F01"/>
    <w:rsid w:val="002D1E6E"/>
    <w:rsid w:val="002D5C24"/>
    <w:rsid w:val="002D7162"/>
    <w:rsid w:val="002E675E"/>
    <w:rsid w:val="002F0C6C"/>
    <w:rsid w:val="002F31EC"/>
    <w:rsid w:val="002F4CE1"/>
    <w:rsid w:val="002F66A8"/>
    <w:rsid w:val="002F7B5A"/>
    <w:rsid w:val="0030022C"/>
    <w:rsid w:val="003008CF"/>
    <w:rsid w:val="00300F22"/>
    <w:rsid w:val="00304A37"/>
    <w:rsid w:val="00305B76"/>
    <w:rsid w:val="00310ED4"/>
    <w:rsid w:val="00311B10"/>
    <w:rsid w:val="00312301"/>
    <w:rsid w:val="003143C8"/>
    <w:rsid w:val="0031492A"/>
    <w:rsid w:val="00316C1A"/>
    <w:rsid w:val="00317571"/>
    <w:rsid w:val="00323C73"/>
    <w:rsid w:val="0032796C"/>
    <w:rsid w:val="00331141"/>
    <w:rsid w:val="00331E8C"/>
    <w:rsid w:val="00333A25"/>
    <w:rsid w:val="00337FED"/>
    <w:rsid w:val="003421BC"/>
    <w:rsid w:val="00343352"/>
    <w:rsid w:val="00343A85"/>
    <w:rsid w:val="00344758"/>
    <w:rsid w:val="003455FE"/>
    <w:rsid w:val="00347142"/>
    <w:rsid w:val="00350AC1"/>
    <w:rsid w:val="00353FCD"/>
    <w:rsid w:val="00354776"/>
    <w:rsid w:val="003551EF"/>
    <w:rsid w:val="003552FE"/>
    <w:rsid w:val="003565A8"/>
    <w:rsid w:val="003566EA"/>
    <w:rsid w:val="003609EE"/>
    <w:rsid w:val="00361D91"/>
    <w:rsid w:val="00363288"/>
    <w:rsid w:val="00364BFE"/>
    <w:rsid w:val="003712F7"/>
    <w:rsid w:val="0037139B"/>
    <w:rsid w:val="00372C79"/>
    <w:rsid w:val="003824CE"/>
    <w:rsid w:val="003864BC"/>
    <w:rsid w:val="00386FB0"/>
    <w:rsid w:val="003875D1"/>
    <w:rsid w:val="00387740"/>
    <w:rsid w:val="00387E30"/>
    <w:rsid w:val="00390008"/>
    <w:rsid w:val="00390A92"/>
    <w:rsid w:val="003919FC"/>
    <w:rsid w:val="003928D2"/>
    <w:rsid w:val="00392FF1"/>
    <w:rsid w:val="0039666D"/>
    <w:rsid w:val="003A0866"/>
    <w:rsid w:val="003A0E62"/>
    <w:rsid w:val="003A2621"/>
    <w:rsid w:val="003A312A"/>
    <w:rsid w:val="003A3A65"/>
    <w:rsid w:val="003B02EE"/>
    <w:rsid w:val="003B0A77"/>
    <w:rsid w:val="003B3CC6"/>
    <w:rsid w:val="003B4655"/>
    <w:rsid w:val="003B56C4"/>
    <w:rsid w:val="003B754D"/>
    <w:rsid w:val="003C2D9E"/>
    <w:rsid w:val="003C33EA"/>
    <w:rsid w:val="003C36BF"/>
    <w:rsid w:val="003C4E87"/>
    <w:rsid w:val="003C7101"/>
    <w:rsid w:val="003D1524"/>
    <w:rsid w:val="003D45CB"/>
    <w:rsid w:val="003D71EC"/>
    <w:rsid w:val="003E2B87"/>
    <w:rsid w:val="003E3891"/>
    <w:rsid w:val="003E53F0"/>
    <w:rsid w:val="003E647F"/>
    <w:rsid w:val="003E689F"/>
    <w:rsid w:val="003E6AD4"/>
    <w:rsid w:val="003F00E8"/>
    <w:rsid w:val="003F2A73"/>
    <w:rsid w:val="003F2DD9"/>
    <w:rsid w:val="003F720B"/>
    <w:rsid w:val="003F7D83"/>
    <w:rsid w:val="004022D8"/>
    <w:rsid w:val="00402478"/>
    <w:rsid w:val="00403154"/>
    <w:rsid w:val="00406E4C"/>
    <w:rsid w:val="00410A73"/>
    <w:rsid w:val="004143DD"/>
    <w:rsid w:val="00422417"/>
    <w:rsid w:val="00424233"/>
    <w:rsid w:val="00427066"/>
    <w:rsid w:val="00427B5F"/>
    <w:rsid w:val="0043042B"/>
    <w:rsid w:val="00431EBD"/>
    <w:rsid w:val="0043710A"/>
    <w:rsid w:val="004402F9"/>
    <w:rsid w:val="0044483D"/>
    <w:rsid w:val="00444B8A"/>
    <w:rsid w:val="00445FF2"/>
    <w:rsid w:val="00447A76"/>
    <w:rsid w:val="0045125B"/>
    <w:rsid w:val="00451CB9"/>
    <w:rsid w:val="00453254"/>
    <w:rsid w:val="004543B3"/>
    <w:rsid w:val="00457B15"/>
    <w:rsid w:val="00465C42"/>
    <w:rsid w:val="00471539"/>
    <w:rsid w:val="00471D4A"/>
    <w:rsid w:val="00472EFF"/>
    <w:rsid w:val="00473339"/>
    <w:rsid w:val="00474063"/>
    <w:rsid w:val="00476002"/>
    <w:rsid w:val="00476793"/>
    <w:rsid w:val="0048016B"/>
    <w:rsid w:val="00480578"/>
    <w:rsid w:val="00480727"/>
    <w:rsid w:val="00482F70"/>
    <w:rsid w:val="0049020B"/>
    <w:rsid w:val="00491FD6"/>
    <w:rsid w:val="004A003D"/>
    <w:rsid w:val="004A187B"/>
    <w:rsid w:val="004A25E2"/>
    <w:rsid w:val="004A2674"/>
    <w:rsid w:val="004A2D3C"/>
    <w:rsid w:val="004A30A4"/>
    <w:rsid w:val="004A3511"/>
    <w:rsid w:val="004B0E97"/>
    <w:rsid w:val="004B1CCF"/>
    <w:rsid w:val="004B3A3B"/>
    <w:rsid w:val="004B59F5"/>
    <w:rsid w:val="004B6D14"/>
    <w:rsid w:val="004C7412"/>
    <w:rsid w:val="004D04BF"/>
    <w:rsid w:val="004D0627"/>
    <w:rsid w:val="004D09F7"/>
    <w:rsid w:val="004D33D6"/>
    <w:rsid w:val="004D6E55"/>
    <w:rsid w:val="004E0DFF"/>
    <w:rsid w:val="004E2B5D"/>
    <w:rsid w:val="004E45D4"/>
    <w:rsid w:val="004E7E88"/>
    <w:rsid w:val="004F1267"/>
    <w:rsid w:val="004F1C7C"/>
    <w:rsid w:val="004F2441"/>
    <w:rsid w:val="004F32F0"/>
    <w:rsid w:val="004F5E4D"/>
    <w:rsid w:val="004F7557"/>
    <w:rsid w:val="005000A7"/>
    <w:rsid w:val="00500223"/>
    <w:rsid w:val="00505E6D"/>
    <w:rsid w:val="00507409"/>
    <w:rsid w:val="005112C5"/>
    <w:rsid w:val="005123F0"/>
    <w:rsid w:val="00513540"/>
    <w:rsid w:val="00513941"/>
    <w:rsid w:val="00514253"/>
    <w:rsid w:val="00516694"/>
    <w:rsid w:val="00517562"/>
    <w:rsid w:val="0052013A"/>
    <w:rsid w:val="00521778"/>
    <w:rsid w:val="00521BC4"/>
    <w:rsid w:val="00522714"/>
    <w:rsid w:val="005233A8"/>
    <w:rsid w:val="00527DE9"/>
    <w:rsid w:val="0053051D"/>
    <w:rsid w:val="00535D4F"/>
    <w:rsid w:val="005366B2"/>
    <w:rsid w:val="005368DA"/>
    <w:rsid w:val="005443C2"/>
    <w:rsid w:val="0054514F"/>
    <w:rsid w:val="0055182D"/>
    <w:rsid w:val="005533A5"/>
    <w:rsid w:val="00561B22"/>
    <w:rsid w:val="005621F0"/>
    <w:rsid w:val="00563119"/>
    <w:rsid w:val="005637B0"/>
    <w:rsid w:val="00564208"/>
    <w:rsid w:val="00566B96"/>
    <w:rsid w:val="00571CEB"/>
    <w:rsid w:val="0057405B"/>
    <w:rsid w:val="00574698"/>
    <w:rsid w:val="00576A69"/>
    <w:rsid w:val="00576C5C"/>
    <w:rsid w:val="0058031A"/>
    <w:rsid w:val="0058087F"/>
    <w:rsid w:val="005826CC"/>
    <w:rsid w:val="00585208"/>
    <w:rsid w:val="00590615"/>
    <w:rsid w:val="00590B5F"/>
    <w:rsid w:val="00591951"/>
    <w:rsid w:val="00594AF4"/>
    <w:rsid w:val="005968C7"/>
    <w:rsid w:val="005A1016"/>
    <w:rsid w:val="005A2B86"/>
    <w:rsid w:val="005A462C"/>
    <w:rsid w:val="005A7558"/>
    <w:rsid w:val="005A7ED3"/>
    <w:rsid w:val="005B12C0"/>
    <w:rsid w:val="005B3B17"/>
    <w:rsid w:val="005B4DAF"/>
    <w:rsid w:val="005B550A"/>
    <w:rsid w:val="005B5C1C"/>
    <w:rsid w:val="005B6450"/>
    <w:rsid w:val="005B6DAA"/>
    <w:rsid w:val="005B6DF2"/>
    <w:rsid w:val="005B74EF"/>
    <w:rsid w:val="005C2F33"/>
    <w:rsid w:val="005C573E"/>
    <w:rsid w:val="005C5D41"/>
    <w:rsid w:val="005D12EE"/>
    <w:rsid w:val="005D1F34"/>
    <w:rsid w:val="005D383D"/>
    <w:rsid w:val="005D4CEA"/>
    <w:rsid w:val="005D60CB"/>
    <w:rsid w:val="005D7014"/>
    <w:rsid w:val="005D78A9"/>
    <w:rsid w:val="005E03F3"/>
    <w:rsid w:val="005E263A"/>
    <w:rsid w:val="005E5163"/>
    <w:rsid w:val="005F2E98"/>
    <w:rsid w:val="005F3A58"/>
    <w:rsid w:val="005F3FF0"/>
    <w:rsid w:val="005F48BC"/>
    <w:rsid w:val="005F5794"/>
    <w:rsid w:val="005F6AB3"/>
    <w:rsid w:val="00604939"/>
    <w:rsid w:val="00611B7D"/>
    <w:rsid w:val="006124F7"/>
    <w:rsid w:val="0061397A"/>
    <w:rsid w:val="00622117"/>
    <w:rsid w:val="00624C04"/>
    <w:rsid w:val="00625249"/>
    <w:rsid w:val="006279F9"/>
    <w:rsid w:val="0063080C"/>
    <w:rsid w:val="00634AAE"/>
    <w:rsid w:val="00635A16"/>
    <w:rsid w:val="00640B9F"/>
    <w:rsid w:val="00642E50"/>
    <w:rsid w:val="00651080"/>
    <w:rsid w:val="00652E90"/>
    <w:rsid w:val="00654793"/>
    <w:rsid w:val="00654C49"/>
    <w:rsid w:val="00656D54"/>
    <w:rsid w:val="00657D46"/>
    <w:rsid w:val="006652BB"/>
    <w:rsid w:val="00665B7D"/>
    <w:rsid w:val="006666CC"/>
    <w:rsid w:val="00667662"/>
    <w:rsid w:val="00674840"/>
    <w:rsid w:val="0068141F"/>
    <w:rsid w:val="00684075"/>
    <w:rsid w:val="006859AA"/>
    <w:rsid w:val="006864A7"/>
    <w:rsid w:val="00686A07"/>
    <w:rsid w:val="00694478"/>
    <w:rsid w:val="006A14FA"/>
    <w:rsid w:val="006A1CA7"/>
    <w:rsid w:val="006A44BD"/>
    <w:rsid w:val="006A6BB3"/>
    <w:rsid w:val="006A7D03"/>
    <w:rsid w:val="006B04FB"/>
    <w:rsid w:val="006B41A8"/>
    <w:rsid w:val="006B5BA2"/>
    <w:rsid w:val="006B6D88"/>
    <w:rsid w:val="006C1038"/>
    <w:rsid w:val="006C29F0"/>
    <w:rsid w:val="006C42CA"/>
    <w:rsid w:val="006C53EA"/>
    <w:rsid w:val="006C6E4E"/>
    <w:rsid w:val="006D1EAC"/>
    <w:rsid w:val="006D3F17"/>
    <w:rsid w:val="006D42CE"/>
    <w:rsid w:val="006D5A3F"/>
    <w:rsid w:val="006D5EE5"/>
    <w:rsid w:val="006D613D"/>
    <w:rsid w:val="006D67AF"/>
    <w:rsid w:val="006E00DE"/>
    <w:rsid w:val="006E02AC"/>
    <w:rsid w:val="006E34D0"/>
    <w:rsid w:val="006E3F71"/>
    <w:rsid w:val="006E5B26"/>
    <w:rsid w:val="006E6B9A"/>
    <w:rsid w:val="006F321E"/>
    <w:rsid w:val="007014FE"/>
    <w:rsid w:val="00704370"/>
    <w:rsid w:val="0070575F"/>
    <w:rsid w:val="00710D1C"/>
    <w:rsid w:val="007132EC"/>
    <w:rsid w:val="00714FAF"/>
    <w:rsid w:val="007150B4"/>
    <w:rsid w:val="007156DB"/>
    <w:rsid w:val="00716BFC"/>
    <w:rsid w:val="00721465"/>
    <w:rsid w:val="0072395F"/>
    <w:rsid w:val="00725C26"/>
    <w:rsid w:val="00726238"/>
    <w:rsid w:val="00726F7D"/>
    <w:rsid w:val="00733859"/>
    <w:rsid w:val="0073641E"/>
    <w:rsid w:val="00736A32"/>
    <w:rsid w:val="00736ADA"/>
    <w:rsid w:val="007372FF"/>
    <w:rsid w:val="00743727"/>
    <w:rsid w:val="00744048"/>
    <w:rsid w:val="007444D6"/>
    <w:rsid w:val="00745FE7"/>
    <w:rsid w:val="007525B2"/>
    <w:rsid w:val="00752855"/>
    <w:rsid w:val="007540BF"/>
    <w:rsid w:val="0075695F"/>
    <w:rsid w:val="007574B6"/>
    <w:rsid w:val="00762ACB"/>
    <w:rsid w:val="00762E15"/>
    <w:rsid w:val="00767EA2"/>
    <w:rsid w:val="00770DCB"/>
    <w:rsid w:val="00773500"/>
    <w:rsid w:val="0077497E"/>
    <w:rsid w:val="00774A91"/>
    <w:rsid w:val="00774DDF"/>
    <w:rsid w:val="00775485"/>
    <w:rsid w:val="00791DD9"/>
    <w:rsid w:val="00796990"/>
    <w:rsid w:val="007A4691"/>
    <w:rsid w:val="007A5BC2"/>
    <w:rsid w:val="007A6F3D"/>
    <w:rsid w:val="007A7512"/>
    <w:rsid w:val="007B2503"/>
    <w:rsid w:val="007C7606"/>
    <w:rsid w:val="007D024D"/>
    <w:rsid w:val="007D0AD8"/>
    <w:rsid w:val="007D38CA"/>
    <w:rsid w:val="007D6A90"/>
    <w:rsid w:val="007E148A"/>
    <w:rsid w:val="007E3F65"/>
    <w:rsid w:val="007E4499"/>
    <w:rsid w:val="007E5B88"/>
    <w:rsid w:val="007E6773"/>
    <w:rsid w:val="007F0D0B"/>
    <w:rsid w:val="007F4E77"/>
    <w:rsid w:val="008007A8"/>
    <w:rsid w:val="008042D9"/>
    <w:rsid w:val="00804B55"/>
    <w:rsid w:val="00805181"/>
    <w:rsid w:val="008057D6"/>
    <w:rsid w:val="00814FC0"/>
    <w:rsid w:val="00815453"/>
    <w:rsid w:val="0082265D"/>
    <w:rsid w:val="00822DF6"/>
    <w:rsid w:val="00823170"/>
    <w:rsid w:val="0082784D"/>
    <w:rsid w:val="0083434E"/>
    <w:rsid w:val="00835605"/>
    <w:rsid w:val="00836609"/>
    <w:rsid w:val="00837E76"/>
    <w:rsid w:val="008407AA"/>
    <w:rsid w:val="008407D8"/>
    <w:rsid w:val="008418EB"/>
    <w:rsid w:val="008422C1"/>
    <w:rsid w:val="00843DF9"/>
    <w:rsid w:val="00844F75"/>
    <w:rsid w:val="00845F43"/>
    <w:rsid w:val="00860D98"/>
    <w:rsid w:val="00860E6A"/>
    <w:rsid w:val="008632F5"/>
    <w:rsid w:val="00863878"/>
    <w:rsid w:val="008644F5"/>
    <w:rsid w:val="0086543A"/>
    <w:rsid w:val="008676D2"/>
    <w:rsid w:val="00867C57"/>
    <w:rsid w:val="008717ED"/>
    <w:rsid w:val="008724DE"/>
    <w:rsid w:val="00873DBA"/>
    <w:rsid w:val="00874AED"/>
    <w:rsid w:val="00880271"/>
    <w:rsid w:val="00880E3B"/>
    <w:rsid w:val="0088616A"/>
    <w:rsid w:val="008950C2"/>
    <w:rsid w:val="0089572C"/>
    <w:rsid w:val="00895BBC"/>
    <w:rsid w:val="00895D65"/>
    <w:rsid w:val="008965F1"/>
    <w:rsid w:val="008A2AA2"/>
    <w:rsid w:val="008A3D57"/>
    <w:rsid w:val="008B2300"/>
    <w:rsid w:val="008B23BC"/>
    <w:rsid w:val="008B2712"/>
    <w:rsid w:val="008B2F31"/>
    <w:rsid w:val="008C0B32"/>
    <w:rsid w:val="008C417D"/>
    <w:rsid w:val="008C4F44"/>
    <w:rsid w:val="008C4FD5"/>
    <w:rsid w:val="008D0F97"/>
    <w:rsid w:val="008D7A74"/>
    <w:rsid w:val="008E3D60"/>
    <w:rsid w:val="008E3F4C"/>
    <w:rsid w:val="008E4BE1"/>
    <w:rsid w:val="008E7F0F"/>
    <w:rsid w:val="008F0752"/>
    <w:rsid w:val="008F5981"/>
    <w:rsid w:val="008F5B16"/>
    <w:rsid w:val="008F6B7B"/>
    <w:rsid w:val="0090165F"/>
    <w:rsid w:val="00901B82"/>
    <w:rsid w:val="009030CC"/>
    <w:rsid w:val="00905E55"/>
    <w:rsid w:val="00906382"/>
    <w:rsid w:val="00906596"/>
    <w:rsid w:val="009072F7"/>
    <w:rsid w:val="009078BD"/>
    <w:rsid w:val="00911C48"/>
    <w:rsid w:val="00912B09"/>
    <w:rsid w:val="00913222"/>
    <w:rsid w:val="00913A31"/>
    <w:rsid w:val="00914650"/>
    <w:rsid w:val="009152D1"/>
    <w:rsid w:val="00916CE4"/>
    <w:rsid w:val="00920247"/>
    <w:rsid w:val="00922D75"/>
    <w:rsid w:val="009233B5"/>
    <w:rsid w:val="00931AF7"/>
    <w:rsid w:val="00932383"/>
    <w:rsid w:val="00933AD8"/>
    <w:rsid w:val="009349EB"/>
    <w:rsid w:val="00935777"/>
    <w:rsid w:val="009371D5"/>
    <w:rsid w:val="00937D44"/>
    <w:rsid w:val="0094084B"/>
    <w:rsid w:val="00941936"/>
    <w:rsid w:val="00950F30"/>
    <w:rsid w:val="00961756"/>
    <w:rsid w:val="0096414B"/>
    <w:rsid w:val="00966C2F"/>
    <w:rsid w:val="00970052"/>
    <w:rsid w:val="00970487"/>
    <w:rsid w:val="00974B9A"/>
    <w:rsid w:val="00974CD7"/>
    <w:rsid w:val="0097512B"/>
    <w:rsid w:val="00981794"/>
    <w:rsid w:val="00982B18"/>
    <w:rsid w:val="00984070"/>
    <w:rsid w:val="009850FD"/>
    <w:rsid w:val="00985462"/>
    <w:rsid w:val="00986714"/>
    <w:rsid w:val="009902C7"/>
    <w:rsid w:val="00991756"/>
    <w:rsid w:val="0099222B"/>
    <w:rsid w:val="009937E2"/>
    <w:rsid w:val="00993880"/>
    <w:rsid w:val="009A2013"/>
    <w:rsid w:val="009A4B23"/>
    <w:rsid w:val="009A5827"/>
    <w:rsid w:val="009B077E"/>
    <w:rsid w:val="009B1227"/>
    <w:rsid w:val="009B189C"/>
    <w:rsid w:val="009B22B6"/>
    <w:rsid w:val="009B27B7"/>
    <w:rsid w:val="009B4EDF"/>
    <w:rsid w:val="009B53E2"/>
    <w:rsid w:val="009B7465"/>
    <w:rsid w:val="009C19A4"/>
    <w:rsid w:val="009C2578"/>
    <w:rsid w:val="009C44CF"/>
    <w:rsid w:val="009C5F17"/>
    <w:rsid w:val="009D0566"/>
    <w:rsid w:val="009D5CA5"/>
    <w:rsid w:val="009D67F6"/>
    <w:rsid w:val="009E0FE1"/>
    <w:rsid w:val="009E177E"/>
    <w:rsid w:val="009E18F7"/>
    <w:rsid w:val="009E4718"/>
    <w:rsid w:val="009E7557"/>
    <w:rsid w:val="009F5022"/>
    <w:rsid w:val="009F7088"/>
    <w:rsid w:val="009F7B5E"/>
    <w:rsid w:val="00A00002"/>
    <w:rsid w:val="00A001B0"/>
    <w:rsid w:val="00A00B29"/>
    <w:rsid w:val="00A021F4"/>
    <w:rsid w:val="00A0406E"/>
    <w:rsid w:val="00A1004C"/>
    <w:rsid w:val="00A11307"/>
    <w:rsid w:val="00A13AF3"/>
    <w:rsid w:val="00A1461A"/>
    <w:rsid w:val="00A14E75"/>
    <w:rsid w:val="00A15FF9"/>
    <w:rsid w:val="00A17C01"/>
    <w:rsid w:val="00A21388"/>
    <w:rsid w:val="00A25C2E"/>
    <w:rsid w:val="00A264C7"/>
    <w:rsid w:val="00A268BD"/>
    <w:rsid w:val="00A26995"/>
    <w:rsid w:val="00A26F9E"/>
    <w:rsid w:val="00A27791"/>
    <w:rsid w:val="00A3206B"/>
    <w:rsid w:val="00A409EE"/>
    <w:rsid w:val="00A41355"/>
    <w:rsid w:val="00A437E4"/>
    <w:rsid w:val="00A43B92"/>
    <w:rsid w:val="00A445DA"/>
    <w:rsid w:val="00A46D6C"/>
    <w:rsid w:val="00A53A09"/>
    <w:rsid w:val="00A53EF5"/>
    <w:rsid w:val="00A54251"/>
    <w:rsid w:val="00A5718E"/>
    <w:rsid w:val="00A60A6C"/>
    <w:rsid w:val="00A6179E"/>
    <w:rsid w:val="00A61CFC"/>
    <w:rsid w:val="00A61D96"/>
    <w:rsid w:val="00A62439"/>
    <w:rsid w:val="00A63966"/>
    <w:rsid w:val="00A64316"/>
    <w:rsid w:val="00A659AC"/>
    <w:rsid w:val="00A66DA5"/>
    <w:rsid w:val="00A70141"/>
    <w:rsid w:val="00A73C09"/>
    <w:rsid w:val="00A75375"/>
    <w:rsid w:val="00A76B1D"/>
    <w:rsid w:val="00A804D9"/>
    <w:rsid w:val="00A808FB"/>
    <w:rsid w:val="00A816D4"/>
    <w:rsid w:val="00A828B2"/>
    <w:rsid w:val="00A8313A"/>
    <w:rsid w:val="00A83467"/>
    <w:rsid w:val="00A83E8B"/>
    <w:rsid w:val="00A86383"/>
    <w:rsid w:val="00A92DBB"/>
    <w:rsid w:val="00A92F92"/>
    <w:rsid w:val="00A96892"/>
    <w:rsid w:val="00A9717E"/>
    <w:rsid w:val="00AA1525"/>
    <w:rsid w:val="00AA1D20"/>
    <w:rsid w:val="00AA2051"/>
    <w:rsid w:val="00AA553E"/>
    <w:rsid w:val="00AB4303"/>
    <w:rsid w:val="00AB60CB"/>
    <w:rsid w:val="00AB6176"/>
    <w:rsid w:val="00AC1259"/>
    <w:rsid w:val="00AC1712"/>
    <w:rsid w:val="00AC52D8"/>
    <w:rsid w:val="00AD0145"/>
    <w:rsid w:val="00AD2F5B"/>
    <w:rsid w:val="00AD5A74"/>
    <w:rsid w:val="00AD6149"/>
    <w:rsid w:val="00AD70F8"/>
    <w:rsid w:val="00AE0975"/>
    <w:rsid w:val="00AE115F"/>
    <w:rsid w:val="00AE4763"/>
    <w:rsid w:val="00AE6892"/>
    <w:rsid w:val="00AF0596"/>
    <w:rsid w:val="00AF1C20"/>
    <w:rsid w:val="00AF4216"/>
    <w:rsid w:val="00AF6ECC"/>
    <w:rsid w:val="00B117F5"/>
    <w:rsid w:val="00B151B0"/>
    <w:rsid w:val="00B2199A"/>
    <w:rsid w:val="00B24B1D"/>
    <w:rsid w:val="00B25CA3"/>
    <w:rsid w:val="00B277E0"/>
    <w:rsid w:val="00B31065"/>
    <w:rsid w:val="00B340B1"/>
    <w:rsid w:val="00B34946"/>
    <w:rsid w:val="00B37657"/>
    <w:rsid w:val="00B519FD"/>
    <w:rsid w:val="00B520BC"/>
    <w:rsid w:val="00B54843"/>
    <w:rsid w:val="00B56A0D"/>
    <w:rsid w:val="00B62F74"/>
    <w:rsid w:val="00B63D24"/>
    <w:rsid w:val="00B732DC"/>
    <w:rsid w:val="00B74F90"/>
    <w:rsid w:val="00B915A1"/>
    <w:rsid w:val="00B924E6"/>
    <w:rsid w:val="00B96B68"/>
    <w:rsid w:val="00B973A9"/>
    <w:rsid w:val="00B978D5"/>
    <w:rsid w:val="00B97E1B"/>
    <w:rsid w:val="00BA041B"/>
    <w:rsid w:val="00BA2204"/>
    <w:rsid w:val="00BA233A"/>
    <w:rsid w:val="00BA262D"/>
    <w:rsid w:val="00BA3B65"/>
    <w:rsid w:val="00BA49A8"/>
    <w:rsid w:val="00BA5698"/>
    <w:rsid w:val="00BA6E9C"/>
    <w:rsid w:val="00BA7B77"/>
    <w:rsid w:val="00BB3275"/>
    <w:rsid w:val="00BB45D6"/>
    <w:rsid w:val="00BC4A6C"/>
    <w:rsid w:val="00BC4C2B"/>
    <w:rsid w:val="00BC550F"/>
    <w:rsid w:val="00BC67CD"/>
    <w:rsid w:val="00BC79EB"/>
    <w:rsid w:val="00BD1291"/>
    <w:rsid w:val="00BD424B"/>
    <w:rsid w:val="00BD7FCF"/>
    <w:rsid w:val="00BE3C12"/>
    <w:rsid w:val="00BE4691"/>
    <w:rsid w:val="00BE5AD0"/>
    <w:rsid w:val="00BF1443"/>
    <w:rsid w:val="00BF6545"/>
    <w:rsid w:val="00C01561"/>
    <w:rsid w:val="00C04C92"/>
    <w:rsid w:val="00C04E14"/>
    <w:rsid w:val="00C06C11"/>
    <w:rsid w:val="00C07F02"/>
    <w:rsid w:val="00C128DB"/>
    <w:rsid w:val="00C12C53"/>
    <w:rsid w:val="00C1493B"/>
    <w:rsid w:val="00C25BDA"/>
    <w:rsid w:val="00C261D9"/>
    <w:rsid w:val="00C301B8"/>
    <w:rsid w:val="00C33104"/>
    <w:rsid w:val="00C407B9"/>
    <w:rsid w:val="00C448D3"/>
    <w:rsid w:val="00C52C27"/>
    <w:rsid w:val="00C53064"/>
    <w:rsid w:val="00C53FF8"/>
    <w:rsid w:val="00C54F48"/>
    <w:rsid w:val="00C60C2F"/>
    <w:rsid w:val="00C61B9F"/>
    <w:rsid w:val="00C64FD7"/>
    <w:rsid w:val="00C66A5F"/>
    <w:rsid w:val="00C66BD9"/>
    <w:rsid w:val="00C72AD1"/>
    <w:rsid w:val="00C81E41"/>
    <w:rsid w:val="00C8221C"/>
    <w:rsid w:val="00C854D4"/>
    <w:rsid w:val="00C85F80"/>
    <w:rsid w:val="00C90556"/>
    <w:rsid w:val="00C91887"/>
    <w:rsid w:val="00C923C6"/>
    <w:rsid w:val="00C9393E"/>
    <w:rsid w:val="00C94316"/>
    <w:rsid w:val="00C95A55"/>
    <w:rsid w:val="00C96C0B"/>
    <w:rsid w:val="00C96F49"/>
    <w:rsid w:val="00CA0B20"/>
    <w:rsid w:val="00CA0D78"/>
    <w:rsid w:val="00CA2245"/>
    <w:rsid w:val="00CA3C0A"/>
    <w:rsid w:val="00CA4855"/>
    <w:rsid w:val="00CA6391"/>
    <w:rsid w:val="00CB1220"/>
    <w:rsid w:val="00CB1D52"/>
    <w:rsid w:val="00CB24FE"/>
    <w:rsid w:val="00CB30F1"/>
    <w:rsid w:val="00CC56B2"/>
    <w:rsid w:val="00CC661B"/>
    <w:rsid w:val="00CC7EF1"/>
    <w:rsid w:val="00CD1A5B"/>
    <w:rsid w:val="00CD2A00"/>
    <w:rsid w:val="00CD4196"/>
    <w:rsid w:val="00CD5558"/>
    <w:rsid w:val="00CD567B"/>
    <w:rsid w:val="00CD58FD"/>
    <w:rsid w:val="00CD7EB5"/>
    <w:rsid w:val="00CE3A07"/>
    <w:rsid w:val="00CE5742"/>
    <w:rsid w:val="00CE7584"/>
    <w:rsid w:val="00CF0BBF"/>
    <w:rsid w:val="00CF1CF8"/>
    <w:rsid w:val="00CF2F14"/>
    <w:rsid w:val="00CF2FDA"/>
    <w:rsid w:val="00CF3035"/>
    <w:rsid w:val="00CF4278"/>
    <w:rsid w:val="00D03B18"/>
    <w:rsid w:val="00D10D66"/>
    <w:rsid w:val="00D16094"/>
    <w:rsid w:val="00D16CA9"/>
    <w:rsid w:val="00D201B7"/>
    <w:rsid w:val="00D20214"/>
    <w:rsid w:val="00D21A50"/>
    <w:rsid w:val="00D239D2"/>
    <w:rsid w:val="00D2547F"/>
    <w:rsid w:val="00D264EC"/>
    <w:rsid w:val="00D2692D"/>
    <w:rsid w:val="00D30A61"/>
    <w:rsid w:val="00D343FA"/>
    <w:rsid w:val="00D34A31"/>
    <w:rsid w:val="00D3584C"/>
    <w:rsid w:val="00D3771D"/>
    <w:rsid w:val="00D418FF"/>
    <w:rsid w:val="00D4270C"/>
    <w:rsid w:val="00D50178"/>
    <w:rsid w:val="00D538FB"/>
    <w:rsid w:val="00D53981"/>
    <w:rsid w:val="00D61AEB"/>
    <w:rsid w:val="00D6281B"/>
    <w:rsid w:val="00D62ACD"/>
    <w:rsid w:val="00D63302"/>
    <w:rsid w:val="00D63738"/>
    <w:rsid w:val="00D65553"/>
    <w:rsid w:val="00D65C76"/>
    <w:rsid w:val="00D65E43"/>
    <w:rsid w:val="00D70E3F"/>
    <w:rsid w:val="00D729AD"/>
    <w:rsid w:val="00D734C7"/>
    <w:rsid w:val="00D75FEA"/>
    <w:rsid w:val="00D77881"/>
    <w:rsid w:val="00D81452"/>
    <w:rsid w:val="00D82E23"/>
    <w:rsid w:val="00D841C1"/>
    <w:rsid w:val="00D84CB5"/>
    <w:rsid w:val="00D85839"/>
    <w:rsid w:val="00D92C21"/>
    <w:rsid w:val="00D93671"/>
    <w:rsid w:val="00D96005"/>
    <w:rsid w:val="00DA077E"/>
    <w:rsid w:val="00DA2999"/>
    <w:rsid w:val="00DA2F73"/>
    <w:rsid w:val="00DA32AF"/>
    <w:rsid w:val="00DB1312"/>
    <w:rsid w:val="00DB2D95"/>
    <w:rsid w:val="00DB5EA6"/>
    <w:rsid w:val="00DB6813"/>
    <w:rsid w:val="00DC0538"/>
    <w:rsid w:val="00DC1740"/>
    <w:rsid w:val="00DC462F"/>
    <w:rsid w:val="00DC70F8"/>
    <w:rsid w:val="00DD43F9"/>
    <w:rsid w:val="00DD4E6C"/>
    <w:rsid w:val="00DD6A21"/>
    <w:rsid w:val="00DE3A03"/>
    <w:rsid w:val="00DE60CA"/>
    <w:rsid w:val="00DF14F4"/>
    <w:rsid w:val="00DF5A7C"/>
    <w:rsid w:val="00DF6DA3"/>
    <w:rsid w:val="00DF70BF"/>
    <w:rsid w:val="00E00096"/>
    <w:rsid w:val="00E02C6C"/>
    <w:rsid w:val="00E03B26"/>
    <w:rsid w:val="00E06DD6"/>
    <w:rsid w:val="00E11DDB"/>
    <w:rsid w:val="00E1309F"/>
    <w:rsid w:val="00E14983"/>
    <w:rsid w:val="00E1549D"/>
    <w:rsid w:val="00E15977"/>
    <w:rsid w:val="00E21290"/>
    <w:rsid w:val="00E24DAB"/>
    <w:rsid w:val="00E24FA3"/>
    <w:rsid w:val="00E25615"/>
    <w:rsid w:val="00E26B28"/>
    <w:rsid w:val="00E30814"/>
    <w:rsid w:val="00E31465"/>
    <w:rsid w:val="00E328CD"/>
    <w:rsid w:val="00E36B95"/>
    <w:rsid w:val="00E4003F"/>
    <w:rsid w:val="00E444F1"/>
    <w:rsid w:val="00E456F9"/>
    <w:rsid w:val="00E458F6"/>
    <w:rsid w:val="00E45954"/>
    <w:rsid w:val="00E45958"/>
    <w:rsid w:val="00E4641A"/>
    <w:rsid w:val="00E478FE"/>
    <w:rsid w:val="00E47AD6"/>
    <w:rsid w:val="00E50DB1"/>
    <w:rsid w:val="00E52F44"/>
    <w:rsid w:val="00E53FBC"/>
    <w:rsid w:val="00E5487F"/>
    <w:rsid w:val="00E56796"/>
    <w:rsid w:val="00E60081"/>
    <w:rsid w:val="00E600B6"/>
    <w:rsid w:val="00E65C10"/>
    <w:rsid w:val="00E66990"/>
    <w:rsid w:val="00E708E8"/>
    <w:rsid w:val="00E749B5"/>
    <w:rsid w:val="00E75D03"/>
    <w:rsid w:val="00E8286D"/>
    <w:rsid w:val="00E831F2"/>
    <w:rsid w:val="00E854E6"/>
    <w:rsid w:val="00E94581"/>
    <w:rsid w:val="00E957D9"/>
    <w:rsid w:val="00E962E3"/>
    <w:rsid w:val="00E97F7F"/>
    <w:rsid w:val="00EA006E"/>
    <w:rsid w:val="00EA1F7F"/>
    <w:rsid w:val="00EA4435"/>
    <w:rsid w:val="00EA44D9"/>
    <w:rsid w:val="00EA6A09"/>
    <w:rsid w:val="00EB1A12"/>
    <w:rsid w:val="00EB4C9F"/>
    <w:rsid w:val="00EB6A76"/>
    <w:rsid w:val="00EB7413"/>
    <w:rsid w:val="00EC14A3"/>
    <w:rsid w:val="00EC3A55"/>
    <w:rsid w:val="00ED0DEE"/>
    <w:rsid w:val="00ED5224"/>
    <w:rsid w:val="00ED7495"/>
    <w:rsid w:val="00EE012E"/>
    <w:rsid w:val="00EE093E"/>
    <w:rsid w:val="00EE3640"/>
    <w:rsid w:val="00EE6C74"/>
    <w:rsid w:val="00EE7AC5"/>
    <w:rsid w:val="00EE7E54"/>
    <w:rsid w:val="00EF038B"/>
    <w:rsid w:val="00EF16F5"/>
    <w:rsid w:val="00EF18AF"/>
    <w:rsid w:val="00EF1FD0"/>
    <w:rsid w:val="00EF4161"/>
    <w:rsid w:val="00F00304"/>
    <w:rsid w:val="00F047E1"/>
    <w:rsid w:val="00F055C5"/>
    <w:rsid w:val="00F11C17"/>
    <w:rsid w:val="00F11D2F"/>
    <w:rsid w:val="00F120B7"/>
    <w:rsid w:val="00F12D92"/>
    <w:rsid w:val="00F13F24"/>
    <w:rsid w:val="00F14C6D"/>
    <w:rsid w:val="00F14C94"/>
    <w:rsid w:val="00F17F6F"/>
    <w:rsid w:val="00F23BEB"/>
    <w:rsid w:val="00F26461"/>
    <w:rsid w:val="00F26833"/>
    <w:rsid w:val="00F2782D"/>
    <w:rsid w:val="00F33E10"/>
    <w:rsid w:val="00F45635"/>
    <w:rsid w:val="00F45924"/>
    <w:rsid w:val="00F5104B"/>
    <w:rsid w:val="00F54D07"/>
    <w:rsid w:val="00F554B5"/>
    <w:rsid w:val="00F56C52"/>
    <w:rsid w:val="00F60EA1"/>
    <w:rsid w:val="00F6129F"/>
    <w:rsid w:val="00F64571"/>
    <w:rsid w:val="00F6558C"/>
    <w:rsid w:val="00F669EF"/>
    <w:rsid w:val="00F70B00"/>
    <w:rsid w:val="00F73EA6"/>
    <w:rsid w:val="00F7420F"/>
    <w:rsid w:val="00F7557B"/>
    <w:rsid w:val="00F764DE"/>
    <w:rsid w:val="00F77980"/>
    <w:rsid w:val="00F816C0"/>
    <w:rsid w:val="00F8180F"/>
    <w:rsid w:val="00F82164"/>
    <w:rsid w:val="00F823D3"/>
    <w:rsid w:val="00F82631"/>
    <w:rsid w:val="00F82F91"/>
    <w:rsid w:val="00F859E5"/>
    <w:rsid w:val="00F90F11"/>
    <w:rsid w:val="00F943B0"/>
    <w:rsid w:val="00FA3A00"/>
    <w:rsid w:val="00FA3A8B"/>
    <w:rsid w:val="00FA4916"/>
    <w:rsid w:val="00FA706B"/>
    <w:rsid w:val="00FB1CDA"/>
    <w:rsid w:val="00FB1D33"/>
    <w:rsid w:val="00FB365B"/>
    <w:rsid w:val="00FB511C"/>
    <w:rsid w:val="00FB73A0"/>
    <w:rsid w:val="00FB78BA"/>
    <w:rsid w:val="00FC0124"/>
    <w:rsid w:val="00FC0CA5"/>
    <w:rsid w:val="00FC0D9E"/>
    <w:rsid w:val="00FC1CF4"/>
    <w:rsid w:val="00FC40C6"/>
    <w:rsid w:val="00FC518D"/>
    <w:rsid w:val="00FC6577"/>
    <w:rsid w:val="00FC6FBA"/>
    <w:rsid w:val="00FC7ADE"/>
    <w:rsid w:val="00FD01B5"/>
    <w:rsid w:val="00FD1861"/>
    <w:rsid w:val="00FD4081"/>
    <w:rsid w:val="00FD40B2"/>
    <w:rsid w:val="00FD74B3"/>
    <w:rsid w:val="00FE20E4"/>
    <w:rsid w:val="00FE276E"/>
    <w:rsid w:val="00FE4015"/>
    <w:rsid w:val="00FE5BB0"/>
    <w:rsid w:val="00FF39FD"/>
    <w:rsid w:val="00FF6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58802AD"/>
  <w15:chartTrackingRefBased/>
  <w15:docId w15:val="{2651FBA8-CE61-46F2-9BDB-303AF29B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uiPriority="99"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36"/>
      </w:numPr>
      <w:ind w:left="720"/>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Default">
    <w:name w:val="Default"/>
    <w:rsid w:val="00BE5AD0"/>
    <w:pPr>
      <w:autoSpaceDE w:val="0"/>
      <w:autoSpaceDN w:val="0"/>
      <w:adjustRightInd w:val="0"/>
    </w:pPr>
    <w:rPr>
      <w:rFonts w:ascii="Arial" w:hAnsi="Arial" w:cs="Arial"/>
      <w:color w:val="000000"/>
      <w:sz w:val="24"/>
      <w:szCs w:val="24"/>
    </w:rPr>
  </w:style>
  <w:style w:type="paragraph" w:styleId="ListParagraph">
    <w:name w:val="List Paragraph"/>
    <w:aliases w:val="List Paragraph1,List Paragraph11,Bullet point,Recommendation,List Paragraph Number"/>
    <w:basedOn w:val="Normal"/>
    <w:link w:val="ListParagraphChar"/>
    <w:uiPriority w:val="34"/>
    <w:qFormat/>
    <w:rsid w:val="000475DA"/>
    <w:pPr>
      <w:ind w:left="720"/>
      <w:contextualSpacing/>
    </w:pPr>
  </w:style>
  <w:style w:type="character" w:styleId="CommentReference">
    <w:name w:val="annotation reference"/>
    <w:basedOn w:val="DefaultParagraphFont"/>
    <w:locked/>
    <w:rsid w:val="00035BBC"/>
    <w:rPr>
      <w:sz w:val="16"/>
      <w:szCs w:val="16"/>
    </w:rPr>
  </w:style>
  <w:style w:type="paragraph" w:styleId="CommentText">
    <w:name w:val="annotation text"/>
    <w:basedOn w:val="Normal"/>
    <w:link w:val="CommentTextChar"/>
    <w:locked/>
    <w:rsid w:val="00035BBC"/>
    <w:rPr>
      <w:sz w:val="20"/>
      <w:szCs w:val="20"/>
    </w:rPr>
  </w:style>
  <w:style w:type="character" w:customStyle="1" w:styleId="CommentTextChar">
    <w:name w:val="Comment Text Char"/>
    <w:basedOn w:val="DefaultParagraphFont"/>
    <w:link w:val="CommentText"/>
    <w:rsid w:val="00035BBC"/>
    <w:rPr>
      <w:rFonts w:ascii="Arial" w:eastAsia="MS Mincho" w:hAnsi="Arial"/>
    </w:rPr>
  </w:style>
  <w:style w:type="paragraph" w:styleId="CommentSubject">
    <w:name w:val="annotation subject"/>
    <w:basedOn w:val="CommentText"/>
    <w:next w:val="CommentText"/>
    <w:link w:val="CommentSubjectChar"/>
    <w:locked/>
    <w:rsid w:val="00035BBC"/>
    <w:rPr>
      <w:b/>
      <w:bCs/>
    </w:rPr>
  </w:style>
  <w:style w:type="character" w:customStyle="1" w:styleId="CommentSubjectChar">
    <w:name w:val="Comment Subject Char"/>
    <w:basedOn w:val="CommentTextChar"/>
    <w:link w:val="CommentSubject"/>
    <w:rsid w:val="00035BBC"/>
    <w:rPr>
      <w:rFonts w:ascii="Arial" w:eastAsia="MS Mincho" w:hAnsi="Arial"/>
      <w:b/>
      <w:bCs/>
    </w:rPr>
  </w:style>
  <w:style w:type="character" w:customStyle="1" w:styleId="ListParagraphChar">
    <w:name w:val="List Paragraph Char"/>
    <w:aliases w:val="List Paragraph1 Char,List Paragraph11 Char,Bullet point Char,Recommendation Char,List Paragraph Number Char"/>
    <w:link w:val="ListParagraph"/>
    <w:uiPriority w:val="34"/>
    <w:rsid w:val="00D16CA9"/>
    <w:rPr>
      <w:rFonts w:ascii="Arial" w:eastAsia="MS Mincho" w:hAnsi="Arial"/>
      <w:sz w:val="24"/>
      <w:szCs w:val="24"/>
    </w:rPr>
  </w:style>
  <w:style w:type="character" w:customStyle="1" w:styleId="UnresolvedMention1">
    <w:name w:val="Unresolved Mention1"/>
    <w:basedOn w:val="DefaultParagraphFont"/>
    <w:uiPriority w:val="99"/>
    <w:semiHidden/>
    <w:unhideWhenUsed/>
    <w:rsid w:val="002B6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322">
      <w:bodyDiv w:val="1"/>
      <w:marLeft w:val="0"/>
      <w:marRight w:val="0"/>
      <w:marTop w:val="0"/>
      <w:marBottom w:val="0"/>
      <w:divBdr>
        <w:top w:val="none" w:sz="0" w:space="0" w:color="auto"/>
        <w:left w:val="none" w:sz="0" w:space="0" w:color="auto"/>
        <w:bottom w:val="none" w:sz="0" w:space="0" w:color="auto"/>
        <w:right w:val="none" w:sz="0" w:space="0" w:color="auto"/>
      </w:divBdr>
      <w:divsChild>
        <w:div w:id="2098821238">
          <w:marLeft w:val="0"/>
          <w:marRight w:val="0"/>
          <w:marTop w:val="0"/>
          <w:marBottom w:val="0"/>
          <w:divBdr>
            <w:top w:val="none" w:sz="0" w:space="0" w:color="auto"/>
            <w:left w:val="none" w:sz="0" w:space="0" w:color="auto"/>
            <w:bottom w:val="none" w:sz="0" w:space="0" w:color="auto"/>
            <w:right w:val="none" w:sz="0" w:space="0" w:color="auto"/>
          </w:divBdr>
          <w:divsChild>
            <w:div w:id="608126997">
              <w:marLeft w:val="0"/>
              <w:marRight w:val="0"/>
              <w:marTop w:val="0"/>
              <w:marBottom w:val="0"/>
              <w:divBdr>
                <w:top w:val="none" w:sz="0" w:space="0" w:color="auto"/>
                <w:left w:val="none" w:sz="0" w:space="0" w:color="auto"/>
                <w:bottom w:val="none" w:sz="0" w:space="0" w:color="auto"/>
                <w:right w:val="none" w:sz="0" w:space="0" w:color="auto"/>
              </w:divBdr>
              <w:divsChild>
                <w:div w:id="283463032">
                  <w:marLeft w:val="0"/>
                  <w:marRight w:val="0"/>
                  <w:marTop w:val="0"/>
                  <w:marBottom w:val="0"/>
                  <w:divBdr>
                    <w:top w:val="none" w:sz="0" w:space="0" w:color="auto"/>
                    <w:left w:val="none" w:sz="0" w:space="0" w:color="auto"/>
                    <w:bottom w:val="none" w:sz="0" w:space="0" w:color="auto"/>
                    <w:right w:val="none" w:sz="0" w:space="0" w:color="auto"/>
                  </w:divBdr>
                  <w:divsChild>
                    <w:div w:id="2050256761">
                      <w:marLeft w:val="0"/>
                      <w:marRight w:val="0"/>
                      <w:marTop w:val="0"/>
                      <w:marBottom w:val="0"/>
                      <w:divBdr>
                        <w:top w:val="none" w:sz="0" w:space="0" w:color="auto"/>
                        <w:left w:val="none" w:sz="0" w:space="0" w:color="auto"/>
                        <w:bottom w:val="none" w:sz="0" w:space="0" w:color="auto"/>
                        <w:right w:val="none" w:sz="0" w:space="0" w:color="auto"/>
                      </w:divBdr>
                      <w:divsChild>
                        <w:div w:id="592132417">
                          <w:marLeft w:val="0"/>
                          <w:marRight w:val="0"/>
                          <w:marTop w:val="0"/>
                          <w:marBottom w:val="0"/>
                          <w:divBdr>
                            <w:top w:val="none" w:sz="0" w:space="0" w:color="auto"/>
                            <w:left w:val="none" w:sz="0" w:space="0" w:color="auto"/>
                            <w:bottom w:val="none" w:sz="0" w:space="0" w:color="auto"/>
                            <w:right w:val="none" w:sz="0" w:space="0" w:color="auto"/>
                          </w:divBdr>
                          <w:divsChild>
                            <w:div w:id="412748631">
                              <w:marLeft w:val="0"/>
                              <w:marRight w:val="0"/>
                              <w:marTop w:val="0"/>
                              <w:marBottom w:val="0"/>
                              <w:divBdr>
                                <w:top w:val="none" w:sz="0" w:space="0" w:color="auto"/>
                                <w:left w:val="none" w:sz="0" w:space="0" w:color="auto"/>
                                <w:bottom w:val="none" w:sz="0" w:space="0" w:color="auto"/>
                                <w:right w:val="none" w:sz="0" w:space="0" w:color="auto"/>
                              </w:divBdr>
                              <w:divsChild>
                                <w:div w:id="2026322448">
                                  <w:marLeft w:val="0"/>
                                  <w:marRight w:val="0"/>
                                  <w:marTop w:val="0"/>
                                  <w:marBottom w:val="0"/>
                                  <w:divBdr>
                                    <w:top w:val="none" w:sz="0" w:space="0" w:color="auto"/>
                                    <w:left w:val="none" w:sz="0" w:space="0" w:color="auto"/>
                                    <w:bottom w:val="none" w:sz="0" w:space="0" w:color="auto"/>
                                    <w:right w:val="none" w:sz="0" w:space="0" w:color="auto"/>
                                  </w:divBdr>
                                  <w:divsChild>
                                    <w:div w:id="1464810847">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31956">
      <w:bodyDiv w:val="1"/>
      <w:marLeft w:val="0"/>
      <w:marRight w:val="0"/>
      <w:marTop w:val="0"/>
      <w:marBottom w:val="0"/>
      <w:divBdr>
        <w:top w:val="none" w:sz="0" w:space="0" w:color="auto"/>
        <w:left w:val="none" w:sz="0" w:space="0" w:color="auto"/>
        <w:bottom w:val="none" w:sz="0" w:space="0" w:color="auto"/>
        <w:right w:val="none" w:sz="0" w:space="0" w:color="auto"/>
      </w:divBdr>
    </w:div>
    <w:div w:id="140276934">
      <w:bodyDiv w:val="1"/>
      <w:marLeft w:val="0"/>
      <w:marRight w:val="0"/>
      <w:marTop w:val="0"/>
      <w:marBottom w:val="0"/>
      <w:divBdr>
        <w:top w:val="none" w:sz="0" w:space="0" w:color="auto"/>
        <w:left w:val="none" w:sz="0" w:space="0" w:color="auto"/>
        <w:bottom w:val="none" w:sz="0" w:space="0" w:color="auto"/>
        <w:right w:val="none" w:sz="0" w:space="0" w:color="auto"/>
      </w:divBdr>
      <w:divsChild>
        <w:div w:id="1395667384">
          <w:marLeft w:val="0"/>
          <w:marRight w:val="0"/>
          <w:marTop w:val="0"/>
          <w:marBottom w:val="0"/>
          <w:divBdr>
            <w:top w:val="none" w:sz="0" w:space="0" w:color="auto"/>
            <w:left w:val="none" w:sz="0" w:space="0" w:color="auto"/>
            <w:bottom w:val="none" w:sz="0" w:space="0" w:color="auto"/>
            <w:right w:val="none" w:sz="0" w:space="0" w:color="auto"/>
          </w:divBdr>
          <w:divsChild>
            <w:div w:id="1555895333">
              <w:marLeft w:val="0"/>
              <w:marRight w:val="0"/>
              <w:marTop w:val="0"/>
              <w:marBottom w:val="0"/>
              <w:divBdr>
                <w:top w:val="none" w:sz="0" w:space="0" w:color="auto"/>
                <w:left w:val="none" w:sz="0" w:space="0" w:color="auto"/>
                <w:bottom w:val="none" w:sz="0" w:space="0" w:color="auto"/>
                <w:right w:val="none" w:sz="0" w:space="0" w:color="auto"/>
              </w:divBdr>
              <w:divsChild>
                <w:div w:id="111097115">
                  <w:marLeft w:val="0"/>
                  <w:marRight w:val="0"/>
                  <w:marTop w:val="0"/>
                  <w:marBottom w:val="0"/>
                  <w:divBdr>
                    <w:top w:val="none" w:sz="0" w:space="0" w:color="auto"/>
                    <w:left w:val="none" w:sz="0" w:space="0" w:color="auto"/>
                    <w:bottom w:val="none" w:sz="0" w:space="0" w:color="auto"/>
                    <w:right w:val="none" w:sz="0" w:space="0" w:color="auto"/>
                  </w:divBdr>
                  <w:divsChild>
                    <w:div w:id="1924609158">
                      <w:marLeft w:val="0"/>
                      <w:marRight w:val="0"/>
                      <w:marTop w:val="0"/>
                      <w:marBottom w:val="0"/>
                      <w:divBdr>
                        <w:top w:val="none" w:sz="0" w:space="0" w:color="auto"/>
                        <w:left w:val="none" w:sz="0" w:space="0" w:color="auto"/>
                        <w:bottom w:val="none" w:sz="0" w:space="0" w:color="auto"/>
                        <w:right w:val="none" w:sz="0" w:space="0" w:color="auto"/>
                      </w:divBdr>
                      <w:divsChild>
                        <w:div w:id="825439866">
                          <w:marLeft w:val="0"/>
                          <w:marRight w:val="0"/>
                          <w:marTop w:val="0"/>
                          <w:marBottom w:val="0"/>
                          <w:divBdr>
                            <w:top w:val="none" w:sz="0" w:space="0" w:color="auto"/>
                            <w:left w:val="none" w:sz="0" w:space="0" w:color="auto"/>
                            <w:bottom w:val="none" w:sz="0" w:space="0" w:color="auto"/>
                            <w:right w:val="none" w:sz="0" w:space="0" w:color="auto"/>
                          </w:divBdr>
                          <w:divsChild>
                            <w:div w:id="1612737852">
                              <w:marLeft w:val="0"/>
                              <w:marRight w:val="0"/>
                              <w:marTop w:val="0"/>
                              <w:marBottom w:val="0"/>
                              <w:divBdr>
                                <w:top w:val="none" w:sz="0" w:space="0" w:color="auto"/>
                                <w:left w:val="none" w:sz="0" w:space="0" w:color="auto"/>
                                <w:bottom w:val="none" w:sz="0" w:space="0" w:color="auto"/>
                                <w:right w:val="none" w:sz="0" w:space="0" w:color="auto"/>
                              </w:divBdr>
                              <w:divsChild>
                                <w:div w:id="225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177957">
      <w:bodyDiv w:val="1"/>
      <w:marLeft w:val="0"/>
      <w:marRight w:val="0"/>
      <w:marTop w:val="0"/>
      <w:marBottom w:val="0"/>
      <w:divBdr>
        <w:top w:val="none" w:sz="0" w:space="0" w:color="auto"/>
        <w:left w:val="none" w:sz="0" w:space="0" w:color="auto"/>
        <w:bottom w:val="none" w:sz="0" w:space="0" w:color="auto"/>
        <w:right w:val="none" w:sz="0" w:space="0" w:color="auto"/>
      </w:divBdr>
      <w:divsChild>
        <w:div w:id="1317614256">
          <w:marLeft w:val="0"/>
          <w:marRight w:val="0"/>
          <w:marTop w:val="0"/>
          <w:marBottom w:val="0"/>
          <w:divBdr>
            <w:top w:val="none" w:sz="0" w:space="0" w:color="auto"/>
            <w:left w:val="none" w:sz="0" w:space="0" w:color="auto"/>
            <w:bottom w:val="none" w:sz="0" w:space="0" w:color="auto"/>
            <w:right w:val="none" w:sz="0" w:space="0" w:color="auto"/>
          </w:divBdr>
          <w:divsChild>
            <w:div w:id="172652734">
              <w:marLeft w:val="0"/>
              <w:marRight w:val="0"/>
              <w:marTop w:val="0"/>
              <w:marBottom w:val="0"/>
              <w:divBdr>
                <w:top w:val="none" w:sz="0" w:space="0" w:color="auto"/>
                <w:left w:val="none" w:sz="0" w:space="0" w:color="auto"/>
                <w:bottom w:val="none" w:sz="0" w:space="0" w:color="auto"/>
                <w:right w:val="none" w:sz="0" w:space="0" w:color="auto"/>
              </w:divBdr>
              <w:divsChild>
                <w:div w:id="1163930867">
                  <w:marLeft w:val="0"/>
                  <w:marRight w:val="0"/>
                  <w:marTop w:val="0"/>
                  <w:marBottom w:val="0"/>
                  <w:divBdr>
                    <w:top w:val="none" w:sz="0" w:space="0" w:color="auto"/>
                    <w:left w:val="none" w:sz="0" w:space="0" w:color="auto"/>
                    <w:bottom w:val="none" w:sz="0" w:space="0" w:color="auto"/>
                    <w:right w:val="none" w:sz="0" w:space="0" w:color="auto"/>
                  </w:divBdr>
                  <w:divsChild>
                    <w:div w:id="316761660">
                      <w:marLeft w:val="0"/>
                      <w:marRight w:val="0"/>
                      <w:marTop w:val="0"/>
                      <w:marBottom w:val="0"/>
                      <w:divBdr>
                        <w:top w:val="none" w:sz="0" w:space="0" w:color="auto"/>
                        <w:left w:val="none" w:sz="0" w:space="0" w:color="auto"/>
                        <w:bottom w:val="none" w:sz="0" w:space="0" w:color="auto"/>
                        <w:right w:val="none" w:sz="0" w:space="0" w:color="auto"/>
                      </w:divBdr>
                      <w:divsChild>
                        <w:div w:id="552500070">
                          <w:marLeft w:val="0"/>
                          <w:marRight w:val="0"/>
                          <w:marTop w:val="0"/>
                          <w:marBottom w:val="0"/>
                          <w:divBdr>
                            <w:top w:val="none" w:sz="0" w:space="0" w:color="auto"/>
                            <w:left w:val="none" w:sz="0" w:space="0" w:color="auto"/>
                            <w:bottom w:val="none" w:sz="0" w:space="0" w:color="auto"/>
                            <w:right w:val="none" w:sz="0" w:space="0" w:color="auto"/>
                          </w:divBdr>
                          <w:divsChild>
                            <w:div w:id="154146224">
                              <w:marLeft w:val="0"/>
                              <w:marRight w:val="0"/>
                              <w:marTop w:val="0"/>
                              <w:marBottom w:val="0"/>
                              <w:divBdr>
                                <w:top w:val="none" w:sz="0" w:space="0" w:color="auto"/>
                                <w:left w:val="none" w:sz="0" w:space="0" w:color="auto"/>
                                <w:bottom w:val="none" w:sz="0" w:space="0" w:color="auto"/>
                                <w:right w:val="none" w:sz="0" w:space="0" w:color="auto"/>
                              </w:divBdr>
                              <w:divsChild>
                                <w:div w:id="1632589280">
                                  <w:marLeft w:val="0"/>
                                  <w:marRight w:val="0"/>
                                  <w:marTop w:val="0"/>
                                  <w:marBottom w:val="0"/>
                                  <w:divBdr>
                                    <w:top w:val="none" w:sz="0" w:space="0" w:color="auto"/>
                                    <w:left w:val="none" w:sz="0" w:space="0" w:color="auto"/>
                                    <w:bottom w:val="none" w:sz="0" w:space="0" w:color="auto"/>
                                    <w:right w:val="none" w:sz="0" w:space="0" w:color="auto"/>
                                  </w:divBdr>
                                  <w:divsChild>
                                    <w:div w:id="1757748242">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96992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93212706">
      <w:bodyDiv w:val="1"/>
      <w:marLeft w:val="0"/>
      <w:marRight w:val="0"/>
      <w:marTop w:val="0"/>
      <w:marBottom w:val="0"/>
      <w:divBdr>
        <w:top w:val="none" w:sz="0" w:space="0" w:color="auto"/>
        <w:left w:val="none" w:sz="0" w:space="0" w:color="auto"/>
        <w:bottom w:val="none" w:sz="0" w:space="0" w:color="auto"/>
        <w:right w:val="none" w:sz="0" w:space="0" w:color="auto"/>
      </w:divBdr>
      <w:divsChild>
        <w:div w:id="297801227">
          <w:marLeft w:val="0"/>
          <w:marRight w:val="0"/>
          <w:marTop w:val="0"/>
          <w:marBottom w:val="0"/>
          <w:divBdr>
            <w:top w:val="none" w:sz="0" w:space="0" w:color="auto"/>
            <w:left w:val="none" w:sz="0" w:space="0" w:color="auto"/>
            <w:bottom w:val="none" w:sz="0" w:space="0" w:color="auto"/>
            <w:right w:val="none" w:sz="0" w:space="0" w:color="auto"/>
          </w:divBdr>
          <w:divsChild>
            <w:div w:id="482433618">
              <w:marLeft w:val="0"/>
              <w:marRight w:val="0"/>
              <w:marTop w:val="0"/>
              <w:marBottom w:val="0"/>
              <w:divBdr>
                <w:top w:val="none" w:sz="0" w:space="0" w:color="auto"/>
                <w:left w:val="none" w:sz="0" w:space="0" w:color="auto"/>
                <w:bottom w:val="none" w:sz="0" w:space="0" w:color="auto"/>
                <w:right w:val="none" w:sz="0" w:space="0" w:color="auto"/>
              </w:divBdr>
              <w:divsChild>
                <w:div w:id="1497917121">
                  <w:marLeft w:val="0"/>
                  <w:marRight w:val="0"/>
                  <w:marTop w:val="0"/>
                  <w:marBottom w:val="0"/>
                  <w:divBdr>
                    <w:top w:val="none" w:sz="0" w:space="0" w:color="auto"/>
                    <w:left w:val="none" w:sz="0" w:space="0" w:color="auto"/>
                    <w:bottom w:val="none" w:sz="0" w:space="0" w:color="auto"/>
                    <w:right w:val="none" w:sz="0" w:space="0" w:color="auto"/>
                  </w:divBdr>
                  <w:divsChild>
                    <w:div w:id="1629966781">
                      <w:marLeft w:val="0"/>
                      <w:marRight w:val="0"/>
                      <w:marTop w:val="0"/>
                      <w:marBottom w:val="0"/>
                      <w:divBdr>
                        <w:top w:val="none" w:sz="0" w:space="0" w:color="auto"/>
                        <w:left w:val="none" w:sz="0" w:space="0" w:color="auto"/>
                        <w:bottom w:val="none" w:sz="0" w:space="0" w:color="auto"/>
                        <w:right w:val="none" w:sz="0" w:space="0" w:color="auto"/>
                      </w:divBdr>
                      <w:divsChild>
                        <w:div w:id="727387089">
                          <w:marLeft w:val="0"/>
                          <w:marRight w:val="0"/>
                          <w:marTop w:val="0"/>
                          <w:marBottom w:val="0"/>
                          <w:divBdr>
                            <w:top w:val="none" w:sz="0" w:space="0" w:color="auto"/>
                            <w:left w:val="none" w:sz="0" w:space="0" w:color="auto"/>
                            <w:bottom w:val="none" w:sz="0" w:space="0" w:color="auto"/>
                            <w:right w:val="none" w:sz="0" w:space="0" w:color="auto"/>
                          </w:divBdr>
                          <w:divsChild>
                            <w:div w:id="1666667080">
                              <w:marLeft w:val="0"/>
                              <w:marRight w:val="0"/>
                              <w:marTop w:val="0"/>
                              <w:marBottom w:val="0"/>
                              <w:divBdr>
                                <w:top w:val="none" w:sz="0" w:space="0" w:color="auto"/>
                                <w:left w:val="none" w:sz="0" w:space="0" w:color="auto"/>
                                <w:bottom w:val="none" w:sz="0" w:space="0" w:color="auto"/>
                                <w:right w:val="none" w:sz="0" w:space="0" w:color="auto"/>
                              </w:divBdr>
                              <w:divsChild>
                                <w:div w:id="12206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934300">
      <w:bodyDiv w:val="1"/>
      <w:marLeft w:val="0"/>
      <w:marRight w:val="0"/>
      <w:marTop w:val="0"/>
      <w:marBottom w:val="0"/>
      <w:divBdr>
        <w:top w:val="none" w:sz="0" w:space="0" w:color="auto"/>
        <w:left w:val="none" w:sz="0" w:space="0" w:color="auto"/>
        <w:bottom w:val="none" w:sz="0" w:space="0" w:color="auto"/>
        <w:right w:val="none" w:sz="0" w:space="0" w:color="auto"/>
      </w:divBdr>
      <w:divsChild>
        <w:div w:id="1932618023">
          <w:marLeft w:val="0"/>
          <w:marRight w:val="0"/>
          <w:marTop w:val="0"/>
          <w:marBottom w:val="0"/>
          <w:divBdr>
            <w:top w:val="none" w:sz="0" w:space="0" w:color="auto"/>
            <w:left w:val="none" w:sz="0" w:space="0" w:color="auto"/>
            <w:bottom w:val="none" w:sz="0" w:space="0" w:color="auto"/>
            <w:right w:val="none" w:sz="0" w:space="0" w:color="auto"/>
          </w:divBdr>
          <w:divsChild>
            <w:div w:id="359549767">
              <w:marLeft w:val="0"/>
              <w:marRight w:val="0"/>
              <w:marTop w:val="0"/>
              <w:marBottom w:val="0"/>
              <w:divBdr>
                <w:top w:val="none" w:sz="0" w:space="0" w:color="auto"/>
                <w:left w:val="none" w:sz="0" w:space="0" w:color="auto"/>
                <w:bottom w:val="none" w:sz="0" w:space="0" w:color="auto"/>
                <w:right w:val="none" w:sz="0" w:space="0" w:color="auto"/>
              </w:divBdr>
              <w:divsChild>
                <w:div w:id="1040933508">
                  <w:marLeft w:val="0"/>
                  <w:marRight w:val="0"/>
                  <w:marTop w:val="0"/>
                  <w:marBottom w:val="0"/>
                  <w:divBdr>
                    <w:top w:val="none" w:sz="0" w:space="0" w:color="auto"/>
                    <w:left w:val="none" w:sz="0" w:space="0" w:color="auto"/>
                    <w:bottom w:val="none" w:sz="0" w:space="0" w:color="auto"/>
                    <w:right w:val="none" w:sz="0" w:space="0" w:color="auto"/>
                  </w:divBdr>
                  <w:divsChild>
                    <w:div w:id="567152426">
                      <w:marLeft w:val="0"/>
                      <w:marRight w:val="0"/>
                      <w:marTop w:val="0"/>
                      <w:marBottom w:val="0"/>
                      <w:divBdr>
                        <w:top w:val="none" w:sz="0" w:space="0" w:color="auto"/>
                        <w:left w:val="none" w:sz="0" w:space="0" w:color="auto"/>
                        <w:bottom w:val="none" w:sz="0" w:space="0" w:color="auto"/>
                        <w:right w:val="none" w:sz="0" w:space="0" w:color="auto"/>
                      </w:divBdr>
                      <w:divsChild>
                        <w:div w:id="190458624">
                          <w:marLeft w:val="0"/>
                          <w:marRight w:val="0"/>
                          <w:marTop w:val="0"/>
                          <w:marBottom w:val="0"/>
                          <w:divBdr>
                            <w:top w:val="none" w:sz="0" w:space="0" w:color="auto"/>
                            <w:left w:val="none" w:sz="0" w:space="0" w:color="auto"/>
                            <w:bottom w:val="none" w:sz="0" w:space="0" w:color="auto"/>
                            <w:right w:val="none" w:sz="0" w:space="0" w:color="auto"/>
                          </w:divBdr>
                          <w:divsChild>
                            <w:div w:id="731579105">
                              <w:marLeft w:val="0"/>
                              <w:marRight w:val="0"/>
                              <w:marTop w:val="0"/>
                              <w:marBottom w:val="0"/>
                              <w:divBdr>
                                <w:top w:val="none" w:sz="0" w:space="0" w:color="auto"/>
                                <w:left w:val="none" w:sz="0" w:space="0" w:color="auto"/>
                                <w:bottom w:val="none" w:sz="0" w:space="0" w:color="auto"/>
                                <w:right w:val="none" w:sz="0" w:space="0" w:color="auto"/>
                              </w:divBdr>
                              <w:divsChild>
                                <w:div w:id="1397052186">
                                  <w:marLeft w:val="0"/>
                                  <w:marRight w:val="0"/>
                                  <w:marTop w:val="0"/>
                                  <w:marBottom w:val="0"/>
                                  <w:divBdr>
                                    <w:top w:val="none" w:sz="0" w:space="0" w:color="auto"/>
                                    <w:left w:val="none" w:sz="0" w:space="0" w:color="auto"/>
                                    <w:bottom w:val="none" w:sz="0" w:space="0" w:color="auto"/>
                                    <w:right w:val="none" w:sz="0" w:space="0" w:color="auto"/>
                                  </w:divBdr>
                                  <w:divsChild>
                                    <w:div w:id="1757634015">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22671601">
      <w:bodyDiv w:val="1"/>
      <w:marLeft w:val="0"/>
      <w:marRight w:val="0"/>
      <w:marTop w:val="0"/>
      <w:marBottom w:val="0"/>
      <w:divBdr>
        <w:top w:val="none" w:sz="0" w:space="0" w:color="auto"/>
        <w:left w:val="none" w:sz="0" w:space="0" w:color="auto"/>
        <w:bottom w:val="none" w:sz="0" w:space="0" w:color="auto"/>
        <w:right w:val="none" w:sz="0" w:space="0" w:color="auto"/>
      </w:divBdr>
      <w:divsChild>
        <w:div w:id="675157536">
          <w:marLeft w:val="0"/>
          <w:marRight w:val="0"/>
          <w:marTop w:val="0"/>
          <w:marBottom w:val="0"/>
          <w:divBdr>
            <w:top w:val="none" w:sz="0" w:space="0" w:color="auto"/>
            <w:left w:val="none" w:sz="0" w:space="0" w:color="auto"/>
            <w:bottom w:val="none" w:sz="0" w:space="0" w:color="auto"/>
            <w:right w:val="none" w:sz="0" w:space="0" w:color="auto"/>
          </w:divBdr>
          <w:divsChild>
            <w:div w:id="80417280">
              <w:marLeft w:val="0"/>
              <w:marRight w:val="0"/>
              <w:marTop w:val="0"/>
              <w:marBottom w:val="0"/>
              <w:divBdr>
                <w:top w:val="none" w:sz="0" w:space="0" w:color="auto"/>
                <w:left w:val="none" w:sz="0" w:space="0" w:color="auto"/>
                <w:bottom w:val="none" w:sz="0" w:space="0" w:color="auto"/>
                <w:right w:val="none" w:sz="0" w:space="0" w:color="auto"/>
              </w:divBdr>
              <w:divsChild>
                <w:div w:id="1589925897">
                  <w:marLeft w:val="0"/>
                  <w:marRight w:val="0"/>
                  <w:marTop w:val="0"/>
                  <w:marBottom w:val="0"/>
                  <w:divBdr>
                    <w:top w:val="none" w:sz="0" w:space="0" w:color="auto"/>
                    <w:left w:val="none" w:sz="0" w:space="0" w:color="auto"/>
                    <w:bottom w:val="none" w:sz="0" w:space="0" w:color="auto"/>
                    <w:right w:val="none" w:sz="0" w:space="0" w:color="auto"/>
                  </w:divBdr>
                  <w:divsChild>
                    <w:div w:id="1293025342">
                      <w:marLeft w:val="0"/>
                      <w:marRight w:val="0"/>
                      <w:marTop w:val="0"/>
                      <w:marBottom w:val="0"/>
                      <w:divBdr>
                        <w:top w:val="none" w:sz="0" w:space="0" w:color="auto"/>
                        <w:left w:val="none" w:sz="0" w:space="0" w:color="auto"/>
                        <w:bottom w:val="none" w:sz="0" w:space="0" w:color="auto"/>
                        <w:right w:val="none" w:sz="0" w:space="0" w:color="auto"/>
                      </w:divBdr>
                      <w:divsChild>
                        <w:div w:id="778987783">
                          <w:marLeft w:val="0"/>
                          <w:marRight w:val="0"/>
                          <w:marTop w:val="0"/>
                          <w:marBottom w:val="0"/>
                          <w:divBdr>
                            <w:top w:val="none" w:sz="0" w:space="0" w:color="auto"/>
                            <w:left w:val="none" w:sz="0" w:space="0" w:color="auto"/>
                            <w:bottom w:val="none" w:sz="0" w:space="0" w:color="auto"/>
                            <w:right w:val="none" w:sz="0" w:space="0" w:color="auto"/>
                          </w:divBdr>
                          <w:divsChild>
                            <w:div w:id="1358462959">
                              <w:marLeft w:val="0"/>
                              <w:marRight w:val="0"/>
                              <w:marTop w:val="0"/>
                              <w:marBottom w:val="0"/>
                              <w:divBdr>
                                <w:top w:val="none" w:sz="0" w:space="0" w:color="auto"/>
                                <w:left w:val="none" w:sz="0" w:space="0" w:color="auto"/>
                                <w:bottom w:val="none" w:sz="0" w:space="0" w:color="auto"/>
                                <w:right w:val="none" w:sz="0" w:space="0" w:color="auto"/>
                              </w:divBdr>
                              <w:divsChild>
                                <w:div w:id="8395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155327">
      <w:bodyDiv w:val="1"/>
      <w:marLeft w:val="0"/>
      <w:marRight w:val="0"/>
      <w:marTop w:val="0"/>
      <w:marBottom w:val="0"/>
      <w:divBdr>
        <w:top w:val="none" w:sz="0" w:space="0" w:color="auto"/>
        <w:left w:val="none" w:sz="0" w:space="0" w:color="auto"/>
        <w:bottom w:val="none" w:sz="0" w:space="0" w:color="auto"/>
        <w:right w:val="none" w:sz="0" w:space="0" w:color="auto"/>
      </w:divBdr>
    </w:div>
    <w:div w:id="1250969559">
      <w:bodyDiv w:val="1"/>
      <w:marLeft w:val="0"/>
      <w:marRight w:val="0"/>
      <w:marTop w:val="0"/>
      <w:marBottom w:val="0"/>
      <w:divBdr>
        <w:top w:val="none" w:sz="0" w:space="0" w:color="auto"/>
        <w:left w:val="none" w:sz="0" w:space="0" w:color="auto"/>
        <w:bottom w:val="none" w:sz="0" w:space="0" w:color="auto"/>
        <w:right w:val="none" w:sz="0" w:space="0" w:color="auto"/>
      </w:divBdr>
      <w:divsChild>
        <w:div w:id="583805817">
          <w:marLeft w:val="0"/>
          <w:marRight w:val="0"/>
          <w:marTop w:val="0"/>
          <w:marBottom w:val="0"/>
          <w:divBdr>
            <w:top w:val="none" w:sz="0" w:space="0" w:color="auto"/>
            <w:left w:val="none" w:sz="0" w:space="0" w:color="auto"/>
            <w:bottom w:val="none" w:sz="0" w:space="0" w:color="auto"/>
            <w:right w:val="none" w:sz="0" w:space="0" w:color="auto"/>
          </w:divBdr>
          <w:divsChild>
            <w:div w:id="1142115504">
              <w:marLeft w:val="0"/>
              <w:marRight w:val="0"/>
              <w:marTop w:val="0"/>
              <w:marBottom w:val="0"/>
              <w:divBdr>
                <w:top w:val="none" w:sz="0" w:space="0" w:color="auto"/>
                <w:left w:val="none" w:sz="0" w:space="0" w:color="auto"/>
                <w:bottom w:val="none" w:sz="0" w:space="0" w:color="auto"/>
                <w:right w:val="none" w:sz="0" w:space="0" w:color="auto"/>
              </w:divBdr>
              <w:divsChild>
                <w:div w:id="1017653890">
                  <w:marLeft w:val="0"/>
                  <w:marRight w:val="0"/>
                  <w:marTop w:val="0"/>
                  <w:marBottom w:val="0"/>
                  <w:divBdr>
                    <w:top w:val="none" w:sz="0" w:space="0" w:color="auto"/>
                    <w:left w:val="none" w:sz="0" w:space="0" w:color="auto"/>
                    <w:bottom w:val="none" w:sz="0" w:space="0" w:color="auto"/>
                    <w:right w:val="none" w:sz="0" w:space="0" w:color="auto"/>
                  </w:divBdr>
                  <w:divsChild>
                    <w:div w:id="2101557974">
                      <w:marLeft w:val="0"/>
                      <w:marRight w:val="0"/>
                      <w:marTop w:val="0"/>
                      <w:marBottom w:val="0"/>
                      <w:divBdr>
                        <w:top w:val="none" w:sz="0" w:space="0" w:color="auto"/>
                        <w:left w:val="none" w:sz="0" w:space="0" w:color="auto"/>
                        <w:bottom w:val="none" w:sz="0" w:space="0" w:color="auto"/>
                        <w:right w:val="none" w:sz="0" w:space="0" w:color="auto"/>
                      </w:divBdr>
                      <w:divsChild>
                        <w:div w:id="1021542229">
                          <w:marLeft w:val="0"/>
                          <w:marRight w:val="0"/>
                          <w:marTop w:val="0"/>
                          <w:marBottom w:val="0"/>
                          <w:divBdr>
                            <w:top w:val="none" w:sz="0" w:space="0" w:color="auto"/>
                            <w:left w:val="none" w:sz="0" w:space="0" w:color="auto"/>
                            <w:bottom w:val="none" w:sz="0" w:space="0" w:color="auto"/>
                            <w:right w:val="none" w:sz="0" w:space="0" w:color="auto"/>
                          </w:divBdr>
                          <w:divsChild>
                            <w:div w:id="1383023555">
                              <w:marLeft w:val="0"/>
                              <w:marRight w:val="0"/>
                              <w:marTop w:val="0"/>
                              <w:marBottom w:val="0"/>
                              <w:divBdr>
                                <w:top w:val="none" w:sz="0" w:space="0" w:color="auto"/>
                                <w:left w:val="none" w:sz="0" w:space="0" w:color="auto"/>
                                <w:bottom w:val="none" w:sz="0" w:space="0" w:color="auto"/>
                                <w:right w:val="none" w:sz="0" w:space="0" w:color="auto"/>
                              </w:divBdr>
                              <w:divsChild>
                                <w:div w:id="1159536197">
                                  <w:marLeft w:val="0"/>
                                  <w:marRight w:val="0"/>
                                  <w:marTop w:val="0"/>
                                  <w:marBottom w:val="0"/>
                                  <w:divBdr>
                                    <w:top w:val="none" w:sz="0" w:space="0" w:color="auto"/>
                                    <w:left w:val="none" w:sz="0" w:space="0" w:color="auto"/>
                                    <w:bottom w:val="none" w:sz="0" w:space="0" w:color="auto"/>
                                    <w:right w:val="none" w:sz="0" w:space="0" w:color="auto"/>
                                  </w:divBdr>
                                  <w:divsChild>
                                    <w:div w:id="1943145891">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03237">
      <w:bodyDiv w:val="1"/>
      <w:marLeft w:val="0"/>
      <w:marRight w:val="0"/>
      <w:marTop w:val="0"/>
      <w:marBottom w:val="0"/>
      <w:divBdr>
        <w:top w:val="none" w:sz="0" w:space="0" w:color="auto"/>
        <w:left w:val="none" w:sz="0" w:space="0" w:color="auto"/>
        <w:bottom w:val="none" w:sz="0" w:space="0" w:color="auto"/>
        <w:right w:val="none" w:sz="0" w:space="0" w:color="auto"/>
      </w:divBdr>
      <w:divsChild>
        <w:div w:id="274945395">
          <w:marLeft w:val="0"/>
          <w:marRight w:val="0"/>
          <w:marTop w:val="0"/>
          <w:marBottom w:val="0"/>
          <w:divBdr>
            <w:top w:val="none" w:sz="0" w:space="0" w:color="auto"/>
            <w:left w:val="none" w:sz="0" w:space="0" w:color="auto"/>
            <w:bottom w:val="none" w:sz="0" w:space="0" w:color="auto"/>
            <w:right w:val="none" w:sz="0" w:space="0" w:color="auto"/>
          </w:divBdr>
          <w:divsChild>
            <w:div w:id="1626304780">
              <w:marLeft w:val="0"/>
              <w:marRight w:val="0"/>
              <w:marTop w:val="0"/>
              <w:marBottom w:val="0"/>
              <w:divBdr>
                <w:top w:val="none" w:sz="0" w:space="0" w:color="auto"/>
                <w:left w:val="none" w:sz="0" w:space="0" w:color="auto"/>
                <w:bottom w:val="none" w:sz="0" w:space="0" w:color="auto"/>
                <w:right w:val="none" w:sz="0" w:space="0" w:color="auto"/>
              </w:divBdr>
              <w:divsChild>
                <w:div w:id="1470130900">
                  <w:marLeft w:val="0"/>
                  <w:marRight w:val="0"/>
                  <w:marTop w:val="0"/>
                  <w:marBottom w:val="0"/>
                  <w:divBdr>
                    <w:top w:val="none" w:sz="0" w:space="0" w:color="auto"/>
                    <w:left w:val="none" w:sz="0" w:space="0" w:color="auto"/>
                    <w:bottom w:val="none" w:sz="0" w:space="0" w:color="auto"/>
                    <w:right w:val="none" w:sz="0" w:space="0" w:color="auto"/>
                  </w:divBdr>
                  <w:divsChild>
                    <w:div w:id="2099135705">
                      <w:marLeft w:val="0"/>
                      <w:marRight w:val="0"/>
                      <w:marTop w:val="0"/>
                      <w:marBottom w:val="0"/>
                      <w:divBdr>
                        <w:top w:val="none" w:sz="0" w:space="0" w:color="auto"/>
                        <w:left w:val="none" w:sz="0" w:space="0" w:color="auto"/>
                        <w:bottom w:val="none" w:sz="0" w:space="0" w:color="auto"/>
                        <w:right w:val="none" w:sz="0" w:space="0" w:color="auto"/>
                      </w:divBdr>
                      <w:divsChild>
                        <w:div w:id="2042515668">
                          <w:marLeft w:val="0"/>
                          <w:marRight w:val="0"/>
                          <w:marTop w:val="0"/>
                          <w:marBottom w:val="0"/>
                          <w:divBdr>
                            <w:top w:val="none" w:sz="0" w:space="0" w:color="auto"/>
                            <w:left w:val="none" w:sz="0" w:space="0" w:color="auto"/>
                            <w:bottom w:val="none" w:sz="0" w:space="0" w:color="auto"/>
                            <w:right w:val="none" w:sz="0" w:space="0" w:color="auto"/>
                          </w:divBdr>
                          <w:divsChild>
                            <w:div w:id="1397977002">
                              <w:marLeft w:val="0"/>
                              <w:marRight w:val="0"/>
                              <w:marTop w:val="0"/>
                              <w:marBottom w:val="0"/>
                              <w:divBdr>
                                <w:top w:val="none" w:sz="0" w:space="0" w:color="auto"/>
                                <w:left w:val="none" w:sz="0" w:space="0" w:color="auto"/>
                                <w:bottom w:val="none" w:sz="0" w:space="0" w:color="auto"/>
                                <w:right w:val="none" w:sz="0" w:space="0" w:color="auto"/>
                              </w:divBdr>
                              <w:divsChild>
                                <w:div w:id="15841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875826">
      <w:bodyDiv w:val="1"/>
      <w:marLeft w:val="0"/>
      <w:marRight w:val="0"/>
      <w:marTop w:val="0"/>
      <w:marBottom w:val="0"/>
      <w:divBdr>
        <w:top w:val="none" w:sz="0" w:space="0" w:color="auto"/>
        <w:left w:val="none" w:sz="0" w:space="0" w:color="auto"/>
        <w:bottom w:val="none" w:sz="0" w:space="0" w:color="auto"/>
        <w:right w:val="none" w:sz="0" w:space="0" w:color="auto"/>
      </w:divBdr>
      <w:divsChild>
        <w:div w:id="578252333">
          <w:marLeft w:val="0"/>
          <w:marRight w:val="0"/>
          <w:marTop w:val="0"/>
          <w:marBottom w:val="0"/>
          <w:divBdr>
            <w:top w:val="none" w:sz="0" w:space="0" w:color="auto"/>
            <w:left w:val="none" w:sz="0" w:space="0" w:color="auto"/>
            <w:bottom w:val="none" w:sz="0" w:space="0" w:color="auto"/>
            <w:right w:val="none" w:sz="0" w:space="0" w:color="auto"/>
          </w:divBdr>
          <w:divsChild>
            <w:div w:id="1619099588">
              <w:marLeft w:val="0"/>
              <w:marRight w:val="0"/>
              <w:marTop w:val="0"/>
              <w:marBottom w:val="0"/>
              <w:divBdr>
                <w:top w:val="none" w:sz="0" w:space="0" w:color="auto"/>
                <w:left w:val="none" w:sz="0" w:space="0" w:color="auto"/>
                <w:bottom w:val="none" w:sz="0" w:space="0" w:color="auto"/>
                <w:right w:val="none" w:sz="0" w:space="0" w:color="auto"/>
              </w:divBdr>
              <w:divsChild>
                <w:div w:id="517239024">
                  <w:marLeft w:val="0"/>
                  <w:marRight w:val="0"/>
                  <w:marTop w:val="0"/>
                  <w:marBottom w:val="0"/>
                  <w:divBdr>
                    <w:top w:val="none" w:sz="0" w:space="0" w:color="auto"/>
                    <w:left w:val="none" w:sz="0" w:space="0" w:color="auto"/>
                    <w:bottom w:val="none" w:sz="0" w:space="0" w:color="auto"/>
                    <w:right w:val="none" w:sz="0" w:space="0" w:color="auto"/>
                  </w:divBdr>
                  <w:divsChild>
                    <w:div w:id="1339818141">
                      <w:marLeft w:val="0"/>
                      <w:marRight w:val="0"/>
                      <w:marTop w:val="0"/>
                      <w:marBottom w:val="0"/>
                      <w:divBdr>
                        <w:top w:val="none" w:sz="0" w:space="0" w:color="auto"/>
                        <w:left w:val="none" w:sz="0" w:space="0" w:color="auto"/>
                        <w:bottom w:val="none" w:sz="0" w:space="0" w:color="auto"/>
                        <w:right w:val="none" w:sz="0" w:space="0" w:color="auto"/>
                      </w:divBdr>
                      <w:divsChild>
                        <w:div w:id="864712881">
                          <w:marLeft w:val="0"/>
                          <w:marRight w:val="0"/>
                          <w:marTop w:val="0"/>
                          <w:marBottom w:val="0"/>
                          <w:divBdr>
                            <w:top w:val="none" w:sz="0" w:space="0" w:color="auto"/>
                            <w:left w:val="none" w:sz="0" w:space="0" w:color="auto"/>
                            <w:bottom w:val="none" w:sz="0" w:space="0" w:color="auto"/>
                            <w:right w:val="none" w:sz="0" w:space="0" w:color="auto"/>
                          </w:divBdr>
                          <w:divsChild>
                            <w:div w:id="1394156684">
                              <w:marLeft w:val="0"/>
                              <w:marRight w:val="0"/>
                              <w:marTop w:val="0"/>
                              <w:marBottom w:val="0"/>
                              <w:divBdr>
                                <w:top w:val="none" w:sz="0" w:space="0" w:color="auto"/>
                                <w:left w:val="none" w:sz="0" w:space="0" w:color="auto"/>
                                <w:bottom w:val="none" w:sz="0" w:space="0" w:color="auto"/>
                                <w:right w:val="none" w:sz="0" w:space="0" w:color="auto"/>
                              </w:divBdr>
                              <w:divsChild>
                                <w:div w:id="591935174">
                                  <w:marLeft w:val="0"/>
                                  <w:marRight w:val="0"/>
                                  <w:marTop w:val="0"/>
                                  <w:marBottom w:val="0"/>
                                  <w:divBdr>
                                    <w:top w:val="none" w:sz="0" w:space="0" w:color="auto"/>
                                    <w:left w:val="none" w:sz="0" w:space="0" w:color="auto"/>
                                    <w:bottom w:val="none" w:sz="0" w:space="0" w:color="auto"/>
                                    <w:right w:val="none" w:sz="0" w:space="0" w:color="auto"/>
                                  </w:divBdr>
                                  <w:divsChild>
                                    <w:div w:id="1795753208">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3178">
      <w:bodyDiv w:val="1"/>
      <w:marLeft w:val="0"/>
      <w:marRight w:val="0"/>
      <w:marTop w:val="0"/>
      <w:marBottom w:val="0"/>
      <w:divBdr>
        <w:top w:val="none" w:sz="0" w:space="0" w:color="auto"/>
        <w:left w:val="none" w:sz="0" w:space="0" w:color="auto"/>
        <w:bottom w:val="none" w:sz="0" w:space="0" w:color="auto"/>
        <w:right w:val="none" w:sz="0" w:space="0" w:color="auto"/>
      </w:divBdr>
      <w:divsChild>
        <w:div w:id="777485059">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sChild>
                <w:div w:id="1198739919">
                  <w:marLeft w:val="0"/>
                  <w:marRight w:val="0"/>
                  <w:marTop w:val="0"/>
                  <w:marBottom w:val="0"/>
                  <w:divBdr>
                    <w:top w:val="none" w:sz="0" w:space="0" w:color="auto"/>
                    <w:left w:val="none" w:sz="0" w:space="0" w:color="auto"/>
                    <w:bottom w:val="none" w:sz="0" w:space="0" w:color="auto"/>
                    <w:right w:val="none" w:sz="0" w:space="0" w:color="auto"/>
                  </w:divBdr>
                  <w:divsChild>
                    <w:div w:id="1643316563">
                      <w:marLeft w:val="0"/>
                      <w:marRight w:val="0"/>
                      <w:marTop w:val="0"/>
                      <w:marBottom w:val="0"/>
                      <w:divBdr>
                        <w:top w:val="none" w:sz="0" w:space="0" w:color="auto"/>
                        <w:left w:val="none" w:sz="0" w:space="0" w:color="auto"/>
                        <w:bottom w:val="none" w:sz="0" w:space="0" w:color="auto"/>
                        <w:right w:val="none" w:sz="0" w:space="0" w:color="auto"/>
                      </w:divBdr>
                      <w:divsChild>
                        <w:div w:id="1015498533">
                          <w:marLeft w:val="0"/>
                          <w:marRight w:val="0"/>
                          <w:marTop w:val="0"/>
                          <w:marBottom w:val="0"/>
                          <w:divBdr>
                            <w:top w:val="none" w:sz="0" w:space="0" w:color="auto"/>
                            <w:left w:val="none" w:sz="0" w:space="0" w:color="auto"/>
                            <w:bottom w:val="none" w:sz="0" w:space="0" w:color="auto"/>
                            <w:right w:val="none" w:sz="0" w:space="0" w:color="auto"/>
                          </w:divBdr>
                          <w:divsChild>
                            <w:div w:id="1141264711">
                              <w:marLeft w:val="0"/>
                              <w:marRight w:val="0"/>
                              <w:marTop w:val="0"/>
                              <w:marBottom w:val="0"/>
                              <w:divBdr>
                                <w:top w:val="none" w:sz="0" w:space="0" w:color="auto"/>
                                <w:left w:val="none" w:sz="0" w:space="0" w:color="auto"/>
                                <w:bottom w:val="none" w:sz="0" w:space="0" w:color="auto"/>
                                <w:right w:val="none" w:sz="0" w:space="0" w:color="auto"/>
                              </w:divBdr>
                              <w:divsChild>
                                <w:div w:id="16078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041758">
      <w:bodyDiv w:val="1"/>
      <w:marLeft w:val="0"/>
      <w:marRight w:val="0"/>
      <w:marTop w:val="0"/>
      <w:marBottom w:val="0"/>
      <w:divBdr>
        <w:top w:val="none" w:sz="0" w:space="0" w:color="auto"/>
        <w:left w:val="none" w:sz="0" w:space="0" w:color="auto"/>
        <w:bottom w:val="none" w:sz="0" w:space="0" w:color="auto"/>
        <w:right w:val="none" w:sz="0" w:space="0" w:color="auto"/>
      </w:divBdr>
      <w:divsChild>
        <w:div w:id="447895914">
          <w:marLeft w:val="0"/>
          <w:marRight w:val="0"/>
          <w:marTop w:val="0"/>
          <w:marBottom w:val="0"/>
          <w:divBdr>
            <w:top w:val="none" w:sz="0" w:space="0" w:color="auto"/>
            <w:left w:val="none" w:sz="0" w:space="0" w:color="auto"/>
            <w:bottom w:val="none" w:sz="0" w:space="0" w:color="auto"/>
            <w:right w:val="none" w:sz="0" w:space="0" w:color="auto"/>
          </w:divBdr>
          <w:divsChild>
            <w:div w:id="996496470">
              <w:marLeft w:val="0"/>
              <w:marRight w:val="0"/>
              <w:marTop w:val="0"/>
              <w:marBottom w:val="0"/>
              <w:divBdr>
                <w:top w:val="none" w:sz="0" w:space="0" w:color="auto"/>
                <w:left w:val="none" w:sz="0" w:space="0" w:color="auto"/>
                <w:bottom w:val="none" w:sz="0" w:space="0" w:color="auto"/>
                <w:right w:val="none" w:sz="0" w:space="0" w:color="auto"/>
              </w:divBdr>
              <w:divsChild>
                <w:div w:id="687827914">
                  <w:marLeft w:val="0"/>
                  <w:marRight w:val="0"/>
                  <w:marTop w:val="0"/>
                  <w:marBottom w:val="0"/>
                  <w:divBdr>
                    <w:top w:val="none" w:sz="0" w:space="0" w:color="auto"/>
                    <w:left w:val="none" w:sz="0" w:space="0" w:color="auto"/>
                    <w:bottom w:val="none" w:sz="0" w:space="0" w:color="auto"/>
                    <w:right w:val="none" w:sz="0" w:space="0" w:color="auto"/>
                  </w:divBdr>
                  <w:divsChild>
                    <w:div w:id="1322078748">
                      <w:marLeft w:val="0"/>
                      <w:marRight w:val="0"/>
                      <w:marTop w:val="0"/>
                      <w:marBottom w:val="0"/>
                      <w:divBdr>
                        <w:top w:val="none" w:sz="0" w:space="0" w:color="auto"/>
                        <w:left w:val="none" w:sz="0" w:space="0" w:color="auto"/>
                        <w:bottom w:val="none" w:sz="0" w:space="0" w:color="auto"/>
                        <w:right w:val="none" w:sz="0" w:space="0" w:color="auto"/>
                      </w:divBdr>
                      <w:divsChild>
                        <w:div w:id="1994291040">
                          <w:marLeft w:val="0"/>
                          <w:marRight w:val="0"/>
                          <w:marTop w:val="0"/>
                          <w:marBottom w:val="0"/>
                          <w:divBdr>
                            <w:top w:val="none" w:sz="0" w:space="0" w:color="auto"/>
                            <w:left w:val="none" w:sz="0" w:space="0" w:color="auto"/>
                            <w:bottom w:val="none" w:sz="0" w:space="0" w:color="auto"/>
                            <w:right w:val="none" w:sz="0" w:space="0" w:color="auto"/>
                          </w:divBdr>
                          <w:divsChild>
                            <w:div w:id="1426534466">
                              <w:marLeft w:val="0"/>
                              <w:marRight w:val="0"/>
                              <w:marTop w:val="0"/>
                              <w:marBottom w:val="0"/>
                              <w:divBdr>
                                <w:top w:val="none" w:sz="0" w:space="0" w:color="auto"/>
                                <w:left w:val="none" w:sz="0" w:space="0" w:color="auto"/>
                                <w:bottom w:val="none" w:sz="0" w:space="0" w:color="auto"/>
                                <w:right w:val="none" w:sz="0" w:space="0" w:color="auto"/>
                              </w:divBdr>
                              <w:divsChild>
                                <w:div w:id="10286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127384">
      <w:bodyDiv w:val="1"/>
      <w:marLeft w:val="0"/>
      <w:marRight w:val="0"/>
      <w:marTop w:val="0"/>
      <w:marBottom w:val="0"/>
      <w:divBdr>
        <w:top w:val="none" w:sz="0" w:space="0" w:color="auto"/>
        <w:left w:val="none" w:sz="0" w:space="0" w:color="auto"/>
        <w:bottom w:val="none" w:sz="0" w:space="0" w:color="auto"/>
        <w:right w:val="none" w:sz="0" w:space="0" w:color="auto"/>
      </w:divBdr>
      <w:divsChild>
        <w:div w:id="765618023">
          <w:marLeft w:val="0"/>
          <w:marRight w:val="0"/>
          <w:marTop w:val="0"/>
          <w:marBottom w:val="0"/>
          <w:divBdr>
            <w:top w:val="none" w:sz="0" w:space="0" w:color="auto"/>
            <w:left w:val="none" w:sz="0" w:space="0" w:color="auto"/>
            <w:bottom w:val="none" w:sz="0" w:space="0" w:color="auto"/>
            <w:right w:val="none" w:sz="0" w:space="0" w:color="auto"/>
          </w:divBdr>
          <w:divsChild>
            <w:div w:id="979774325">
              <w:marLeft w:val="0"/>
              <w:marRight w:val="0"/>
              <w:marTop w:val="0"/>
              <w:marBottom w:val="0"/>
              <w:divBdr>
                <w:top w:val="none" w:sz="0" w:space="0" w:color="auto"/>
                <w:left w:val="none" w:sz="0" w:space="0" w:color="auto"/>
                <w:bottom w:val="none" w:sz="0" w:space="0" w:color="auto"/>
                <w:right w:val="none" w:sz="0" w:space="0" w:color="auto"/>
              </w:divBdr>
              <w:divsChild>
                <w:div w:id="596787493">
                  <w:marLeft w:val="0"/>
                  <w:marRight w:val="0"/>
                  <w:marTop w:val="0"/>
                  <w:marBottom w:val="0"/>
                  <w:divBdr>
                    <w:top w:val="none" w:sz="0" w:space="0" w:color="auto"/>
                    <w:left w:val="none" w:sz="0" w:space="0" w:color="auto"/>
                    <w:bottom w:val="none" w:sz="0" w:space="0" w:color="auto"/>
                    <w:right w:val="none" w:sz="0" w:space="0" w:color="auto"/>
                  </w:divBdr>
                  <w:divsChild>
                    <w:div w:id="1040519300">
                      <w:marLeft w:val="0"/>
                      <w:marRight w:val="0"/>
                      <w:marTop w:val="0"/>
                      <w:marBottom w:val="0"/>
                      <w:divBdr>
                        <w:top w:val="none" w:sz="0" w:space="0" w:color="auto"/>
                        <w:left w:val="none" w:sz="0" w:space="0" w:color="auto"/>
                        <w:bottom w:val="none" w:sz="0" w:space="0" w:color="auto"/>
                        <w:right w:val="none" w:sz="0" w:space="0" w:color="auto"/>
                      </w:divBdr>
                      <w:divsChild>
                        <w:div w:id="1741638546">
                          <w:marLeft w:val="0"/>
                          <w:marRight w:val="0"/>
                          <w:marTop w:val="0"/>
                          <w:marBottom w:val="0"/>
                          <w:divBdr>
                            <w:top w:val="none" w:sz="0" w:space="0" w:color="auto"/>
                            <w:left w:val="none" w:sz="0" w:space="0" w:color="auto"/>
                            <w:bottom w:val="none" w:sz="0" w:space="0" w:color="auto"/>
                            <w:right w:val="none" w:sz="0" w:space="0" w:color="auto"/>
                          </w:divBdr>
                          <w:divsChild>
                            <w:div w:id="1351033124">
                              <w:marLeft w:val="0"/>
                              <w:marRight w:val="0"/>
                              <w:marTop w:val="0"/>
                              <w:marBottom w:val="0"/>
                              <w:divBdr>
                                <w:top w:val="none" w:sz="0" w:space="0" w:color="auto"/>
                                <w:left w:val="none" w:sz="0" w:space="0" w:color="auto"/>
                                <w:bottom w:val="none" w:sz="0" w:space="0" w:color="auto"/>
                                <w:right w:val="none" w:sz="0" w:space="0" w:color="auto"/>
                              </w:divBdr>
                              <w:divsChild>
                                <w:div w:id="973750839">
                                  <w:marLeft w:val="0"/>
                                  <w:marRight w:val="0"/>
                                  <w:marTop w:val="0"/>
                                  <w:marBottom w:val="0"/>
                                  <w:divBdr>
                                    <w:top w:val="none" w:sz="0" w:space="0" w:color="auto"/>
                                    <w:left w:val="none" w:sz="0" w:space="0" w:color="auto"/>
                                    <w:bottom w:val="none" w:sz="0" w:space="0" w:color="auto"/>
                                    <w:right w:val="none" w:sz="0" w:space="0" w:color="auto"/>
                                  </w:divBdr>
                                  <w:divsChild>
                                    <w:div w:id="366833076">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Final%20products\Submissions\Submissions%202018\ALRC%20Review%20of%20Family%20Law%20System\Submission%20to%20Issues%20Paper\AHRC%20Submission%20to%20ALRC%20Review%20of%20Family%20Law%20System.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6" Type="http://schemas.openxmlformats.org/officeDocument/2006/relationships/hyperlink" Target="https://aifs.gov.au/cfca/publications/enhancing-implementation-aboriginal-and-torres-strait-islander-child" TargetMode="External"/><Relationship Id="rId21" Type="http://schemas.openxmlformats.org/officeDocument/2006/relationships/hyperlink" Target="https://www.communitygrants.gov.au/grants/legally-assisted-and-culturally-appropriate-family-dispute-resol" TargetMode="External"/><Relationship Id="rId42" Type="http://schemas.openxmlformats.org/officeDocument/2006/relationships/hyperlink" Target="https://www.aph.gov.au/Parliamentary_Business/Committees/House/Social_Policy_and_Legal_Affairs/FVlawreform/Report" TargetMode="External"/><Relationship Id="rId47" Type="http://schemas.openxmlformats.org/officeDocument/2006/relationships/hyperlink" Target="https://unfe.org/system/unfe-65-Intersex_Factsheet_ENGLISH.pdf" TargetMode="External"/><Relationship Id="rId63" Type="http://schemas.openxmlformats.org/officeDocument/2006/relationships/hyperlink" Target="https://www.humanrights.gov.au/submissions/submission-committee-elimination-discrimination-against-women-information-list-issues-0" TargetMode="External"/><Relationship Id="rId68" Type="http://schemas.openxmlformats.org/officeDocument/2006/relationships/hyperlink" Target="https://www.aph.gov.au/Parliamentary_Business/Committees/House/Social_Policy_and_Legal_Affairs/FVlawreform/Submissions" TargetMode="External"/><Relationship Id="rId84" Type="http://schemas.openxmlformats.org/officeDocument/2006/relationships/hyperlink" Target="https://www.ag.gov.au/Publications/Pages/IndependentChildrensLawyersStudy.aspx" TargetMode="External"/><Relationship Id="rId89" Type="http://schemas.openxmlformats.org/officeDocument/2006/relationships/hyperlink" Target="https://aifs.gov.au/publications/family-matters/issue-92/childrens-direct-participation-and-views-australian-judges" TargetMode="External"/><Relationship Id="rId112" Type="http://schemas.openxmlformats.org/officeDocument/2006/relationships/hyperlink" Target="http://www.healthinfonet.ecu.edu.au/related-issues/healing/trauma/key-facts" TargetMode="External"/><Relationship Id="rId2" Type="http://schemas.openxmlformats.org/officeDocument/2006/relationships/hyperlink" Target="http://rightnow.org.au/opinion-3/the-family-law-act-and-the-un-convention-on-childrens-rights-a-new-focus-on-children/" TargetMode="External"/><Relationship Id="rId16" Type="http://schemas.openxmlformats.org/officeDocument/2006/relationships/hyperlink" Target="https://www.humanrights.gov.au/our-work/sexual-orientation-gender-identity-intersex-status/publications/resilient-individuals" TargetMode="External"/><Relationship Id="rId29" Type="http://schemas.openxmlformats.org/officeDocument/2006/relationships/hyperlink" Target="http://www.snaicc.org.au/wp-content/uploads/2017/07/Understanding_applying_ATSICCP.pdf" TargetMode="External"/><Relationship Id="rId107" Type="http://schemas.openxmlformats.org/officeDocument/2006/relationships/hyperlink" Target="https://aifs.gov.au/publications/family-matters/issue-92/childrens-direct-participation-and-views-australian-judges" TargetMode="External"/><Relationship Id="rId11" Type="http://schemas.openxmlformats.org/officeDocument/2006/relationships/hyperlink" Target="http://www.un.org/womenwatch/daw/cedaw/recommendations/recomm.htm" TargetMode="External"/><Relationship Id="rId24" Type="http://schemas.openxmlformats.org/officeDocument/2006/relationships/hyperlink" Target="https://aifs.gov.au/publications/evaluation-2012-family-violence-amendments" TargetMode="External"/><Relationship Id="rId32" Type="http://schemas.openxmlformats.org/officeDocument/2006/relationships/hyperlink" Target="http://www.abs.gov.au/ausstats/abs@.nsf/Lookup/4533.0Main+Features72013" TargetMode="External"/><Relationship Id="rId37" Type="http://schemas.openxmlformats.org/officeDocument/2006/relationships/hyperlink" Target="https://www.aph.gov.au/Parliamentary_Business/Committees/House/Social_Policy_and_Legal_Affairs/FVlawreform/Report" TargetMode="External"/><Relationship Id="rId40" Type="http://schemas.openxmlformats.org/officeDocument/2006/relationships/hyperlink" Target="https://www.aph.gov.au/Parliamentary_Business/Committees/House/Social_Policy_and_Legal_Affairs/FVlawreform/Report" TargetMode="External"/><Relationship Id="rId45" Type="http://schemas.openxmlformats.org/officeDocument/2006/relationships/hyperlink" Target="https://www.humanrights.gov.au/submissions/involuntary-or-coerced-sterilisation-people-disabilities-australia" TargetMode="External"/><Relationship Id="rId53" Type="http://schemas.openxmlformats.org/officeDocument/2006/relationships/hyperlink" Target="https://www.humanrights.gov.au/our-work/sexual-orientation-sex-gender-identity/publications/same-sex-same-entitlements" TargetMode="External"/><Relationship Id="rId58" Type="http://schemas.openxmlformats.org/officeDocument/2006/relationships/hyperlink" Target="https://www.anrows.org.au/node/1462" TargetMode="External"/><Relationship Id="rId66" Type="http://schemas.openxmlformats.org/officeDocument/2006/relationships/hyperlink" Target="https://www.aph.gov.au/Parliamentary_Business/Committees/House/Social_Policy_and_Legal_Affairs/FVlawreform/Submissions" TargetMode="External"/><Relationship Id="rId74" Type="http://schemas.openxmlformats.org/officeDocument/2006/relationships/hyperlink" Target="https://aifs.gov.au/publications/family-matters/issue-82/children-s-participation-family-law-disputes" TargetMode="External"/><Relationship Id="rId79" Type="http://schemas.openxmlformats.org/officeDocument/2006/relationships/hyperlink" Target="https://aifs.gov.au/publications/family-matters/issue-82/children-s-participation-family-law-disputes" TargetMode="External"/><Relationship Id="rId87" Type="http://schemas.openxmlformats.org/officeDocument/2006/relationships/hyperlink" Target="https://www.ag.gov.au/Publications/Pages/IndependentChildrensLawyersStudy.aspx" TargetMode="External"/><Relationship Id="rId102" Type="http://schemas.openxmlformats.org/officeDocument/2006/relationships/hyperlink" Target="http://www.hrc.act.gov.au/res/Family%20Court%20Report.pdf" TargetMode="External"/><Relationship Id="rId110" Type="http://schemas.openxmlformats.org/officeDocument/2006/relationships/hyperlink" Target="https://www.humanrights.gov.au/sites/default/files/content/pdf/social_justice/bringing_them_home_report.pdf" TargetMode="External"/><Relationship Id="rId5" Type="http://schemas.openxmlformats.org/officeDocument/2006/relationships/hyperlink" Target="http://www.censusdata.abs.gov.au/census_services/getproduct/census/2016/communityprofile/036?opendocument" TargetMode="External"/><Relationship Id="rId61" Type="http://schemas.openxmlformats.org/officeDocument/2006/relationships/hyperlink" Target="http://www.localcourt.justice.nsw.gov.au/publications/practice-notes" TargetMode="External"/><Relationship Id="rId82" Type="http://schemas.openxmlformats.org/officeDocument/2006/relationships/hyperlink" Target="https://www.ag.gov.au/Publications/Pages/IndependentChildrensLawyersStudy.aspx" TargetMode="External"/><Relationship Id="rId90" Type="http://schemas.openxmlformats.org/officeDocument/2006/relationships/hyperlink" Target="https://aifs.gov.au/publications/family-matters/issue-84/exploring-promises-and-possibilities-childrens-participation-family-relationship-centres" TargetMode="External"/><Relationship Id="rId95" Type="http://schemas.openxmlformats.org/officeDocument/2006/relationships/hyperlink" Target="https://www.ag.gov.au/Consultations/Pages/Proposed-amendments-to-the-Family-Law-Act-1975-to-respond-to-family-violence.aspx" TargetMode="External"/><Relationship Id="rId19" Type="http://schemas.openxmlformats.org/officeDocument/2006/relationships/hyperlink" Target="https://www.alrc.gov.au/publications/family-law-system-ip" TargetMode="External"/><Relationship Id="rId14" Type="http://schemas.openxmlformats.org/officeDocument/2006/relationships/hyperlink" Target="http://www.refworld.org/docid/48244e602.html" TargetMode="External"/><Relationship Id="rId22" Type="http://schemas.openxmlformats.org/officeDocument/2006/relationships/hyperlink" Target="https://www.humanrights.gov.au/sites/default/files/document/publication/2014_Equal_Before_the_Law.pdf" TargetMode="External"/><Relationship Id="rId27" Type="http://schemas.openxmlformats.org/officeDocument/2006/relationships/hyperlink" Target="http://iaha.com.au/wp-content/uploads/2013/03/000214_cultureclosinggap.pdf" TargetMode="External"/><Relationship Id="rId30" Type="http://schemas.openxmlformats.org/officeDocument/2006/relationships/hyperlink" Target="http://www.snaicc.org.au/wp-content/uploads/2017/07/Understanding_applying_ATSICCP.pdf" TargetMode="External"/><Relationship Id="rId35" Type="http://schemas.openxmlformats.org/officeDocument/2006/relationships/hyperlink" Target="http://www.abs.gov.au/ausstats/abs@.nsf/mf/4906.0" TargetMode="External"/><Relationship Id="rId43" Type="http://schemas.openxmlformats.org/officeDocument/2006/relationships/hyperlink" Target="https://www.alrc.gov.au/sites/default/files/pdfs/publications/issues_paer_48_19_march_2018_.pdf" TargetMode="External"/><Relationship Id="rId48" Type="http://schemas.openxmlformats.org/officeDocument/2006/relationships/hyperlink" Target="https://yogyakartaprinciples.org/principles-en/yp10/" TargetMode="External"/><Relationship Id="rId56" Type="http://schemas.openxmlformats.org/officeDocument/2006/relationships/hyperlink" Target="https://www.humanrights.gov.au/submissions/submission-family-law-amendment-family-violence-and-cross-examination-parties-bill-201-0" TargetMode="External"/><Relationship Id="rId64" Type="http://schemas.openxmlformats.org/officeDocument/2006/relationships/hyperlink" Target="https://www.humanrights.gov.au/news/speeches/women-world-festival-2018" TargetMode="External"/><Relationship Id="rId69" Type="http://schemas.openxmlformats.org/officeDocument/2006/relationships/hyperlink" Target="https://www.humanrights.gov.au/submissions/family-law-amendment-parenting-management-hearings-bill-2017" TargetMode="External"/><Relationship Id="rId77" Type="http://schemas.openxmlformats.org/officeDocument/2006/relationships/hyperlink" Target="https://aifs.gov.au/publications/family-matters/issue-92/childrens-direct-participation-and-views-australian-judges" TargetMode="External"/><Relationship Id="rId100" Type="http://schemas.openxmlformats.org/officeDocument/2006/relationships/hyperlink" Target="https://www.ag.gov.au/Publications/Pages/IndependentChildrensLawyersStudy.aspx" TargetMode="External"/><Relationship Id="rId105" Type="http://schemas.openxmlformats.org/officeDocument/2006/relationships/hyperlink" Target="https://aifs.gov.au/projects/children-and-young-people-separated-families" TargetMode="External"/><Relationship Id="rId113" Type="http://schemas.openxmlformats.org/officeDocument/2006/relationships/hyperlink" Target="https://healthinfonet.ecu.edu.au/learn/health-topics/healing/trauma/resources/" TargetMode="External"/><Relationship Id="rId8" Type="http://schemas.openxmlformats.org/officeDocument/2006/relationships/hyperlink" Target="https://www.ourwatch.org.au/getmedia/0aa0109b-6b03-43f2-85fe-a9f5ec92ae4e/Change-the-story-framework-prevent-violence-women-children-AA-new.pdf.aspx" TargetMode="External"/><Relationship Id="rId51" Type="http://schemas.openxmlformats.org/officeDocument/2006/relationships/hyperlink" Target="https://www.humanrights.gov.au/news/stories/commission-welcomes-re-kelvin-decision" TargetMode="External"/><Relationship Id="rId72" Type="http://schemas.openxmlformats.org/officeDocument/2006/relationships/hyperlink" Target="https://www.aph.gov.au/Parliamentary_Business/Committees/House/Social_Policy_and_Legal_Affairs/FVlawreform/Report" TargetMode="External"/><Relationship Id="rId80" Type="http://schemas.openxmlformats.org/officeDocument/2006/relationships/hyperlink" Target="http://www.hrc.act.gov.au/res/Family%20Court%20Report.pdf" TargetMode="External"/><Relationship Id="rId85" Type="http://schemas.openxmlformats.org/officeDocument/2006/relationships/hyperlink" Target="https://www.ag.gov.au/Publications/Pages/IndependentChildrensLawyersStudy.aspx" TargetMode="External"/><Relationship Id="rId93" Type="http://schemas.openxmlformats.org/officeDocument/2006/relationships/hyperlink" Target="https://www.ag.gov.au/Publications/Pages/IndependentChildrensLawyersStudy.aspx" TargetMode="External"/><Relationship Id="rId98" Type="http://schemas.openxmlformats.org/officeDocument/2006/relationships/hyperlink" Target="https://aifs.gov.au/publications/family-matters/issue-92/childrens-direct-participation-and-views-australian-judges" TargetMode="External"/><Relationship Id="rId3" Type="http://schemas.openxmlformats.org/officeDocument/2006/relationships/hyperlink" Target="https://www.wgea.gov.au/addressing-pay-equity/what-gender-pay-gap" TargetMode="External"/><Relationship Id="rId12" Type="http://schemas.openxmlformats.org/officeDocument/2006/relationships/hyperlink" Target="http://www.childprotectioninquiry.vic.gov.au/images/stories/submissions/victorian-equal-opportunity-and-human-rights-commission.pdf" TargetMode="External"/><Relationship Id="rId17" Type="http://schemas.openxmlformats.org/officeDocument/2006/relationships/hyperlink" Target="https://www.humanrights.gov.au/news/stories/australia-legalises-marriage-equality" TargetMode="External"/><Relationship Id="rId25" Type="http://schemas.openxmlformats.org/officeDocument/2006/relationships/hyperlink" Target="https://www.humanrights.gov.au/shared-parental-responsibility" TargetMode="External"/><Relationship Id="rId33" Type="http://schemas.openxmlformats.org/officeDocument/2006/relationships/hyperlink" Target="http://www.abs.gov.au/ausstats/abs@.nsf/Lookup/4533.0Main+Features72013" TargetMode="External"/><Relationship Id="rId38" Type="http://schemas.openxmlformats.org/officeDocument/2006/relationships/hyperlink" Target="https://www.aph.gov.au/Parliamentary_Business/Committees/House/Social_Policy_and_Legal_Affairs/FVlawreform/Report" TargetMode="External"/><Relationship Id="rId46" Type="http://schemas.openxmlformats.org/officeDocument/2006/relationships/hyperlink" Target="https://ihra.org.au/16601/intersex-numbers/" TargetMode="External"/><Relationship Id="rId59" Type="http://schemas.openxmlformats.org/officeDocument/2006/relationships/hyperlink" Target="http://www.ohchr.org/EN/HRBodies/CEDAW/Pages/Recommendations.aspx" TargetMode="External"/><Relationship Id="rId67" Type="http://schemas.openxmlformats.org/officeDocument/2006/relationships/hyperlink" Target="https://www.aph.gov.au/Parliamentary_Business/Committees/House/Social_Policy_and_Legal_Affairs/FVlawreform/Submissions" TargetMode="External"/><Relationship Id="rId103" Type="http://schemas.openxmlformats.org/officeDocument/2006/relationships/hyperlink" Target="https://aifs.gov.au/publications/family-matters/issue-84/exploring-promises-and-possibilities-childrens-participation-family-relationship-centres" TargetMode="External"/><Relationship Id="rId108" Type="http://schemas.openxmlformats.org/officeDocument/2006/relationships/hyperlink" Target="https://aifs.gov.au/publications/family-matters/issue-92/childrens-direct-participation-and-views-australian-judges" TargetMode="External"/><Relationship Id="rId20" Type="http://schemas.openxmlformats.org/officeDocument/2006/relationships/hyperlink" Target="http://www.abs.gov.au/ausstats/abs@.nsf/mf/2071.0" TargetMode="External"/><Relationship Id="rId41" Type="http://schemas.openxmlformats.org/officeDocument/2006/relationships/hyperlink" Target="https://aifs.gov.au/publications/evaluation-2012-family-violence-amendments" TargetMode="External"/><Relationship Id="rId54" Type="http://schemas.openxmlformats.org/officeDocument/2006/relationships/hyperlink" Target="https://www.humanrights.gov.au/our-work/sexual-orientation-sex-gender-identity/publications/same-sex-same-entitlements" TargetMode="External"/><Relationship Id="rId62" Type="http://schemas.openxmlformats.org/officeDocument/2006/relationships/hyperlink" Target="https://www.humanrights.gov.au/submissions/violence-against-women-australia-2017" TargetMode="External"/><Relationship Id="rId70" Type="http://schemas.openxmlformats.org/officeDocument/2006/relationships/hyperlink" Target="https://www.aph.gov.au/Parliamentary_Business/Committees/House/Social_Policy_and_Legal_Affairs/FVlawreform/Report" TargetMode="External"/><Relationship Id="rId75" Type="http://schemas.openxmlformats.org/officeDocument/2006/relationships/hyperlink" Target="http://www.alrc.gov.au/publications/report-84" TargetMode="External"/><Relationship Id="rId83" Type="http://schemas.openxmlformats.org/officeDocument/2006/relationships/hyperlink" Target="https://www.ag.gov.au/Publications/Pages/IndependentChildrensLawyersStudy.aspx" TargetMode="External"/><Relationship Id="rId88" Type="http://schemas.openxmlformats.org/officeDocument/2006/relationships/hyperlink" Target="https://aifs.gov.au/publications/family-matters/issue-92/childrens-direct-participation-and-views-australian-judges" TargetMode="External"/><Relationship Id="rId91" Type="http://schemas.openxmlformats.org/officeDocument/2006/relationships/hyperlink" Target="https://aifs.gov.au/publications/family-matters/issue-84/exploring-promises-and-possibilities-childrens-participation-family-relationship-centres" TargetMode="External"/><Relationship Id="rId96" Type="http://schemas.openxmlformats.org/officeDocument/2006/relationships/hyperlink" Target="https://www.humanrights.gov.au/submissions/family-law-amendment-family-violence-and-other-measures-bill-2017" TargetMode="External"/><Relationship Id="rId111" Type="http://schemas.openxmlformats.org/officeDocument/2006/relationships/hyperlink" Target="https://www.humanrights.gov.au/sites/default/files/document/publication/SJRNTR2015.pdf" TargetMode="External"/><Relationship Id="rId1" Type="http://schemas.openxmlformats.org/officeDocument/2006/relationships/hyperlink" Target="https://www.humanrights.gov.au/inquiry-family-law-legislation-amendment-family-violence-and-other-measures-bill-2011" TargetMode="External"/><Relationship Id="rId6" Type="http://schemas.openxmlformats.org/officeDocument/2006/relationships/hyperlink" Target="http://www.abs.gov.au/ausstats/abs@.nsf/mf/4906.0" TargetMode="External"/><Relationship Id="rId15" Type="http://schemas.openxmlformats.org/officeDocument/2006/relationships/hyperlink" Target="https://yogyakartaprinciples.org/principles-en/yp10/" TargetMode="External"/><Relationship Id="rId23" Type="http://schemas.openxmlformats.org/officeDocument/2006/relationships/hyperlink" Target="http://www.publicadvocate.vic.gov.au/our-services/publications-forms/241-rebuilding-the-village-supporting-families-where-a-parent-has-a-disability-report-2-child-protection-2015" TargetMode="External"/><Relationship Id="rId28" Type="http://schemas.openxmlformats.org/officeDocument/2006/relationships/hyperlink" Target="https://www.humanrights.gov.au/news/speeches/united-nations-csw62-side-event-wiyi-yani-u-thangani-project" TargetMode="External"/><Relationship Id="rId36" Type="http://schemas.openxmlformats.org/officeDocument/2006/relationships/hyperlink" Target="https://www.humanrights.gov.au/inquiry-family-law-legislation-amendment-family-violence-and-other-measures-bill-2011" TargetMode="External"/><Relationship Id="rId49" Type="http://schemas.openxmlformats.org/officeDocument/2006/relationships/hyperlink" Target="https://yogyakartaprinciples.org/principles-en/yp10/" TargetMode="External"/><Relationship Id="rId57" Type="http://schemas.openxmlformats.org/officeDocument/2006/relationships/hyperlink" Target="https://www.anrows.org.au/publications/fast-facts-0/violence-against-women-key-statistics%20" TargetMode="External"/><Relationship Id="rId106" Type="http://schemas.openxmlformats.org/officeDocument/2006/relationships/hyperlink" Target="https://aifs.gov.au/publications/family-matters/issue-92/childrens-direct-participation-and-views-australian-judges" TargetMode="External"/><Relationship Id="rId114" Type="http://schemas.openxmlformats.org/officeDocument/2006/relationships/hyperlink" Target="https://healthinfonet.ecu.edu.au/learn/health-topics/healing/trauma/publications/" TargetMode="External"/><Relationship Id="rId10" Type="http://schemas.openxmlformats.org/officeDocument/2006/relationships/hyperlink" Target="https://www.anrows.org.au/publications/landscapes-0/domestic-and-family-violence-and-parenting-mixed-methods-insights-impact-and" TargetMode="External"/><Relationship Id="rId31" Type="http://schemas.openxmlformats.org/officeDocument/2006/relationships/hyperlink" Target="https://www.humanrights.gov.au/our-work/childrens-rights/publications/childrens-rights-report-2015" TargetMode="External"/><Relationship Id="rId44" Type="http://schemas.openxmlformats.org/officeDocument/2006/relationships/hyperlink" Target="https://www.humanrights.gov.au/submissions/involuntary-or-coerced-sterilisation-people-disabilities-australia" TargetMode="External"/><Relationship Id="rId52" Type="http://schemas.openxmlformats.org/officeDocument/2006/relationships/hyperlink" Target="https://www.humanrights.gov.au/submissions/submission-inquiry-regulatory-and-legislative-aspects-surrogacy-arrangements-2016" TargetMode="External"/><Relationship Id="rId60" Type="http://schemas.openxmlformats.org/officeDocument/2006/relationships/hyperlink" Target="https://www.humanrights.gov.au/our-work/childrens-rights/publications/childrens-rights-report-2015" TargetMode="External"/><Relationship Id="rId65" Type="http://schemas.openxmlformats.org/officeDocument/2006/relationships/hyperlink" Target="https://www.aph.gov.au/Parliamentary_Business/Committees/House/Social_Policy_and_Legal_Affairs/FVlawreform/Submissions" TargetMode="External"/><Relationship Id="rId73" Type="http://schemas.openxmlformats.org/officeDocument/2006/relationships/hyperlink" Target="https://www.dss.gov.au/our-responsibilities/families-and-children/publications-articles/child-inclusive-practice-in-family-and-child-counselling-and-family-and-child-mediation-0?HTML" TargetMode="External"/><Relationship Id="rId78" Type="http://schemas.openxmlformats.org/officeDocument/2006/relationships/hyperlink" Target="https://www.ag.gov.au/Publications/Pages/IndependentChildrensLawyersStudy.aspx" TargetMode="External"/><Relationship Id="rId81" Type="http://schemas.openxmlformats.org/officeDocument/2006/relationships/hyperlink" Target="http://www.familycourt.gov.au/wps/wcm/connect/fcoaweb/about/policies-and-procedures/guidelines-independent-childrens-lawyer" TargetMode="External"/><Relationship Id="rId86" Type="http://schemas.openxmlformats.org/officeDocument/2006/relationships/hyperlink" Target="https://www.ag.gov.au/Publications/Pages/IndependentChildrensLawyersStudy.aspx" TargetMode="External"/><Relationship Id="rId94" Type="http://schemas.openxmlformats.org/officeDocument/2006/relationships/hyperlink" Target="http://www.hrc.act.gov.au/res/Family%20Court%20Report.pdf" TargetMode="External"/><Relationship Id="rId99" Type="http://schemas.openxmlformats.org/officeDocument/2006/relationships/hyperlink" Target="https://aifs.gov.au/publications/family-matters/issue-82/children-s-participation-family-law-disputes" TargetMode="External"/><Relationship Id="rId101" Type="http://schemas.openxmlformats.org/officeDocument/2006/relationships/hyperlink" Target="https://www.ag.gov.au/Publications/Pages/IndependentChildrensLawyersStudy.aspx" TargetMode="External"/><Relationship Id="rId4" Type="http://schemas.openxmlformats.org/officeDocument/2006/relationships/hyperlink" Target="https://www.wgea.gov.au/addressing-pay-equity/what-gender-pay-gap" TargetMode="External"/><Relationship Id="rId9" Type="http://schemas.openxmlformats.org/officeDocument/2006/relationships/hyperlink" Target="http://www.abs.gov.au/ausstats/abs@.nsf/mf/4906.0" TargetMode="External"/><Relationship Id="rId13" Type="http://schemas.openxmlformats.org/officeDocument/2006/relationships/hyperlink" Target="http://www.ohchr.org/Documents/Publications/fs9Rev.2.pdf" TargetMode="External"/><Relationship Id="rId18" Type="http://schemas.openxmlformats.org/officeDocument/2006/relationships/hyperlink" Target="https://www.humanrights.gov.au/our-work/aboriginal-and-torres-strait-islander-social-justice/publications/social-justice-report-3" TargetMode="External"/><Relationship Id="rId39" Type="http://schemas.openxmlformats.org/officeDocument/2006/relationships/hyperlink" Target="https://www.aph.gov.au/Parliamentary_Business/Committees/House/Social_Policy_and_Legal_Affairs/FVlawreform/Report" TargetMode="External"/><Relationship Id="rId109" Type="http://schemas.openxmlformats.org/officeDocument/2006/relationships/hyperlink" Target="https://www.humanrights.gov.au/our-work/aboriginal-and-torres-strait-islander-social-justice/publications/social-justice-report-3" TargetMode="External"/><Relationship Id="rId34" Type="http://schemas.openxmlformats.org/officeDocument/2006/relationships/hyperlink" Target="https://www.alrc.gov.au/publications/family-violence-national-legal-response-alrc-report-114" TargetMode="External"/><Relationship Id="rId50" Type="http://schemas.openxmlformats.org/officeDocument/2006/relationships/hyperlink" Target="https://www.alrc.gov.au/publications/family-law-system-ip" TargetMode="External"/><Relationship Id="rId55" Type="http://schemas.openxmlformats.org/officeDocument/2006/relationships/hyperlink" Target="https://www.humanrights.gov.au/submissions/review-parentage-laws" TargetMode="External"/><Relationship Id="rId76" Type="http://schemas.openxmlformats.org/officeDocument/2006/relationships/hyperlink" Target="https://aifs.gov.au/publications/family-matters/issue-92/childrens-direct-participation-and-views-australian-judges" TargetMode="External"/><Relationship Id="rId97" Type="http://schemas.openxmlformats.org/officeDocument/2006/relationships/hyperlink" Target="https://aifs.gov.au/publications/family-matters/issue-82/children-s-participation-family-law-disputes" TargetMode="External"/><Relationship Id="rId104" Type="http://schemas.openxmlformats.org/officeDocument/2006/relationships/hyperlink" Target="https://www.humanrights.gov.au/our-work/childrens-rights/publications/childrens-rights-report-2013" TargetMode="External"/><Relationship Id="rId7" Type="http://schemas.openxmlformats.org/officeDocument/2006/relationships/hyperlink" Target="http://www.abs.gov.au/ausstats/abs@.nsf/Lookup/by%20Subject/4125.0~Sep%202017~Main%20Features~Work%20and%20Family%20Balance~7" TargetMode="External"/><Relationship Id="rId71" Type="http://schemas.openxmlformats.org/officeDocument/2006/relationships/hyperlink" Target="https://www.humanrights.gov.au/our-work/childrens-rights/publications/childrens-rights-report-2015" TargetMode="External"/><Relationship Id="rId92" Type="http://schemas.openxmlformats.org/officeDocument/2006/relationships/hyperlink" Target="https://www.ag.gov.au/Publications/Pages/IndependentChildrensLawyersStud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9EF3-8601-43AD-B815-6C7C784E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20784</Words>
  <Characters>116990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137500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Susan Newell</dc:creator>
  <cp:keywords/>
  <cp:lastModifiedBy>Susan Newell</cp:lastModifiedBy>
  <cp:revision>9</cp:revision>
  <cp:lastPrinted>2018-12-05T04:35:00Z</cp:lastPrinted>
  <dcterms:created xsi:type="dcterms:W3CDTF">2018-05-15T04:18:00Z</dcterms:created>
  <dcterms:modified xsi:type="dcterms:W3CDTF">2018-12-05T04:35:00Z</dcterms:modified>
</cp:coreProperties>
</file>