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FDAF" w14:textId="77777777" w:rsidR="009B5E18" w:rsidRDefault="009B5E18" w:rsidP="009B5E18">
      <w:pPr>
        <w:spacing w:before="0" w:after="0" w:line="276" w:lineRule="auto"/>
        <w:rPr>
          <w:rFonts w:cs="Arial"/>
          <w:b/>
        </w:rPr>
      </w:pPr>
    </w:p>
    <w:p w14:paraId="13C2EEEE" w14:textId="4198E86D" w:rsidR="009B5E18" w:rsidRDefault="009B5E18" w:rsidP="009B5E18">
      <w:pPr>
        <w:spacing w:before="0" w:after="0" w:line="276" w:lineRule="auto"/>
        <w:jc w:val="center"/>
        <w:rPr>
          <w:rFonts w:cs="Arial"/>
          <w:b/>
        </w:rPr>
      </w:pPr>
      <w:r>
        <w:rPr>
          <w:rFonts w:cs="Arial"/>
          <w:b/>
        </w:rPr>
        <w:t xml:space="preserve">PROTECTING THE HUMAN RIGHTS OF PEOPLE </w:t>
      </w:r>
      <w:r w:rsidR="00EB780D">
        <w:rPr>
          <w:rFonts w:cs="Arial"/>
          <w:b/>
        </w:rPr>
        <w:t>BORN WITH</w:t>
      </w:r>
      <w:r>
        <w:rPr>
          <w:rFonts w:cs="Arial"/>
          <w:b/>
        </w:rPr>
        <w:t xml:space="preserve"> VARIATIONS IN SEX CHARACTERISTICS</w:t>
      </w:r>
      <w:r>
        <w:rPr>
          <w:rFonts w:cs="Arial"/>
          <w:b/>
        </w:rPr>
        <w:br/>
      </w:r>
    </w:p>
    <w:p w14:paraId="3854D776" w14:textId="2B98E870" w:rsidR="009B5E18" w:rsidRPr="00EC6B69" w:rsidRDefault="009B5E18" w:rsidP="009B5E18">
      <w:pPr>
        <w:spacing w:before="0" w:after="0" w:line="276" w:lineRule="auto"/>
        <w:jc w:val="center"/>
        <w:rPr>
          <w:rFonts w:cs="Arial"/>
          <w:b/>
        </w:rPr>
      </w:pPr>
      <w:r>
        <w:rPr>
          <w:rFonts w:cs="Arial"/>
          <w:b/>
        </w:rPr>
        <w:t>CONSENT</w:t>
      </w:r>
      <w:r w:rsidR="00B92906">
        <w:rPr>
          <w:rFonts w:cs="Arial"/>
          <w:b/>
        </w:rPr>
        <w:t xml:space="preserve"> FOR CHILDREN</w:t>
      </w:r>
    </w:p>
    <w:p w14:paraId="3C3EC9E8" w14:textId="71CBCA2D" w:rsidR="00B92906" w:rsidRDefault="00B92906" w:rsidP="00B92906">
      <w:r w:rsidRPr="00216178">
        <w:t>The capacity to provide full and informed consent to medical interventions is fundamental to the enjoyment of bodily autonomy and integrity and to achiev</w:t>
      </w:r>
      <w:r w:rsidR="000B3EC3">
        <w:t>ing</w:t>
      </w:r>
      <w:r w:rsidRPr="00216178">
        <w:t xml:space="preserve"> the highest attainable standard of health</w:t>
      </w:r>
      <w:r>
        <w:t xml:space="preserve">. </w:t>
      </w:r>
    </w:p>
    <w:p w14:paraId="4BF1E79C" w14:textId="28D38092" w:rsidR="00B92906" w:rsidRPr="00216178" w:rsidRDefault="00B92906" w:rsidP="00B92906">
      <w:r>
        <w:t xml:space="preserve">Particular concerns arise in relation to the capacity of children to consent to medical interventions. </w:t>
      </w:r>
    </w:p>
    <w:p w14:paraId="2FBECAAA" w14:textId="704610BA" w:rsidR="00EB780D" w:rsidRDefault="00EB780D" w:rsidP="009321C2">
      <w:pPr>
        <w:rPr>
          <w:rFonts w:cs="Arial"/>
        </w:rPr>
      </w:pPr>
      <w:r>
        <w:rPr>
          <w:rFonts w:cs="Arial"/>
        </w:rPr>
        <w:t xml:space="preserve">In Australia, </w:t>
      </w:r>
      <w:r w:rsidRPr="00712B6D">
        <w:rPr>
          <w:rFonts w:cs="Arial"/>
        </w:rPr>
        <w:t>generally a child under the age of 18 may consent to a medical procedure if medical professionals have formed the view that the child has sufficient maturity and understanding to give valid consent to the procedure (this is known as ‘</w:t>
      </w:r>
      <w:proofErr w:type="spellStart"/>
      <w:r w:rsidRPr="00712B6D">
        <w:rPr>
          <w:rFonts w:cs="Arial"/>
          <w:i/>
        </w:rPr>
        <w:t>Gillick</w:t>
      </w:r>
      <w:proofErr w:type="spellEnd"/>
      <w:r w:rsidRPr="00712B6D">
        <w:rPr>
          <w:rFonts w:cs="Arial"/>
        </w:rPr>
        <w:t xml:space="preserve"> </w:t>
      </w:r>
      <w:r>
        <w:rPr>
          <w:rFonts w:cs="Arial"/>
        </w:rPr>
        <w:t>competency’</w:t>
      </w:r>
      <w:r w:rsidR="00022E16">
        <w:rPr>
          <w:rFonts w:cs="Arial"/>
        </w:rPr>
        <w:t>, referring to a United Kingdom House of Lords decision that has been adopted by Australian courts</w:t>
      </w:r>
      <w:r>
        <w:rPr>
          <w:rFonts w:cs="Arial"/>
        </w:rPr>
        <w:t>).</w:t>
      </w:r>
    </w:p>
    <w:p w14:paraId="213D5528" w14:textId="6BDF2DE9" w:rsidR="001D1D67" w:rsidRDefault="009366D0" w:rsidP="009321C2">
      <w:r w:rsidRPr="00216178">
        <w:t xml:space="preserve">If the child is not </w:t>
      </w:r>
      <w:proofErr w:type="spellStart"/>
      <w:r w:rsidRPr="00216178">
        <w:rPr>
          <w:i/>
        </w:rPr>
        <w:t>Gillick</w:t>
      </w:r>
      <w:proofErr w:type="spellEnd"/>
      <w:r w:rsidRPr="00216178">
        <w:t xml:space="preserve"> competent, </w:t>
      </w:r>
      <w:r w:rsidR="005E5F8D">
        <w:t>the child is considered not</w:t>
      </w:r>
      <w:r w:rsidR="009321C2">
        <w:t xml:space="preserve"> to</w:t>
      </w:r>
      <w:r w:rsidR="005E5F8D">
        <w:t xml:space="preserve"> have legal capacity to provide consent. Instead, d</w:t>
      </w:r>
      <w:r w:rsidRPr="00216178">
        <w:t>ecision-making responsibility about medical treatment typically ve</w:t>
      </w:r>
      <w:r w:rsidR="00823835">
        <w:t>sts in the parents or guardians.</w:t>
      </w:r>
    </w:p>
    <w:p w14:paraId="6BF14558" w14:textId="0D270CBE" w:rsidR="009F3C72" w:rsidRDefault="009F3C72" w:rsidP="009321C2">
      <w:r>
        <w:rPr>
          <w:rFonts w:cs="Arial"/>
        </w:rPr>
        <w:t>Parents and carers play an important role in making decisions for their child. A human rights based approach to decision making on behalf of children requires the decision maker to make decisions that are in the ‘best interests’ of the child. It also requires a consideration of the growing capacity of their child to be increasingly involved in decision-making.</w:t>
      </w:r>
    </w:p>
    <w:p w14:paraId="36060BD6" w14:textId="0581F76B" w:rsidR="001D1D67" w:rsidRDefault="009366D0" w:rsidP="001D1D67">
      <w:r w:rsidRPr="00216178">
        <w:t xml:space="preserve">In some circumstances, </w:t>
      </w:r>
      <w:r w:rsidR="00B333F2" w:rsidRPr="00216178">
        <w:t>court authorisation of the decision will be</w:t>
      </w:r>
      <w:r w:rsidR="00B333F2">
        <w:t xml:space="preserve"> required</w:t>
      </w:r>
      <w:r w:rsidRPr="00216178">
        <w:t xml:space="preserve"> </w:t>
      </w:r>
      <w:r w:rsidR="009F3C72">
        <w:t xml:space="preserve">regardless of whether the child is </w:t>
      </w:r>
      <w:proofErr w:type="spellStart"/>
      <w:r w:rsidR="009F3C72" w:rsidRPr="00F73B66">
        <w:rPr>
          <w:i/>
        </w:rPr>
        <w:t>Gillick</w:t>
      </w:r>
      <w:proofErr w:type="spellEnd"/>
      <w:r w:rsidR="009F3C72">
        <w:t xml:space="preserve"> competent or whether the </w:t>
      </w:r>
      <w:proofErr w:type="spellStart"/>
      <w:r w:rsidR="009F3C72">
        <w:t>parents</w:t>
      </w:r>
      <w:proofErr w:type="spellEnd"/>
      <w:r w:rsidR="009F3C72">
        <w:t xml:space="preserve"> consent</w:t>
      </w:r>
      <w:r w:rsidR="00823835">
        <w:t>.</w:t>
      </w:r>
      <w:r w:rsidR="009321C2">
        <w:t xml:space="preserve"> </w:t>
      </w:r>
      <w:r w:rsidR="00A75332">
        <w:t>T</w:t>
      </w:r>
      <w:r w:rsidR="002302AF" w:rsidRPr="00216178">
        <w:t xml:space="preserve">he </w:t>
      </w:r>
      <w:r w:rsidR="002302AF">
        <w:t xml:space="preserve">Family </w:t>
      </w:r>
      <w:r w:rsidR="002302AF" w:rsidRPr="00216178">
        <w:t>Court</w:t>
      </w:r>
      <w:r w:rsidR="002302AF">
        <w:t xml:space="preserve"> of Australia is able to provide such authorisation</w:t>
      </w:r>
      <w:r w:rsidR="002302AF" w:rsidRPr="00216178">
        <w:t xml:space="preserve"> under its ‘welfare jurisdiction’</w:t>
      </w:r>
      <w:r w:rsidR="002302AF">
        <w:t xml:space="preserve"> and will consider </w:t>
      </w:r>
      <w:r w:rsidR="002302AF" w:rsidRPr="00216178">
        <w:rPr>
          <w:rFonts w:cs="Arial"/>
        </w:rPr>
        <w:t>if the medical procedure is in the ‘best interests’ of the child.</w:t>
      </w:r>
      <w:r w:rsidR="002302AF">
        <w:t xml:space="preserve"> </w:t>
      </w:r>
      <w:r w:rsidR="00FD705B">
        <w:t xml:space="preserve">Following the legal decision of </w:t>
      </w:r>
      <w:r w:rsidR="00FD705B" w:rsidRPr="00216178">
        <w:rPr>
          <w:i/>
        </w:rPr>
        <w:t>Secretary, Department of Health and Community Services v JWB</w:t>
      </w:r>
      <w:r w:rsidR="00FD705B" w:rsidRPr="00216178">
        <w:t xml:space="preserve"> (1992) 175 CLR 218 (</w:t>
      </w:r>
      <w:r w:rsidR="00FD705B">
        <w:rPr>
          <w:i/>
        </w:rPr>
        <w:t xml:space="preserve">‘Marion’s </w:t>
      </w:r>
      <w:r w:rsidR="00FD705B" w:rsidRPr="00FD705B">
        <w:t>case’</w:t>
      </w:r>
      <w:r w:rsidR="00FD705B">
        <w:t xml:space="preserve">), </w:t>
      </w:r>
      <w:r w:rsidRPr="00FD705B">
        <w:t>Court</w:t>
      </w:r>
      <w:r w:rsidRPr="00216178">
        <w:t xml:space="preserve"> authorisation is required </w:t>
      </w:r>
      <w:r w:rsidR="002302AF">
        <w:t>where the proposed treatment is:</w:t>
      </w:r>
    </w:p>
    <w:p w14:paraId="394A6AF3" w14:textId="397B68D2" w:rsidR="001D1D67" w:rsidRDefault="001D1D67" w:rsidP="001D1D67">
      <w:pPr>
        <w:pStyle w:val="ListParagraph"/>
        <w:numPr>
          <w:ilvl w:val="0"/>
          <w:numId w:val="30"/>
        </w:numPr>
      </w:pPr>
      <w:r>
        <w:t>non-therapeutic;</w:t>
      </w:r>
    </w:p>
    <w:p w14:paraId="0CEBB775" w14:textId="27CB6AE4" w:rsidR="001D1D67" w:rsidRDefault="009366D0" w:rsidP="001D1D67">
      <w:pPr>
        <w:pStyle w:val="ListParagraph"/>
        <w:numPr>
          <w:ilvl w:val="0"/>
          <w:numId w:val="30"/>
        </w:numPr>
      </w:pPr>
      <w:r w:rsidRPr="00216178">
        <w:t>invasive, irreversible and considered major treatment</w:t>
      </w:r>
      <w:r w:rsidR="001D1D67">
        <w:t>;</w:t>
      </w:r>
    </w:p>
    <w:p w14:paraId="7F3A66AC" w14:textId="77777777" w:rsidR="001D1D67" w:rsidRDefault="009366D0" w:rsidP="001D1D67">
      <w:pPr>
        <w:pStyle w:val="ListParagraph"/>
        <w:numPr>
          <w:ilvl w:val="0"/>
          <w:numId w:val="30"/>
        </w:numPr>
      </w:pPr>
      <w:r w:rsidRPr="00216178">
        <w:t xml:space="preserve">there is a significant risk of making the wrong decision about </w:t>
      </w:r>
      <w:r>
        <w:t>the best interests of the child;</w:t>
      </w:r>
      <w:r w:rsidRPr="00216178">
        <w:t xml:space="preserve"> and </w:t>
      </w:r>
    </w:p>
    <w:p w14:paraId="65A486C8" w14:textId="5F78CE91" w:rsidR="009366D0" w:rsidRPr="001D1D67" w:rsidRDefault="009366D0" w:rsidP="001D1D67">
      <w:pPr>
        <w:pStyle w:val="ListParagraph"/>
        <w:numPr>
          <w:ilvl w:val="0"/>
          <w:numId w:val="30"/>
        </w:numPr>
      </w:pPr>
      <w:r w:rsidRPr="00216178">
        <w:t>the consequences of a wrong decision are particularly grave.</w:t>
      </w:r>
      <w:r w:rsidR="00A75332">
        <w:t xml:space="preserve"> </w:t>
      </w:r>
    </w:p>
    <w:p w14:paraId="56A620B4" w14:textId="45320186" w:rsidR="00FC65C2" w:rsidRDefault="0015244F" w:rsidP="00FC65C2">
      <w:r>
        <w:t>However, w</w:t>
      </w:r>
      <w:r w:rsidRPr="00216178">
        <w:t xml:space="preserve">hat </w:t>
      </w:r>
      <w:r w:rsidR="009366D0" w:rsidRPr="00216178">
        <w:t xml:space="preserve">constitutes the ‘best interests’ of the child can be </w:t>
      </w:r>
      <w:r w:rsidR="009366D0">
        <w:t>difficult to ascertain</w:t>
      </w:r>
      <w:r>
        <w:t>,</w:t>
      </w:r>
      <w:r w:rsidR="00FC65C2">
        <w:t xml:space="preserve"> and </w:t>
      </w:r>
      <w:r w:rsidR="00A75332">
        <w:t>may conflict</w:t>
      </w:r>
      <w:r w:rsidR="00FC65C2">
        <w:t xml:space="preserve"> with other rights</w:t>
      </w:r>
      <w:r w:rsidR="00A75332">
        <w:t>,</w:t>
      </w:r>
      <w:r w:rsidR="00FC65C2">
        <w:t xml:space="preserve"> like a c</w:t>
      </w:r>
      <w:r w:rsidR="00FC65C2" w:rsidRPr="00216178">
        <w:t>hild’s right to privacy, autonomy, self</w:t>
      </w:r>
      <w:r>
        <w:noBreakHyphen/>
      </w:r>
      <w:r w:rsidR="00FC65C2" w:rsidRPr="00216178">
        <w:t>determin</w:t>
      </w:r>
      <w:r w:rsidR="009321C2">
        <w:t>ation and freedom of expression.</w:t>
      </w:r>
    </w:p>
    <w:p w14:paraId="0D3AC198" w14:textId="77777777" w:rsidR="00843BC6" w:rsidRDefault="00843BC6" w:rsidP="00843BC6">
      <w:pPr>
        <w:spacing w:before="0" w:after="0"/>
        <w:rPr>
          <w:b/>
        </w:rPr>
      </w:pPr>
    </w:p>
    <w:p w14:paraId="339C9DB0" w14:textId="77777777" w:rsidR="00630C1A" w:rsidRDefault="00D916AD" w:rsidP="00843BC6">
      <w:pPr>
        <w:spacing w:before="0" w:after="0"/>
        <w:rPr>
          <w:b/>
        </w:rPr>
      </w:pPr>
      <w:r>
        <w:rPr>
          <w:b/>
        </w:rPr>
        <w:lastRenderedPageBreak/>
        <w:br/>
      </w:r>
    </w:p>
    <w:p w14:paraId="5036059F" w14:textId="2DFF3B8F" w:rsidR="000163CD" w:rsidRPr="000163CD" w:rsidRDefault="0096163B" w:rsidP="00843BC6">
      <w:pPr>
        <w:spacing w:before="0" w:after="0"/>
        <w:rPr>
          <w:b/>
        </w:rPr>
      </w:pPr>
      <w:r>
        <w:rPr>
          <w:b/>
        </w:rPr>
        <w:t>Legal oversight mechanisms</w:t>
      </w:r>
    </w:p>
    <w:p w14:paraId="3BF51AC7" w14:textId="1A5A4062" w:rsidR="00037C36" w:rsidRDefault="009366D0" w:rsidP="00FC65C2">
      <w:r w:rsidRPr="00216178">
        <w:t xml:space="preserve">Whether authorisation for these procedures should come under the jurisdiction of the Family Court </w:t>
      </w:r>
      <w:r w:rsidR="00FC65C2">
        <w:t xml:space="preserve">is contested. </w:t>
      </w:r>
      <w:r w:rsidR="003E24CC">
        <w:t xml:space="preserve">Few cases </w:t>
      </w:r>
      <w:proofErr w:type="gramStart"/>
      <w:r w:rsidR="003E24CC">
        <w:t>have been brought</w:t>
      </w:r>
      <w:proofErr w:type="gramEnd"/>
      <w:r w:rsidR="003E24CC">
        <w:t xml:space="preserve"> to the Court, and those that have reveal an inconsistent approach to</w:t>
      </w:r>
      <w:r w:rsidR="00FD705B">
        <w:t xml:space="preserve"> the </w:t>
      </w:r>
      <w:r w:rsidR="00823835">
        <w:t>reasons</w:t>
      </w:r>
      <w:r w:rsidR="00FD705B">
        <w:t xml:space="preserve"> considered in</w:t>
      </w:r>
      <w:r w:rsidR="003E24CC">
        <w:t xml:space="preserve"> decision-making and understandings of the jurisdiction of the Court. </w:t>
      </w:r>
    </w:p>
    <w:p w14:paraId="1364A21B" w14:textId="77777777" w:rsidR="00630C1A" w:rsidRDefault="00630C1A" w:rsidP="00FC65C2"/>
    <w:tbl>
      <w:tblPr>
        <w:tblStyle w:val="TableGrid"/>
        <w:tblW w:w="0" w:type="auto"/>
        <w:tblLook w:val="04A0" w:firstRow="1" w:lastRow="0" w:firstColumn="1" w:lastColumn="0" w:noHBand="0" w:noVBand="1"/>
      </w:tblPr>
      <w:tblGrid>
        <w:gridCol w:w="9060"/>
      </w:tblGrid>
      <w:tr w:rsidR="003E24CC" w:rsidRPr="00216178" w14:paraId="2D9C5618" w14:textId="77777777" w:rsidTr="00F82F80">
        <w:tc>
          <w:tcPr>
            <w:tcW w:w="9628" w:type="dxa"/>
          </w:tcPr>
          <w:p w14:paraId="6BD2A204" w14:textId="77777777" w:rsidR="003E24CC" w:rsidRPr="00216178" w:rsidRDefault="003E24CC" w:rsidP="00F82F80">
            <w:pPr>
              <w:rPr>
                <w:b/>
                <w:i/>
              </w:rPr>
            </w:pPr>
            <w:r w:rsidRPr="00216178">
              <w:rPr>
                <w:b/>
              </w:rPr>
              <w:t xml:space="preserve">Case study: </w:t>
            </w:r>
            <w:r w:rsidRPr="00216178">
              <w:rPr>
                <w:b/>
                <w:i/>
              </w:rPr>
              <w:t>Re: Carla</w:t>
            </w:r>
          </w:p>
          <w:p w14:paraId="46D42776" w14:textId="2A71588F" w:rsidR="00D916AD" w:rsidRPr="00030F1B" w:rsidRDefault="00D916AD" w:rsidP="00D916AD">
            <w:pPr>
              <w:ind w:left="360"/>
              <w:rPr>
                <w:rFonts w:cs="Arial"/>
              </w:rPr>
            </w:pPr>
            <w:r w:rsidRPr="00030F1B">
              <w:rPr>
                <w:rFonts w:cs="Arial"/>
              </w:rPr>
              <w:t xml:space="preserve">In the 2016 Family Court case of </w:t>
            </w:r>
            <w:r w:rsidRPr="00030F1B">
              <w:rPr>
                <w:rFonts w:cs="Arial"/>
                <w:i/>
              </w:rPr>
              <w:t xml:space="preserve">Re: Carla (Medical Procedure) </w:t>
            </w:r>
            <w:r w:rsidRPr="00030F1B">
              <w:rPr>
                <w:rFonts w:cs="Arial"/>
              </w:rPr>
              <w:t xml:space="preserve">[2016] </w:t>
            </w:r>
            <w:proofErr w:type="spellStart"/>
            <w:r w:rsidRPr="00030F1B">
              <w:rPr>
                <w:rFonts w:cs="Arial"/>
              </w:rPr>
              <w:t>FamCA</w:t>
            </w:r>
            <w:proofErr w:type="spellEnd"/>
            <w:r w:rsidRPr="00030F1B">
              <w:rPr>
                <w:rFonts w:cs="Arial"/>
              </w:rPr>
              <w:t xml:space="preserve"> 7, </w:t>
            </w:r>
            <w:r w:rsidR="0015244F">
              <w:rPr>
                <w:rFonts w:cs="Arial"/>
              </w:rPr>
              <w:t xml:space="preserve">Justice </w:t>
            </w:r>
            <w:r w:rsidRPr="00030F1B">
              <w:rPr>
                <w:rFonts w:cs="Arial"/>
              </w:rPr>
              <w:t xml:space="preserve">Forrest found that the </w:t>
            </w:r>
            <w:r>
              <w:rPr>
                <w:rFonts w:cs="Arial"/>
              </w:rPr>
              <w:t>surgical</w:t>
            </w:r>
            <w:r w:rsidRPr="00030F1B">
              <w:rPr>
                <w:rFonts w:cs="Arial"/>
              </w:rPr>
              <w:t xml:space="preserve"> treatment proposed</w:t>
            </w:r>
            <w:r>
              <w:rPr>
                <w:rFonts w:cs="Arial"/>
              </w:rPr>
              <w:t xml:space="preserve"> by a multidisciplinary team</w:t>
            </w:r>
            <w:r w:rsidRPr="00030F1B">
              <w:rPr>
                <w:rFonts w:cs="Arial"/>
              </w:rPr>
              <w:t xml:space="preserve"> for </w:t>
            </w:r>
            <w:r>
              <w:rPr>
                <w:rFonts w:cs="Arial"/>
              </w:rPr>
              <w:t xml:space="preserve">five-year old </w:t>
            </w:r>
            <w:r w:rsidRPr="00030F1B">
              <w:rPr>
                <w:rFonts w:cs="Arial"/>
              </w:rPr>
              <w:t xml:space="preserve">Carla, a </w:t>
            </w:r>
            <w:proofErr w:type="spellStart"/>
            <w:r w:rsidRPr="00030F1B">
              <w:rPr>
                <w:rFonts w:cs="Arial"/>
              </w:rPr>
              <w:t>gonadectomy</w:t>
            </w:r>
            <w:proofErr w:type="spellEnd"/>
            <w:r w:rsidRPr="00030F1B">
              <w:rPr>
                <w:rFonts w:cs="Arial"/>
              </w:rPr>
              <w:t xml:space="preserve">, was ‘therapeutic’ within the meaning of the term used by the majority in </w:t>
            </w:r>
            <w:r w:rsidRPr="00030F1B">
              <w:rPr>
                <w:rFonts w:cs="Arial"/>
                <w:i/>
              </w:rPr>
              <w:t>Marion’s case</w:t>
            </w:r>
            <w:r w:rsidRPr="00030F1B">
              <w:rPr>
                <w:rFonts w:cs="Arial"/>
              </w:rPr>
              <w:t xml:space="preserve">. On this basis, the Court concluded that the treatment fell within the bounds of permissible parental authority and did not require Court authorisation. The Court reached a similar conclusion in the 2014 case of </w:t>
            </w:r>
            <w:r w:rsidRPr="00030F1B">
              <w:rPr>
                <w:rFonts w:cs="Arial"/>
                <w:i/>
              </w:rPr>
              <w:t xml:space="preserve">Re: Sarah </w:t>
            </w:r>
            <w:r w:rsidRPr="00030F1B">
              <w:rPr>
                <w:rFonts w:cs="Arial"/>
              </w:rPr>
              <w:t xml:space="preserve">and the 2010 case of </w:t>
            </w:r>
            <w:r w:rsidRPr="00030F1B">
              <w:rPr>
                <w:rFonts w:cs="Arial"/>
                <w:i/>
              </w:rPr>
              <w:t>Re: Sean and Russe</w:t>
            </w:r>
            <w:r>
              <w:rPr>
                <w:rFonts w:cs="Arial"/>
                <w:i/>
              </w:rPr>
              <w:t>ll (Special Medical Procedures)</w:t>
            </w:r>
            <w:r w:rsidRPr="00030F1B">
              <w:rPr>
                <w:rFonts w:cs="Arial"/>
              </w:rPr>
              <w:t xml:space="preserve">. </w:t>
            </w:r>
          </w:p>
          <w:p w14:paraId="53FAB79A" w14:textId="595F287C" w:rsidR="00D916AD" w:rsidRPr="00030F1B" w:rsidRDefault="00D916AD" w:rsidP="00D916AD">
            <w:pPr>
              <w:ind w:left="360"/>
              <w:rPr>
                <w:rFonts w:cs="Arial"/>
              </w:rPr>
            </w:pPr>
            <w:r w:rsidRPr="00030F1B">
              <w:rPr>
                <w:rFonts w:cs="Arial"/>
              </w:rPr>
              <w:t xml:space="preserve">In recounting the facts, </w:t>
            </w:r>
            <w:r w:rsidR="0015244F">
              <w:rPr>
                <w:rFonts w:cs="Arial"/>
              </w:rPr>
              <w:t xml:space="preserve">Justice </w:t>
            </w:r>
            <w:r w:rsidRPr="00030F1B">
              <w:rPr>
                <w:rFonts w:cs="Arial"/>
              </w:rPr>
              <w:t xml:space="preserve">Forrest noted that Carla had previously undergone surgery that had ‘enhanced the appearance of her female genitalia’, including a clitoral recession and </w:t>
            </w:r>
            <w:proofErr w:type="spellStart"/>
            <w:r w:rsidRPr="00030F1B">
              <w:rPr>
                <w:rFonts w:cs="Arial"/>
              </w:rPr>
              <w:t>labioplasty</w:t>
            </w:r>
            <w:proofErr w:type="spellEnd"/>
            <w:r w:rsidRPr="00030F1B">
              <w:rPr>
                <w:rFonts w:cs="Arial"/>
              </w:rPr>
              <w:t xml:space="preserve">. These procedures were conducted without an application for court authorisation. </w:t>
            </w:r>
          </w:p>
          <w:p w14:paraId="546271B3" w14:textId="32A10247" w:rsidR="00D916AD" w:rsidRPr="00030F1B" w:rsidRDefault="00D916AD" w:rsidP="00D916AD">
            <w:pPr>
              <w:ind w:left="360"/>
              <w:rPr>
                <w:rFonts w:cs="Arial"/>
              </w:rPr>
            </w:pPr>
            <w:r w:rsidRPr="00030F1B">
              <w:rPr>
                <w:rFonts w:cs="Arial"/>
              </w:rPr>
              <w:t xml:space="preserve">Despite finding that court authorisation was not required for the proposed </w:t>
            </w:r>
            <w:proofErr w:type="spellStart"/>
            <w:r w:rsidRPr="00030F1B">
              <w:rPr>
                <w:rFonts w:cs="Arial"/>
              </w:rPr>
              <w:t>gonadectomy</w:t>
            </w:r>
            <w:proofErr w:type="spellEnd"/>
            <w:r w:rsidRPr="00030F1B">
              <w:rPr>
                <w:rFonts w:cs="Arial"/>
              </w:rPr>
              <w:t xml:space="preserve">, </w:t>
            </w:r>
            <w:r w:rsidR="0015244F">
              <w:rPr>
                <w:rFonts w:cs="Arial"/>
              </w:rPr>
              <w:t xml:space="preserve">Justice </w:t>
            </w:r>
            <w:r w:rsidRPr="00030F1B">
              <w:rPr>
                <w:rFonts w:cs="Arial"/>
              </w:rPr>
              <w:t>Forrest noted that the bringing of an application by a parent or health authority for court authorisation ‘can, in many circumstances, be understandably considered “as a prudent step”’. His Honour declined to set out the conditions that would make the reasons for seeking court authorisation compelling.</w:t>
            </w:r>
          </w:p>
          <w:p w14:paraId="4405CD28" w14:textId="2A9C04DB" w:rsidR="003E24CC" w:rsidRPr="00216178" w:rsidRDefault="0015244F" w:rsidP="0015244F">
            <w:pPr>
              <w:ind w:left="360"/>
            </w:pPr>
            <w:r>
              <w:rPr>
                <w:rFonts w:cs="Arial"/>
              </w:rPr>
              <w:t xml:space="preserve">Justice </w:t>
            </w:r>
            <w:r w:rsidR="00D916AD" w:rsidRPr="00030F1B">
              <w:rPr>
                <w:rFonts w:cs="Arial"/>
              </w:rPr>
              <w:t xml:space="preserve">Forrest’s decision in </w:t>
            </w:r>
            <w:r w:rsidR="00D916AD" w:rsidRPr="00030F1B">
              <w:rPr>
                <w:rFonts w:cs="Arial"/>
                <w:i/>
              </w:rPr>
              <w:t xml:space="preserve">Re: Carla </w:t>
            </w:r>
            <w:r w:rsidR="00D916AD" w:rsidRPr="00030F1B">
              <w:rPr>
                <w:rFonts w:cs="Arial"/>
              </w:rPr>
              <w:t xml:space="preserve">departed from </w:t>
            </w:r>
            <w:r>
              <w:rPr>
                <w:rFonts w:cs="Arial"/>
              </w:rPr>
              <w:t>the</w:t>
            </w:r>
            <w:r w:rsidR="00D916AD" w:rsidRPr="00030F1B">
              <w:rPr>
                <w:rFonts w:cs="Arial"/>
              </w:rPr>
              <w:t xml:space="preserve"> decision in </w:t>
            </w:r>
            <w:r w:rsidR="00D916AD" w:rsidRPr="00030F1B">
              <w:rPr>
                <w:rFonts w:cs="Arial"/>
                <w:i/>
              </w:rPr>
              <w:t>Re: Lesley</w:t>
            </w:r>
            <w:r w:rsidR="00D916AD" w:rsidRPr="00030F1B">
              <w:rPr>
                <w:rFonts w:cs="Arial"/>
              </w:rPr>
              <w:t xml:space="preserve">, in which </w:t>
            </w:r>
            <w:r>
              <w:rPr>
                <w:rFonts w:cs="Arial"/>
              </w:rPr>
              <w:t>Justice Barry</w:t>
            </w:r>
            <w:r w:rsidR="00D916AD" w:rsidRPr="00030F1B">
              <w:rPr>
                <w:rFonts w:cs="Arial"/>
              </w:rPr>
              <w:t xml:space="preserve"> found that the same procedure proposed in </w:t>
            </w:r>
            <w:r w:rsidR="00D916AD" w:rsidRPr="00030F1B">
              <w:rPr>
                <w:rFonts w:cs="Arial"/>
                <w:i/>
              </w:rPr>
              <w:t xml:space="preserve">Re: Carla, </w:t>
            </w:r>
            <w:r w:rsidR="00D916AD" w:rsidRPr="00030F1B">
              <w:rPr>
                <w:rFonts w:cs="Arial"/>
              </w:rPr>
              <w:t xml:space="preserve">a </w:t>
            </w:r>
            <w:proofErr w:type="spellStart"/>
            <w:r w:rsidR="00D916AD" w:rsidRPr="00030F1B">
              <w:rPr>
                <w:rFonts w:cs="Arial"/>
              </w:rPr>
              <w:t>gonadectomy</w:t>
            </w:r>
            <w:proofErr w:type="spellEnd"/>
            <w:r w:rsidR="00D916AD" w:rsidRPr="00030F1B">
              <w:rPr>
                <w:rFonts w:cs="Arial"/>
              </w:rPr>
              <w:t>,</w:t>
            </w:r>
            <w:r w:rsidR="00D916AD" w:rsidRPr="00030F1B">
              <w:rPr>
                <w:rFonts w:cs="Arial"/>
                <w:i/>
              </w:rPr>
              <w:t xml:space="preserve"> </w:t>
            </w:r>
            <w:r w:rsidR="00D916AD" w:rsidRPr="00725FB0">
              <w:rPr>
                <w:rFonts w:cs="Arial"/>
                <w:b/>
              </w:rPr>
              <w:t>did</w:t>
            </w:r>
            <w:r w:rsidR="00D916AD" w:rsidRPr="00030F1B">
              <w:rPr>
                <w:rFonts w:cs="Arial"/>
              </w:rPr>
              <w:t xml:space="preserve"> require the sanction of the Court.</w:t>
            </w:r>
          </w:p>
        </w:tc>
      </w:tr>
    </w:tbl>
    <w:p w14:paraId="5296FAFF" w14:textId="77777777" w:rsidR="00630C1A" w:rsidRDefault="00630C1A" w:rsidP="009366D0"/>
    <w:p w14:paraId="2F7CBE6E" w14:textId="16ABA99F" w:rsidR="00037C36" w:rsidRDefault="005B7C91" w:rsidP="009366D0">
      <w:r>
        <w:t>Alternative</w:t>
      </w:r>
      <w:r w:rsidR="00A75332">
        <w:t xml:space="preserve"> approaches </w:t>
      </w:r>
      <w:proofErr w:type="gramStart"/>
      <w:r w:rsidR="00A75332">
        <w:t>have been suggested</w:t>
      </w:r>
      <w:proofErr w:type="gramEnd"/>
      <w:r w:rsidR="00A75332">
        <w:t>. F</w:t>
      </w:r>
      <w:r w:rsidR="00FC65C2">
        <w:t>or example</w:t>
      </w:r>
      <w:r w:rsidR="00A75332">
        <w:t>,</w:t>
      </w:r>
      <w:r w:rsidR="00FC65C2">
        <w:t xml:space="preserve"> </w:t>
      </w:r>
      <w:r>
        <w:t xml:space="preserve">oversight over decision-making </w:t>
      </w:r>
      <w:r w:rsidR="00A75332">
        <w:t xml:space="preserve">could be </w:t>
      </w:r>
      <w:r w:rsidR="00C04FC3">
        <w:t xml:space="preserve">provided </w:t>
      </w:r>
      <w:r w:rsidR="00A75332">
        <w:t>by</w:t>
      </w:r>
      <w:r w:rsidR="00FC65C2">
        <w:t xml:space="preserve"> a civil and administrative tribunal,</w:t>
      </w:r>
      <w:r>
        <w:t xml:space="preserve"> by</w:t>
      </w:r>
      <w:r w:rsidR="00FC65C2">
        <w:t xml:space="preserve"> </w:t>
      </w:r>
      <w:r w:rsidR="00A75332">
        <w:t xml:space="preserve">an expert tribunal </w:t>
      </w:r>
      <w:r w:rsidR="009366D0" w:rsidRPr="00216178">
        <w:t xml:space="preserve">that includes </w:t>
      </w:r>
      <w:r w:rsidR="004040F2">
        <w:t>human rights experts, clinicians, and</w:t>
      </w:r>
      <w:r w:rsidR="009366D0" w:rsidRPr="00216178">
        <w:t xml:space="preserve"> intersex-led community organisations</w:t>
      </w:r>
      <w:r w:rsidR="00FC65C2">
        <w:t xml:space="preserve">, or </w:t>
      </w:r>
      <w:r>
        <w:t xml:space="preserve">by </w:t>
      </w:r>
      <w:r w:rsidR="009366D0" w:rsidRPr="00216178">
        <w:t>an expert multidisciplinary management</w:t>
      </w:r>
      <w:r w:rsidR="00FC65C2">
        <w:t xml:space="preserve"> team </w:t>
      </w:r>
      <w:r w:rsidR="00A75332">
        <w:t>in hospitals</w:t>
      </w:r>
      <w:r w:rsidR="00FC65C2">
        <w:t>.</w:t>
      </w:r>
    </w:p>
    <w:p w14:paraId="1E829DC7" w14:textId="5A741E02" w:rsidR="00037C36" w:rsidRDefault="00037C36" w:rsidP="009366D0"/>
    <w:p w14:paraId="33B01E1A" w14:textId="77777777" w:rsidR="00630C1A" w:rsidRDefault="00630C1A" w:rsidP="009366D0"/>
    <w:p w14:paraId="21BF361F" w14:textId="77777777" w:rsidR="00037C36" w:rsidRPr="00216178" w:rsidRDefault="00037C36" w:rsidP="009366D0"/>
    <w:tbl>
      <w:tblPr>
        <w:tblStyle w:val="TableGrid"/>
        <w:tblW w:w="0" w:type="auto"/>
        <w:tblLook w:val="04A0" w:firstRow="1" w:lastRow="0" w:firstColumn="1" w:lastColumn="0" w:noHBand="0" w:noVBand="1"/>
      </w:tblPr>
      <w:tblGrid>
        <w:gridCol w:w="9060"/>
      </w:tblGrid>
      <w:tr w:rsidR="009366D0" w:rsidRPr="00216178" w14:paraId="2707EC16" w14:textId="77777777" w:rsidTr="00F82F80">
        <w:tc>
          <w:tcPr>
            <w:tcW w:w="9628" w:type="dxa"/>
          </w:tcPr>
          <w:p w14:paraId="24B68A76" w14:textId="5BDF39F4" w:rsidR="009366D0" w:rsidRPr="00216178" w:rsidRDefault="00843BC6" w:rsidP="00F82F80">
            <w:pPr>
              <w:rPr>
                <w:b/>
              </w:rPr>
            </w:pPr>
            <w:bookmarkStart w:id="0" w:name="_Hlk503081463"/>
            <w:r>
              <w:rPr>
                <w:b/>
              </w:rPr>
              <w:t>Discussion</w:t>
            </w:r>
            <w:r w:rsidR="009366D0" w:rsidRPr="00216178">
              <w:rPr>
                <w:b/>
              </w:rPr>
              <w:t xml:space="preserve"> question</w:t>
            </w:r>
            <w:r w:rsidR="00012E3E">
              <w:rPr>
                <w:b/>
              </w:rPr>
              <w:t>s</w:t>
            </w:r>
            <w:r w:rsidR="009366D0" w:rsidRPr="00216178">
              <w:rPr>
                <w:b/>
              </w:rPr>
              <w:t>:</w:t>
            </w:r>
          </w:p>
          <w:p w14:paraId="7C15713D" w14:textId="24C6DFF8" w:rsidR="00012E3E" w:rsidRDefault="00012E3E" w:rsidP="00012E3E">
            <w:pPr>
              <w:pStyle w:val="ListParagraph"/>
              <w:numPr>
                <w:ilvl w:val="0"/>
                <w:numId w:val="32"/>
              </w:numPr>
              <w:spacing w:before="0"/>
              <w:rPr>
                <w:rFonts w:cs="Arial"/>
              </w:rPr>
            </w:pPr>
            <w:r w:rsidRPr="00012E3E">
              <w:rPr>
                <w:rFonts w:cs="Arial"/>
              </w:rPr>
              <w:t xml:space="preserve">To what extent should parents and carers be involved in making decisions on behalf of their child? How can parents and carers be best supported to make these decisions? </w:t>
            </w:r>
            <w:r>
              <w:rPr>
                <w:rFonts w:cs="Arial"/>
              </w:rPr>
              <w:br/>
            </w:r>
          </w:p>
          <w:p w14:paraId="5340494A" w14:textId="77777777" w:rsidR="00467A4F" w:rsidRDefault="00012E3E" w:rsidP="00467A4F">
            <w:pPr>
              <w:pStyle w:val="ListParagraph"/>
              <w:numPr>
                <w:ilvl w:val="0"/>
                <w:numId w:val="32"/>
              </w:numPr>
              <w:spacing w:before="0"/>
              <w:rPr>
                <w:rFonts w:cs="Arial"/>
              </w:rPr>
            </w:pPr>
            <w:r w:rsidRPr="00012E3E">
              <w:rPr>
                <w:rFonts w:cs="Arial"/>
              </w:rPr>
              <w:t xml:space="preserve">What, if any, legal oversight mechanism(s) should be in place to guide decision-making about medical interventions involving a person born with a variation in sex characteristics where the person does not have the legal capacity to provide consent? </w:t>
            </w:r>
          </w:p>
          <w:p w14:paraId="25853BF0" w14:textId="77777777" w:rsidR="00467A4F" w:rsidRDefault="00467A4F" w:rsidP="00467A4F">
            <w:pPr>
              <w:pStyle w:val="ListParagraph"/>
              <w:spacing w:before="0"/>
              <w:rPr>
                <w:rFonts w:cs="Arial"/>
              </w:rPr>
            </w:pPr>
          </w:p>
          <w:p w14:paraId="4945CD9D" w14:textId="77777777" w:rsidR="00467A4F" w:rsidRDefault="00012E3E" w:rsidP="00467A4F">
            <w:pPr>
              <w:pStyle w:val="ListParagraph"/>
              <w:spacing w:before="0"/>
              <w:rPr>
                <w:rFonts w:cs="Arial"/>
              </w:rPr>
            </w:pPr>
            <w:r w:rsidRPr="00467A4F">
              <w:rPr>
                <w:rFonts w:cs="Arial"/>
              </w:rPr>
              <w:t>If such a mechanism existed:</w:t>
            </w:r>
          </w:p>
          <w:p w14:paraId="3B5E67E9" w14:textId="77777777" w:rsidR="00467A4F" w:rsidRDefault="00012E3E" w:rsidP="00724DA3">
            <w:pPr>
              <w:pStyle w:val="ListParagraph"/>
              <w:numPr>
                <w:ilvl w:val="0"/>
                <w:numId w:val="28"/>
              </w:numPr>
              <w:spacing w:before="0"/>
              <w:rPr>
                <w:rFonts w:cs="Arial"/>
              </w:rPr>
            </w:pPr>
            <w:r w:rsidRPr="00467A4F">
              <w:rPr>
                <w:rFonts w:cs="Arial"/>
              </w:rPr>
              <w:t xml:space="preserve">how could this mechanism adequately address different interventions and different variations? </w:t>
            </w:r>
          </w:p>
          <w:p w14:paraId="606499C9" w14:textId="77777777" w:rsidR="00467A4F" w:rsidRDefault="00012E3E" w:rsidP="00467A4F">
            <w:pPr>
              <w:pStyle w:val="ListParagraph"/>
              <w:numPr>
                <w:ilvl w:val="0"/>
                <w:numId w:val="28"/>
              </w:numPr>
              <w:spacing w:before="0"/>
              <w:rPr>
                <w:rFonts w:cs="Arial"/>
              </w:rPr>
            </w:pPr>
            <w:r w:rsidRPr="00467A4F">
              <w:rPr>
                <w:rFonts w:cs="Arial"/>
              </w:rPr>
              <w:t>how can it best respect the future capacity of a child to consent?</w:t>
            </w:r>
          </w:p>
          <w:p w14:paraId="14A2078A" w14:textId="36045CB0" w:rsidR="009366D0" w:rsidRPr="00467A4F" w:rsidRDefault="00012E3E" w:rsidP="00467A4F">
            <w:pPr>
              <w:pStyle w:val="ListParagraph"/>
              <w:numPr>
                <w:ilvl w:val="0"/>
                <w:numId w:val="28"/>
              </w:numPr>
              <w:spacing w:before="0"/>
              <w:rPr>
                <w:rFonts w:cs="Arial"/>
              </w:rPr>
            </w:pPr>
            <w:r w:rsidRPr="00467A4F">
              <w:rPr>
                <w:rFonts w:cs="Arial"/>
              </w:rPr>
              <w:t xml:space="preserve">should there be distinct processes for children with parents and for adults who lack legal capacity? </w:t>
            </w:r>
          </w:p>
        </w:tc>
      </w:tr>
      <w:bookmarkEnd w:id="0"/>
    </w:tbl>
    <w:p w14:paraId="4139C913" w14:textId="585A1F53" w:rsidR="009B5E18" w:rsidRDefault="009B5E18" w:rsidP="009B5E18">
      <w:pPr>
        <w:spacing w:before="0" w:after="0" w:line="276" w:lineRule="auto"/>
      </w:pPr>
    </w:p>
    <w:p w14:paraId="73762FA3" w14:textId="14D011C8" w:rsidR="00CD4F52" w:rsidRDefault="00CD4F52" w:rsidP="00CD4F52">
      <w:pPr>
        <w:spacing w:before="0" w:after="0" w:line="276" w:lineRule="auto"/>
      </w:pPr>
      <w:r>
        <w:t>This sheet forms part of the Australian Human Rights Commission’s inquiry into how best to protect the right</w:t>
      </w:r>
      <w:r w:rsidR="00856CCC">
        <w:t>s</w:t>
      </w:r>
      <w:r>
        <w:t xml:space="preserve"> of people </w:t>
      </w:r>
      <w:r w:rsidR="00856CCC">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3A0EA00D" w14:textId="1FDB3328" w:rsidR="00843BC6" w:rsidRDefault="00843BC6" w:rsidP="00CD4F52">
      <w:pPr>
        <w:spacing w:before="0" w:after="0" w:line="276" w:lineRule="auto"/>
        <w:rPr>
          <w:b/>
        </w:rPr>
      </w:pPr>
    </w:p>
    <w:p w14:paraId="7EB7C22B" w14:textId="203F5E3A" w:rsidR="00CD4F52" w:rsidRPr="00485051" w:rsidRDefault="00CD4F52" w:rsidP="00CD4F52">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8"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823835">
        <w:t>GPO Box 5218, Sydney NSW 2001.</w:t>
      </w:r>
    </w:p>
    <w:p w14:paraId="6AA0F856" w14:textId="77777777" w:rsidR="00CD4F52" w:rsidRPr="00485051" w:rsidRDefault="00CD4F52" w:rsidP="00CD4F52">
      <w:pPr>
        <w:spacing w:before="0" w:after="0" w:line="276" w:lineRule="auto"/>
        <w:rPr>
          <w:lang w:val="en-GB"/>
        </w:rPr>
      </w:pPr>
    </w:p>
    <w:p w14:paraId="3C63D9E1" w14:textId="77777777" w:rsidR="00CD4F52" w:rsidRPr="00485051" w:rsidRDefault="00CD4F52" w:rsidP="00CD4F52">
      <w:pPr>
        <w:spacing w:before="0" w:after="0" w:line="276" w:lineRule="auto"/>
        <w:rPr>
          <w:lang w:val="en-GB"/>
        </w:rPr>
      </w:pPr>
      <w:r w:rsidRPr="00485051">
        <w:rPr>
          <w:lang w:val="en-GB"/>
        </w:rPr>
        <w:t>Your information will be stored securely and your identity/information will be kept strictly confidential, except as required by law. Inquiry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5DAA5006" w14:textId="77777777" w:rsidR="00CD4F52" w:rsidRPr="00485051" w:rsidRDefault="00CD4F52" w:rsidP="00CD4F52">
      <w:pPr>
        <w:spacing w:before="0" w:after="0" w:line="276" w:lineRule="auto"/>
        <w:rPr>
          <w:lang w:val="en-GB"/>
        </w:rPr>
      </w:pPr>
    </w:p>
    <w:p w14:paraId="69CCD45D" w14:textId="696F8E3A" w:rsidR="00CD4F52" w:rsidRPr="00485051" w:rsidRDefault="00CD4F52" w:rsidP="00CD4F52">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w:t>
      </w:r>
      <w:r w:rsidR="00C57AA7" w:rsidRPr="00485051">
        <w:rPr>
          <w:rFonts w:cs="Arial"/>
        </w:rPr>
        <w:t xml:space="preserve">02 </w:t>
      </w:r>
      <w:r w:rsidR="00630C1A" w:rsidRPr="00413E91">
        <w:rPr>
          <w:rFonts w:cs="Arial"/>
        </w:rPr>
        <w:t>9284 9650</w:t>
      </w:r>
      <w:r w:rsidR="00630C1A">
        <w:rPr>
          <w:rFonts w:cs="Arial"/>
        </w:rPr>
        <w:t xml:space="preserve"> </w:t>
      </w:r>
      <w:bookmarkStart w:id="1" w:name="_GoBack"/>
      <w:bookmarkEnd w:id="1"/>
      <w:r w:rsidRPr="00485051">
        <w:rPr>
          <w:rFonts w:cs="Arial"/>
        </w:rPr>
        <w:t xml:space="preserve">or 1300 369 711. </w:t>
      </w:r>
    </w:p>
    <w:p w14:paraId="71FBD9FC" w14:textId="77777777" w:rsidR="00CD4F52" w:rsidRPr="00485051" w:rsidRDefault="00CD4F52" w:rsidP="00CD4F52">
      <w:pPr>
        <w:spacing w:before="0" w:after="0" w:line="276" w:lineRule="auto"/>
      </w:pPr>
    </w:p>
    <w:p w14:paraId="6FF2C483" w14:textId="0D46DFE1" w:rsidR="008A2AF7" w:rsidRPr="00A02F56" w:rsidRDefault="00CD4F52" w:rsidP="00037C36">
      <w:pPr>
        <w:spacing w:before="0" w:after="0" w:line="276" w:lineRule="auto"/>
      </w:pPr>
      <w:r w:rsidRPr="00485051">
        <w:t xml:space="preserve">Consultation for this project has been approved by an external, independent Human Research Ethics Committee (HREC).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296439">
        <w:t>2018/338</w:t>
      </w:r>
      <w:r w:rsidRPr="00485051">
        <w:t>.</w:t>
      </w:r>
    </w:p>
    <w:sectPr w:rsidR="008A2AF7" w:rsidRPr="00A02F56" w:rsidSect="00CE7182">
      <w:headerReference w:type="default" r:id="rId11"/>
      <w:footerReference w:type="default" r:id="rId12"/>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C2525" w14:textId="77777777" w:rsidR="00FC4648" w:rsidRDefault="00FC4648" w:rsidP="00F14C6D">
      <w:r>
        <w:separator/>
      </w:r>
    </w:p>
  </w:endnote>
  <w:endnote w:type="continuationSeparator" w:id="0">
    <w:p w14:paraId="7BDBEBEE" w14:textId="77777777" w:rsidR="00FC4648" w:rsidRDefault="00FC4648" w:rsidP="00F14C6D">
      <w:r>
        <w:continuationSeparator/>
      </w:r>
    </w:p>
  </w:endnote>
  <w:endnote w:type="continuationNotice" w:id="1">
    <w:p w14:paraId="7726CC5C" w14:textId="77777777" w:rsidR="00FC4648" w:rsidRDefault="00FC464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3305" w14:textId="6004AA1E" w:rsidR="0024300C" w:rsidRDefault="00EB780D" w:rsidP="00CE7182">
    <w:pPr>
      <w:pStyle w:val="Footer"/>
      <w:spacing w:before="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A2506" w14:textId="77777777" w:rsidR="00FC4648" w:rsidRDefault="00FC4648" w:rsidP="00F14C6D">
      <w:r>
        <w:separator/>
      </w:r>
    </w:p>
  </w:footnote>
  <w:footnote w:type="continuationSeparator" w:id="0">
    <w:p w14:paraId="7A966F35" w14:textId="77777777" w:rsidR="00FC4648" w:rsidRDefault="00FC4648" w:rsidP="00F14C6D">
      <w:r>
        <w:continuationSeparator/>
      </w:r>
    </w:p>
  </w:footnote>
  <w:footnote w:type="continuationNotice" w:id="1">
    <w:p w14:paraId="2E97A4A0" w14:textId="77777777" w:rsidR="00FC4648" w:rsidRDefault="00FC464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0D4D" w14:textId="4312FDB9" w:rsidR="00B92906" w:rsidRDefault="00B92906" w:rsidP="00B92906">
    <w:pPr>
      <w:pStyle w:val="Header"/>
      <w:jc w:val="left"/>
    </w:pPr>
    <w:r>
      <w:rPr>
        <w:rFonts w:cs="ArialMT"/>
        <w:b/>
        <w:noProof/>
        <w:spacing w:val="-20"/>
        <w:sz w:val="32"/>
      </w:rPr>
      <w:drawing>
        <wp:inline distT="0" distB="0" distL="0" distR="0" wp14:anchorId="4A9C73CE" wp14:editId="6F137841">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34A69"/>
    <w:multiLevelType w:val="hybridMultilevel"/>
    <w:tmpl w:val="D422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CB237C"/>
    <w:multiLevelType w:val="hybridMultilevel"/>
    <w:tmpl w:val="9EF0DF3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0C090001">
      <w:start w:val="1"/>
      <w:numFmt w:val="bullet"/>
      <w:lvlText w:val=""/>
      <w:lvlJc w:val="left"/>
      <w:pPr>
        <w:tabs>
          <w:tab w:val="num" w:pos="1440"/>
        </w:tabs>
        <w:ind w:left="1440" w:hanging="360"/>
      </w:pPr>
      <w:rPr>
        <w:rFonts w:ascii="Symbol" w:hAnsi="Symbol"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02C7B38"/>
    <w:multiLevelType w:val="hybridMultilevel"/>
    <w:tmpl w:val="E47CFE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EC81569"/>
    <w:multiLevelType w:val="hybridMultilevel"/>
    <w:tmpl w:val="88361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52682A1D"/>
    <w:multiLevelType w:val="hybridMultilevel"/>
    <w:tmpl w:val="E7CE5E9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4"/>
  </w:num>
  <w:num w:numId="12">
    <w:abstractNumId w:val="20"/>
  </w:num>
  <w:num w:numId="13">
    <w:abstractNumId w:val="16"/>
  </w:num>
  <w:num w:numId="14">
    <w:abstractNumId w:val="23"/>
  </w:num>
  <w:num w:numId="15">
    <w:abstractNumId w:val="17"/>
  </w:num>
  <w:num w:numId="16">
    <w:abstractNumId w:val="11"/>
  </w:num>
  <w:num w:numId="17">
    <w:abstractNumId w:val="2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21"/>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8"/>
  </w:num>
  <w:num w:numId="28">
    <w:abstractNumId w:val="27"/>
  </w:num>
  <w:num w:numId="29">
    <w:abstractNumId w:val="14"/>
  </w:num>
  <w:num w:numId="30">
    <w:abstractNumId w:val="10"/>
  </w:num>
  <w:num w:numId="31">
    <w:abstractNumId w:val="15"/>
  </w:num>
  <w:num w:numId="3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18"/>
    <w:rsid w:val="0001254B"/>
    <w:rsid w:val="00012E3E"/>
    <w:rsid w:val="00013272"/>
    <w:rsid w:val="000163CD"/>
    <w:rsid w:val="00021134"/>
    <w:rsid w:val="00022E16"/>
    <w:rsid w:val="00037C36"/>
    <w:rsid w:val="000540A0"/>
    <w:rsid w:val="000579B1"/>
    <w:rsid w:val="00061380"/>
    <w:rsid w:val="00074750"/>
    <w:rsid w:val="00074CD6"/>
    <w:rsid w:val="000B0A5D"/>
    <w:rsid w:val="000B3EC3"/>
    <w:rsid w:val="001011C8"/>
    <w:rsid w:val="00132462"/>
    <w:rsid w:val="00140077"/>
    <w:rsid w:val="001523D8"/>
    <w:rsid w:val="0015244F"/>
    <w:rsid w:val="001566D4"/>
    <w:rsid w:val="00162A8D"/>
    <w:rsid w:val="00184098"/>
    <w:rsid w:val="001867A2"/>
    <w:rsid w:val="001A5D46"/>
    <w:rsid w:val="001B0353"/>
    <w:rsid w:val="001C139C"/>
    <w:rsid w:val="001C451B"/>
    <w:rsid w:val="001D1D67"/>
    <w:rsid w:val="001F2BBB"/>
    <w:rsid w:val="0020759E"/>
    <w:rsid w:val="002302AF"/>
    <w:rsid w:val="00231ED1"/>
    <w:rsid w:val="0023303F"/>
    <w:rsid w:val="0024300C"/>
    <w:rsid w:val="0024557E"/>
    <w:rsid w:val="002702D9"/>
    <w:rsid w:val="00296439"/>
    <w:rsid w:val="003040CA"/>
    <w:rsid w:val="00310ED4"/>
    <w:rsid w:val="0031492A"/>
    <w:rsid w:val="00316504"/>
    <w:rsid w:val="00316C1A"/>
    <w:rsid w:val="00321AF0"/>
    <w:rsid w:val="00323ACF"/>
    <w:rsid w:val="00377C8F"/>
    <w:rsid w:val="003931C7"/>
    <w:rsid w:val="003955AE"/>
    <w:rsid w:val="00395B25"/>
    <w:rsid w:val="003A533F"/>
    <w:rsid w:val="003B18A7"/>
    <w:rsid w:val="003E24CC"/>
    <w:rsid w:val="003F0CEE"/>
    <w:rsid w:val="004004C7"/>
    <w:rsid w:val="004040F2"/>
    <w:rsid w:val="00404E71"/>
    <w:rsid w:val="004215B3"/>
    <w:rsid w:val="004401B0"/>
    <w:rsid w:val="00444303"/>
    <w:rsid w:val="004561BE"/>
    <w:rsid w:val="00462D4C"/>
    <w:rsid w:val="00467A4F"/>
    <w:rsid w:val="00473DB9"/>
    <w:rsid w:val="00474063"/>
    <w:rsid w:val="00476EEA"/>
    <w:rsid w:val="00494D4B"/>
    <w:rsid w:val="004A722D"/>
    <w:rsid w:val="004F2C1E"/>
    <w:rsid w:val="004F3A80"/>
    <w:rsid w:val="004F53EF"/>
    <w:rsid w:val="00503E04"/>
    <w:rsid w:val="00504B28"/>
    <w:rsid w:val="00513540"/>
    <w:rsid w:val="00522CED"/>
    <w:rsid w:val="00547677"/>
    <w:rsid w:val="00554C04"/>
    <w:rsid w:val="005B7515"/>
    <w:rsid w:val="005B7C91"/>
    <w:rsid w:val="005C1654"/>
    <w:rsid w:val="005D04F4"/>
    <w:rsid w:val="005D1F34"/>
    <w:rsid w:val="005E5F8D"/>
    <w:rsid w:val="005F5F45"/>
    <w:rsid w:val="00630C1A"/>
    <w:rsid w:val="00690313"/>
    <w:rsid w:val="00696390"/>
    <w:rsid w:val="006A5D35"/>
    <w:rsid w:val="006A6BB3"/>
    <w:rsid w:val="006B3680"/>
    <w:rsid w:val="006D5EE5"/>
    <w:rsid w:val="006E06ED"/>
    <w:rsid w:val="006E06F5"/>
    <w:rsid w:val="007039FC"/>
    <w:rsid w:val="00706FAB"/>
    <w:rsid w:val="00707793"/>
    <w:rsid w:val="007169BB"/>
    <w:rsid w:val="00725D5E"/>
    <w:rsid w:val="00725FB0"/>
    <w:rsid w:val="007548CA"/>
    <w:rsid w:val="00770DCB"/>
    <w:rsid w:val="00775485"/>
    <w:rsid w:val="007841E1"/>
    <w:rsid w:val="007D40BD"/>
    <w:rsid w:val="007D4F12"/>
    <w:rsid w:val="007E1866"/>
    <w:rsid w:val="007E6434"/>
    <w:rsid w:val="007F37D5"/>
    <w:rsid w:val="007F5BB9"/>
    <w:rsid w:val="00810ABF"/>
    <w:rsid w:val="008125EE"/>
    <w:rsid w:val="00823835"/>
    <w:rsid w:val="0083209A"/>
    <w:rsid w:val="00843BC6"/>
    <w:rsid w:val="00856CCC"/>
    <w:rsid w:val="008724DE"/>
    <w:rsid w:val="008A2AF7"/>
    <w:rsid w:val="008A3D57"/>
    <w:rsid w:val="008E3D60"/>
    <w:rsid w:val="0090165F"/>
    <w:rsid w:val="00921CB7"/>
    <w:rsid w:val="00923C4F"/>
    <w:rsid w:val="009321C2"/>
    <w:rsid w:val="009366D0"/>
    <w:rsid w:val="009472C4"/>
    <w:rsid w:val="00950E88"/>
    <w:rsid w:val="0096163B"/>
    <w:rsid w:val="00966C2F"/>
    <w:rsid w:val="009802F3"/>
    <w:rsid w:val="009A5753"/>
    <w:rsid w:val="009B5E18"/>
    <w:rsid w:val="009C5FB8"/>
    <w:rsid w:val="009E7FC4"/>
    <w:rsid w:val="009F3C72"/>
    <w:rsid w:val="009F51D9"/>
    <w:rsid w:val="009F7AAC"/>
    <w:rsid w:val="00A02F56"/>
    <w:rsid w:val="00A0406E"/>
    <w:rsid w:val="00A30D59"/>
    <w:rsid w:val="00A41355"/>
    <w:rsid w:val="00A43B92"/>
    <w:rsid w:val="00A44720"/>
    <w:rsid w:val="00A6179E"/>
    <w:rsid w:val="00A66F67"/>
    <w:rsid w:val="00A75332"/>
    <w:rsid w:val="00AC27AB"/>
    <w:rsid w:val="00AC6A34"/>
    <w:rsid w:val="00AE76EB"/>
    <w:rsid w:val="00B22697"/>
    <w:rsid w:val="00B277E0"/>
    <w:rsid w:val="00B333F2"/>
    <w:rsid w:val="00B52E2D"/>
    <w:rsid w:val="00B76653"/>
    <w:rsid w:val="00B92906"/>
    <w:rsid w:val="00BA262D"/>
    <w:rsid w:val="00BC79EB"/>
    <w:rsid w:val="00C04FC3"/>
    <w:rsid w:val="00C076F2"/>
    <w:rsid w:val="00C247EB"/>
    <w:rsid w:val="00C25BDA"/>
    <w:rsid w:val="00C53971"/>
    <w:rsid w:val="00C54FB1"/>
    <w:rsid w:val="00C57AA7"/>
    <w:rsid w:val="00C80F9F"/>
    <w:rsid w:val="00CA0D78"/>
    <w:rsid w:val="00CB0CFC"/>
    <w:rsid w:val="00CB27A8"/>
    <w:rsid w:val="00CD4F52"/>
    <w:rsid w:val="00CE7182"/>
    <w:rsid w:val="00D36D90"/>
    <w:rsid w:val="00D65C76"/>
    <w:rsid w:val="00D916AD"/>
    <w:rsid w:val="00DA2F73"/>
    <w:rsid w:val="00DA42E8"/>
    <w:rsid w:val="00DC193F"/>
    <w:rsid w:val="00DC3C4F"/>
    <w:rsid w:val="00DC462F"/>
    <w:rsid w:val="00E24FA3"/>
    <w:rsid w:val="00E328CD"/>
    <w:rsid w:val="00E45954"/>
    <w:rsid w:val="00E75D90"/>
    <w:rsid w:val="00E835AF"/>
    <w:rsid w:val="00E97EF8"/>
    <w:rsid w:val="00EB780D"/>
    <w:rsid w:val="00EE44D7"/>
    <w:rsid w:val="00F14C6D"/>
    <w:rsid w:val="00F3100E"/>
    <w:rsid w:val="00F71A6E"/>
    <w:rsid w:val="00F73B66"/>
    <w:rsid w:val="00F9078E"/>
    <w:rsid w:val="00F95982"/>
    <w:rsid w:val="00FC4648"/>
    <w:rsid w:val="00FC582E"/>
    <w:rsid w:val="00FC65C2"/>
    <w:rsid w:val="00FD705B"/>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918EC1"/>
  <w15:chartTrackingRefBased/>
  <w15:docId w15:val="{01A42366-A961-4DDC-8E85-66B392E6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E18"/>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character" w:styleId="CommentReference">
    <w:name w:val="annotation reference"/>
    <w:basedOn w:val="DefaultParagraphFont"/>
    <w:semiHidden/>
    <w:unhideWhenUsed/>
    <w:locked/>
    <w:rsid w:val="009B5E18"/>
    <w:rPr>
      <w:sz w:val="16"/>
      <w:szCs w:val="16"/>
    </w:rPr>
  </w:style>
  <w:style w:type="paragraph" w:styleId="CommentText">
    <w:name w:val="annotation text"/>
    <w:basedOn w:val="Normal"/>
    <w:link w:val="CommentTextChar"/>
    <w:semiHidden/>
    <w:unhideWhenUsed/>
    <w:locked/>
    <w:rsid w:val="009B5E18"/>
    <w:rPr>
      <w:sz w:val="20"/>
      <w:szCs w:val="20"/>
    </w:rPr>
  </w:style>
  <w:style w:type="character" w:customStyle="1" w:styleId="CommentTextChar">
    <w:name w:val="Comment Text Char"/>
    <w:basedOn w:val="DefaultParagraphFont"/>
    <w:link w:val="CommentText"/>
    <w:semiHidden/>
    <w:rsid w:val="009B5E18"/>
    <w:rPr>
      <w:rFonts w:ascii="Arial" w:hAnsi="Arial"/>
    </w:rPr>
  </w:style>
  <w:style w:type="paragraph" w:styleId="BalloonText">
    <w:name w:val="Balloon Text"/>
    <w:basedOn w:val="Normal"/>
    <w:link w:val="BalloonTextChar"/>
    <w:semiHidden/>
    <w:unhideWhenUsed/>
    <w:locked/>
    <w:rsid w:val="009B5E18"/>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B5E18"/>
    <w:rPr>
      <w:rFonts w:ascii="Segoe UI" w:hAnsi="Segoe UI" w:cs="Segoe UI"/>
      <w:sz w:val="18"/>
      <w:szCs w:val="18"/>
    </w:rPr>
  </w:style>
  <w:style w:type="character" w:customStyle="1" w:styleId="EndnoteTextChar1">
    <w:name w:val="Endnote Text Char1"/>
    <w:uiPriority w:val="99"/>
    <w:rsid w:val="009366D0"/>
    <w:rPr>
      <w:rFonts w:ascii="Arial" w:eastAsia="MS Mincho" w:hAnsi="Arial"/>
      <w:lang w:val="en-AU" w:eastAsia="en-AU" w:bidi="ar-SA"/>
    </w:rPr>
  </w:style>
  <w:style w:type="paragraph" w:customStyle="1" w:styleId="SubmissionNormal">
    <w:name w:val="Submission Normal"/>
    <w:basedOn w:val="Normal"/>
    <w:link w:val="SubmissionNormalChar"/>
    <w:rsid w:val="009366D0"/>
    <w:pPr>
      <w:numPr>
        <w:numId w:val="29"/>
      </w:numPr>
      <w:spacing w:before="0" w:after="160" w:line="259" w:lineRule="auto"/>
    </w:pPr>
    <w:rPr>
      <w:rFonts w:asciiTheme="minorHAnsi" w:hAnsiTheme="minorHAnsi" w:cstheme="minorBidi"/>
      <w:sz w:val="22"/>
      <w:szCs w:val="22"/>
      <w:lang w:eastAsia="en-US"/>
    </w:rPr>
  </w:style>
  <w:style w:type="character" w:customStyle="1" w:styleId="SubmissionNormalChar">
    <w:name w:val="Submission Normal Char"/>
    <w:link w:val="SubmissionNormal"/>
    <w:rsid w:val="009366D0"/>
    <w:rPr>
      <w:rFonts w:asciiTheme="minorHAnsi" w:hAnsiTheme="minorHAnsi" w:cstheme="minorBidi"/>
      <w:sz w:val="22"/>
      <w:szCs w:val="22"/>
      <w:lang w:eastAsia="en-US"/>
    </w:rPr>
  </w:style>
  <w:style w:type="paragraph" w:styleId="ListParagraph">
    <w:name w:val="List Paragraph"/>
    <w:basedOn w:val="Normal"/>
    <w:uiPriority w:val="34"/>
    <w:qFormat/>
    <w:rsid w:val="001D1D67"/>
    <w:pPr>
      <w:ind w:left="720"/>
      <w:contextualSpacing/>
    </w:pPr>
  </w:style>
  <w:style w:type="paragraph" w:styleId="CommentSubject">
    <w:name w:val="annotation subject"/>
    <w:basedOn w:val="CommentText"/>
    <w:next w:val="CommentText"/>
    <w:link w:val="CommentSubjectChar"/>
    <w:semiHidden/>
    <w:unhideWhenUsed/>
    <w:locked/>
    <w:rsid w:val="00404E71"/>
    <w:rPr>
      <w:b/>
      <w:bCs/>
    </w:rPr>
  </w:style>
  <w:style w:type="character" w:customStyle="1" w:styleId="CommentSubjectChar">
    <w:name w:val="Comment Subject Char"/>
    <w:basedOn w:val="CommentTextChar"/>
    <w:link w:val="CommentSubject"/>
    <w:semiHidden/>
    <w:rsid w:val="00404E71"/>
    <w:rPr>
      <w:rFonts w:ascii="Arial" w:hAnsi="Arial"/>
      <w:b/>
      <w:bCs/>
    </w:rPr>
  </w:style>
  <w:style w:type="paragraph" w:styleId="Revision">
    <w:name w:val="Revision"/>
    <w:hidden/>
    <w:uiPriority w:val="99"/>
    <w:semiHidden/>
    <w:rsid w:val="00FC464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0BA3-310A-4F64-BA69-669BBBA9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Stephanie Lum</cp:lastModifiedBy>
  <cp:revision>4</cp:revision>
  <dcterms:created xsi:type="dcterms:W3CDTF">2018-06-18T01:08:00Z</dcterms:created>
  <dcterms:modified xsi:type="dcterms:W3CDTF">2018-07-02T06:41:00Z</dcterms:modified>
</cp:coreProperties>
</file>