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EAC20" w14:textId="35F88F17" w:rsidR="00F872AA" w:rsidRPr="00446928" w:rsidRDefault="00A4759F" w:rsidP="00F872AA">
      <w:pPr>
        <w:tabs>
          <w:tab w:val="left" w:pos="3014"/>
        </w:tabs>
        <w:spacing w:after="3000"/>
        <w:rPr>
          <w:rFonts w:ascii="Arial" w:hAnsi="Arial" w:cs="Arial"/>
          <w:sz w:val="20"/>
          <w:vertAlign w:val="superscript"/>
        </w:rPr>
      </w:pPr>
      <w:r w:rsidRPr="00446928">
        <w:rPr>
          <w:rFonts w:ascii="Arial" w:hAnsi="Arial" w:cs="Arial"/>
          <w:noProof/>
          <w:lang w:eastAsia="en-AU"/>
        </w:rPr>
        <mc:AlternateContent>
          <mc:Choice Requires="wps">
            <w:drawing>
              <wp:anchor distT="0" distB="0" distL="114300" distR="114300" simplePos="0" relativeHeight="251661312" behindDoc="0" locked="0" layoutInCell="1" allowOverlap="1" wp14:anchorId="3EAFC866" wp14:editId="4CFF6235">
                <wp:simplePos x="0" y="0"/>
                <wp:positionH relativeFrom="column">
                  <wp:posOffset>1959728</wp:posOffset>
                </wp:positionH>
                <wp:positionV relativeFrom="paragraph">
                  <wp:posOffset>2008830</wp:posOffset>
                </wp:positionV>
                <wp:extent cx="3775075" cy="414670"/>
                <wp:effectExtent l="0" t="0" r="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5075" cy="414670"/>
                        </a:xfrm>
                        <a:prstGeom prst="rect">
                          <a:avLst/>
                        </a:prstGeom>
                        <a:noFill/>
                        <a:ln w="6350">
                          <a:noFill/>
                        </a:ln>
                        <a:effectLst/>
                      </wps:spPr>
                      <wps:txbx>
                        <w:txbxContent>
                          <w:p w14:paraId="69F49E79" w14:textId="4CF0B0F3" w:rsidR="00C9464D" w:rsidRPr="00A215D5" w:rsidRDefault="00C9464D" w:rsidP="00F872AA">
                            <w:pPr>
                              <w:pStyle w:val="Date"/>
                              <w:rPr>
                                <w:rFonts w:ascii="Arial" w:hAnsi="Arial" w:cs="Arial"/>
                              </w:rPr>
                            </w:pPr>
                            <w:r>
                              <w:rPr>
                                <w:rFonts w:ascii="Arial" w:hAnsi="Arial" w:cs="Arial"/>
                              </w:rPr>
                              <w:t>July</w:t>
                            </w:r>
                            <w:r w:rsidRPr="00A215D5">
                              <w:rPr>
                                <w:rFonts w:ascii="Arial" w:hAnsi="Arial" w:cs="Arial"/>
                              </w:rPr>
                              <w:t xml:space="preserve"> 2018</w:t>
                            </w:r>
                          </w:p>
                          <w:p w14:paraId="68708144" w14:textId="77777777" w:rsidR="00C9464D" w:rsidRDefault="00C9464D" w:rsidP="00F872AA"/>
                          <w:p w14:paraId="3F1BEA77" w14:textId="77777777" w:rsidR="00C9464D" w:rsidRPr="00B74219" w:rsidRDefault="00C9464D" w:rsidP="00F872AA">
                            <w:pPr>
                              <w:pStyle w:val="Date"/>
                            </w:pPr>
                            <w:r>
                              <w:t>13 January</w:t>
                            </w:r>
                            <w:r w:rsidRPr="002863D7">
                              <w:t xml:space="preserve"> 20</w:t>
                            </w:r>
                            <w:r>
                              <w:t>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FC866" id="_x0000_t202" coordsize="21600,21600" o:spt="202" path="m,l,21600r21600,l21600,xe">
                <v:stroke joinstyle="miter"/>
                <v:path gradientshapeok="t" o:connecttype="rect"/>
              </v:shapetype>
              <v:shape id="Text Box 5" o:spid="_x0000_s1026" type="#_x0000_t202" style="position:absolute;margin-left:154.3pt;margin-top:158.2pt;width:297.2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" filled="f" stroked="f" strokeweight=".5pt">
                <v:path arrowok="t"/>
                <v:textbox>
                  <w:txbxContent>
                    <w:p w14:paraId="69F49E79" w14:textId="4CF0B0F3" w:rsidR="00C9464D" w:rsidRPr="00A215D5" w:rsidRDefault="00C9464D" w:rsidP="00F872AA">
                      <w:pPr>
                        <w:pStyle w:val="Date"/>
                        <w:rPr>
                          <w:rFonts w:ascii="Arial" w:hAnsi="Arial" w:cs="Arial"/>
                        </w:rPr>
                      </w:pPr>
                      <w:r>
                        <w:rPr>
                          <w:rFonts w:ascii="Arial" w:hAnsi="Arial" w:cs="Arial"/>
                        </w:rPr>
                        <w:t>July</w:t>
                      </w:r>
                      <w:r w:rsidRPr="00A215D5">
                        <w:rPr>
                          <w:rFonts w:ascii="Arial" w:hAnsi="Arial" w:cs="Arial"/>
                        </w:rPr>
                        <w:t xml:space="preserve"> 2018</w:t>
                      </w:r>
                    </w:p>
                    <w:p w14:paraId="68708144" w14:textId="77777777" w:rsidR="00C9464D" w:rsidRDefault="00C9464D" w:rsidP="00F872AA"/>
                    <w:p w14:paraId="3F1BEA77" w14:textId="77777777" w:rsidR="00C9464D" w:rsidRPr="00B74219" w:rsidRDefault="00C9464D" w:rsidP="00F872AA">
                      <w:pPr>
                        <w:pStyle w:val="Date"/>
                      </w:pPr>
                      <w:r>
                        <w:t>13 January</w:t>
                      </w:r>
                      <w:r w:rsidRPr="002863D7">
                        <w:t xml:space="preserve"> 20</w:t>
                      </w:r>
                      <w:r>
                        <w:t>17</w:t>
                      </w:r>
                    </w:p>
                  </w:txbxContent>
                </v:textbox>
              </v:shape>
            </w:pict>
          </mc:Fallback>
        </mc:AlternateContent>
      </w:r>
      <w:r w:rsidR="00F872AA" w:rsidRPr="00446928">
        <w:rPr>
          <w:rFonts w:ascii="Arial" w:hAnsi="Arial" w:cs="Arial"/>
          <w:noProof/>
          <w:lang w:eastAsia="en-AU"/>
        </w:rPr>
        <mc:AlternateContent>
          <mc:Choice Requires="wps">
            <w:drawing>
              <wp:anchor distT="0" distB="0" distL="114300" distR="114300" simplePos="0" relativeHeight="251659264" behindDoc="0" locked="0" layoutInCell="1" allowOverlap="1" wp14:anchorId="39B6E678" wp14:editId="38B45EDD">
                <wp:simplePos x="0" y="0"/>
                <wp:positionH relativeFrom="page">
                  <wp:posOffset>1828800</wp:posOffset>
                </wp:positionH>
                <wp:positionV relativeFrom="paragraph">
                  <wp:posOffset>-469900</wp:posOffset>
                </wp:positionV>
                <wp:extent cx="4848225" cy="19907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48225" cy="1990725"/>
                        </a:xfrm>
                        <a:prstGeom prst="rect">
                          <a:avLst/>
                        </a:prstGeom>
                        <a:noFill/>
                        <a:ln w="6350">
                          <a:noFill/>
                        </a:ln>
                        <a:effectLst/>
                      </wps:spPr>
                      <wps:txbx>
                        <w:txbxContent>
                          <w:p w14:paraId="0570D4AF" w14:textId="77777777" w:rsidR="00C9464D" w:rsidRDefault="00C9464D" w:rsidP="00F872AA">
                            <w:pPr>
                              <w:pStyle w:val="MainTitle"/>
                              <w:rPr>
                                <w:sz w:val="36"/>
                                <w:szCs w:val="36"/>
                              </w:rPr>
                            </w:pPr>
                            <w:r w:rsidRPr="00155ADF">
                              <w:rPr>
                                <w:sz w:val="36"/>
                                <w:szCs w:val="36"/>
                              </w:rPr>
                              <w:t xml:space="preserve">Protecting the Human Rights of </w:t>
                            </w:r>
                          </w:p>
                          <w:p w14:paraId="549BE164" w14:textId="77777777" w:rsidR="00C9464D" w:rsidRPr="00F43D5D" w:rsidRDefault="00C9464D" w:rsidP="00F872AA">
                            <w:pPr>
                              <w:pStyle w:val="MainTitle"/>
                              <w:rPr>
                                <w:sz w:val="36"/>
                                <w:szCs w:val="36"/>
                              </w:rPr>
                            </w:pPr>
                            <w:r w:rsidRPr="00155ADF">
                              <w:rPr>
                                <w:sz w:val="36"/>
                                <w:szCs w:val="36"/>
                              </w:rPr>
                              <w:t xml:space="preserve">People </w:t>
                            </w:r>
                            <w:r>
                              <w:rPr>
                                <w:sz w:val="36"/>
                                <w:szCs w:val="36"/>
                              </w:rPr>
                              <w:t xml:space="preserve">Born </w:t>
                            </w:r>
                            <w:r w:rsidRPr="00155ADF">
                              <w:rPr>
                                <w:sz w:val="36"/>
                                <w:szCs w:val="36"/>
                              </w:rPr>
                              <w:t xml:space="preserve">with </w:t>
                            </w:r>
                            <w:r>
                              <w:rPr>
                                <w:sz w:val="36"/>
                                <w:szCs w:val="36"/>
                              </w:rPr>
                              <w:t xml:space="preserve">Variations in Sex Characteristics </w:t>
                            </w:r>
                            <w:r w:rsidRPr="00F43D5D">
                              <w:rPr>
                                <w:sz w:val="36"/>
                                <w:szCs w:val="36"/>
                              </w:rPr>
                              <w:t>in the context of Medical Interventions</w:t>
                            </w:r>
                          </w:p>
                          <w:p w14:paraId="7B228C6C" w14:textId="77777777" w:rsidR="00C9464D" w:rsidRPr="001A5267" w:rsidRDefault="00C9464D" w:rsidP="00F872AA">
                            <w:pPr>
                              <w:pStyle w:val="MainTitle"/>
                              <w:rPr>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B6E678" id="Text Box 7" o:spid="_x0000_s1027" type="#_x0000_t202" style="position:absolute;margin-left:2in;margin-top:-37pt;width:381.75pt;height:156.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" filled="f" stroked="f" strokeweight=".5pt">
                <v:path arrowok="t"/>
                <v:textbox>
                  <w:txbxContent>
                    <w:p w14:paraId="0570D4AF" w14:textId="77777777" w:rsidR="00C9464D" w:rsidRDefault="00C9464D" w:rsidP="00F872AA">
                      <w:pPr>
                        <w:pStyle w:val="MainTitle"/>
                        <w:rPr>
                          <w:sz w:val="36"/>
                          <w:szCs w:val="36"/>
                        </w:rPr>
                      </w:pPr>
                      <w:r w:rsidRPr="00155ADF">
                        <w:rPr>
                          <w:sz w:val="36"/>
                          <w:szCs w:val="36"/>
                        </w:rPr>
                        <w:t xml:space="preserve">Protecting the Human Rights of </w:t>
                      </w:r>
                    </w:p>
                    <w:p w14:paraId="549BE164" w14:textId="77777777" w:rsidR="00C9464D" w:rsidRPr="00F43D5D" w:rsidRDefault="00C9464D" w:rsidP="00F872AA">
                      <w:pPr>
                        <w:pStyle w:val="MainTitle"/>
                        <w:rPr>
                          <w:sz w:val="36"/>
                          <w:szCs w:val="36"/>
                        </w:rPr>
                      </w:pPr>
                      <w:r w:rsidRPr="00155ADF">
                        <w:rPr>
                          <w:sz w:val="36"/>
                          <w:szCs w:val="36"/>
                        </w:rPr>
                        <w:t xml:space="preserve">People </w:t>
                      </w:r>
                      <w:r>
                        <w:rPr>
                          <w:sz w:val="36"/>
                          <w:szCs w:val="36"/>
                        </w:rPr>
                        <w:t xml:space="preserve">Born </w:t>
                      </w:r>
                      <w:r w:rsidRPr="00155ADF">
                        <w:rPr>
                          <w:sz w:val="36"/>
                          <w:szCs w:val="36"/>
                        </w:rPr>
                        <w:t xml:space="preserve">with </w:t>
                      </w:r>
                      <w:r>
                        <w:rPr>
                          <w:sz w:val="36"/>
                          <w:szCs w:val="36"/>
                        </w:rPr>
                        <w:t xml:space="preserve">Variations in Sex Characteristics </w:t>
                      </w:r>
                      <w:r w:rsidRPr="00F43D5D">
                        <w:rPr>
                          <w:sz w:val="36"/>
                          <w:szCs w:val="36"/>
                        </w:rPr>
                        <w:t>in the context of Medical Interventions</w:t>
                      </w:r>
                    </w:p>
                    <w:p w14:paraId="7B228C6C" w14:textId="77777777" w:rsidR="00C9464D" w:rsidRPr="001A5267" w:rsidRDefault="00C9464D" w:rsidP="00F872AA">
                      <w:pPr>
                        <w:pStyle w:val="MainTitle"/>
                        <w:rPr>
                          <w:sz w:val="40"/>
                          <w:szCs w:val="40"/>
                        </w:rPr>
                      </w:pPr>
                    </w:p>
                  </w:txbxContent>
                </v:textbox>
                <w10:wrap anchorx="page"/>
              </v:shape>
            </w:pict>
          </mc:Fallback>
        </mc:AlternateContent>
      </w:r>
      <w:r w:rsidR="00F872AA" w:rsidRPr="00446928">
        <w:rPr>
          <w:rFonts w:ascii="Arial" w:hAnsi="Arial" w:cs="Arial"/>
          <w:noProof/>
          <w:lang w:eastAsia="en-AU"/>
        </w:rPr>
        <mc:AlternateContent>
          <mc:Choice Requires="wps">
            <w:drawing>
              <wp:anchor distT="0" distB="0" distL="114300" distR="114300" simplePos="0" relativeHeight="251660288" behindDoc="0" locked="0" layoutInCell="1" allowOverlap="1" wp14:anchorId="7AA812E2" wp14:editId="43368B77">
                <wp:simplePos x="0" y="0"/>
                <wp:positionH relativeFrom="column">
                  <wp:posOffset>3242945</wp:posOffset>
                </wp:positionH>
                <wp:positionV relativeFrom="paragraph">
                  <wp:posOffset>1577340</wp:posOffset>
                </wp:positionV>
                <wp:extent cx="2509520" cy="42354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09520" cy="423545"/>
                        </a:xfrm>
                        <a:prstGeom prst="rect">
                          <a:avLst/>
                        </a:prstGeom>
                        <a:noFill/>
                        <a:ln w="6350">
                          <a:noFill/>
                        </a:ln>
                        <a:effectLst/>
                      </wps:spPr>
                      <wps:txbx>
                        <w:txbxContent>
                          <w:p w14:paraId="7771F5EE" w14:textId="77777777" w:rsidR="00C9464D" w:rsidRPr="00A215D5" w:rsidRDefault="00C9464D" w:rsidP="00F872AA">
                            <w:pPr>
                              <w:jc w:val="right"/>
                              <w:rPr>
                                <w:rFonts w:ascii="Arial" w:hAnsi="Arial" w:cs="Arial"/>
                                <w:b/>
                              </w:rPr>
                            </w:pPr>
                            <w:r w:rsidRPr="00A215D5">
                              <w:rPr>
                                <w:rFonts w:ascii="Arial" w:hAnsi="Arial" w:cs="Arial"/>
                                <w:b/>
                              </w:rPr>
                              <w:t>CONSULTATION PAPER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812E2" id="Text Box 6" o:spid="_x0000_s1028" type="#_x0000_t202" style="position:absolute;margin-left:255.35pt;margin-top:124.2pt;width:197.6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" filled="f" stroked="f" strokeweight=".5pt">
                <v:path arrowok="t"/>
                <v:textbox>
                  <w:txbxContent>
                    <w:p w14:paraId="7771F5EE" w14:textId="77777777" w:rsidR="00C9464D" w:rsidRPr="00A215D5" w:rsidRDefault="00C9464D" w:rsidP="00F872AA">
                      <w:pPr>
                        <w:jc w:val="right"/>
                        <w:rPr>
                          <w:rFonts w:ascii="Arial" w:hAnsi="Arial" w:cs="Arial"/>
                          <w:b/>
                        </w:rPr>
                      </w:pPr>
                      <w:r w:rsidRPr="00A215D5">
                        <w:rPr>
                          <w:rFonts w:ascii="Arial" w:hAnsi="Arial" w:cs="Arial"/>
                          <w:b/>
                        </w:rPr>
                        <w:t>CONSULTATION PAPER</w:t>
                      </w:r>
                    </w:p>
                  </w:txbxContent>
                </v:textbox>
              </v:shape>
            </w:pict>
          </mc:Fallback>
        </mc:AlternateContent>
      </w:r>
      <w:r w:rsidR="00F872AA" w:rsidRPr="00446928">
        <w:rPr>
          <w:rFonts w:ascii="Arial" w:hAnsi="Arial" w:cs="Arial"/>
        </w:rPr>
        <w:t xml:space="preserve">                        </w:t>
      </w:r>
    </w:p>
    <w:p w14:paraId="411E19BF" w14:textId="77777777" w:rsidR="00F872AA" w:rsidRPr="00446928" w:rsidRDefault="00F872AA" w:rsidP="00F872AA">
      <w:pPr>
        <w:spacing w:after="0" w:line="740" w:lineRule="exact"/>
        <w:contextualSpacing/>
        <w:jc w:val="right"/>
        <w:rPr>
          <w:rFonts w:ascii="Arial" w:eastAsia="Times New Roman" w:hAnsi="Arial" w:cs="Arial"/>
          <w:bCs/>
          <w:color w:val="237BBC"/>
          <w:kern w:val="32"/>
        </w:rPr>
      </w:pPr>
    </w:p>
    <w:p w14:paraId="3ACE9139" w14:textId="77777777" w:rsidR="00F872AA" w:rsidRDefault="00F872AA" w:rsidP="00F872AA">
      <w:pPr>
        <w:rPr>
          <w:rFonts w:ascii="Arial" w:hAnsi="Arial" w:cs="Arial"/>
        </w:rPr>
      </w:pPr>
    </w:p>
    <w:p w14:paraId="21A61392" w14:textId="77777777" w:rsidR="00F872AA" w:rsidRPr="00A34F74" w:rsidRDefault="00F872AA" w:rsidP="00F872AA">
      <w:pPr>
        <w:rPr>
          <w:rFonts w:ascii="Arial" w:hAnsi="Arial" w:cs="Arial"/>
        </w:rPr>
      </w:pPr>
    </w:p>
    <w:p w14:paraId="7B499609" w14:textId="77777777" w:rsidR="00F872AA" w:rsidRPr="00A34F74" w:rsidRDefault="00F872AA" w:rsidP="00F872AA">
      <w:pPr>
        <w:rPr>
          <w:rFonts w:ascii="Arial" w:hAnsi="Arial" w:cs="Arial"/>
        </w:rPr>
      </w:pPr>
    </w:p>
    <w:p w14:paraId="510DDAD8" w14:textId="77777777" w:rsidR="00F872AA" w:rsidRPr="00A34F74" w:rsidRDefault="00F872AA" w:rsidP="00F872AA">
      <w:pPr>
        <w:rPr>
          <w:rFonts w:ascii="Arial" w:hAnsi="Arial" w:cs="Arial"/>
        </w:rPr>
      </w:pPr>
    </w:p>
    <w:p w14:paraId="1B9168D0" w14:textId="77777777" w:rsidR="00F872AA" w:rsidRPr="00A34F74" w:rsidRDefault="00F872AA" w:rsidP="00F872AA">
      <w:pPr>
        <w:rPr>
          <w:rFonts w:ascii="Arial" w:hAnsi="Arial" w:cs="Arial"/>
        </w:rPr>
      </w:pPr>
    </w:p>
    <w:p w14:paraId="346EACF5" w14:textId="77777777" w:rsidR="00F872AA" w:rsidRPr="00A34F74" w:rsidRDefault="00F872AA" w:rsidP="00F872AA">
      <w:pPr>
        <w:rPr>
          <w:rFonts w:ascii="Arial" w:hAnsi="Arial" w:cs="Arial"/>
        </w:rPr>
      </w:pPr>
    </w:p>
    <w:p w14:paraId="14EE1217" w14:textId="77777777" w:rsidR="00F872AA" w:rsidRPr="00A34F74" w:rsidRDefault="00F872AA" w:rsidP="00F872AA">
      <w:pPr>
        <w:rPr>
          <w:rFonts w:ascii="Arial" w:hAnsi="Arial" w:cs="Arial"/>
        </w:rPr>
      </w:pPr>
    </w:p>
    <w:p w14:paraId="0C38C317" w14:textId="77777777" w:rsidR="00F872AA" w:rsidRPr="00A34F74" w:rsidRDefault="00F872AA" w:rsidP="00F872AA">
      <w:pPr>
        <w:rPr>
          <w:rFonts w:ascii="Arial" w:hAnsi="Arial" w:cs="Arial"/>
        </w:rPr>
      </w:pPr>
    </w:p>
    <w:p w14:paraId="78A10ED0" w14:textId="77777777" w:rsidR="00F872AA" w:rsidRPr="00A34F74" w:rsidRDefault="00F872AA" w:rsidP="00F872AA">
      <w:pPr>
        <w:rPr>
          <w:rFonts w:ascii="Arial" w:hAnsi="Arial" w:cs="Arial"/>
        </w:rPr>
      </w:pPr>
    </w:p>
    <w:p w14:paraId="55C22A03" w14:textId="77777777" w:rsidR="00F872AA" w:rsidRPr="00A34F74" w:rsidRDefault="00F872AA" w:rsidP="00F872AA">
      <w:pPr>
        <w:rPr>
          <w:rFonts w:ascii="Arial" w:hAnsi="Arial" w:cs="Arial"/>
        </w:rPr>
      </w:pPr>
    </w:p>
    <w:p w14:paraId="14D29706" w14:textId="77777777" w:rsidR="00F872AA" w:rsidRPr="00A34F74" w:rsidRDefault="00F872AA" w:rsidP="00F872AA">
      <w:pPr>
        <w:rPr>
          <w:rFonts w:ascii="Arial" w:hAnsi="Arial" w:cs="Arial"/>
        </w:rPr>
      </w:pPr>
    </w:p>
    <w:p w14:paraId="6DF8842A" w14:textId="77777777" w:rsidR="00F872AA" w:rsidRPr="00A34F74" w:rsidRDefault="00F872AA" w:rsidP="00F872AA">
      <w:pPr>
        <w:rPr>
          <w:rFonts w:ascii="Arial" w:hAnsi="Arial" w:cs="Arial"/>
        </w:rPr>
      </w:pPr>
    </w:p>
    <w:p w14:paraId="71F327EE" w14:textId="77777777" w:rsidR="00F872AA" w:rsidRPr="00A34F74" w:rsidRDefault="00F872AA" w:rsidP="00F872AA">
      <w:pPr>
        <w:rPr>
          <w:rFonts w:ascii="Arial" w:hAnsi="Arial" w:cs="Arial"/>
        </w:rPr>
      </w:pPr>
    </w:p>
    <w:p w14:paraId="184FCC3A" w14:textId="77777777" w:rsidR="00F872AA" w:rsidRPr="00A34F74" w:rsidRDefault="00F872AA" w:rsidP="00F872AA">
      <w:pPr>
        <w:rPr>
          <w:rFonts w:ascii="Arial" w:hAnsi="Arial" w:cs="Arial"/>
        </w:rPr>
      </w:pPr>
    </w:p>
    <w:p w14:paraId="485A7CCD" w14:textId="77777777" w:rsidR="00F872AA" w:rsidRPr="00A34F74" w:rsidRDefault="00F872AA" w:rsidP="00F872AA">
      <w:pPr>
        <w:rPr>
          <w:rFonts w:ascii="Arial" w:hAnsi="Arial" w:cs="Arial"/>
        </w:rPr>
      </w:pPr>
    </w:p>
    <w:p w14:paraId="527292FF" w14:textId="77777777" w:rsidR="00F872AA" w:rsidRPr="00A34F74" w:rsidRDefault="00F872AA" w:rsidP="00F872AA">
      <w:pPr>
        <w:rPr>
          <w:rFonts w:ascii="Arial" w:hAnsi="Arial" w:cs="Arial"/>
        </w:rPr>
      </w:pPr>
    </w:p>
    <w:p w14:paraId="107E2844" w14:textId="77777777" w:rsidR="00F872AA" w:rsidRPr="00A34F74" w:rsidRDefault="00F872AA" w:rsidP="00F872AA">
      <w:pPr>
        <w:rPr>
          <w:rFonts w:ascii="Arial" w:hAnsi="Arial" w:cs="Arial"/>
        </w:rPr>
      </w:pPr>
    </w:p>
    <w:p w14:paraId="52DB7432" w14:textId="77777777" w:rsidR="00F872AA" w:rsidRPr="00A34F74" w:rsidRDefault="00F872AA" w:rsidP="00F872AA">
      <w:pPr>
        <w:rPr>
          <w:rFonts w:ascii="Arial" w:hAnsi="Arial" w:cs="Arial"/>
        </w:rPr>
      </w:pPr>
    </w:p>
    <w:p w14:paraId="4805848B" w14:textId="77777777" w:rsidR="00F872AA" w:rsidRPr="00A34F74" w:rsidRDefault="00F872AA" w:rsidP="00F872AA">
      <w:pPr>
        <w:rPr>
          <w:rFonts w:ascii="Arial" w:hAnsi="Arial" w:cs="Arial"/>
        </w:rPr>
      </w:pPr>
    </w:p>
    <w:p w14:paraId="16BAB54B" w14:textId="77777777" w:rsidR="00F872AA" w:rsidRPr="00A34F74" w:rsidRDefault="00F872AA" w:rsidP="00F872AA">
      <w:pPr>
        <w:rPr>
          <w:rFonts w:ascii="Arial" w:hAnsi="Arial" w:cs="Arial"/>
        </w:rPr>
      </w:pPr>
    </w:p>
    <w:p w14:paraId="13C9CE33" w14:textId="77777777" w:rsidR="00F872AA" w:rsidRPr="00A34F74" w:rsidRDefault="00F872AA" w:rsidP="00F872AA">
      <w:pPr>
        <w:rPr>
          <w:rFonts w:ascii="Arial" w:hAnsi="Arial" w:cs="Arial"/>
        </w:rPr>
      </w:pPr>
    </w:p>
    <w:p w14:paraId="3FF826BC" w14:textId="77777777" w:rsidR="00F872AA" w:rsidRDefault="00F872AA" w:rsidP="00F872AA">
      <w:pPr>
        <w:rPr>
          <w:rFonts w:ascii="Arial" w:hAnsi="Arial" w:cs="Arial"/>
        </w:rPr>
      </w:pPr>
    </w:p>
    <w:p w14:paraId="2DF2DA95" w14:textId="77777777" w:rsidR="00F872AA" w:rsidRPr="00A34F74" w:rsidRDefault="00F872AA" w:rsidP="00F872AA">
      <w:pPr>
        <w:rPr>
          <w:rFonts w:ascii="Arial" w:hAnsi="Arial" w:cs="Arial"/>
        </w:rPr>
        <w:sectPr w:rsidR="00F872AA" w:rsidRPr="00A34F74" w:rsidSect="001E7638">
          <w:headerReference w:type="even" r:id="rId8"/>
          <w:headerReference w:type="default" r:id="rId9"/>
          <w:footerReference w:type="default" r:id="rId10"/>
          <w:headerReference w:type="first" r:id="rId11"/>
          <w:footerReference w:type="first" r:id="rId12"/>
          <w:type w:val="continuous"/>
          <w:pgSz w:w="11906" w:h="16838" w:code="9"/>
          <w:pgMar w:top="228" w:right="1700" w:bottom="1134" w:left="1418" w:header="277" w:footer="415" w:gutter="0"/>
          <w:cols w:space="708"/>
          <w:titlePg/>
          <w:docGrid w:linePitch="360"/>
        </w:sectPr>
      </w:pPr>
    </w:p>
    <w:p w14:paraId="2232E4E0" w14:textId="77777777" w:rsidR="0007670F" w:rsidRDefault="00F872AA" w:rsidP="00F872AA">
      <w:pPr>
        <w:tabs>
          <w:tab w:val="left" w:pos="8370"/>
        </w:tabs>
        <w:rPr>
          <w:noProof/>
        </w:rPr>
      </w:pPr>
      <w:r w:rsidRPr="00446928">
        <w:rPr>
          <w:rFonts w:ascii="Arial" w:hAnsi="Arial" w:cs="Arial"/>
          <w:b/>
        </w:rPr>
        <w:lastRenderedPageBreak/>
        <w:t>Table of contents</w:t>
      </w:r>
      <w:r w:rsidRPr="00446928">
        <w:rPr>
          <w:rFonts w:ascii="Arial" w:hAnsi="Arial" w:cs="Arial"/>
        </w:rPr>
        <w:fldChar w:fldCharType="begin"/>
      </w:r>
      <w:r w:rsidRPr="00446928">
        <w:rPr>
          <w:rFonts w:ascii="Arial" w:hAnsi="Arial" w:cs="Arial"/>
        </w:rPr>
        <w:instrText xml:space="preserve"> TOC \o "1-3" \h \z \u </w:instrText>
      </w:r>
      <w:r w:rsidRPr="00446928">
        <w:rPr>
          <w:rFonts w:ascii="Arial" w:hAnsi="Arial" w:cs="Arial"/>
        </w:rPr>
        <w:fldChar w:fldCharType="separate"/>
      </w:r>
    </w:p>
    <w:p w14:paraId="158325E4" w14:textId="4A3D1628" w:rsidR="0007670F" w:rsidRDefault="00C9464D">
      <w:pPr>
        <w:pStyle w:val="TOC1"/>
        <w:rPr>
          <w:rFonts w:eastAsiaTheme="minorEastAsia"/>
          <w:b w:val="0"/>
          <w:lang w:eastAsia="en-AU"/>
        </w:rPr>
      </w:pPr>
      <w:hyperlink w:anchor="_Toc518984779" w:history="1">
        <w:r w:rsidR="0007670F" w:rsidRPr="00ED178B">
          <w:rPr>
            <w:rStyle w:val="Hyperlink"/>
            <w:rFonts w:ascii="Arial" w:hAnsi="Arial" w:cs="Arial"/>
            <w:bCs/>
          </w:rPr>
          <w:t>1</w:t>
        </w:r>
        <w:r w:rsidR="0007670F">
          <w:rPr>
            <w:rFonts w:eastAsiaTheme="minorEastAsia"/>
            <w:b w:val="0"/>
            <w:lang w:eastAsia="en-AU"/>
          </w:rPr>
          <w:tab/>
        </w:r>
        <w:r w:rsidR="0007670F" w:rsidRPr="00ED178B">
          <w:rPr>
            <w:rStyle w:val="Hyperlink"/>
            <w:rFonts w:ascii="Arial" w:hAnsi="Arial" w:cs="Arial"/>
            <w:bCs/>
          </w:rPr>
          <w:t>Introduction</w:t>
        </w:r>
        <w:r w:rsidR="0007670F">
          <w:rPr>
            <w:webHidden/>
          </w:rPr>
          <w:tab/>
        </w:r>
        <w:r w:rsidR="0007670F">
          <w:rPr>
            <w:webHidden/>
          </w:rPr>
          <w:fldChar w:fldCharType="begin"/>
        </w:r>
        <w:r w:rsidR="0007670F">
          <w:rPr>
            <w:webHidden/>
          </w:rPr>
          <w:instrText xml:space="preserve"> PAGEREF _Toc518984779 \h </w:instrText>
        </w:r>
        <w:r w:rsidR="0007670F">
          <w:rPr>
            <w:webHidden/>
          </w:rPr>
        </w:r>
        <w:r w:rsidR="0007670F">
          <w:rPr>
            <w:webHidden/>
          </w:rPr>
          <w:fldChar w:fldCharType="separate"/>
        </w:r>
        <w:r w:rsidR="0075464F">
          <w:rPr>
            <w:webHidden/>
          </w:rPr>
          <w:t>3</w:t>
        </w:r>
        <w:r w:rsidR="0007670F">
          <w:rPr>
            <w:webHidden/>
          </w:rPr>
          <w:fldChar w:fldCharType="end"/>
        </w:r>
      </w:hyperlink>
    </w:p>
    <w:p w14:paraId="63515E5D" w14:textId="17338B92" w:rsidR="0007670F" w:rsidRDefault="00C9464D">
      <w:pPr>
        <w:pStyle w:val="TOC1"/>
        <w:rPr>
          <w:rFonts w:eastAsiaTheme="minorEastAsia"/>
          <w:b w:val="0"/>
          <w:lang w:eastAsia="en-AU"/>
        </w:rPr>
      </w:pPr>
      <w:hyperlink w:anchor="_Toc518984780" w:history="1">
        <w:r w:rsidR="0007670F" w:rsidRPr="00ED178B">
          <w:rPr>
            <w:rStyle w:val="Hyperlink"/>
            <w:rFonts w:ascii="Arial" w:hAnsi="Arial" w:cs="Arial"/>
            <w:bCs/>
          </w:rPr>
          <w:t>2</w:t>
        </w:r>
        <w:r w:rsidR="0007670F">
          <w:rPr>
            <w:rFonts w:eastAsiaTheme="minorEastAsia"/>
            <w:b w:val="0"/>
            <w:lang w:eastAsia="en-AU"/>
          </w:rPr>
          <w:tab/>
        </w:r>
        <w:r w:rsidR="0007670F" w:rsidRPr="00ED178B">
          <w:rPr>
            <w:rStyle w:val="Hyperlink"/>
            <w:rFonts w:ascii="Arial" w:hAnsi="Arial" w:cs="Arial"/>
            <w:bCs/>
          </w:rPr>
          <w:t>About the project</w:t>
        </w:r>
        <w:r w:rsidR="0007670F">
          <w:rPr>
            <w:webHidden/>
          </w:rPr>
          <w:tab/>
        </w:r>
        <w:r w:rsidR="0007670F">
          <w:rPr>
            <w:webHidden/>
          </w:rPr>
          <w:fldChar w:fldCharType="begin"/>
        </w:r>
        <w:r w:rsidR="0007670F">
          <w:rPr>
            <w:webHidden/>
          </w:rPr>
          <w:instrText xml:space="preserve"> PAGEREF _Toc518984780 \h </w:instrText>
        </w:r>
        <w:r w:rsidR="0007670F">
          <w:rPr>
            <w:webHidden/>
          </w:rPr>
        </w:r>
        <w:r w:rsidR="0007670F">
          <w:rPr>
            <w:webHidden/>
          </w:rPr>
          <w:fldChar w:fldCharType="separate"/>
        </w:r>
        <w:r w:rsidR="0075464F">
          <w:rPr>
            <w:webHidden/>
          </w:rPr>
          <w:t>3</w:t>
        </w:r>
        <w:r w:rsidR="0007670F">
          <w:rPr>
            <w:webHidden/>
          </w:rPr>
          <w:fldChar w:fldCharType="end"/>
        </w:r>
      </w:hyperlink>
    </w:p>
    <w:p w14:paraId="439DFB03" w14:textId="15BEFE19" w:rsidR="0007670F" w:rsidRDefault="00C9464D">
      <w:pPr>
        <w:pStyle w:val="TOC2"/>
        <w:rPr>
          <w:rFonts w:eastAsiaTheme="minorEastAsia"/>
          <w:b w:val="0"/>
          <w:i w:val="0"/>
          <w:lang w:eastAsia="en-AU"/>
        </w:rPr>
      </w:pPr>
      <w:hyperlink w:anchor="_Toc518984781" w:history="1">
        <w:r w:rsidR="0007670F" w:rsidRPr="00ED178B">
          <w:rPr>
            <w:rStyle w:val="Hyperlink"/>
            <w:rFonts w:ascii="Arial" w:hAnsi="Arial" w:cs="Arial"/>
          </w:rPr>
          <w:t>2.1</w:t>
        </w:r>
        <w:r w:rsidR="0007670F">
          <w:rPr>
            <w:rFonts w:eastAsiaTheme="minorEastAsia"/>
            <w:b w:val="0"/>
            <w:i w:val="0"/>
            <w:lang w:eastAsia="en-AU"/>
          </w:rPr>
          <w:tab/>
        </w:r>
        <w:r w:rsidR="0007670F" w:rsidRPr="00ED178B">
          <w:rPr>
            <w:rStyle w:val="Hyperlink"/>
            <w:rFonts w:ascii="Arial" w:hAnsi="Arial" w:cs="Arial"/>
          </w:rPr>
          <w:t>Background</w:t>
        </w:r>
        <w:r w:rsidR="0007670F">
          <w:rPr>
            <w:webHidden/>
          </w:rPr>
          <w:tab/>
        </w:r>
        <w:r w:rsidR="0007670F">
          <w:rPr>
            <w:webHidden/>
          </w:rPr>
          <w:fldChar w:fldCharType="begin"/>
        </w:r>
        <w:r w:rsidR="0007670F">
          <w:rPr>
            <w:webHidden/>
          </w:rPr>
          <w:instrText xml:space="preserve"> PAGEREF _Toc518984781 \h </w:instrText>
        </w:r>
        <w:r w:rsidR="0007670F">
          <w:rPr>
            <w:webHidden/>
          </w:rPr>
        </w:r>
        <w:r w:rsidR="0007670F">
          <w:rPr>
            <w:webHidden/>
          </w:rPr>
          <w:fldChar w:fldCharType="separate"/>
        </w:r>
        <w:r w:rsidR="0075464F">
          <w:rPr>
            <w:webHidden/>
          </w:rPr>
          <w:t>3</w:t>
        </w:r>
        <w:r w:rsidR="0007670F">
          <w:rPr>
            <w:webHidden/>
          </w:rPr>
          <w:fldChar w:fldCharType="end"/>
        </w:r>
      </w:hyperlink>
    </w:p>
    <w:p w14:paraId="1EB38B24" w14:textId="79466350" w:rsidR="0007670F" w:rsidRDefault="00C9464D">
      <w:pPr>
        <w:pStyle w:val="TOC2"/>
        <w:rPr>
          <w:rFonts w:eastAsiaTheme="minorEastAsia"/>
          <w:b w:val="0"/>
          <w:i w:val="0"/>
          <w:lang w:eastAsia="en-AU"/>
        </w:rPr>
      </w:pPr>
      <w:hyperlink w:anchor="_Toc518984782" w:history="1">
        <w:r w:rsidR="0007670F" w:rsidRPr="00ED178B">
          <w:rPr>
            <w:rStyle w:val="Hyperlink"/>
            <w:rFonts w:ascii="Arial" w:hAnsi="Arial" w:cs="Arial"/>
          </w:rPr>
          <w:t>2.2</w:t>
        </w:r>
        <w:r w:rsidR="0007670F">
          <w:rPr>
            <w:rFonts w:eastAsiaTheme="minorEastAsia"/>
            <w:b w:val="0"/>
            <w:i w:val="0"/>
            <w:lang w:eastAsia="en-AU"/>
          </w:rPr>
          <w:tab/>
        </w:r>
        <w:r w:rsidR="0007670F" w:rsidRPr="00ED178B">
          <w:rPr>
            <w:rStyle w:val="Hyperlink"/>
            <w:rFonts w:ascii="Arial" w:hAnsi="Arial" w:cs="Arial"/>
          </w:rPr>
          <w:t>Why the Australian Human Rights Commission?</w:t>
        </w:r>
        <w:r w:rsidR="0007670F">
          <w:rPr>
            <w:webHidden/>
          </w:rPr>
          <w:tab/>
        </w:r>
        <w:r w:rsidR="0007670F">
          <w:rPr>
            <w:webHidden/>
          </w:rPr>
          <w:fldChar w:fldCharType="begin"/>
        </w:r>
        <w:r w:rsidR="0007670F">
          <w:rPr>
            <w:webHidden/>
          </w:rPr>
          <w:instrText xml:space="preserve"> PAGEREF _Toc518984782 \h </w:instrText>
        </w:r>
        <w:r w:rsidR="0007670F">
          <w:rPr>
            <w:webHidden/>
          </w:rPr>
        </w:r>
        <w:r w:rsidR="0007670F">
          <w:rPr>
            <w:webHidden/>
          </w:rPr>
          <w:fldChar w:fldCharType="separate"/>
        </w:r>
        <w:r w:rsidR="0075464F">
          <w:rPr>
            <w:webHidden/>
          </w:rPr>
          <w:t>5</w:t>
        </w:r>
        <w:r w:rsidR="0007670F">
          <w:rPr>
            <w:webHidden/>
          </w:rPr>
          <w:fldChar w:fldCharType="end"/>
        </w:r>
      </w:hyperlink>
    </w:p>
    <w:p w14:paraId="68EDB0E1" w14:textId="35C8BE61" w:rsidR="0007670F" w:rsidRDefault="00C9464D">
      <w:pPr>
        <w:pStyle w:val="TOC2"/>
        <w:rPr>
          <w:rFonts w:eastAsiaTheme="minorEastAsia"/>
          <w:b w:val="0"/>
          <w:i w:val="0"/>
          <w:lang w:eastAsia="en-AU"/>
        </w:rPr>
      </w:pPr>
      <w:hyperlink w:anchor="_Toc518984783" w:history="1">
        <w:r w:rsidR="0007670F" w:rsidRPr="00ED178B">
          <w:rPr>
            <w:rStyle w:val="Hyperlink"/>
            <w:rFonts w:ascii="Arial" w:hAnsi="Arial" w:cs="Arial"/>
          </w:rPr>
          <w:t>2.3</w:t>
        </w:r>
        <w:r w:rsidR="0007670F">
          <w:rPr>
            <w:rFonts w:eastAsiaTheme="minorEastAsia"/>
            <w:b w:val="0"/>
            <w:i w:val="0"/>
            <w:lang w:eastAsia="en-AU"/>
          </w:rPr>
          <w:tab/>
        </w:r>
        <w:r w:rsidR="0007670F" w:rsidRPr="00ED178B">
          <w:rPr>
            <w:rStyle w:val="Hyperlink"/>
            <w:rFonts w:ascii="Arial" w:hAnsi="Arial" w:cs="Arial"/>
          </w:rPr>
          <w:t>Ethics approval</w:t>
        </w:r>
        <w:r w:rsidR="0007670F">
          <w:rPr>
            <w:webHidden/>
          </w:rPr>
          <w:tab/>
        </w:r>
        <w:r w:rsidR="0007670F">
          <w:rPr>
            <w:webHidden/>
          </w:rPr>
          <w:fldChar w:fldCharType="begin"/>
        </w:r>
        <w:r w:rsidR="0007670F">
          <w:rPr>
            <w:webHidden/>
          </w:rPr>
          <w:instrText xml:space="preserve"> PAGEREF _Toc518984783 \h </w:instrText>
        </w:r>
        <w:r w:rsidR="0007670F">
          <w:rPr>
            <w:webHidden/>
          </w:rPr>
        </w:r>
        <w:r w:rsidR="0007670F">
          <w:rPr>
            <w:webHidden/>
          </w:rPr>
          <w:fldChar w:fldCharType="separate"/>
        </w:r>
        <w:r w:rsidR="0075464F">
          <w:rPr>
            <w:webHidden/>
          </w:rPr>
          <w:t>5</w:t>
        </w:r>
        <w:r w:rsidR="0007670F">
          <w:rPr>
            <w:webHidden/>
          </w:rPr>
          <w:fldChar w:fldCharType="end"/>
        </w:r>
      </w:hyperlink>
    </w:p>
    <w:p w14:paraId="01A7888D" w14:textId="3333B17C" w:rsidR="0007670F" w:rsidRDefault="00C9464D">
      <w:pPr>
        <w:pStyle w:val="TOC1"/>
        <w:rPr>
          <w:rFonts w:eastAsiaTheme="minorEastAsia"/>
          <w:b w:val="0"/>
          <w:lang w:eastAsia="en-AU"/>
        </w:rPr>
      </w:pPr>
      <w:hyperlink w:anchor="_Toc518984784" w:history="1">
        <w:r w:rsidR="0007670F" w:rsidRPr="00ED178B">
          <w:rPr>
            <w:rStyle w:val="Hyperlink"/>
            <w:rFonts w:ascii="Arial" w:hAnsi="Arial" w:cs="Arial"/>
            <w:bCs/>
          </w:rPr>
          <w:t>3</w:t>
        </w:r>
        <w:r w:rsidR="0007670F">
          <w:rPr>
            <w:rFonts w:eastAsiaTheme="minorEastAsia"/>
            <w:b w:val="0"/>
            <w:lang w:eastAsia="en-AU"/>
          </w:rPr>
          <w:tab/>
        </w:r>
        <w:r w:rsidR="0007670F" w:rsidRPr="00ED178B">
          <w:rPr>
            <w:rStyle w:val="Hyperlink"/>
            <w:rFonts w:ascii="Arial" w:hAnsi="Arial" w:cs="Arial"/>
            <w:bCs/>
          </w:rPr>
          <w:t>Terminology</w:t>
        </w:r>
        <w:r w:rsidR="0007670F">
          <w:rPr>
            <w:webHidden/>
          </w:rPr>
          <w:tab/>
        </w:r>
        <w:r w:rsidR="0007670F">
          <w:rPr>
            <w:webHidden/>
          </w:rPr>
          <w:fldChar w:fldCharType="begin"/>
        </w:r>
        <w:r w:rsidR="0007670F">
          <w:rPr>
            <w:webHidden/>
          </w:rPr>
          <w:instrText xml:space="preserve"> PAGEREF _Toc518984784 \h </w:instrText>
        </w:r>
        <w:r w:rsidR="0007670F">
          <w:rPr>
            <w:webHidden/>
          </w:rPr>
        </w:r>
        <w:r w:rsidR="0007670F">
          <w:rPr>
            <w:webHidden/>
          </w:rPr>
          <w:fldChar w:fldCharType="separate"/>
        </w:r>
        <w:r w:rsidR="0075464F">
          <w:rPr>
            <w:webHidden/>
          </w:rPr>
          <w:t>6</w:t>
        </w:r>
        <w:r w:rsidR="0007670F">
          <w:rPr>
            <w:webHidden/>
          </w:rPr>
          <w:fldChar w:fldCharType="end"/>
        </w:r>
      </w:hyperlink>
    </w:p>
    <w:p w14:paraId="132E306A" w14:textId="0B730DAD" w:rsidR="0007670F" w:rsidRDefault="00C9464D">
      <w:pPr>
        <w:pStyle w:val="TOC1"/>
        <w:rPr>
          <w:rFonts w:eastAsiaTheme="minorEastAsia"/>
          <w:b w:val="0"/>
          <w:lang w:eastAsia="en-AU"/>
        </w:rPr>
      </w:pPr>
      <w:hyperlink w:anchor="_Toc518984785" w:history="1">
        <w:r w:rsidR="0007670F" w:rsidRPr="00ED178B">
          <w:rPr>
            <w:rStyle w:val="Hyperlink"/>
            <w:rFonts w:ascii="Arial" w:hAnsi="Arial" w:cs="Arial"/>
            <w:bCs/>
          </w:rPr>
          <w:t>4</w:t>
        </w:r>
        <w:r w:rsidR="0007670F">
          <w:rPr>
            <w:rFonts w:eastAsiaTheme="minorEastAsia"/>
            <w:b w:val="0"/>
            <w:lang w:eastAsia="en-AU"/>
          </w:rPr>
          <w:tab/>
        </w:r>
        <w:r w:rsidR="0007670F" w:rsidRPr="00ED178B">
          <w:rPr>
            <w:rStyle w:val="Hyperlink"/>
            <w:rFonts w:ascii="Arial" w:hAnsi="Arial" w:cs="Arial"/>
            <w:bCs/>
          </w:rPr>
          <w:t>Relevance of human rights</w:t>
        </w:r>
        <w:r w:rsidR="0007670F">
          <w:rPr>
            <w:webHidden/>
          </w:rPr>
          <w:tab/>
        </w:r>
        <w:r w:rsidR="0007670F">
          <w:rPr>
            <w:webHidden/>
          </w:rPr>
          <w:fldChar w:fldCharType="begin"/>
        </w:r>
        <w:r w:rsidR="0007670F">
          <w:rPr>
            <w:webHidden/>
          </w:rPr>
          <w:instrText xml:space="preserve"> PAGEREF _Toc518984785 \h </w:instrText>
        </w:r>
        <w:r w:rsidR="0007670F">
          <w:rPr>
            <w:webHidden/>
          </w:rPr>
        </w:r>
        <w:r w:rsidR="0007670F">
          <w:rPr>
            <w:webHidden/>
          </w:rPr>
          <w:fldChar w:fldCharType="separate"/>
        </w:r>
        <w:r w:rsidR="0075464F">
          <w:rPr>
            <w:webHidden/>
          </w:rPr>
          <w:t>8</w:t>
        </w:r>
        <w:r w:rsidR="0007670F">
          <w:rPr>
            <w:webHidden/>
          </w:rPr>
          <w:fldChar w:fldCharType="end"/>
        </w:r>
      </w:hyperlink>
    </w:p>
    <w:p w14:paraId="6E0405E8" w14:textId="554291A6" w:rsidR="0007670F" w:rsidRDefault="00C9464D">
      <w:pPr>
        <w:pStyle w:val="TOC2"/>
        <w:rPr>
          <w:rFonts w:eastAsiaTheme="minorEastAsia"/>
          <w:b w:val="0"/>
          <w:i w:val="0"/>
          <w:lang w:eastAsia="en-AU"/>
        </w:rPr>
      </w:pPr>
      <w:hyperlink w:anchor="_Toc518984786" w:history="1">
        <w:r w:rsidR="0007670F" w:rsidRPr="00ED178B">
          <w:rPr>
            <w:rStyle w:val="Hyperlink"/>
            <w:rFonts w:ascii="Arial" w:hAnsi="Arial" w:cs="Arial"/>
          </w:rPr>
          <w:t>4.1</w:t>
        </w:r>
        <w:r w:rsidR="0007670F">
          <w:rPr>
            <w:rFonts w:eastAsiaTheme="minorEastAsia"/>
            <w:b w:val="0"/>
            <w:i w:val="0"/>
            <w:lang w:eastAsia="en-AU"/>
          </w:rPr>
          <w:tab/>
        </w:r>
        <w:r w:rsidR="0007670F" w:rsidRPr="00ED178B">
          <w:rPr>
            <w:rStyle w:val="Hyperlink"/>
            <w:rFonts w:ascii="Arial" w:hAnsi="Arial" w:cs="Arial"/>
          </w:rPr>
          <w:t>Overview</w:t>
        </w:r>
        <w:r w:rsidR="0007670F">
          <w:rPr>
            <w:webHidden/>
          </w:rPr>
          <w:tab/>
        </w:r>
        <w:r w:rsidR="0007670F">
          <w:rPr>
            <w:webHidden/>
          </w:rPr>
          <w:fldChar w:fldCharType="begin"/>
        </w:r>
        <w:r w:rsidR="0007670F">
          <w:rPr>
            <w:webHidden/>
          </w:rPr>
          <w:instrText xml:space="preserve"> PAGEREF _Toc518984786 \h </w:instrText>
        </w:r>
        <w:r w:rsidR="0007670F">
          <w:rPr>
            <w:webHidden/>
          </w:rPr>
        </w:r>
        <w:r w:rsidR="0007670F">
          <w:rPr>
            <w:webHidden/>
          </w:rPr>
          <w:fldChar w:fldCharType="separate"/>
        </w:r>
        <w:r w:rsidR="0075464F">
          <w:rPr>
            <w:webHidden/>
          </w:rPr>
          <w:t>8</w:t>
        </w:r>
        <w:r w:rsidR="0007670F">
          <w:rPr>
            <w:webHidden/>
          </w:rPr>
          <w:fldChar w:fldCharType="end"/>
        </w:r>
      </w:hyperlink>
    </w:p>
    <w:p w14:paraId="2B6391DA" w14:textId="5AAD5A55" w:rsidR="0007670F" w:rsidRDefault="00C9464D">
      <w:pPr>
        <w:pStyle w:val="TOC1"/>
        <w:rPr>
          <w:rFonts w:eastAsiaTheme="minorEastAsia"/>
          <w:b w:val="0"/>
          <w:lang w:eastAsia="en-AU"/>
        </w:rPr>
      </w:pPr>
      <w:hyperlink w:anchor="_Toc518984787" w:history="1">
        <w:r w:rsidR="0007670F" w:rsidRPr="00ED178B">
          <w:rPr>
            <w:rStyle w:val="Hyperlink"/>
            <w:rFonts w:ascii="Arial" w:hAnsi="Arial" w:cs="Arial"/>
            <w:bCs/>
          </w:rPr>
          <w:t>5</w:t>
        </w:r>
        <w:r w:rsidR="0007670F">
          <w:rPr>
            <w:rFonts w:eastAsiaTheme="minorEastAsia"/>
            <w:b w:val="0"/>
            <w:lang w:eastAsia="en-AU"/>
          </w:rPr>
          <w:tab/>
        </w:r>
        <w:r w:rsidR="0007670F" w:rsidRPr="00ED178B">
          <w:rPr>
            <w:rStyle w:val="Hyperlink"/>
            <w:rFonts w:ascii="Arial" w:hAnsi="Arial" w:cs="Arial"/>
            <w:bCs/>
          </w:rPr>
          <w:t>International developments</w:t>
        </w:r>
        <w:r w:rsidR="0007670F">
          <w:rPr>
            <w:webHidden/>
          </w:rPr>
          <w:tab/>
        </w:r>
        <w:r w:rsidR="0007670F">
          <w:rPr>
            <w:webHidden/>
          </w:rPr>
          <w:fldChar w:fldCharType="begin"/>
        </w:r>
        <w:r w:rsidR="0007670F">
          <w:rPr>
            <w:webHidden/>
          </w:rPr>
          <w:instrText xml:space="preserve"> PAGEREF _Toc518984787 \h </w:instrText>
        </w:r>
        <w:r w:rsidR="0007670F">
          <w:rPr>
            <w:webHidden/>
          </w:rPr>
        </w:r>
        <w:r w:rsidR="0007670F">
          <w:rPr>
            <w:webHidden/>
          </w:rPr>
          <w:fldChar w:fldCharType="separate"/>
        </w:r>
        <w:r w:rsidR="0075464F">
          <w:rPr>
            <w:webHidden/>
          </w:rPr>
          <w:t>9</w:t>
        </w:r>
        <w:r w:rsidR="0007670F">
          <w:rPr>
            <w:webHidden/>
          </w:rPr>
          <w:fldChar w:fldCharType="end"/>
        </w:r>
      </w:hyperlink>
    </w:p>
    <w:p w14:paraId="25DF1E1B" w14:textId="130C0F1B" w:rsidR="0007670F" w:rsidRDefault="00C9464D">
      <w:pPr>
        <w:pStyle w:val="TOC2"/>
        <w:rPr>
          <w:rFonts w:eastAsiaTheme="minorEastAsia"/>
          <w:b w:val="0"/>
          <w:i w:val="0"/>
          <w:lang w:eastAsia="en-AU"/>
        </w:rPr>
      </w:pPr>
      <w:hyperlink w:anchor="_Toc518984788" w:history="1">
        <w:r w:rsidR="0007670F" w:rsidRPr="00ED178B">
          <w:rPr>
            <w:rStyle w:val="Hyperlink"/>
            <w:rFonts w:ascii="Arial" w:hAnsi="Arial" w:cs="Arial"/>
          </w:rPr>
          <w:t>5.1</w:t>
        </w:r>
        <w:r w:rsidR="0007670F">
          <w:rPr>
            <w:rFonts w:eastAsiaTheme="minorEastAsia"/>
            <w:b w:val="0"/>
            <w:i w:val="0"/>
            <w:lang w:eastAsia="en-AU"/>
          </w:rPr>
          <w:tab/>
        </w:r>
        <w:r w:rsidR="0007670F" w:rsidRPr="00ED178B">
          <w:rPr>
            <w:rStyle w:val="Hyperlink"/>
            <w:rFonts w:ascii="Arial" w:hAnsi="Arial" w:cs="Arial"/>
          </w:rPr>
          <w:t>Overview</w:t>
        </w:r>
        <w:r w:rsidR="0007670F">
          <w:rPr>
            <w:webHidden/>
          </w:rPr>
          <w:tab/>
        </w:r>
        <w:r w:rsidR="0007670F">
          <w:rPr>
            <w:webHidden/>
          </w:rPr>
          <w:fldChar w:fldCharType="begin"/>
        </w:r>
        <w:r w:rsidR="0007670F">
          <w:rPr>
            <w:webHidden/>
          </w:rPr>
          <w:instrText xml:space="preserve"> PAGEREF _Toc518984788 \h </w:instrText>
        </w:r>
        <w:r w:rsidR="0007670F">
          <w:rPr>
            <w:webHidden/>
          </w:rPr>
        </w:r>
        <w:r w:rsidR="0007670F">
          <w:rPr>
            <w:webHidden/>
          </w:rPr>
          <w:fldChar w:fldCharType="separate"/>
        </w:r>
        <w:r w:rsidR="0075464F">
          <w:rPr>
            <w:webHidden/>
          </w:rPr>
          <w:t>9</w:t>
        </w:r>
        <w:r w:rsidR="0007670F">
          <w:rPr>
            <w:webHidden/>
          </w:rPr>
          <w:fldChar w:fldCharType="end"/>
        </w:r>
      </w:hyperlink>
    </w:p>
    <w:p w14:paraId="7B92B757" w14:textId="79DB2323" w:rsidR="0007670F" w:rsidRDefault="00C9464D">
      <w:pPr>
        <w:pStyle w:val="TOC2"/>
        <w:rPr>
          <w:rFonts w:eastAsiaTheme="minorEastAsia"/>
          <w:b w:val="0"/>
          <w:i w:val="0"/>
          <w:lang w:eastAsia="en-AU"/>
        </w:rPr>
      </w:pPr>
      <w:hyperlink w:anchor="_Toc518984789" w:history="1">
        <w:r w:rsidR="0007670F" w:rsidRPr="00ED178B">
          <w:rPr>
            <w:rStyle w:val="Hyperlink"/>
            <w:rFonts w:ascii="Arial" w:hAnsi="Arial" w:cs="Arial"/>
          </w:rPr>
          <w:t>5.2</w:t>
        </w:r>
        <w:r w:rsidR="0007670F">
          <w:rPr>
            <w:rFonts w:eastAsiaTheme="minorEastAsia"/>
            <w:b w:val="0"/>
            <w:i w:val="0"/>
            <w:lang w:eastAsia="en-AU"/>
          </w:rPr>
          <w:tab/>
        </w:r>
        <w:r w:rsidR="0007670F" w:rsidRPr="00ED178B">
          <w:rPr>
            <w:rStyle w:val="Hyperlink"/>
            <w:rFonts w:ascii="Arial" w:hAnsi="Arial" w:cs="Arial"/>
          </w:rPr>
          <w:t>Country approaches to medical interventions</w:t>
        </w:r>
        <w:r w:rsidR="0007670F">
          <w:rPr>
            <w:webHidden/>
          </w:rPr>
          <w:tab/>
        </w:r>
        <w:r w:rsidR="0007670F">
          <w:rPr>
            <w:webHidden/>
          </w:rPr>
          <w:fldChar w:fldCharType="begin"/>
        </w:r>
        <w:r w:rsidR="0007670F">
          <w:rPr>
            <w:webHidden/>
          </w:rPr>
          <w:instrText xml:space="preserve"> PAGEREF _Toc518984789 \h </w:instrText>
        </w:r>
        <w:r w:rsidR="0007670F">
          <w:rPr>
            <w:webHidden/>
          </w:rPr>
        </w:r>
        <w:r w:rsidR="0007670F">
          <w:rPr>
            <w:webHidden/>
          </w:rPr>
          <w:fldChar w:fldCharType="separate"/>
        </w:r>
        <w:r w:rsidR="0075464F">
          <w:rPr>
            <w:webHidden/>
          </w:rPr>
          <w:t>9</w:t>
        </w:r>
        <w:r w:rsidR="0007670F">
          <w:rPr>
            <w:webHidden/>
          </w:rPr>
          <w:fldChar w:fldCharType="end"/>
        </w:r>
      </w:hyperlink>
    </w:p>
    <w:p w14:paraId="46907406" w14:textId="35DC2D4C" w:rsidR="0007670F" w:rsidRDefault="00C9464D">
      <w:pPr>
        <w:pStyle w:val="TOC3"/>
        <w:rPr>
          <w:rFonts w:eastAsiaTheme="minorEastAsia" w:cstheme="minorBidi"/>
          <w:i w:val="0"/>
          <w:lang w:eastAsia="en-AU"/>
        </w:rPr>
      </w:pPr>
      <w:hyperlink w:anchor="_Toc518984790" w:history="1">
        <w:r w:rsidR="0007670F" w:rsidRPr="00ED178B">
          <w:rPr>
            <w:rStyle w:val="Hyperlink"/>
            <w:rFonts w:ascii="Arial" w:hAnsi="Arial"/>
            <w:bCs/>
          </w:rPr>
          <w:t>(a)</w:t>
        </w:r>
        <w:r w:rsidR="0007670F">
          <w:rPr>
            <w:rFonts w:eastAsiaTheme="minorEastAsia" w:cstheme="minorBidi"/>
            <w:i w:val="0"/>
            <w:lang w:eastAsia="en-AU"/>
          </w:rPr>
          <w:tab/>
        </w:r>
        <w:r w:rsidR="0007670F" w:rsidRPr="00ED178B">
          <w:rPr>
            <w:rStyle w:val="Hyperlink"/>
            <w:rFonts w:ascii="Arial" w:hAnsi="Arial"/>
            <w:bCs/>
          </w:rPr>
          <w:t>Malta</w:t>
        </w:r>
        <w:r w:rsidR="0007670F">
          <w:rPr>
            <w:webHidden/>
          </w:rPr>
          <w:tab/>
        </w:r>
        <w:r w:rsidR="0007670F">
          <w:rPr>
            <w:webHidden/>
          </w:rPr>
          <w:fldChar w:fldCharType="begin"/>
        </w:r>
        <w:r w:rsidR="0007670F">
          <w:rPr>
            <w:webHidden/>
          </w:rPr>
          <w:instrText xml:space="preserve"> PAGEREF _Toc518984790 \h </w:instrText>
        </w:r>
        <w:r w:rsidR="0007670F">
          <w:rPr>
            <w:webHidden/>
          </w:rPr>
        </w:r>
        <w:r w:rsidR="0007670F">
          <w:rPr>
            <w:webHidden/>
          </w:rPr>
          <w:fldChar w:fldCharType="separate"/>
        </w:r>
        <w:r w:rsidR="0075464F">
          <w:rPr>
            <w:webHidden/>
          </w:rPr>
          <w:t>9</w:t>
        </w:r>
        <w:r w:rsidR="0007670F">
          <w:rPr>
            <w:webHidden/>
          </w:rPr>
          <w:fldChar w:fldCharType="end"/>
        </w:r>
      </w:hyperlink>
    </w:p>
    <w:p w14:paraId="2EBFE7EB" w14:textId="728ED3ED" w:rsidR="0007670F" w:rsidRDefault="00C9464D">
      <w:pPr>
        <w:pStyle w:val="TOC3"/>
        <w:rPr>
          <w:rFonts w:eastAsiaTheme="minorEastAsia" w:cstheme="minorBidi"/>
          <w:i w:val="0"/>
          <w:lang w:eastAsia="en-AU"/>
        </w:rPr>
      </w:pPr>
      <w:hyperlink w:anchor="_Toc518984791" w:history="1">
        <w:r w:rsidR="0007670F" w:rsidRPr="00ED178B">
          <w:rPr>
            <w:rStyle w:val="Hyperlink"/>
            <w:rFonts w:ascii="Arial" w:hAnsi="Arial"/>
            <w:bCs/>
          </w:rPr>
          <w:t>(b)</w:t>
        </w:r>
        <w:r w:rsidR="0007670F">
          <w:rPr>
            <w:rFonts w:eastAsiaTheme="minorEastAsia" w:cstheme="minorBidi"/>
            <w:i w:val="0"/>
            <w:lang w:eastAsia="en-AU"/>
          </w:rPr>
          <w:tab/>
        </w:r>
        <w:r w:rsidR="0007670F" w:rsidRPr="00ED178B">
          <w:rPr>
            <w:rStyle w:val="Hyperlink"/>
            <w:rFonts w:ascii="Arial" w:hAnsi="Arial"/>
            <w:bCs/>
          </w:rPr>
          <w:t>Chile</w:t>
        </w:r>
        <w:r w:rsidR="0007670F">
          <w:rPr>
            <w:webHidden/>
          </w:rPr>
          <w:tab/>
        </w:r>
        <w:r w:rsidR="0007670F">
          <w:rPr>
            <w:webHidden/>
          </w:rPr>
          <w:fldChar w:fldCharType="begin"/>
        </w:r>
        <w:r w:rsidR="0007670F">
          <w:rPr>
            <w:webHidden/>
          </w:rPr>
          <w:instrText xml:space="preserve"> PAGEREF _Toc518984791 \h </w:instrText>
        </w:r>
        <w:r w:rsidR="0007670F">
          <w:rPr>
            <w:webHidden/>
          </w:rPr>
        </w:r>
        <w:r w:rsidR="0007670F">
          <w:rPr>
            <w:webHidden/>
          </w:rPr>
          <w:fldChar w:fldCharType="separate"/>
        </w:r>
        <w:r w:rsidR="0075464F">
          <w:rPr>
            <w:webHidden/>
          </w:rPr>
          <w:t>9</w:t>
        </w:r>
        <w:r w:rsidR="0007670F">
          <w:rPr>
            <w:webHidden/>
          </w:rPr>
          <w:fldChar w:fldCharType="end"/>
        </w:r>
      </w:hyperlink>
    </w:p>
    <w:p w14:paraId="1330DEC4" w14:textId="7DFEF460" w:rsidR="0007670F" w:rsidRDefault="00C9464D">
      <w:pPr>
        <w:pStyle w:val="TOC3"/>
        <w:rPr>
          <w:rFonts w:eastAsiaTheme="minorEastAsia" w:cstheme="minorBidi"/>
          <w:i w:val="0"/>
          <w:lang w:eastAsia="en-AU"/>
        </w:rPr>
      </w:pPr>
      <w:hyperlink w:anchor="_Toc518984792" w:history="1">
        <w:r w:rsidR="0007670F" w:rsidRPr="00ED178B">
          <w:rPr>
            <w:rStyle w:val="Hyperlink"/>
            <w:rFonts w:ascii="Arial" w:hAnsi="Arial"/>
            <w:bCs/>
          </w:rPr>
          <w:t>(c)</w:t>
        </w:r>
        <w:r w:rsidR="0007670F">
          <w:rPr>
            <w:rFonts w:eastAsiaTheme="minorEastAsia" w:cstheme="minorBidi"/>
            <w:i w:val="0"/>
            <w:lang w:eastAsia="en-AU"/>
          </w:rPr>
          <w:tab/>
        </w:r>
        <w:r w:rsidR="0007670F" w:rsidRPr="00ED178B">
          <w:rPr>
            <w:rStyle w:val="Hyperlink"/>
            <w:rFonts w:ascii="Arial" w:hAnsi="Arial"/>
            <w:bCs/>
          </w:rPr>
          <w:t>Colombia</w:t>
        </w:r>
        <w:r w:rsidR="0007670F">
          <w:rPr>
            <w:webHidden/>
          </w:rPr>
          <w:tab/>
        </w:r>
        <w:r w:rsidR="0007670F">
          <w:rPr>
            <w:webHidden/>
          </w:rPr>
          <w:fldChar w:fldCharType="begin"/>
        </w:r>
        <w:r w:rsidR="0007670F">
          <w:rPr>
            <w:webHidden/>
          </w:rPr>
          <w:instrText xml:space="preserve"> PAGEREF _Toc518984792 \h </w:instrText>
        </w:r>
        <w:r w:rsidR="0007670F">
          <w:rPr>
            <w:webHidden/>
          </w:rPr>
        </w:r>
        <w:r w:rsidR="0007670F">
          <w:rPr>
            <w:webHidden/>
          </w:rPr>
          <w:fldChar w:fldCharType="separate"/>
        </w:r>
        <w:r w:rsidR="0075464F">
          <w:rPr>
            <w:webHidden/>
          </w:rPr>
          <w:t>10</w:t>
        </w:r>
        <w:r w:rsidR="0007670F">
          <w:rPr>
            <w:webHidden/>
          </w:rPr>
          <w:fldChar w:fldCharType="end"/>
        </w:r>
      </w:hyperlink>
    </w:p>
    <w:p w14:paraId="54DEC81D" w14:textId="3A22C3B3" w:rsidR="0007670F" w:rsidRDefault="00C9464D">
      <w:pPr>
        <w:pStyle w:val="TOC3"/>
        <w:rPr>
          <w:rFonts w:eastAsiaTheme="minorEastAsia" w:cstheme="minorBidi"/>
          <w:i w:val="0"/>
          <w:lang w:eastAsia="en-AU"/>
        </w:rPr>
      </w:pPr>
      <w:hyperlink w:anchor="_Toc518984793" w:history="1">
        <w:r w:rsidR="0007670F" w:rsidRPr="00ED178B">
          <w:rPr>
            <w:rStyle w:val="Hyperlink"/>
            <w:rFonts w:ascii="Arial" w:hAnsi="Arial"/>
            <w:bCs/>
          </w:rPr>
          <w:t>(d)</w:t>
        </w:r>
        <w:r w:rsidR="0007670F">
          <w:rPr>
            <w:rFonts w:eastAsiaTheme="minorEastAsia" w:cstheme="minorBidi"/>
            <w:i w:val="0"/>
            <w:lang w:eastAsia="en-AU"/>
          </w:rPr>
          <w:tab/>
        </w:r>
        <w:r w:rsidR="0007670F" w:rsidRPr="00ED178B">
          <w:rPr>
            <w:rStyle w:val="Hyperlink"/>
            <w:rFonts w:ascii="Arial" w:hAnsi="Arial"/>
            <w:bCs/>
          </w:rPr>
          <w:t>Germany</w:t>
        </w:r>
        <w:r w:rsidR="0007670F">
          <w:rPr>
            <w:webHidden/>
          </w:rPr>
          <w:tab/>
        </w:r>
        <w:r w:rsidR="0007670F">
          <w:rPr>
            <w:webHidden/>
          </w:rPr>
          <w:fldChar w:fldCharType="begin"/>
        </w:r>
        <w:r w:rsidR="0007670F">
          <w:rPr>
            <w:webHidden/>
          </w:rPr>
          <w:instrText xml:space="preserve"> PAGEREF _Toc518984793 \h </w:instrText>
        </w:r>
        <w:r w:rsidR="0007670F">
          <w:rPr>
            <w:webHidden/>
          </w:rPr>
        </w:r>
        <w:r w:rsidR="0007670F">
          <w:rPr>
            <w:webHidden/>
          </w:rPr>
          <w:fldChar w:fldCharType="separate"/>
        </w:r>
        <w:r w:rsidR="0075464F">
          <w:rPr>
            <w:webHidden/>
          </w:rPr>
          <w:t>10</w:t>
        </w:r>
        <w:r w:rsidR="0007670F">
          <w:rPr>
            <w:webHidden/>
          </w:rPr>
          <w:fldChar w:fldCharType="end"/>
        </w:r>
      </w:hyperlink>
    </w:p>
    <w:p w14:paraId="01AFE23F" w14:textId="283C4F01" w:rsidR="0007670F" w:rsidRDefault="00C9464D">
      <w:pPr>
        <w:pStyle w:val="TOC2"/>
        <w:rPr>
          <w:rFonts w:eastAsiaTheme="minorEastAsia"/>
          <w:b w:val="0"/>
          <w:i w:val="0"/>
          <w:lang w:eastAsia="en-AU"/>
        </w:rPr>
      </w:pPr>
      <w:hyperlink w:anchor="_Toc518984794" w:history="1">
        <w:r w:rsidR="0007670F" w:rsidRPr="00ED178B">
          <w:rPr>
            <w:rStyle w:val="Hyperlink"/>
            <w:rFonts w:ascii="Arial" w:hAnsi="Arial" w:cs="Arial"/>
          </w:rPr>
          <w:t>5.3</w:t>
        </w:r>
        <w:r w:rsidR="0007670F">
          <w:rPr>
            <w:rFonts w:eastAsiaTheme="minorEastAsia"/>
            <w:b w:val="0"/>
            <w:i w:val="0"/>
            <w:lang w:eastAsia="en-AU"/>
          </w:rPr>
          <w:tab/>
        </w:r>
        <w:r w:rsidR="0007670F" w:rsidRPr="00ED178B">
          <w:rPr>
            <w:rStyle w:val="Hyperlink"/>
            <w:rFonts w:ascii="Arial" w:hAnsi="Arial" w:cs="Arial"/>
          </w:rPr>
          <w:t>Significant reports and statements from groups and organisations</w:t>
        </w:r>
        <w:r w:rsidR="0007670F">
          <w:rPr>
            <w:webHidden/>
          </w:rPr>
          <w:tab/>
        </w:r>
        <w:r w:rsidR="0007670F">
          <w:rPr>
            <w:webHidden/>
          </w:rPr>
          <w:fldChar w:fldCharType="begin"/>
        </w:r>
        <w:r w:rsidR="0007670F">
          <w:rPr>
            <w:webHidden/>
          </w:rPr>
          <w:instrText xml:space="preserve"> PAGEREF _Toc518984794 \h </w:instrText>
        </w:r>
        <w:r w:rsidR="0007670F">
          <w:rPr>
            <w:webHidden/>
          </w:rPr>
        </w:r>
        <w:r w:rsidR="0007670F">
          <w:rPr>
            <w:webHidden/>
          </w:rPr>
          <w:fldChar w:fldCharType="separate"/>
        </w:r>
        <w:r w:rsidR="0075464F">
          <w:rPr>
            <w:webHidden/>
          </w:rPr>
          <w:t>10</w:t>
        </w:r>
        <w:r w:rsidR="0007670F">
          <w:rPr>
            <w:webHidden/>
          </w:rPr>
          <w:fldChar w:fldCharType="end"/>
        </w:r>
      </w:hyperlink>
    </w:p>
    <w:p w14:paraId="538738F7" w14:textId="67F12C4C" w:rsidR="0007670F" w:rsidRDefault="00C9464D">
      <w:pPr>
        <w:pStyle w:val="TOC3"/>
        <w:rPr>
          <w:rFonts w:eastAsiaTheme="minorEastAsia" w:cstheme="minorBidi"/>
          <w:i w:val="0"/>
          <w:lang w:eastAsia="en-AU"/>
        </w:rPr>
      </w:pPr>
      <w:hyperlink w:anchor="_Toc518984795" w:history="1">
        <w:r w:rsidR="0007670F" w:rsidRPr="00ED178B">
          <w:rPr>
            <w:rStyle w:val="Hyperlink"/>
            <w:rFonts w:ascii="Arial" w:eastAsia="Times New Roman" w:hAnsi="Arial"/>
          </w:rPr>
          <w:t>(a)</w:t>
        </w:r>
        <w:r w:rsidR="0007670F">
          <w:rPr>
            <w:rFonts w:eastAsiaTheme="minorEastAsia" w:cstheme="minorBidi"/>
            <w:i w:val="0"/>
            <w:lang w:eastAsia="en-AU"/>
          </w:rPr>
          <w:tab/>
        </w:r>
        <w:r w:rsidR="0007670F" w:rsidRPr="00ED178B">
          <w:rPr>
            <w:rStyle w:val="Hyperlink"/>
            <w:rFonts w:ascii="Arial" w:eastAsia="Times New Roman" w:hAnsi="Arial"/>
          </w:rPr>
          <w:t xml:space="preserve">Human </w:t>
        </w:r>
        <w:r w:rsidR="0007670F" w:rsidRPr="00ED178B">
          <w:rPr>
            <w:rStyle w:val="Hyperlink"/>
            <w:rFonts w:ascii="Arial" w:hAnsi="Arial"/>
            <w:bCs/>
          </w:rPr>
          <w:t>rights bodies</w:t>
        </w:r>
        <w:r w:rsidR="0007670F">
          <w:rPr>
            <w:webHidden/>
          </w:rPr>
          <w:tab/>
        </w:r>
        <w:r w:rsidR="0007670F">
          <w:rPr>
            <w:webHidden/>
          </w:rPr>
          <w:fldChar w:fldCharType="begin"/>
        </w:r>
        <w:r w:rsidR="0007670F">
          <w:rPr>
            <w:webHidden/>
          </w:rPr>
          <w:instrText xml:space="preserve"> PAGEREF _Toc518984795 \h </w:instrText>
        </w:r>
        <w:r w:rsidR="0007670F">
          <w:rPr>
            <w:webHidden/>
          </w:rPr>
        </w:r>
        <w:r w:rsidR="0007670F">
          <w:rPr>
            <w:webHidden/>
          </w:rPr>
          <w:fldChar w:fldCharType="separate"/>
        </w:r>
        <w:r w:rsidR="0075464F">
          <w:rPr>
            <w:webHidden/>
          </w:rPr>
          <w:t>10</w:t>
        </w:r>
        <w:r w:rsidR="0007670F">
          <w:rPr>
            <w:webHidden/>
          </w:rPr>
          <w:fldChar w:fldCharType="end"/>
        </w:r>
      </w:hyperlink>
    </w:p>
    <w:p w14:paraId="05A150C6" w14:textId="0E91ABBF" w:rsidR="0007670F" w:rsidRDefault="00C9464D">
      <w:pPr>
        <w:pStyle w:val="TOC3"/>
        <w:rPr>
          <w:rFonts w:eastAsiaTheme="minorEastAsia" w:cstheme="minorBidi"/>
          <w:i w:val="0"/>
          <w:lang w:eastAsia="en-AU"/>
        </w:rPr>
      </w:pPr>
      <w:hyperlink w:anchor="_Toc518984796" w:history="1">
        <w:r w:rsidR="0007670F" w:rsidRPr="00ED178B">
          <w:rPr>
            <w:rStyle w:val="Hyperlink"/>
            <w:rFonts w:ascii="Arial" w:eastAsia="Times New Roman" w:hAnsi="Arial"/>
          </w:rPr>
          <w:t>(b)</w:t>
        </w:r>
        <w:r w:rsidR="0007670F">
          <w:rPr>
            <w:rFonts w:eastAsiaTheme="minorEastAsia" w:cstheme="minorBidi"/>
            <w:i w:val="0"/>
            <w:lang w:eastAsia="en-AU"/>
          </w:rPr>
          <w:tab/>
        </w:r>
        <w:r w:rsidR="0007670F" w:rsidRPr="00ED178B">
          <w:rPr>
            <w:rStyle w:val="Hyperlink"/>
            <w:rFonts w:ascii="Arial" w:eastAsia="Times New Roman" w:hAnsi="Arial"/>
          </w:rPr>
          <w:t xml:space="preserve">Medical </w:t>
        </w:r>
        <w:r w:rsidR="0007670F" w:rsidRPr="00ED178B">
          <w:rPr>
            <w:rStyle w:val="Hyperlink"/>
            <w:rFonts w:ascii="Arial" w:hAnsi="Arial"/>
            <w:bCs/>
          </w:rPr>
          <w:t>guidelines</w:t>
        </w:r>
        <w:r w:rsidR="0007670F">
          <w:rPr>
            <w:webHidden/>
          </w:rPr>
          <w:tab/>
        </w:r>
        <w:r w:rsidR="0007670F">
          <w:rPr>
            <w:webHidden/>
          </w:rPr>
          <w:fldChar w:fldCharType="begin"/>
        </w:r>
        <w:r w:rsidR="0007670F">
          <w:rPr>
            <w:webHidden/>
          </w:rPr>
          <w:instrText xml:space="preserve"> PAGEREF _Toc518984796 \h </w:instrText>
        </w:r>
        <w:r w:rsidR="0007670F">
          <w:rPr>
            <w:webHidden/>
          </w:rPr>
        </w:r>
        <w:r w:rsidR="0007670F">
          <w:rPr>
            <w:webHidden/>
          </w:rPr>
          <w:fldChar w:fldCharType="separate"/>
        </w:r>
        <w:r w:rsidR="0075464F">
          <w:rPr>
            <w:webHidden/>
          </w:rPr>
          <w:t>11</w:t>
        </w:r>
        <w:r w:rsidR="0007670F">
          <w:rPr>
            <w:webHidden/>
          </w:rPr>
          <w:fldChar w:fldCharType="end"/>
        </w:r>
      </w:hyperlink>
    </w:p>
    <w:p w14:paraId="18A47BC5" w14:textId="2F22B89E" w:rsidR="0007670F" w:rsidRDefault="00C9464D">
      <w:pPr>
        <w:pStyle w:val="TOC3"/>
        <w:rPr>
          <w:rFonts w:eastAsiaTheme="minorEastAsia" w:cstheme="minorBidi"/>
          <w:i w:val="0"/>
          <w:lang w:eastAsia="en-AU"/>
        </w:rPr>
      </w:pPr>
      <w:hyperlink w:anchor="_Toc518984797" w:history="1">
        <w:r w:rsidR="0007670F" w:rsidRPr="00ED178B">
          <w:rPr>
            <w:rStyle w:val="Hyperlink"/>
            <w:rFonts w:ascii="Arial" w:eastAsia="Times New Roman" w:hAnsi="Arial"/>
          </w:rPr>
          <w:t>(c)</w:t>
        </w:r>
        <w:r w:rsidR="0007670F">
          <w:rPr>
            <w:rFonts w:eastAsiaTheme="minorEastAsia" w:cstheme="minorBidi"/>
            <w:i w:val="0"/>
            <w:lang w:eastAsia="en-AU"/>
          </w:rPr>
          <w:tab/>
        </w:r>
        <w:r w:rsidR="0007670F" w:rsidRPr="00ED178B">
          <w:rPr>
            <w:rStyle w:val="Hyperlink"/>
            <w:rFonts w:ascii="Arial" w:eastAsia="Times New Roman" w:hAnsi="Arial"/>
          </w:rPr>
          <w:t>A growing intersex movement</w:t>
        </w:r>
        <w:r w:rsidR="0007670F">
          <w:rPr>
            <w:webHidden/>
          </w:rPr>
          <w:tab/>
        </w:r>
        <w:r w:rsidR="0007670F">
          <w:rPr>
            <w:webHidden/>
          </w:rPr>
          <w:fldChar w:fldCharType="begin"/>
        </w:r>
        <w:r w:rsidR="0007670F">
          <w:rPr>
            <w:webHidden/>
          </w:rPr>
          <w:instrText xml:space="preserve"> PAGEREF _Toc518984797 \h </w:instrText>
        </w:r>
        <w:r w:rsidR="0007670F">
          <w:rPr>
            <w:webHidden/>
          </w:rPr>
        </w:r>
        <w:r w:rsidR="0007670F">
          <w:rPr>
            <w:webHidden/>
          </w:rPr>
          <w:fldChar w:fldCharType="separate"/>
        </w:r>
        <w:r w:rsidR="0075464F">
          <w:rPr>
            <w:webHidden/>
          </w:rPr>
          <w:t>12</w:t>
        </w:r>
        <w:r w:rsidR="0007670F">
          <w:rPr>
            <w:webHidden/>
          </w:rPr>
          <w:fldChar w:fldCharType="end"/>
        </w:r>
      </w:hyperlink>
    </w:p>
    <w:p w14:paraId="792D051C" w14:textId="4E5D25E5" w:rsidR="0007670F" w:rsidRDefault="00C9464D">
      <w:pPr>
        <w:pStyle w:val="TOC1"/>
        <w:rPr>
          <w:rFonts w:eastAsiaTheme="minorEastAsia"/>
          <w:b w:val="0"/>
          <w:lang w:eastAsia="en-AU"/>
        </w:rPr>
      </w:pPr>
      <w:hyperlink w:anchor="_Toc518984798" w:history="1">
        <w:r w:rsidR="0007670F" w:rsidRPr="00ED178B">
          <w:rPr>
            <w:rStyle w:val="Hyperlink"/>
            <w:rFonts w:ascii="Arial" w:hAnsi="Arial" w:cs="Arial"/>
            <w:bCs/>
          </w:rPr>
          <w:t>6</w:t>
        </w:r>
        <w:r w:rsidR="0007670F">
          <w:rPr>
            <w:rFonts w:eastAsiaTheme="minorEastAsia"/>
            <w:b w:val="0"/>
            <w:lang w:eastAsia="en-AU"/>
          </w:rPr>
          <w:tab/>
        </w:r>
        <w:r w:rsidR="0007670F" w:rsidRPr="00ED178B">
          <w:rPr>
            <w:rStyle w:val="Hyperlink"/>
            <w:rFonts w:ascii="Arial" w:hAnsi="Arial" w:cs="Arial"/>
            <w:bCs/>
          </w:rPr>
          <w:t>Consultation</w:t>
        </w:r>
        <w:r w:rsidR="0007670F">
          <w:rPr>
            <w:webHidden/>
          </w:rPr>
          <w:tab/>
        </w:r>
        <w:r w:rsidR="0007670F">
          <w:rPr>
            <w:webHidden/>
          </w:rPr>
          <w:fldChar w:fldCharType="begin"/>
        </w:r>
        <w:r w:rsidR="0007670F">
          <w:rPr>
            <w:webHidden/>
          </w:rPr>
          <w:instrText xml:space="preserve"> PAGEREF _Toc518984798 \h </w:instrText>
        </w:r>
        <w:r w:rsidR="0007670F">
          <w:rPr>
            <w:webHidden/>
          </w:rPr>
        </w:r>
        <w:r w:rsidR="0007670F">
          <w:rPr>
            <w:webHidden/>
          </w:rPr>
          <w:fldChar w:fldCharType="separate"/>
        </w:r>
        <w:r w:rsidR="0075464F">
          <w:rPr>
            <w:webHidden/>
          </w:rPr>
          <w:t>12</w:t>
        </w:r>
        <w:r w:rsidR="0007670F">
          <w:rPr>
            <w:webHidden/>
          </w:rPr>
          <w:fldChar w:fldCharType="end"/>
        </w:r>
      </w:hyperlink>
    </w:p>
    <w:p w14:paraId="4F2A0D7D" w14:textId="61171B4F" w:rsidR="0007670F" w:rsidRDefault="00C9464D">
      <w:pPr>
        <w:pStyle w:val="TOC2"/>
        <w:rPr>
          <w:rFonts w:eastAsiaTheme="minorEastAsia"/>
          <w:b w:val="0"/>
          <w:i w:val="0"/>
          <w:lang w:eastAsia="en-AU"/>
        </w:rPr>
      </w:pPr>
      <w:hyperlink w:anchor="_Toc518984799" w:history="1">
        <w:r w:rsidR="0007670F" w:rsidRPr="00ED178B">
          <w:rPr>
            <w:rStyle w:val="Hyperlink"/>
            <w:rFonts w:ascii="Arial" w:hAnsi="Arial" w:cs="Arial"/>
          </w:rPr>
          <w:t>6.1</w:t>
        </w:r>
        <w:r w:rsidR="0007670F">
          <w:rPr>
            <w:rFonts w:eastAsiaTheme="minorEastAsia"/>
            <w:b w:val="0"/>
            <w:i w:val="0"/>
            <w:lang w:eastAsia="en-AU"/>
          </w:rPr>
          <w:tab/>
        </w:r>
        <w:r w:rsidR="0007670F" w:rsidRPr="00ED178B">
          <w:rPr>
            <w:rStyle w:val="Hyperlink"/>
            <w:rFonts w:ascii="Arial" w:hAnsi="Arial" w:cs="Arial"/>
          </w:rPr>
          <w:t>What does the Commission want to know?</w:t>
        </w:r>
        <w:r w:rsidR="0007670F">
          <w:rPr>
            <w:webHidden/>
          </w:rPr>
          <w:tab/>
        </w:r>
        <w:r w:rsidR="0007670F">
          <w:rPr>
            <w:webHidden/>
          </w:rPr>
          <w:fldChar w:fldCharType="begin"/>
        </w:r>
        <w:r w:rsidR="0007670F">
          <w:rPr>
            <w:webHidden/>
          </w:rPr>
          <w:instrText xml:space="preserve"> PAGEREF _Toc518984799 \h </w:instrText>
        </w:r>
        <w:r w:rsidR="0007670F">
          <w:rPr>
            <w:webHidden/>
          </w:rPr>
        </w:r>
        <w:r w:rsidR="0007670F">
          <w:rPr>
            <w:webHidden/>
          </w:rPr>
          <w:fldChar w:fldCharType="separate"/>
        </w:r>
        <w:r w:rsidR="0075464F">
          <w:rPr>
            <w:webHidden/>
          </w:rPr>
          <w:t>12</w:t>
        </w:r>
        <w:r w:rsidR="0007670F">
          <w:rPr>
            <w:webHidden/>
          </w:rPr>
          <w:fldChar w:fldCharType="end"/>
        </w:r>
      </w:hyperlink>
    </w:p>
    <w:p w14:paraId="1B545A3E" w14:textId="117F86EE" w:rsidR="0007670F" w:rsidRDefault="00C9464D">
      <w:pPr>
        <w:pStyle w:val="TOC2"/>
        <w:rPr>
          <w:rFonts w:eastAsiaTheme="minorEastAsia"/>
          <w:b w:val="0"/>
          <w:i w:val="0"/>
          <w:lang w:eastAsia="en-AU"/>
        </w:rPr>
      </w:pPr>
      <w:hyperlink w:anchor="_Toc518984800" w:history="1">
        <w:r w:rsidR="0007670F" w:rsidRPr="00ED178B">
          <w:rPr>
            <w:rStyle w:val="Hyperlink"/>
            <w:rFonts w:ascii="Arial" w:hAnsi="Arial" w:cs="Arial"/>
          </w:rPr>
          <w:t>6.2</w:t>
        </w:r>
        <w:r w:rsidR="0007670F">
          <w:rPr>
            <w:rFonts w:eastAsiaTheme="minorEastAsia"/>
            <w:b w:val="0"/>
            <w:i w:val="0"/>
            <w:lang w:eastAsia="en-AU"/>
          </w:rPr>
          <w:tab/>
        </w:r>
        <w:r w:rsidR="0007670F" w:rsidRPr="00ED178B">
          <w:rPr>
            <w:rStyle w:val="Hyperlink"/>
            <w:rFonts w:ascii="Arial" w:hAnsi="Arial" w:cs="Arial"/>
          </w:rPr>
          <w:t>Key themes and issues</w:t>
        </w:r>
        <w:r w:rsidR="0007670F">
          <w:rPr>
            <w:webHidden/>
          </w:rPr>
          <w:tab/>
        </w:r>
        <w:r w:rsidR="0007670F">
          <w:rPr>
            <w:webHidden/>
          </w:rPr>
          <w:fldChar w:fldCharType="begin"/>
        </w:r>
        <w:r w:rsidR="0007670F">
          <w:rPr>
            <w:webHidden/>
          </w:rPr>
          <w:instrText xml:space="preserve"> PAGEREF _Toc518984800 \h </w:instrText>
        </w:r>
        <w:r w:rsidR="0007670F">
          <w:rPr>
            <w:webHidden/>
          </w:rPr>
        </w:r>
        <w:r w:rsidR="0007670F">
          <w:rPr>
            <w:webHidden/>
          </w:rPr>
          <w:fldChar w:fldCharType="separate"/>
        </w:r>
        <w:r w:rsidR="0075464F">
          <w:rPr>
            <w:webHidden/>
          </w:rPr>
          <w:t>13</w:t>
        </w:r>
        <w:r w:rsidR="0007670F">
          <w:rPr>
            <w:webHidden/>
          </w:rPr>
          <w:fldChar w:fldCharType="end"/>
        </w:r>
      </w:hyperlink>
    </w:p>
    <w:p w14:paraId="0E16AA3C" w14:textId="0811972E" w:rsidR="0007670F" w:rsidRDefault="00C9464D">
      <w:pPr>
        <w:pStyle w:val="TOC3"/>
        <w:rPr>
          <w:rFonts w:eastAsiaTheme="minorEastAsia" w:cstheme="minorBidi"/>
          <w:i w:val="0"/>
          <w:lang w:eastAsia="en-AU"/>
        </w:rPr>
      </w:pPr>
      <w:hyperlink w:anchor="_Toc518984801" w:history="1">
        <w:r w:rsidR="0007670F" w:rsidRPr="00ED178B">
          <w:rPr>
            <w:rStyle w:val="Hyperlink"/>
            <w:rFonts w:ascii="Arial" w:hAnsi="Arial"/>
            <w:bCs/>
          </w:rPr>
          <w:t>(a)</w:t>
        </w:r>
        <w:r w:rsidR="0007670F">
          <w:rPr>
            <w:rFonts w:eastAsiaTheme="minorEastAsia" w:cstheme="minorBidi"/>
            <w:i w:val="0"/>
            <w:lang w:eastAsia="en-AU"/>
          </w:rPr>
          <w:tab/>
        </w:r>
        <w:r w:rsidR="0007670F" w:rsidRPr="00ED178B">
          <w:rPr>
            <w:rStyle w:val="Hyperlink"/>
            <w:rFonts w:ascii="Arial" w:hAnsi="Arial"/>
            <w:bCs/>
          </w:rPr>
          <w:t>Understanding lived experiences</w:t>
        </w:r>
        <w:r w:rsidR="0007670F">
          <w:rPr>
            <w:webHidden/>
          </w:rPr>
          <w:tab/>
        </w:r>
        <w:r w:rsidR="0007670F">
          <w:rPr>
            <w:webHidden/>
          </w:rPr>
          <w:fldChar w:fldCharType="begin"/>
        </w:r>
        <w:r w:rsidR="0007670F">
          <w:rPr>
            <w:webHidden/>
          </w:rPr>
          <w:instrText xml:space="preserve"> PAGEREF _Toc518984801 \h </w:instrText>
        </w:r>
        <w:r w:rsidR="0007670F">
          <w:rPr>
            <w:webHidden/>
          </w:rPr>
        </w:r>
        <w:r w:rsidR="0007670F">
          <w:rPr>
            <w:webHidden/>
          </w:rPr>
          <w:fldChar w:fldCharType="separate"/>
        </w:r>
        <w:r w:rsidR="0075464F">
          <w:rPr>
            <w:webHidden/>
          </w:rPr>
          <w:t>13</w:t>
        </w:r>
        <w:r w:rsidR="0007670F">
          <w:rPr>
            <w:webHidden/>
          </w:rPr>
          <w:fldChar w:fldCharType="end"/>
        </w:r>
      </w:hyperlink>
    </w:p>
    <w:p w14:paraId="168D6BA2" w14:textId="55CD6172" w:rsidR="0007670F" w:rsidRDefault="00C9464D">
      <w:pPr>
        <w:pStyle w:val="TOC3"/>
        <w:rPr>
          <w:rFonts w:eastAsiaTheme="minorEastAsia" w:cstheme="minorBidi"/>
          <w:i w:val="0"/>
          <w:lang w:eastAsia="en-AU"/>
        </w:rPr>
      </w:pPr>
      <w:hyperlink w:anchor="_Toc518984802" w:history="1">
        <w:r w:rsidR="0007670F" w:rsidRPr="00ED178B">
          <w:rPr>
            <w:rStyle w:val="Hyperlink"/>
            <w:rFonts w:ascii="Arial" w:hAnsi="Arial"/>
            <w:bCs/>
          </w:rPr>
          <w:t>(b)</w:t>
        </w:r>
        <w:r w:rsidR="0007670F">
          <w:rPr>
            <w:rFonts w:eastAsiaTheme="minorEastAsia" w:cstheme="minorBidi"/>
            <w:i w:val="0"/>
            <w:lang w:eastAsia="en-AU"/>
          </w:rPr>
          <w:tab/>
        </w:r>
        <w:r w:rsidR="0007670F" w:rsidRPr="00ED178B">
          <w:rPr>
            <w:rStyle w:val="Hyperlink"/>
            <w:rFonts w:ascii="Arial" w:hAnsi="Arial"/>
            <w:bCs/>
          </w:rPr>
          <w:t>Consent</w:t>
        </w:r>
        <w:r w:rsidR="0007670F">
          <w:rPr>
            <w:webHidden/>
          </w:rPr>
          <w:tab/>
        </w:r>
        <w:r w:rsidR="0007670F">
          <w:rPr>
            <w:webHidden/>
          </w:rPr>
          <w:fldChar w:fldCharType="begin"/>
        </w:r>
        <w:r w:rsidR="0007670F">
          <w:rPr>
            <w:webHidden/>
          </w:rPr>
          <w:instrText xml:space="preserve"> PAGEREF _Toc518984802 \h </w:instrText>
        </w:r>
        <w:r w:rsidR="0007670F">
          <w:rPr>
            <w:webHidden/>
          </w:rPr>
        </w:r>
        <w:r w:rsidR="0007670F">
          <w:rPr>
            <w:webHidden/>
          </w:rPr>
          <w:fldChar w:fldCharType="separate"/>
        </w:r>
        <w:r w:rsidR="0075464F">
          <w:rPr>
            <w:webHidden/>
          </w:rPr>
          <w:t>14</w:t>
        </w:r>
        <w:r w:rsidR="0007670F">
          <w:rPr>
            <w:webHidden/>
          </w:rPr>
          <w:fldChar w:fldCharType="end"/>
        </w:r>
      </w:hyperlink>
    </w:p>
    <w:p w14:paraId="4A66E34B" w14:textId="431AF920" w:rsidR="0007670F" w:rsidRDefault="00C9464D">
      <w:pPr>
        <w:pStyle w:val="TOC3"/>
        <w:rPr>
          <w:rFonts w:eastAsiaTheme="minorEastAsia" w:cstheme="minorBidi"/>
          <w:i w:val="0"/>
          <w:lang w:eastAsia="en-AU"/>
        </w:rPr>
      </w:pPr>
      <w:hyperlink w:anchor="_Toc518984803" w:history="1">
        <w:r w:rsidR="0007670F" w:rsidRPr="00ED178B">
          <w:rPr>
            <w:rStyle w:val="Hyperlink"/>
            <w:rFonts w:ascii="Arial" w:hAnsi="Arial"/>
            <w:bCs/>
          </w:rPr>
          <w:t>(c)</w:t>
        </w:r>
        <w:r w:rsidR="0007670F">
          <w:rPr>
            <w:rFonts w:eastAsiaTheme="minorEastAsia" w:cstheme="minorBidi"/>
            <w:i w:val="0"/>
            <w:lang w:eastAsia="en-AU"/>
          </w:rPr>
          <w:tab/>
        </w:r>
        <w:r w:rsidR="0007670F" w:rsidRPr="00ED178B">
          <w:rPr>
            <w:rStyle w:val="Hyperlink"/>
            <w:rFonts w:ascii="Arial" w:hAnsi="Arial"/>
            <w:bCs/>
          </w:rPr>
          <w:t>Medical necessity</w:t>
        </w:r>
        <w:r w:rsidR="0007670F">
          <w:rPr>
            <w:webHidden/>
          </w:rPr>
          <w:tab/>
        </w:r>
        <w:r w:rsidR="0007670F">
          <w:rPr>
            <w:webHidden/>
          </w:rPr>
          <w:fldChar w:fldCharType="begin"/>
        </w:r>
        <w:r w:rsidR="0007670F">
          <w:rPr>
            <w:webHidden/>
          </w:rPr>
          <w:instrText xml:space="preserve"> PAGEREF _Toc518984803 \h </w:instrText>
        </w:r>
        <w:r w:rsidR="0007670F">
          <w:rPr>
            <w:webHidden/>
          </w:rPr>
        </w:r>
        <w:r w:rsidR="0007670F">
          <w:rPr>
            <w:webHidden/>
          </w:rPr>
          <w:fldChar w:fldCharType="separate"/>
        </w:r>
        <w:r w:rsidR="0075464F">
          <w:rPr>
            <w:webHidden/>
          </w:rPr>
          <w:t>18</w:t>
        </w:r>
        <w:r w:rsidR="0007670F">
          <w:rPr>
            <w:webHidden/>
          </w:rPr>
          <w:fldChar w:fldCharType="end"/>
        </w:r>
      </w:hyperlink>
    </w:p>
    <w:p w14:paraId="682A8BFC" w14:textId="6D0E5B2C" w:rsidR="0007670F" w:rsidRDefault="00C9464D">
      <w:pPr>
        <w:pStyle w:val="TOC3"/>
        <w:rPr>
          <w:rFonts w:eastAsiaTheme="minorEastAsia" w:cstheme="minorBidi"/>
          <w:i w:val="0"/>
          <w:lang w:eastAsia="en-AU"/>
        </w:rPr>
      </w:pPr>
      <w:hyperlink w:anchor="_Toc518984804" w:history="1">
        <w:r w:rsidR="0007670F" w:rsidRPr="00ED178B">
          <w:rPr>
            <w:rStyle w:val="Hyperlink"/>
            <w:rFonts w:ascii="Arial" w:hAnsi="Arial"/>
            <w:bCs/>
          </w:rPr>
          <w:t>(d)</w:t>
        </w:r>
        <w:r w:rsidR="0007670F">
          <w:rPr>
            <w:rFonts w:eastAsiaTheme="minorEastAsia" w:cstheme="minorBidi"/>
            <w:i w:val="0"/>
            <w:lang w:eastAsia="en-AU"/>
          </w:rPr>
          <w:tab/>
        </w:r>
        <w:r w:rsidR="0007670F" w:rsidRPr="00ED178B">
          <w:rPr>
            <w:rStyle w:val="Hyperlink"/>
            <w:rFonts w:ascii="Arial" w:hAnsi="Arial"/>
            <w:bCs/>
          </w:rPr>
          <w:t>Regulation</w:t>
        </w:r>
        <w:r w:rsidR="0007670F">
          <w:rPr>
            <w:webHidden/>
          </w:rPr>
          <w:tab/>
        </w:r>
        <w:r w:rsidR="0007670F">
          <w:rPr>
            <w:webHidden/>
          </w:rPr>
          <w:fldChar w:fldCharType="begin"/>
        </w:r>
        <w:r w:rsidR="0007670F">
          <w:rPr>
            <w:webHidden/>
          </w:rPr>
          <w:instrText xml:space="preserve"> PAGEREF _Toc518984804 \h </w:instrText>
        </w:r>
        <w:r w:rsidR="0007670F">
          <w:rPr>
            <w:webHidden/>
          </w:rPr>
        </w:r>
        <w:r w:rsidR="0007670F">
          <w:rPr>
            <w:webHidden/>
          </w:rPr>
          <w:fldChar w:fldCharType="separate"/>
        </w:r>
        <w:r w:rsidR="0075464F">
          <w:rPr>
            <w:webHidden/>
          </w:rPr>
          <w:t>20</w:t>
        </w:r>
        <w:r w:rsidR="0007670F">
          <w:rPr>
            <w:webHidden/>
          </w:rPr>
          <w:fldChar w:fldCharType="end"/>
        </w:r>
      </w:hyperlink>
    </w:p>
    <w:p w14:paraId="43493749" w14:textId="75179222" w:rsidR="0007670F" w:rsidRDefault="00C9464D">
      <w:pPr>
        <w:pStyle w:val="TOC3"/>
        <w:rPr>
          <w:rFonts w:eastAsiaTheme="minorEastAsia" w:cstheme="minorBidi"/>
          <w:i w:val="0"/>
          <w:lang w:eastAsia="en-AU"/>
        </w:rPr>
      </w:pPr>
      <w:hyperlink w:anchor="_Toc518984805" w:history="1">
        <w:r w:rsidR="0007670F" w:rsidRPr="00ED178B">
          <w:rPr>
            <w:rStyle w:val="Hyperlink"/>
            <w:rFonts w:ascii="Arial" w:hAnsi="Arial"/>
            <w:bCs/>
          </w:rPr>
          <w:t>(e)</w:t>
        </w:r>
        <w:r w:rsidR="0007670F">
          <w:rPr>
            <w:rFonts w:eastAsiaTheme="minorEastAsia" w:cstheme="minorBidi"/>
            <w:i w:val="0"/>
            <w:lang w:eastAsia="en-AU"/>
          </w:rPr>
          <w:tab/>
        </w:r>
        <w:r w:rsidR="0007670F" w:rsidRPr="00ED178B">
          <w:rPr>
            <w:rStyle w:val="Hyperlink"/>
            <w:rFonts w:ascii="Arial" w:hAnsi="Arial"/>
            <w:bCs/>
          </w:rPr>
          <w:t>Lack of data</w:t>
        </w:r>
        <w:r w:rsidR="0007670F">
          <w:rPr>
            <w:webHidden/>
          </w:rPr>
          <w:tab/>
        </w:r>
        <w:r w:rsidR="0007670F">
          <w:rPr>
            <w:webHidden/>
          </w:rPr>
          <w:fldChar w:fldCharType="begin"/>
        </w:r>
        <w:r w:rsidR="0007670F">
          <w:rPr>
            <w:webHidden/>
          </w:rPr>
          <w:instrText xml:space="preserve"> PAGEREF _Toc518984805 \h </w:instrText>
        </w:r>
        <w:r w:rsidR="0007670F">
          <w:rPr>
            <w:webHidden/>
          </w:rPr>
        </w:r>
        <w:r w:rsidR="0007670F">
          <w:rPr>
            <w:webHidden/>
          </w:rPr>
          <w:fldChar w:fldCharType="separate"/>
        </w:r>
        <w:r w:rsidR="0075464F">
          <w:rPr>
            <w:webHidden/>
          </w:rPr>
          <w:t>22</w:t>
        </w:r>
        <w:r w:rsidR="0007670F">
          <w:rPr>
            <w:webHidden/>
          </w:rPr>
          <w:fldChar w:fldCharType="end"/>
        </w:r>
      </w:hyperlink>
    </w:p>
    <w:p w14:paraId="6ADAC535" w14:textId="64C1510F" w:rsidR="0007670F" w:rsidRDefault="00C9464D">
      <w:pPr>
        <w:pStyle w:val="TOC3"/>
        <w:rPr>
          <w:rFonts w:eastAsiaTheme="minorEastAsia" w:cstheme="minorBidi"/>
          <w:i w:val="0"/>
          <w:lang w:eastAsia="en-AU"/>
        </w:rPr>
      </w:pPr>
      <w:hyperlink w:anchor="_Toc518984806" w:history="1">
        <w:r w:rsidR="0007670F" w:rsidRPr="00ED178B">
          <w:rPr>
            <w:rStyle w:val="Hyperlink"/>
            <w:rFonts w:ascii="Arial" w:hAnsi="Arial"/>
            <w:bCs/>
          </w:rPr>
          <w:t>(f)</w:t>
        </w:r>
        <w:r w:rsidR="0007670F">
          <w:rPr>
            <w:rFonts w:eastAsiaTheme="minorEastAsia" w:cstheme="minorBidi"/>
            <w:i w:val="0"/>
            <w:lang w:eastAsia="en-AU"/>
          </w:rPr>
          <w:tab/>
        </w:r>
        <w:r w:rsidR="0007670F" w:rsidRPr="00ED178B">
          <w:rPr>
            <w:rStyle w:val="Hyperlink"/>
            <w:rFonts w:ascii="Arial" w:hAnsi="Arial"/>
            <w:bCs/>
          </w:rPr>
          <w:t>Privacy</w:t>
        </w:r>
        <w:r w:rsidR="0007670F">
          <w:rPr>
            <w:webHidden/>
          </w:rPr>
          <w:tab/>
        </w:r>
        <w:r w:rsidR="0007670F">
          <w:rPr>
            <w:webHidden/>
          </w:rPr>
          <w:fldChar w:fldCharType="begin"/>
        </w:r>
        <w:r w:rsidR="0007670F">
          <w:rPr>
            <w:webHidden/>
          </w:rPr>
          <w:instrText xml:space="preserve"> PAGEREF _Toc518984806 \h </w:instrText>
        </w:r>
        <w:r w:rsidR="0007670F">
          <w:rPr>
            <w:webHidden/>
          </w:rPr>
        </w:r>
        <w:r w:rsidR="0007670F">
          <w:rPr>
            <w:webHidden/>
          </w:rPr>
          <w:fldChar w:fldCharType="separate"/>
        </w:r>
        <w:r w:rsidR="0075464F">
          <w:rPr>
            <w:webHidden/>
          </w:rPr>
          <w:t>23</w:t>
        </w:r>
        <w:r w:rsidR="0007670F">
          <w:rPr>
            <w:webHidden/>
          </w:rPr>
          <w:fldChar w:fldCharType="end"/>
        </w:r>
      </w:hyperlink>
    </w:p>
    <w:p w14:paraId="65CC6C5A" w14:textId="71CE2BD1" w:rsidR="0007670F" w:rsidRDefault="00C9464D">
      <w:pPr>
        <w:pStyle w:val="TOC3"/>
        <w:rPr>
          <w:rFonts w:eastAsiaTheme="minorEastAsia" w:cstheme="minorBidi"/>
          <w:i w:val="0"/>
          <w:lang w:eastAsia="en-AU"/>
        </w:rPr>
      </w:pPr>
      <w:hyperlink w:anchor="_Toc518984807" w:history="1">
        <w:r w:rsidR="0007670F" w:rsidRPr="00ED178B">
          <w:rPr>
            <w:rStyle w:val="Hyperlink"/>
            <w:rFonts w:ascii="Arial" w:hAnsi="Arial"/>
            <w:bCs/>
          </w:rPr>
          <w:t>(g)</w:t>
        </w:r>
        <w:r w:rsidR="0007670F">
          <w:rPr>
            <w:rFonts w:eastAsiaTheme="minorEastAsia" w:cstheme="minorBidi"/>
            <w:i w:val="0"/>
            <w:lang w:eastAsia="en-AU"/>
          </w:rPr>
          <w:tab/>
        </w:r>
        <w:r w:rsidR="0007670F" w:rsidRPr="00ED178B">
          <w:rPr>
            <w:rStyle w:val="Hyperlink"/>
            <w:rFonts w:ascii="Arial" w:hAnsi="Arial"/>
            <w:bCs/>
          </w:rPr>
          <w:t>Access to services, psychological support and community</w:t>
        </w:r>
        <w:r w:rsidR="0007670F">
          <w:rPr>
            <w:webHidden/>
          </w:rPr>
          <w:tab/>
        </w:r>
        <w:r w:rsidR="0007670F">
          <w:rPr>
            <w:webHidden/>
          </w:rPr>
          <w:fldChar w:fldCharType="begin"/>
        </w:r>
        <w:r w:rsidR="0007670F">
          <w:rPr>
            <w:webHidden/>
          </w:rPr>
          <w:instrText xml:space="preserve"> PAGEREF _Toc518984807 \h </w:instrText>
        </w:r>
        <w:r w:rsidR="0007670F">
          <w:rPr>
            <w:webHidden/>
          </w:rPr>
        </w:r>
        <w:r w:rsidR="0007670F">
          <w:rPr>
            <w:webHidden/>
          </w:rPr>
          <w:fldChar w:fldCharType="separate"/>
        </w:r>
        <w:r w:rsidR="0075464F">
          <w:rPr>
            <w:webHidden/>
          </w:rPr>
          <w:t>24</w:t>
        </w:r>
        <w:r w:rsidR="0007670F">
          <w:rPr>
            <w:webHidden/>
          </w:rPr>
          <w:fldChar w:fldCharType="end"/>
        </w:r>
      </w:hyperlink>
    </w:p>
    <w:p w14:paraId="6E659A53" w14:textId="3460ABE0" w:rsidR="0007670F" w:rsidRDefault="00C9464D">
      <w:pPr>
        <w:pStyle w:val="TOC2"/>
        <w:rPr>
          <w:rFonts w:eastAsiaTheme="minorEastAsia"/>
          <w:b w:val="0"/>
          <w:i w:val="0"/>
          <w:lang w:eastAsia="en-AU"/>
        </w:rPr>
      </w:pPr>
      <w:hyperlink w:anchor="_Toc518984808" w:history="1">
        <w:r w:rsidR="0007670F" w:rsidRPr="00ED178B">
          <w:rPr>
            <w:rStyle w:val="Hyperlink"/>
            <w:rFonts w:ascii="Arial" w:hAnsi="Arial" w:cs="Arial"/>
          </w:rPr>
          <w:t>6.3</w:t>
        </w:r>
        <w:r w:rsidR="0007670F">
          <w:rPr>
            <w:rFonts w:eastAsiaTheme="minorEastAsia"/>
            <w:b w:val="0"/>
            <w:i w:val="0"/>
            <w:lang w:eastAsia="en-AU"/>
          </w:rPr>
          <w:tab/>
        </w:r>
        <w:r w:rsidR="0007670F" w:rsidRPr="00ED178B">
          <w:rPr>
            <w:rStyle w:val="Hyperlink"/>
            <w:rFonts w:ascii="Arial" w:hAnsi="Arial" w:cs="Arial"/>
          </w:rPr>
          <w:t>How can I contribute to this work?</w:t>
        </w:r>
        <w:r w:rsidR="0007670F">
          <w:rPr>
            <w:webHidden/>
          </w:rPr>
          <w:tab/>
        </w:r>
        <w:r w:rsidR="0007670F">
          <w:rPr>
            <w:webHidden/>
          </w:rPr>
          <w:fldChar w:fldCharType="begin"/>
        </w:r>
        <w:r w:rsidR="0007670F">
          <w:rPr>
            <w:webHidden/>
          </w:rPr>
          <w:instrText xml:space="preserve"> PAGEREF _Toc518984808 \h </w:instrText>
        </w:r>
        <w:r w:rsidR="0007670F">
          <w:rPr>
            <w:webHidden/>
          </w:rPr>
        </w:r>
        <w:r w:rsidR="0007670F">
          <w:rPr>
            <w:webHidden/>
          </w:rPr>
          <w:fldChar w:fldCharType="separate"/>
        </w:r>
        <w:r w:rsidR="0075464F">
          <w:rPr>
            <w:webHidden/>
          </w:rPr>
          <w:t>25</w:t>
        </w:r>
        <w:r w:rsidR="0007670F">
          <w:rPr>
            <w:webHidden/>
          </w:rPr>
          <w:fldChar w:fldCharType="end"/>
        </w:r>
      </w:hyperlink>
    </w:p>
    <w:p w14:paraId="4ADE55FE" w14:textId="720D50BF" w:rsidR="0007670F" w:rsidRDefault="00C9464D">
      <w:pPr>
        <w:pStyle w:val="TOC1"/>
        <w:rPr>
          <w:rFonts w:eastAsiaTheme="minorEastAsia"/>
          <w:b w:val="0"/>
          <w:lang w:eastAsia="en-AU"/>
        </w:rPr>
      </w:pPr>
      <w:hyperlink w:anchor="_Toc518984809" w:history="1">
        <w:r w:rsidR="0007670F" w:rsidRPr="00ED178B">
          <w:rPr>
            <w:rStyle w:val="Hyperlink"/>
            <w:rFonts w:ascii="Arial" w:hAnsi="Arial" w:cs="Arial"/>
            <w:bCs/>
          </w:rPr>
          <w:t>7</w:t>
        </w:r>
        <w:r w:rsidR="0007670F">
          <w:rPr>
            <w:rFonts w:eastAsiaTheme="minorEastAsia"/>
            <w:b w:val="0"/>
            <w:lang w:eastAsia="en-AU"/>
          </w:rPr>
          <w:tab/>
        </w:r>
        <w:r w:rsidR="0007670F" w:rsidRPr="00ED178B">
          <w:rPr>
            <w:rStyle w:val="Hyperlink"/>
            <w:rFonts w:ascii="Arial" w:hAnsi="Arial" w:cs="Arial"/>
            <w:bCs/>
          </w:rPr>
          <w:t>Discussion Questions</w:t>
        </w:r>
        <w:r w:rsidR="0007670F">
          <w:rPr>
            <w:webHidden/>
          </w:rPr>
          <w:tab/>
        </w:r>
        <w:r w:rsidR="0007670F">
          <w:rPr>
            <w:webHidden/>
          </w:rPr>
          <w:fldChar w:fldCharType="begin"/>
        </w:r>
        <w:r w:rsidR="0007670F">
          <w:rPr>
            <w:webHidden/>
          </w:rPr>
          <w:instrText xml:space="preserve"> PAGEREF _Toc518984809 \h </w:instrText>
        </w:r>
        <w:r w:rsidR="0007670F">
          <w:rPr>
            <w:webHidden/>
          </w:rPr>
        </w:r>
        <w:r w:rsidR="0007670F">
          <w:rPr>
            <w:webHidden/>
          </w:rPr>
          <w:fldChar w:fldCharType="separate"/>
        </w:r>
        <w:r w:rsidR="0075464F">
          <w:rPr>
            <w:webHidden/>
          </w:rPr>
          <w:t>26</w:t>
        </w:r>
        <w:r w:rsidR="0007670F">
          <w:rPr>
            <w:webHidden/>
          </w:rPr>
          <w:fldChar w:fldCharType="end"/>
        </w:r>
      </w:hyperlink>
    </w:p>
    <w:p w14:paraId="4E95C438" w14:textId="32FEF80A" w:rsidR="0007670F" w:rsidRDefault="00C9464D">
      <w:pPr>
        <w:pStyle w:val="TOC1"/>
        <w:rPr>
          <w:rFonts w:eastAsiaTheme="minorEastAsia"/>
          <w:b w:val="0"/>
          <w:lang w:eastAsia="en-AU"/>
        </w:rPr>
      </w:pPr>
      <w:hyperlink w:anchor="_Toc518984810" w:history="1">
        <w:r w:rsidR="0007670F" w:rsidRPr="00ED178B">
          <w:rPr>
            <w:rStyle w:val="Hyperlink"/>
            <w:rFonts w:ascii="Arial" w:hAnsi="Arial" w:cs="Arial"/>
          </w:rPr>
          <w:t>9</w:t>
        </w:r>
        <w:r w:rsidR="0007670F">
          <w:rPr>
            <w:rFonts w:eastAsiaTheme="minorEastAsia"/>
            <w:b w:val="0"/>
            <w:lang w:eastAsia="en-AU"/>
          </w:rPr>
          <w:tab/>
        </w:r>
        <w:r w:rsidR="0007670F" w:rsidRPr="00ED178B">
          <w:rPr>
            <w:rStyle w:val="Hyperlink"/>
            <w:rFonts w:ascii="Arial" w:hAnsi="Arial" w:cs="Arial"/>
          </w:rPr>
          <w:t>Appendix A: Terms of Reference</w:t>
        </w:r>
        <w:r w:rsidR="0007670F">
          <w:rPr>
            <w:webHidden/>
          </w:rPr>
          <w:tab/>
        </w:r>
        <w:r w:rsidR="0007670F">
          <w:rPr>
            <w:webHidden/>
          </w:rPr>
          <w:fldChar w:fldCharType="begin"/>
        </w:r>
        <w:r w:rsidR="0007670F">
          <w:rPr>
            <w:webHidden/>
          </w:rPr>
          <w:instrText xml:space="preserve"> PAGEREF _Toc518984810 \h </w:instrText>
        </w:r>
        <w:r w:rsidR="0007670F">
          <w:rPr>
            <w:webHidden/>
          </w:rPr>
        </w:r>
        <w:r w:rsidR="0007670F">
          <w:rPr>
            <w:webHidden/>
          </w:rPr>
          <w:fldChar w:fldCharType="separate"/>
        </w:r>
        <w:r w:rsidR="0075464F">
          <w:rPr>
            <w:webHidden/>
          </w:rPr>
          <w:t>29</w:t>
        </w:r>
        <w:r w:rsidR="0007670F">
          <w:rPr>
            <w:webHidden/>
          </w:rPr>
          <w:fldChar w:fldCharType="end"/>
        </w:r>
      </w:hyperlink>
    </w:p>
    <w:p w14:paraId="6295751A" w14:textId="6032DC5C" w:rsidR="0007670F" w:rsidRDefault="00C9464D">
      <w:pPr>
        <w:pStyle w:val="TOC1"/>
        <w:rPr>
          <w:rFonts w:eastAsiaTheme="minorEastAsia"/>
          <w:b w:val="0"/>
          <w:lang w:eastAsia="en-AU"/>
        </w:rPr>
      </w:pPr>
      <w:hyperlink w:anchor="_Toc518984811" w:history="1">
        <w:r w:rsidR="0007670F" w:rsidRPr="00ED178B">
          <w:rPr>
            <w:rStyle w:val="Hyperlink"/>
            <w:rFonts w:ascii="Arial" w:hAnsi="Arial" w:cs="Arial"/>
          </w:rPr>
          <w:t>9</w:t>
        </w:r>
        <w:r w:rsidR="0007670F">
          <w:rPr>
            <w:rFonts w:eastAsiaTheme="minorEastAsia"/>
            <w:b w:val="0"/>
            <w:lang w:eastAsia="en-AU"/>
          </w:rPr>
          <w:tab/>
        </w:r>
        <w:r w:rsidR="0007670F" w:rsidRPr="00ED178B">
          <w:rPr>
            <w:rStyle w:val="Hyperlink"/>
            <w:rFonts w:ascii="Arial" w:hAnsi="Arial" w:cs="Arial"/>
          </w:rPr>
          <w:t>Appendix B: Human rights framework</w:t>
        </w:r>
        <w:r w:rsidR="0007670F">
          <w:rPr>
            <w:webHidden/>
          </w:rPr>
          <w:tab/>
        </w:r>
        <w:r w:rsidR="0007670F">
          <w:rPr>
            <w:webHidden/>
          </w:rPr>
          <w:fldChar w:fldCharType="begin"/>
        </w:r>
        <w:r w:rsidR="0007670F">
          <w:rPr>
            <w:webHidden/>
          </w:rPr>
          <w:instrText xml:space="preserve"> PAGEREF _Toc518984811 \h </w:instrText>
        </w:r>
        <w:r w:rsidR="0007670F">
          <w:rPr>
            <w:webHidden/>
          </w:rPr>
        </w:r>
        <w:r w:rsidR="0007670F">
          <w:rPr>
            <w:webHidden/>
          </w:rPr>
          <w:fldChar w:fldCharType="separate"/>
        </w:r>
        <w:r w:rsidR="0075464F">
          <w:rPr>
            <w:webHidden/>
          </w:rPr>
          <w:t>31</w:t>
        </w:r>
        <w:r w:rsidR="0007670F">
          <w:rPr>
            <w:webHidden/>
          </w:rPr>
          <w:fldChar w:fldCharType="end"/>
        </w:r>
      </w:hyperlink>
    </w:p>
    <w:p w14:paraId="55137044" w14:textId="3FB72BAC" w:rsidR="001E7638" w:rsidRPr="00446928" w:rsidRDefault="00F872AA" w:rsidP="00BB7F04">
      <w:pPr>
        <w:tabs>
          <w:tab w:val="left" w:pos="3014"/>
        </w:tabs>
        <w:spacing w:after="3000"/>
        <w:rPr>
          <w:rFonts w:ascii="Arial" w:eastAsiaTheme="minorEastAsia" w:hAnsi="Arial" w:cs="Arial"/>
          <w:noProof/>
        </w:rPr>
      </w:pPr>
      <w:r w:rsidRPr="00446928">
        <w:rPr>
          <w:rFonts w:ascii="Arial" w:hAnsi="Arial" w:cs="Arial"/>
        </w:rPr>
        <w:fldChar w:fldCharType="end"/>
      </w:r>
      <w:r w:rsidR="001E7638" w:rsidRPr="00446928">
        <w:rPr>
          <w:rFonts w:ascii="Arial" w:hAnsi="Arial" w:cs="Arial"/>
        </w:rPr>
        <w:t xml:space="preserve">  </w:t>
      </w:r>
    </w:p>
    <w:p w14:paraId="12CFD091"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0" w:name="_Toc507585848"/>
      <w:bookmarkStart w:id="1" w:name="_Toc518984779"/>
      <w:r w:rsidRPr="00446928">
        <w:rPr>
          <w:rFonts w:ascii="Arial" w:hAnsi="Arial" w:cs="Arial"/>
          <w:b/>
          <w:bCs/>
          <w:sz w:val="28"/>
          <w:szCs w:val="28"/>
        </w:rPr>
        <w:lastRenderedPageBreak/>
        <w:t>Introduction</w:t>
      </w:r>
      <w:bookmarkEnd w:id="0"/>
      <w:bookmarkEnd w:id="1"/>
    </w:p>
    <w:p w14:paraId="49811228" w14:textId="23877275" w:rsidR="00C00D0A" w:rsidRPr="00446928" w:rsidRDefault="003B2573"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Australian Human Rights Commission</w:t>
      </w:r>
      <w:r w:rsidR="001B1E43">
        <w:rPr>
          <w:rFonts w:ascii="Arial" w:eastAsia="Times New Roman" w:hAnsi="Arial" w:cs="Arial"/>
        </w:rPr>
        <w:t xml:space="preserve"> (the Commission)</w:t>
      </w:r>
      <w:r w:rsidRPr="00446928">
        <w:rPr>
          <w:rFonts w:ascii="Arial" w:eastAsia="Times New Roman" w:hAnsi="Arial" w:cs="Arial"/>
        </w:rPr>
        <w:t xml:space="preserve"> </w:t>
      </w:r>
      <w:r w:rsidR="00E93B68">
        <w:rPr>
          <w:rFonts w:ascii="Arial" w:eastAsia="Times New Roman" w:hAnsi="Arial" w:cs="Arial"/>
        </w:rPr>
        <w:t>is undertaking</w:t>
      </w:r>
      <w:r w:rsidR="00C00D0A" w:rsidRPr="00446928">
        <w:rPr>
          <w:rFonts w:ascii="Arial" w:eastAsia="Times New Roman" w:hAnsi="Arial" w:cs="Arial"/>
        </w:rPr>
        <w:t xml:space="preserve"> a project </w:t>
      </w:r>
      <w:r w:rsidR="00E93B68">
        <w:rPr>
          <w:rFonts w:ascii="Arial" w:eastAsia="Times New Roman" w:hAnsi="Arial" w:cs="Arial"/>
        </w:rPr>
        <w:t>to</w:t>
      </w:r>
      <w:r w:rsidR="00C00D0A" w:rsidRPr="00446928">
        <w:rPr>
          <w:rFonts w:ascii="Arial" w:eastAsia="Times New Roman" w:hAnsi="Arial" w:cs="Arial"/>
        </w:rPr>
        <w:t xml:space="preserve"> consider how best to protect the human rights of </w:t>
      </w:r>
      <w:r w:rsidR="00241C46">
        <w:rPr>
          <w:rFonts w:ascii="Arial" w:eastAsia="Times New Roman" w:hAnsi="Arial" w:cs="Arial"/>
        </w:rPr>
        <w:t>people born with</w:t>
      </w:r>
      <w:r w:rsidR="00C00D0A" w:rsidRPr="00446928">
        <w:rPr>
          <w:rFonts w:ascii="Arial" w:eastAsia="Times New Roman" w:hAnsi="Arial" w:cs="Arial"/>
        </w:rPr>
        <w:t xml:space="preserve"> variations in sex characteristics in the context of medical interventions. </w:t>
      </w:r>
    </w:p>
    <w:p w14:paraId="77A26D4F" w14:textId="342D8DD3" w:rsidR="001E7638" w:rsidRPr="00446928" w:rsidRDefault="00C00D0A"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Fundamental to the Commission</w:t>
      </w:r>
      <w:r w:rsidR="00F87239">
        <w:rPr>
          <w:rFonts w:ascii="Arial" w:eastAsia="Times New Roman" w:hAnsi="Arial" w:cs="Arial"/>
        </w:rPr>
        <w:t>’</w:t>
      </w:r>
      <w:r w:rsidRPr="00446928">
        <w:rPr>
          <w:rFonts w:ascii="Arial" w:eastAsia="Times New Roman" w:hAnsi="Arial" w:cs="Arial"/>
        </w:rPr>
        <w:t xml:space="preserve">s approach, and to the </w:t>
      </w:r>
      <w:r w:rsidR="007B16E1" w:rsidRPr="00446928">
        <w:rPr>
          <w:rFonts w:ascii="Arial" w:eastAsia="Times New Roman" w:hAnsi="Arial" w:cs="Arial"/>
        </w:rPr>
        <w:t>Commission</w:t>
      </w:r>
      <w:r w:rsidR="00F87239">
        <w:rPr>
          <w:rFonts w:ascii="Arial" w:eastAsia="Times New Roman" w:hAnsi="Arial" w:cs="Arial"/>
        </w:rPr>
        <w:t>’</w:t>
      </w:r>
      <w:r w:rsidR="007B16E1" w:rsidRPr="00446928">
        <w:rPr>
          <w:rFonts w:ascii="Arial" w:eastAsia="Times New Roman" w:hAnsi="Arial" w:cs="Arial"/>
        </w:rPr>
        <w:t>s ability to</w:t>
      </w:r>
      <w:r w:rsidR="008F41D7" w:rsidRPr="00446928">
        <w:rPr>
          <w:rFonts w:ascii="Arial" w:eastAsia="Times New Roman" w:hAnsi="Arial" w:cs="Arial"/>
        </w:rPr>
        <w:t xml:space="preserve"> identify how to improve human rights protection in this area</w:t>
      </w:r>
      <w:r w:rsidRPr="00446928">
        <w:rPr>
          <w:rFonts w:ascii="Arial" w:eastAsia="Times New Roman" w:hAnsi="Arial" w:cs="Arial"/>
        </w:rPr>
        <w:t xml:space="preserve">, is to consult with people directly affected by this issue and those with relevant expertise. </w:t>
      </w:r>
      <w:r w:rsidR="001E7638" w:rsidRPr="00446928">
        <w:rPr>
          <w:rFonts w:ascii="Arial" w:eastAsia="Times New Roman" w:hAnsi="Arial" w:cs="Arial"/>
        </w:rPr>
        <w:t xml:space="preserve">This Consultation Paper </w:t>
      </w:r>
      <w:r w:rsidRPr="00446928">
        <w:rPr>
          <w:rFonts w:ascii="Arial" w:eastAsia="Times New Roman" w:hAnsi="Arial" w:cs="Arial"/>
        </w:rPr>
        <w:t>aims to support that consultation process</w:t>
      </w:r>
      <w:r w:rsidR="001E7638" w:rsidRPr="00446928">
        <w:rPr>
          <w:rFonts w:ascii="Arial" w:eastAsia="Times New Roman" w:hAnsi="Arial" w:cs="Arial"/>
        </w:rPr>
        <w:t>.</w:t>
      </w:r>
    </w:p>
    <w:p w14:paraId="2D48554E" w14:textId="5FF13793" w:rsidR="001E7638" w:rsidRPr="00446928" w:rsidRDefault="008F41D7"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Consultation Paper </w:t>
      </w:r>
      <w:r w:rsidR="001E7638" w:rsidRPr="00446928">
        <w:rPr>
          <w:rFonts w:ascii="Arial" w:eastAsia="Times New Roman" w:hAnsi="Arial" w:cs="Arial"/>
        </w:rPr>
        <w:t xml:space="preserve">provides background information about the project and identifies </w:t>
      </w:r>
      <w:r w:rsidRPr="00446928">
        <w:rPr>
          <w:rFonts w:ascii="Arial" w:eastAsia="Times New Roman" w:hAnsi="Arial" w:cs="Arial"/>
        </w:rPr>
        <w:t xml:space="preserve">issues and questions </w:t>
      </w:r>
      <w:r w:rsidR="001E7638" w:rsidRPr="00446928">
        <w:rPr>
          <w:rFonts w:ascii="Arial" w:eastAsia="Times New Roman" w:hAnsi="Arial" w:cs="Arial"/>
        </w:rPr>
        <w:t xml:space="preserve">for further analysis and consultation. </w:t>
      </w:r>
      <w:r w:rsidRPr="00446928">
        <w:rPr>
          <w:rFonts w:ascii="Arial" w:eastAsia="Times New Roman" w:hAnsi="Arial" w:cs="Arial"/>
        </w:rPr>
        <w:t xml:space="preserve">It </w:t>
      </w:r>
      <w:r w:rsidR="001E7638" w:rsidRPr="00446928">
        <w:rPr>
          <w:rFonts w:ascii="Arial" w:eastAsia="Times New Roman" w:hAnsi="Arial" w:cs="Arial"/>
        </w:rPr>
        <w:t>does not present finalised research, nor does it articulate the Commission</w:t>
      </w:r>
      <w:r w:rsidR="00F87239">
        <w:rPr>
          <w:rFonts w:ascii="Arial" w:eastAsia="Times New Roman" w:hAnsi="Arial" w:cs="Arial"/>
        </w:rPr>
        <w:t>’</w:t>
      </w:r>
      <w:r w:rsidR="001E7638" w:rsidRPr="00446928">
        <w:rPr>
          <w:rFonts w:ascii="Arial" w:eastAsia="Times New Roman" w:hAnsi="Arial" w:cs="Arial"/>
        </w:rPr>
        <w:t>s final position on any of the issues raised.</w:t>
      </w:r>
    </w:p>
    <w:p w14:paraId="4AFD5080" w14:textId="7777777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Consultation Paper includes a number of questions to assist </w:t>
      </w:r>
      <w:r w:rsidR="008F41D7" w:rsidRPr="00446928">
        <w:rPr>
          <w:rFonts w:ascii="Arial" w:eastAsia="Times New Roman" w:hAnsi="Arial" w:cs="Arial"/>
        </w:rPr>
        <w:t xml:space="preserve">individuals </w:t>
      </w:r>
      <w:r w:rsidRPr="00446928">
        <w:rPr>
          <w:rFonts w:ascii="Arial" w:eastAsia="Times New Roman" w:hAnsi="Arial" w:cs="Arial"/>
        </w:rPr>
        <w:t xml:space="preserve">and organisations who would like to </w:t>
      </w:r>
      <w:r w:rsidR="008F41D7" w:rsidRPr="00446928">
        <w:rPr>
          <w:rFonts w:ascii="Arial" w:eastAsia="Times New Roman" w:hAnsi="Arial" w:cs="Arial"/>
        </w:rPr>
        <w:t>provide input for this project</w:t>
      </w:r>
      <w:r w:rsidRPr="00446928">
        <w:rPr>
          <w:rFonts w:ascii="Arial" w:eastAsia="Times New Roman" w:hAnsi="Arial" w:cs="Arial"/>
        </w:rPr>
        <w:t xml:space="preserve">. Those wanting to provide input do not need to </w:t>
      </w:r>
      <w:proofErr w:type="gramStart"/>
      <w:r w:rsidRPr="00446928">
        <w:rPr>
          <w:rFonts w:ascii="Arial" w:eastAsia="Times New Roman" w:hAnsi="Arial" w:cs="Arial"/>
        </w:rPr>
        <w:t>be limited</w:t>
      </w:r>
      <w:proofErr w:type="gramEnd"/>
      <w:r w:rsidRPr="00446928">
        <w:rPr>
          <w:rFonts w:ascii="Arial" w:eastAsia="Times New Roman" w:hAnsi="Arial" w:cs="Arial"/>
        </w:rPr>
        <w:t xml:space="preserve"> by the questions. </w:t>
      </w:r>
    </w:p>
    <w:p w14:paraId="73061D0F"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2" w:name="_Toc507585849"/>
      <w:bookmarkStart w:id="3" w:name="_Toc518984780"/>
      <w:r w:rsidRPr="00446928">
        <w:rPr>
          <w:rFonts w:ascii="Arial" w:hAnsi="Arial" w:cs="Arial"/>
          <w:b/>
          <w:bCs/>
          <w:sz w:val="28"/>
          <w:szCs w:val="28"/>
        </w:rPr>
        <w:t>About the project</w:t>
      </w:r>
      <w:bookmarkEnd w:id="2"/>
      <w:bookmarkEnd w:id="3"/>
    </w:p>
    <w:p w14:paraId="4C95AB21"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4" w:name="_Toc507585850"/>
      <w:bookmarkStart w:id="5" w:name="_Toc518984781"/>
      <w:r w:rsidRPr="00446928">
        <w:rPr>
          <w:rFonts w:ascii="Arial" w:hAnsi="Arial" w:cs="Arial"/>
          <w:b/>
          <w:i/>
          <w:color w:val="000000"/>
        </w:rPr>
        <w:t>Background</w:t>
      </w:r>
      <w:bookmarkEnd w:id="4"/>
      <w:bookmarkEnd w:id="5"/>
    </w:p>
    <w:p w14:paraId="2EE65B11" w14:textId="70EA7C74" w:rsidR="00BA7CF9" w:rsidRPr="00D51FE8" w:rsidRDefault="00272877" w:rsidP="00BA7CF9">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Terminology in this area </w:t>
      </w:r>
      <w:proofErr w:type="gramStart"/>
      <w:r w:rsidRPr="00446928">
        <w:rPr>
          <w:rFonts w:ascii="Arial" w:eastAsia="Times New Roman" w:hAnsi="Arial" w:cs="Arial"/>
        </w:rPr>
        <w:t>is contested</w:t>
      </w:r>
      <w:proofErr w:type="gramEnd"/>
      <w:r w:rsidRPr="00446928">
        <w:rPr>
          <w:rFonts w:ascii="Arial" w:eastAsia="Times New Roman" w:hAnsi="Arial" w:cs="Arial"/>
        </w:rPr>
        <w:t>.</w:t>
      </w:r>
      <w:r w:rsidR="00D1420F" w:rsidRPr="00446928">
        <w:rPr>
          <w:rFonts w:ascii="Arial" w:eastAsia="Times New Roman" w:hAnsi="Arial" w:cs="Arial"/>
        </w:rPr>
        <w:t xml:space="preserve"> This Consultation Paper primarily uses the term </w:t>
      </w:r>
      <w:r w:rsidR="00F87239">
        <w:rPr>
          <w:rFonts w:ascii="Arial" w:eastAsia="Times New Roman" w:hAnsi="Arial" w:cs="Arial"/>
        </w:rPr>
        <w:t>‘</w:t>
      </w:r>
      <w:r w:rsidR="00241C46">
        <w:rPr>
          <w:rFonts w:ascii="Arial" w:eastAsia="Times New Roman" w:hAnsi="Arial" w:cs="Arial"/>
        </w:rPr>
        <w:t>people born with</w:t>
      </w:r>
      <w:r w:rsidR="00D1420F" w:rsidRPr="00446928">
        <w:rPr>
          <w:rFonts w:ascii="Arial" w:eastAsia="Times New Roman" w:hAnsi="Arial" w:cs="Arial"/>
        </w:rPr>
        <w:t xml:space="preserve"> variations in sex characteristics</w:t>
      </w:r>
      <w:r w:rsidR="00F87239">
        <w:rPr>
          <w:rFonts w:ascii="Arial" w:eastAsia="Times New Roman" w:hAnsi="Arial" w:cs="Arial"/>
        </w:rPr>
        <w:t>’</w:t>
      </w:r>
      <w:r w:rsidR="00D1420F" w:rsidRPr="00446928">
        <w:rPr>
          <w:rFonts w:ascii="Arial" w:eastAsia="Times New Roman" w:hAnsi="Arial" w:cs="Arial"/>
        </w:rPr>
        <w:t xml:space="preserve"> to describe </w:t>
      </w:r>
      <w:r w:rsidR="00F25AD4">
        <w:rPr>
          <w:rFonts w:ascii="Arial" w:eastAsia="Times New Roman" w:hAnsi="Arial" w:cs="Arial"/>
        </w:rPr>
        <w:t>the population</w:t>
      </w:r>
      <w:r w:rsidR="00F25AD4" w:rsidRPr="00446928">
        <w:rPr>
          <w:rFonts w:ascii="Arial" w:eastAsia="Times New Roman" w:hAnsi="Arial" w:cs="Arial"/>
        </w:rPr>
        <w:t xml:space="preserve"> </w:t>
      </w:r>
      <w:r w:rsidR="00D1420F" w:rsidRPr="00446928">
        <w:rPr>
          <w:rFonts w:ascii="Arial" w:eastAsia="Times New Roman" w:hAnsi="Arial" w:cs="Arial"/>
        </w:rPr>
        <w:t xml:space="preserve">whose experience and human rights </w:t>
      </w:r>
      <w:r w:rsidR="00F25AD4">
        <w:rPr>
          <w:rFonts w:ascii="Arial" w:eastAsia="Times New Roman" w:hAnsi="Arial" w:cs="Arial"/>
        </w:rPr>
        <w:t>are the focus of this project</w:t>
      </w:r>
      <w:r w:rsidR="00D1420F" w:rsidRPr="00446928">
        <w:rPr>
          <w:rFonts w:ascii="Arial" w:eastAsia="Times New Roman" w:hAnsi="Arial" w:cs="Arial"/>
        </w:rPr>
        <w:t>. Other terms that are generally understood to refer to th</w:t>
      </w:r>
      <w:r w:rsidR="00D51FE8">
        <w:rPr>
          <w:rFonts w:ascii="Arial" w:eastAsia="Times New Roman" w:hAnsi="Arial" w:cs="Arial"/>
        </w:rPr>
        <w:t xml:space="preserve">e same group of people include </w:t>
      </w:r>
      <w:r w:rsidR="00F87239">
        <w:rPr>
          <w:rFonts w:ascii="Arial" w:eastAsia="Times New Roman" w:hAnsi="Arial" w:cs="Arial"/>
        </w:rPr>
        <w:t>‘</w:t>
      </w:r>
      <w:r w:rsidR="00D51FE8" w:rsidRPr="00446928">
        <w:rPr>
          <w:rFonts w:ascii="Arial" w:eastAsia="Times New Roman" w:hAnsi="Arial" w:cs="Arial"/>
        </w:rPr>
        <w:t>intersex conditions</w:t>
      </w:r>
      <w:r w:rsidR="00F87239">
        <w:rPr>
          <w:rFonts w:ascii="Arial" w:eastAsia="Times New Roman" w:hAnsi="Arial" w:cs="Arial"/>
        </w:rPr>
        <w:t>’</w:t>
      </w:r>
      <w:r w:rsidR="00D51FE8" w:rsidRPr="00446928">
        <w:rPr>
          <w:rFonts w:ascii="Arial" w:eastAsia="Times New Roman" w:hAnsi="Arial" w:cs="Arial"/>
        </w:rPr>
        <w:t xml:space="preserve">, </w:t>
      </w:r>
      <w:r w:rsidR="00F87239">
        <w:rPr>
          <w:rFonts w:ascii="Arial" w:eastAsia="Times New Roman" w:hAnsi="Arial" w:cs="Arial"/>
        </w:rPr>
        <w:t>‘</w:t>
      </w:r>
      <w:r w:rsidR="00D51FE8" w:rsidRPr="00446928">
        <w:rPr>
          <w:rFonts w:ascii="Arial" w:eastAsia="Times New Roman" w:hAnsi="Arial" w:cs="Arial"/>
        </w:rPr>
        <w:t>intersex variations</w:t>
      </w:r>
      <w:r w:rsidR="00F87239">
        <w:rPr>
          <w:rFonts w:ascii="Arial" w:eastAsia="Times New Roman" w:hAnsi="Arial" w:cs="Arial"/>
        </w:rPr>
        <w:t>’</w:t>
      </w:r>
      <w:r w:rsidR="00D51FE8" w:rsidRPr="00446928">
        <w:rPr>
          <w:rFonts w:ascii="Arial" w:eastAsia="Times New Roman" w:hAnsi="Arial" w:cs="Arial"/>
        </w:rPr>
        <w:t xml:space="preserve">, </w:t>
      </w:r>
      <w:r w:rsidR="00F87239">
        <w:rPr>
          <w:rFonts w:ascii="Arial" w:eastAsia="Times New Roman" w:hAnsi="Arial" w:cs="Arial"/>
        </w:rPr>
        <w:t>‘</w:t>
      </w:r>
      <w:r w:rsidR="00D51FE8" w:rsidRPr="00446928">
        <w:rPr>
          <w:rFonts w:ascii="Arial" w:eastAsia="Times New Roman" w:hAnsi="Arial" w:cs="Arial"/>
        </w:rPr>
        <w:t>disorders of sex development</w:t>
      </w:r>
      <w:r w:rsidR="00F87239">
        <w:rPr>
          <w:rFonts w:ascii="Arial" w:eastAsia="Times New Roman" w:hAnsi="Arial" w:cs="Arial"/>
        </w:rPr>
        <w:t>’</w:t>
      </w:r>
      <w:r w:rsidR="00D51FE8" w:rsidRPr="00446928">
        <w:rPr>
          <w:rFonts w:ascii="Arial" w:eastAsia="Times New Roman" w:hAnsi="Arial" w:cs="Arial"/>
        </w:rPr>
        <w:t xml:space="preserve"> and </w:t>
      </w:r>
      <w:r w:rsidR="00F87239">
        <w:rPr>
          <w:rFonts w:ascii="Arial" w:eastAsia="Times New Roman" w:hAnsi="Arial" w:cs="Arial"/>
        </w:rPr>
        <w:t>‘</w:t>
      </w:r>
      <w:r w:rsidR="00D51FE8" w:rsidRPr="00446928">
        <w:rPr>
          <w:rFonts w:ascii="Arial" w:eastAsia="Times New Roman" w:hAnsi="Arial" w:cs="Arial"/>
        </w:rPr>
        <w:t>differences of sex development</w:t>
      </w:r>
      <w:r w:rsidR="00F87239">
        <w:rPr>
          <w:rFonts w:ascii="Arial" w:eastAsia="Times New Roman" w:hAnsi="Arial" w:cs="Arial"/>
        </w:rPr>
        <w:t>’</w:t>
      </w:r>
      <w:r w:rsidR="00D51FE8" w:rsidRPr="00446928">
        <w:rPr>
          <w:rFonts w:ascii="Arial" w:eastAsia="Times New Roman" w:hAnsi="Arial" w:cs="Arial"/>
        </w:rPr>
        <w:t xml:space="preserve"> (DSD).</w:t>
      </w:r>
      <w:r w:rsidR="00D51FE8" w:rsidRPr="00030F1B">
        <w:rPr>
          <w:rStyle w:val="EndnoteReference"/>
          <w:rFonts w:eastAsia="Times New Roman" w:cs="Arial"/>
        </w:rPr>
        <w:endnoteReference w:id="1"/>
      </w:r>
      <w:r w:rsidR="00D1420F" w:rsidRPr="00446928">
        <w:rPr>
          <w:rFonts w:ascii="Arial" w:eastAsia="Times New Roman" w:hAnsi="Arial" w:cs="Arial"/>
        </w:rPr>
        <w:t xml:space="preserve"> The issue of terminology </w:t>
      </w:r>
      <w:proofErr w:type="gramStart"/>
      <w:r w:rsidR="00D1420F" w:rsidRPr="00446928">
        <w:rPr>
          <w:rFonts w:ascii="Arial" w:eastAsia="Times New Roman" w:hAnsi="Arial" w:cs="Arial"/>
        </w:rPr>
        <w:t>is addressed</w:t>
      </w:r>
      <w:proofErr w:type="gramEnd"/>
      <w:r w:rsidR="00D1420F" w:rsidRPr="00446928">
        <w:rPr>
          <w:rFonts w:ascii="Arial" w:eastAsia="Times New Roman" w:hAnsi="Arial" w:cs="Arial"/>
        </w:rPr>
        <w:t xml:space="preserve"> in detail </w:t>
      </w:r>
      <w:r w:rsidR="00D1420F" w:rsidRPr="00D51FE8">
        <w:rPr>
          <w:rFonts w:ascii="Arial" w:eastAsia="Times New Roman" w:hAnsi="Arial" w:cs="Arial"/>
        </w:rPr>
        <w:t>in</w:t>
      </w:r>
      <w:r w:rsidR="00D51FE8">
        <w:rPr>
          <w:rFonts w:ascii="Arial" w:eastAsia="Times New Roman" w:hAnsi="Arial" w:cs="Arial"/>
        </w:rPr>
        <w:t xml:space="preserve"> part</w:t>
      </w:r>
      <w:r w:rsidR="00D1420F" w:rsidRPr="00D51FE8">
        <w:rPr>
          <w:rFonts w:ascii="Arial" w:eastAsia="Times New Roman" w:hAnsi="Arial" w:cs="Arial"/>
        </w:rPr>
        <w:t xml:space="preserve"> </w:t>
      </w:r>
      <w:r w:rsidR="00D51FE8">
        <w:rPr>
          <w:rFonts w:ascii="Arial" w:eastAsia="Times New Roman" w:hAnsi="Arial" w:cs="Arial"/>
        </w:rPr>
        <w:fldChar w:fldCharType="begin"/>
      </w:r>
      <w:r w:rsidR="00D51FE8">
        <w:rPr>
          <w:rFonts w:ascii="Arial" w:eastAsia="Times New Roman" w:hAnsi="Arial" w:cs="Arial"/>
        </w:rPr>
        <w:instrText xml:space="preserve"> REF _Ref504382911 \r \h </w:instrText>
      </w:r>
      <w:r w:rsidR="00D51FE8">
        <w:rPr>
          <w:rFonts w:ascii="Arial" w:eastAsia="Times New Roman" w:hAnsi="Arial" w:cs="Arial"/>
        </w:rPr>
      </w:r>
      <w:r w:rsidR="00D51FE8">
        <w:rPr>
          <w:rFonts w:ascii="Arial" w:eastAsia="Times New Roman" w:hAnsi="Arial" w:cs="Arial"/>
        </w:rPr>
        <w:fldChar w:fldCharType="separate"/>
      </w:r>
      <w:r w:rsidR="0075464F">
        <w:rPr>
          <w:rFonts w:ascii="Arial" w:eastAsia="Times New Roman" w:hAnsi="Arial" w:cs="Arial"/>
        </w:rPr>
        <w:t>3</w:t>
      </w:r>
      <w:r w:rsidR="00D51FE8">
        <w:rPr>
          <w:rFonts w:ascii="Arial" w:eastAsia="Times New Roman" w:hAnsi="Arial" w:cs="Arial"/>
        </w:rPr>
        <w:fldChar w:fldCharType="end"/>
      </w:r>
      <w:r w:rsidR="00D51FE8">
        <w:rPr>
          <w:rFonts w:ascii="Arial" w:eastAsia="Times New Roman" w:hAnsi="Arial" w:cs="Arial"/>
        </w:rPr>
        <w:t xml:space="preserve"> </w:t>
      </w:r>
      <w:r w:rsidR="00D1420F" w:rsidRPr="00D51FE8">
        <w:rPr>
          <w:rFonts w:ascii="Arial" w:eastAsia="Times New Roman" w:hAnsi="Arial" w:cs="Arial"/>
        </w:rPr>
        <w:t>below</w:t>
      </w:r>
      <w:r w:rsidR="00D1420F" w:rsidRPr="00446928">
        <w:rPr>
          <w:rFonts w:ascii="Arial" w:eastAsia="Times New Roman" w:hAnsi="Arial" w:cs="Arial"/>
        </w:rPr>
        <w:t>.</w:t>
      </w:r>
    </w:p>
    <w:p w14:paraId="4BCF49F2" w14:textId="651922CF" w:rsidR="001E7638" w:rsidRPr="00446928" w:rsidRDefault="00241C46"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People born with</w:t>
      </w:r>
      <w:r w:rsidR="001E7638" w:rsidRPr="00446928">
        <w:rPr>
          <w:rFonts w:ascii="Arial" w:eastAsia="Times New Roman" w:hAnsi="Arial" w:cs="Arial"/>
        </w:rPr>
        <w:t xml:space="preserve"> variations in sex characteristics in Australia have increasingly raised concerns about human rights violations with the Commission, the Australian Government and the United Nations (UN), </w:t>
      </w:r>
      <w:r w:rsidR="00B53FF8">
        <w:rPr>
          <w:rFonts w:ascii="Arial" w:eastAsia="Times New Roman" w:hAnsi="Arial" w:cs="Arial"/>
        </w:rPr>
        <w:t xml:space="preserve">especially </w:t>
      </w:r>
      <w:r w:rsidR="001E7638" w:rsidRPr="00446928">
        <w:rPr>
          <w:rFonts w:ascii="Arial" w:eastAsia="Times New Roman" w:hAnsi="Arial" w:cs="Arial"/>
        </w:rPr>
        <w:t xml:space="preserve">in relation to medical interventions conducted without the full and informed consent of the person </w:t>
      </w:r>
      <w:r w:rsidR="008F41D7" w:rsidRPr="00446928">
        <w:rPr>
          <w:rFonts w:ascii="Arial" w:eastAsia="Times New Roman" w:hAnsi="Arial" w:cs="Arial"/>
        </w:rPr>
        <w:t>involved</w:t>
      </w:r>
      <w:r w:rsidR="001E7638" w:rsidRPr="00446928">
        <w:rPr>
          <w:rFonts w:ascii="Arial" w:eastAsia="Times New Roman" w:hAnsi="Arial" w:cs="Arial"/>
        </w:rPr>
        <w:t>.</w:t>
      </w:r>
      <w:r w:rsidR="00151FCE" w:rsidRPr="00446928">
        <w:rPr>
          <w:rFonts w:ascii="Arial" w:eastAsia="Times New Roman" w:hAnsi="Arial" w:cs="Arial"/>
          <w:vertAlign w:val="superscript"/>
        </w:rPr>
        <w:endnoteReference w:id="2"/>
      </w:r>
      <w:r w:rsidR="00151FCE" w:rsidRPr="00446928">
        <w:rPr>
          <w:rFonts w:ascii="Arial" w:eastAsia="Times New Roman" w:hAnsi="Arial" w:cs="Arial"/>
          <w:vertAlign w:val="superscript"/>
        </w:rPr>
        <w:t xml:space="preserve"> </w:t>
      </w:r>
      <w:r w:rsidR="00F91174">
        <w:rPr>
          <w:rFonts w:ascii="Arial" w:eastAsia="Times New Roman" w:hAnsi="Arial" w:cs="Arial"/>
        </w:rPr>
        <w:t xml:space="preserve">Infants and children </w:t>
      </w:r>
      <w:r w:rsidR="002F1E74">
        <w:rPr>
          <w:rFonts w:ascii="Arial" w:eastAsia="Times New Roman" w:hAnsi="Arial" w:cs="Arial"/>
        </w:rPr>
        <w:t>are at particular</w:t>
      </w:r>
      <w:r w:rsidR="00F91174">
        <w:rPr>
          <w:rFonts w:ascii="Arial" w:eastAsia="Times New Roman" w:hAnsi="Arial" w:cs="Arial"/>
        </w:rPr>
        <w:t xml:space="preserve"> risk</w:t>
      </w:r>
      <w:r w:rsidR="002F1E74">
        <w:rPr>
          <w:rFonts w:ascii="Arial" w:eastAsia="Times New Roman" w:hAnsi="Arial" w:cs="Arial"/>
        </w:rPr>
        <w:t xml:space="preserve"> of human rights violations. </w:t>
      </w:r>
      <w:r w:rsidR="00F91174">
        <w:rPr>
          <w:rFonts w:ascii="Arial" w:eastAsia="Times New Roman" w:hAnsi="Arial" w:cs="Arial"/>
        </w:rPr>
        <w:t xml:space="preserve">In </w:t>
      </w:r>
      <w:r w:rsidR="001E7638" w:rsidRPr="00446928">
        <w:rPr>
          <w:rFonts w:ascii="Arial" w:eastAsia="Times New Roman" w:hAnsi="Arial" w:cs="Arial"/>
        </w:rPr>
        <w:t>March 2017</w:t>
      </w:r>
      <w:r w:rsidR="008F41D7" w:rsidRPr="00446928">
        <w:rPr>
          <w:rFonts w:ascii="Arial" w:eastAsia="Times New Roman" w:hAnsi="Arial" w:cs="Arial"/>
        </w:rPr>
        <w:t>,</w:t>
      </w:r>
      <w:r w:rsidR="001E7638" w:rsidRPr="00446928">
        <w:rPr>
          <w:rFonts w:ascii="Arial" w:eastAsia="Times New Roman" w:hAnsi="Arial" w:cs="Arial"/>
        </w:rPr>
        <w:t xml:space="preserve"> Australian and Aotearoa / New Zealand intersex organisations and independent advocates issued a joint consensus statement (the Darlington Statement) calling for immediate action to address these concerns, including the criminalisation of deferrable medical interventions and the development of human-rights based lifetime standards of care.</w:t>
      </w:r>
      <w:r w:rsidR="00151FCE" w:rsidRPr="00446928">
        <w:rPr>
          <w:rFonts w:ascii="Arial" w:eastAsia="Times New Roman" w:hAnsi="Arial" w:cs="Arial"/>
          <w:vertAlign w:val="superscript"/>
        </w:rPr>
        <w:endnoteReference w:id="3"/>
      </w:r>
    </w:p>
    <w:p w14:paraId="6A5498DC" w14:textId="15E359C2" w:rsidR="00A16E9D" w:rsidRPr="00664106"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Commission has previously highlighted some of the human rights issues experienced by </w:t>
      </w:r>
      <w:r w:rsidR="00241C46">
        <w:rPr>
          <w:rFonts w:ascii="Arial" w:eastAsia="Times New Roman" w:hAnsi="Arial" w:cs="Arial"/>
        </w:rPr>
        <w:t>people born with</w:t>
      </w:r>
      <w:r w:rsidRPr="00446928">
        <w:rPr>
          <w:rFonts w:ascii="Arial" w:eastAsia="Times New Roman" w:hAnsi="Arial" w:cs="Arial"/>
        </w:rPr>
        <w:t xml:space="preserve"> variations in sex characteristics in reports,</w:t>
      </w:r>
      <w:r w:rsidR="00151FCE" w:rsidRPr="00446928">
        <w:rPr>
          <w:rFonts w:ascii="Arial" w:eastAsia="Times New Roman" w:hAnsi="Arial" w:cs="Arial"/>
          <w:vertAlign w:val="superscript"/>
        </w:rPr>
        <w:endnoteReference w:id="4"/>
      </w:r>
      <w:r w:rsidRPr="00446928">
        <w:rPr>
          <w:rFonts w:ascii="Arial" w:eastAsia="Times New Roman" w:hAnsi="Arial" w:cs="Arial"/>
        </w:rPr>
        <w:t xml:space="preserve"> discussion papers,</w:t>
      </w:r>
      <w:r w:rsidR="00151FCE" w:rsidRPr="00446928">
        <w:rPr>
          <w:rFonts w:ascii="Arial" w:eastAsia="Times New Roman" w:hAnsi="Arial" w:cs="Arial"/>
          <w:vertAlign w:val="superscript"/>
        </w:rPr>
        <w:endnoteReference w:id="5"/>
      </w:r>
      <w:r w:rsidRPr="00446928">
        <w:rPr>
          <w:rFonts w:ascii="Arial" w:eastAsia="Times New Roman" w:hAnsi="Arial" w:cs="Arial"/>
        </w:rPr>
        <w:t xml:space="preserve"> and submissions to government and the UN.</w:t>
      </w:r>
      <w:r w:rsidR="00151FCE" w:rsidRPr="00446928">
        <w:rPr>
          <w:rFonts w:ascii="Arial" w:eastAsia="Times New Roman" w:hAnsi="Arial" w:cs="Arial"/>
          <w:vertAlign w:val="superscript"/>
        </w:rPr>
        <w:endnoteReference w:id="6"/>
      </w:r>
      <w:r w:rsidRPr="00446928">
        <w:rPr>
          <w:rFonts w:ascii="Arial" w:eastAsia="Times New Roman" w:hAnsi="Arial" w:cs="Arial"/>
          <w:vertAlign w:val="superscript"/>
        </w:rPr>
        <w:t xml:space="preserve"> </w:t>
      </w:r>
      <w:r w:rsidRPr="00446928">
        <w:rPr>
          <w:rFonts w:ascii="Arial" w:eastAsia="Times New Roman" w:hAnsi="Arial" w:cs="Arial"/>
        </w:rPr>
        <w:t>In addition, in 2013, the Senate Community Affairs Referenc</w:t>
      </w:r>
      <w:r w:rsidR="00151FCE" w:rsidRPr="00446928">
        <w:rPr>
          <w:rFonts w:ascii="Arial" w:eastAsia="Times New Roman" w:hAnsi="Arial" w:cs="Arial"/>
        </w:rPr>
        <w:t>es Committee (Senate Committee</w:t>
      </w:r>
      <w:r w:rsidRPr="00446928">
        <w:rPr>
          <w:rFonts w:ascii="Arial" w:eastAsia="Times New Roman" w:hAnsi="Arial" w:cs="Arial"/>
        </w:rPr>
        <w:t>) conducted an inquiry into the involuntary or coerced sterilisation of intersex people in Austra</w:t>
      </w:r>
      <w:r w:rsidR="00151FCE" w:rsidRPr="00446928">
        <w:rPr>
          <w:rFonts w:ascii="Arial" w:eastAsia="Times New Roman" w:hAnsi="Arial" w:cs="Arial"/>
        </w:rPr>
        <w:t xml:space="preserve">lia </w:t>
      </w:r>
      <w:r w:rsidR="00127AE8">
        <w:rPr>
          <w:rFonts w:ascii="Arial" w:eastAsia="Times New Roman" w:hAnsi="Arial" w:cs="Arial"/>
        </w:rPr>
        <w:t>(</w:t>
      </w:r>
      <w:r w:rsidR="00F87239">
        <w:rPr>
          <w:rFonts w:ascii="Arial" w:eastAsia="Times New Roman" w:hAnsi="Arial" w:cs="Arial"/>
        </w:rPr>
        <w:t>‘</w:t>
      </w:r>
      <w:r w:rsidRPr="00446928">
        <w:rPr>
          <w:rFonts w:ascii="Arial" w:eastAsia="Times New Roman" w:hAnsi="Arial" w:cs="Arial"/>
        </w:rPr>
        <w:t>Senate Committee Inquiry</w:t>
      </w:r>
      <w:r w:rsidR="00F87239">
        <w:rPr>
          <w:rFonts w:ascii="Arial" w:eastAsia="Times New Roman" w:hAnsi="Arial" w:cs="Arial"/>
        </w:rPr>
        <w:t>’</w:t>
      </w:r>
      <w:r w:rsidRPr="00446928">
        <w:rPr>
          <w:rFonts w:ascii="Arial" w:eastAsia="Times New Roman" w:hAnsi="Arial" w:cs="Arial"/>
        </w:rPr>
        <w:t xml:space="preserve">). In its final report, the </w:t>
      </w:r>
      <w:r w:rsidR="001B1E43">
        <w:rPr>
          <w:rFonts w:ascii="Arial" w:eastAsia="Times New Roman" w:hAnsi="Arial" w:cs="Arial"/>
        </w:rPr>
        <w:t xml:space="preserve">Senate </w:t>
      </w:r>
      <w:r w:rsidRPr="00446928">
        <w:rPr>
          <w:rFonts w:ascii="Arial" w:eastAsia="Times New Roman" w:hAnsi="Arial" w:cs="Arial"/>
        </w:rPr>
        <w:t xml:space="preserve">Committee made a number of recommendations </w:t>
      </w:r>
      <w:proofErr w:type="gramStart"/>
      <w:r w:rsidRPr="00446928">
        <w:rPr>
          <w:rFonts w:ascii="Arial" w:eastAsia="Times New Roman" w:hAnsi="Arial" w:cs="Arial"/>
        </w:rPr>
        <w:t>to better protect</w:t>
      </w:r>
      <w:proofErr w:type="gramEnd"/>
      <w:r w:rsidRPr="00446928">
        <w:rPr>
          <w:rFonts w:ascii="Arial" w:eastAsia="Times New Roman" w:hAnsi="Arial" w:cs="Arial"/>
        </w:rPr>
        <w:t xml:space="preserve"> the human rights of intersex people</w:t>
      </w:r>
      <w:r w:rsidR="00D1420F" w:rsidRPr="00446928">
        <w:rPr>
          <w:rFonts w:ascii="Arial" w:eastAsia="Times New Roman" w:hAnsi="Arial" w:cs="Arial"/>
        </w:rPr>
        <w:t>.</w:t>
      </w:r>
      <w:r w:rsidR="00151FCE" w:rsidRPr="00446928">
        <w:rPr>
          <w:rFonts w:ascii="Arial" w:eastAsia="Times New Roman" w:hAnsi="Arial" w:cs="Arial"/>
          <w:vertAlign w:val="superscript"/>
        </w:rPr>
        <w:endnoteReference w:id="7"/>
      </w:r>
    </w:p>
    <w:p w14:paraId="4A7928DB" w14:textId="560DBAE3" w:rsidR="001E7638" w:rsidRPr="00446928" w:rsidRDefault="00A16E9D"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its formal response in May 2015, the Australian Government welcomed</w:t>
      </w:r>
      <w:r w:rsidR="00875ABE" w:rsidRPr="00446928">
        <w:rPr>
          <w:rFonts w:ascii="Arial" w:eastAsia="Times New Roman" w:hAnsi="Arial" w:cs="Arial"/>
        </w:rPr>
        <w:t xml:space="preserve"> the report</w:t>
      </w:r>
      <w:r w:rsidRPr="00446928">
        <w:rPr>
          <w:rFonts w:ascii="Arial" w:eastAsia="Times New Roman" w:hAnsi="Arial" w:cs="Arial"/>
        </w:rPr>
        <w:t xml:space="preserve"> and recognise</w:t>
      </w:r>
      <w:r w:rsidR="00763F34">
        <w:rPr>
          <w:rFonts w:ascii="Arial" w:eastAsia="Times New Roman" w:hAnsi="Arial" w:cs="Arial"/>
        </w:rPr>
        <w:t>d</w:t>
      </w:r>
      <w:r w:rsidRPr="00446928">
        <w:rPr>
          <w:rFonts w:ascii="Arial" w:eastAsia="Times New Roman" w:hAnsi="Arial" w:cs="Arial"/>
        </w:rPr>
        <w:t xml:space="preserve"> the harm experienced by many people subjected to forced sterilisation. It committed to raising with the states and territories the Senate Committee</w:t>
      </w:r>
      <w:r w:rsidR="00F87239">
        <w:rPr>
          <w:rFonts w:ascii="Arial" w:eastAsia="Times New Roman" w:hAnsi="Arial" w:cs="Arial"/>
        </w:rPr>
        <w:t>’</w:t>
      </w:r>
      <w:r w:rsidRPr="00446928">
        <w:rPr>
          <w:rFonts w:ascii="Arial" w:eastAsia="Times New Roman" w:hAnsi="Arial" w:cs="Arial"/>
        </w:rPr>
        <w:t>s recommendations regarding the legal framework regulating sterilisation for people with disability, with a view to promoting consistency</w:t>
      </w:r>
      <w:r w:rsidR="00D42064">
        <w:rPr>
          <w:rFonts w:ascii="Arial" w:eastAsia="Times New Roman" w:hAnsi="Arial" w:cs="Arial"/>
        </w:rPr>
        <w:t xml:space="preserve"> between Australian jurisdictions</w:t>
      </w:r>
      <w:r w:rsidR="005649A7" w:rsidRPr="00446928">
        <w:rPr>
          <w:rFonts w:ascii="Arial" w:eastAsia="Times New Roman" w:hAnsi="Arial" w:cs="Arial"/>
        </w:rPr>
        <w:t xml:space="preserve">. </w:t>
      </w:r>
      <w:proofErr w:type="gramStart"/>
      <w:r w:rsidR="005649A7" w:rsidRPr="00446928">
        <w:rPr>
          <w:rFonts w:ascii="Arial" w:eastAsia="Times New Roman" w:hAnsi="Arial" w:cs="Arial"/>
        </w:rPr>
        <w:t xml:space="preserve">In respect of </w:t>
      </w:r>
      <w:r w:rsidR="00F87239">
        <w:rPr>
          <w:rFonts w:ascii="Arial" w:eastAsia="Times New Roman" w:hAnsi="Arial" w:cs="Arial"/>
        </w:rPr>
        <w:t>‘</w:t>
      </w:r>
      <w:r w:rsidR="005649A7" w:rsidRPr="00446928">
        <w:rPr>
          <w:rFonts w:ascii="Arial" w:eastAsia="Times New Roman" w:hAnsi="Arial" w:cs="Arial"/>
        </w:rPr>
        <w:t xml:space="preserve">involuntary or coerced </w:t>
      </w:r>
      <w:r w:rsidR="005649A7" w:rsidRPr="00446928">
        <w:rPr>
          <w:rFonts w:ascii="Arial" w:eastAsia="Times New Roman" w:hAnsi="Arial" w:cs="Arial"/>
        </w:rPr>
        <w:lastRenderedPageBreak/>
        <w:t>sterilisation of intersex people</w:t>
      </w:r>
      <w:r w:rsidR="00F87239">
        <w:rPr>
          <w:rFonts w:ascii="Arial" w:eastAsia="Times New Roman" w:hAnsi="Arial" w:cs="Arial"/>
        </w:rPr>
        <w:t>’</w:t>
      </w:r>
      <w:r w:rsidR="005649A7" w:rsidRPr="00446928">
        <w:rPr>
          <w:rFonts w:ascii="Arial" w:eastAsia="Times New Roman" w:hAnsi="Arial" w:cs="Arial"/>
        </w:rPr>
        <w:t>, the Government acknowledged the report</w:t>
      </w:r>
      <w:r w:rsidR="00F87239">
        <w:rPr>
          <w:rFonts w:ascii="Arial" w:eastAsia="Times New Roman" w:hAnsi="Arial" w:cs="Arial"/>
        </w:rPr>
        <w:t>’</w:t>
      </w:r>
      <w:r w:rsidR="005649A7" w:rsidRPr="00446928">
        <w:rPr>
          <w:rFonts w:ascii="Arial" w:eastAsia="Times New Roman" w:hAnsi="Arial" w:cs="Arial"/>
        </w:rPr>
        <w:t xml:space="preserve">s main recommendations and specifically noted the benefit of further research on the desirability of </w:t>
      </w:r>
      <w:r w:rsidR="00F87239">
        <w:rPr>
          <w:rFonts w:ascii="Arial" w:eastAsia="Times New Roman" w:hAnsi="Arial" w:cs="Arial"/>
        </w:rPr>
        <w:t>‘</w:t>
      </w:r>
      <w:r w:rsidR="005649A7" w:rsidRPr="00446928">
        <w:rPr>
          <w:rFonts w:ascii="Arial" w:eastAsia="Times New Roman" w:hAnsi="Arial" w:cs="Arial"/>
        </w:rPr>
        <w:t>bringing the medi</w:t>
      </w:r>
      <w:r w:rsidR="00151FCE" w:rsidRPr="00446928">
        <w:rPr>
          <w:rFonts w:ascii="Arial" w:eastAsia="Times New Roman" w:hAnsi="Arial" w:cs="Arial"/>
        </w:rPr>
        <w:t>c</w:t>
      </w:r>
      <w:r w:rsidR="005649A7" w:rsidRPr="00446928">
        <w:rPr>
          <w:rFonts w:ascii="Arial" w:eastAsia="Times New Roman" w:hAnsi="Arial" w:cs="Arial"/>
        </w:rPr>
        <w:t>al treatment of intersex variations into the jurisdiction of guardianship tribunals</w:t>
      </w:r>
      <w:r w:rsidR="00F87239">
        <w:rPr>
          <w:rFonts w:ascii="Arial" w:eastAsia="Times New Roman" w:hAnsi="Arial" w:cs="Arial"/>
        </w:rPr>
        <w:t>’</w:t>
      </w:r>
      <w:r w:rsidR="005649A7" w:rsidRPr="00446928">
        <w:rPr>
          <w:rFonts w:ascii="Arial" w:eastAsia="Times New Roman" w:hAnsi="Arial" w:cs="Arial"/>
        </w:rPr>
        <w:t xml:space="preserve"> and/or the Family Court of Australia</w:t>
      </w:r>
      <w:r w:rsidR="00FE04CC">
        <w:rPr>
          <w:rFonts w:ascii="Arial" w:eastAsia="Times New Roman" w:hAnsi="Arial" w:cs="Arial"/>
        </w:rPr>
        <w:t>, but</w:t>
      </w:r>
      <w:r w:rsidR="002C4AC8">
        <w:rPr>
          <w:rFonts w:ascii="Arial" w:eastAsia="Times New Roman" w:hAnsi="Arial" w:cs="Arial"/>
        </w:rPr>
        <w:t xml:space="preserve"> </w:t>
      </w:r>
      <w:r w:rsidR="005649A7" w:rsidRPr="00446928">
        <w:rPr>
          <w:rFonts w:ascii="Arial" w:eastAsia="Times New Roman" w:hAnsi="Arial" w:cs="Arial"/>
        </w:rPr>
        <w:t xml:space="preserve">did not support </w:t>
      </w:r>
      <w:r w:rsidR="00763F34">
        <w:rPr>
          <w:rFonts w:ascii="Arial" w:eastAsia="Times New Roman" w:hAnsi="Arial" w:cs="Arial"/>
        </w:rPr>
        <w:t>amending</w:t>
      </w:r>
      <w:r w:rsidR="005649A7" w:rsidRPr="00446928">
        <w:rPr>
          <w:rFonts w:ascii="Arial" w:eastAsia="Times New Roman" w:hAnsi="Arial" w:cs="Arial"/>
        </w:rPr>
        <w:t xml:space="preserve"> the </w:t>
      </w:r>
      <w:r w:rsidR="005649A7" w:rsidRPr="00AE749E">
        <w:rPr>
          <w:rFonts w:ascii="Arial" w:eastAsia="Times New Roman" w:hAnsi="Arial" w:cs="Arial"/>
          <w:i/>
        </w:rPr>
        <w:t>Family Law Act</w:t>
      </w:r>
      <w:r w:rsidR="0041112A" w:rsidRPr="00AE749E">
        <w:rPr>
          <w:rFonts w:ascii="Arial" w:eastAsia="Times New Roman" w:hAnsi="Arial" w:cs="Arial"/>
          <w:i/>
        </w:rPr>
        <w:t xml:space="preserve"> 1975</w:t>
      </w:r>
      <w:r w:rsidR="005649A7" w:rsidRPr="00446928">
        <w:rPr>
          <w:rFonts w:ascii="Arial" w:eastAsia="Times New Roman" w:hAnsi="Arial" w:cs="Arial"/>
        </w:rPr>
        <w:t xml:space="preserve"> </w:t>
      </w:r>
      <w:r w:rsidR="000E2A5F">
        <w:rPr>
          <w:rFonts w:ascii="Arial" w:eastAsia="Times New Roman" w:hAnsi="Arial" w:cs="Arial"/>
        </w:rPr>
        <w:t>(</w:t>
      </w:r>
      <w:proofErr w:type="spellStart"/>
      <w:r w:rsidR="000E2A5F">
        <w:rPr>
          <w:rFonts w:ascii="Arial" w:eastAsia="Times New Roman" w:hAnsi="Arial" w:cs="Arial"/>
        </w:rPr>
        <w:t>Cth</w:t>
      </w:r>
      <w:proofErr w:type="spellEnd"/>
      <w:r w:rsidR="000E2A5F">
        <w:rPr>
          <w:rFonts w:ascii="Arial" w:eastAsia="Times New Roman" w:hAnsi="Arial" w:cs="Arial"/>
        </w:rPr>
        <w:t xml:space="preserve">) </w:t>
      </w:r>
      <w:r w:rsidR="005649A7" w:rsidRPr="00446928">
        <w:rPr>
          <w:rFonts w:ascii="Arial" w:eastAsia="Times New Roman" w:hAnsi="Arial" w:cs="Arial"/>
        </w:rPr>
        <w:t>to expand the Family Court</w:t>
      </w:r>
      <w:r w:rsidR="00F87239">
        <w:rPr>
          <w:rFonts w:ascii="Arial" w:eastAsia="Times New Roman" w:hAnsi="Arial" w:cs="Arial"/>
        </w:rPr>
        <w:t>’</w:t>
      </w:r>
      <w:r w:rsidR="005649A7" w:rsidRPr="00446928">
        <w:rPr>
          <w:rFonts w:ascii="Arial" w:eastAsia="Times New Roman" w:hAnsi="Arial" w:cs="Arial"/>
        </w:rPr>
        <w:t>s role</w:t>
      </w:r>
      <w:r w:rsidR="00FE04CC">
        <w:rPr>
          <w:rFonts w:ascii="Arial" w:eastAsia="Times New Roman" w:hAnsi="Arial" w:cs="Arial"/>
        </w:rPr>
        <w:t xml:space="preserve"> at that time</w:t>
      </w:r>
      <w:r w:rsidR="005649A7" w:rsidRPr="00446928">
        <w:rPr>
          <w:rFonts w:ascii="Arial" w:eastAsia="Times New Roman" w:hAnsi="Arial" w:cs="Arial"/>
        </w:rPr>
        <w:t>.</w:t>
      </w:r>
      <w:r w:rsidR="00FE04CC" w:rsidRPr="00FE04CC">
        <w:rPr>
          <w:rStyle w:val="EndnoteReference"/>
          <w:rFonts w:eastAsia="Times New Roman" w:cs="Arial"/>
        </w:rPr>
        <w:t xml:space="preserve"> </w:t>
      </w:r>
      <w:r w:rsidR="00FE04CC">
        <w:rPr>
          <w:rStyle w:val="EndnoteReference"/>
          <w:rFonts w:eastAsia="Times New Roman" w:cs="Arial"/>
        </w:rPr>
        <w:endnoteReference w:id="8"/>
      </w:r>
      <w:proofErr w:type="gramEnd"/>
      <w:r w:rsidR="005649A7" w:rsidRPr="00446928">
        <w:rPr>
          <w:rFonts w:ascii="Arial" w:eastAsia="Times New Roman" w:hAnsi="Arial" w:cs="Arial"/>
        </w:rPr>
        <w:t xml:space="preserve"> Broadly speaking</w:t>
      </w:r>
      <w:r w:rsidR="001E7638" w:rsidRPr="00446928">
        <w:rPr>
          <w:rFonts w:ascii="Arial" w:eastAsia="Times New Roman" w:hAnsi="Arial" w:cs="Arial"/>
        </w:rPr>
        <w:t>,</w:t>
      </w:r>
      <w:r w:rsidR="005649A7" w:rsidRPr="00446928">
        <w:rPr>
          <w:rFonts w:ascii="Arial" w:eastAsia="Times New Roman" w:hAnsi="Arial" w:cs="Arial"/>
        </w:rPr>
        <w:t xml:space="preserve"> </w:t>
      </w:r>
      <w:r w:rsidR="001E7638" w:rsidRPr="00446928">
        <w:rPr>
          <w:rFonts w:ascii="Arial" w:eastAsia="Times New Roman" w:hAnsi="Arial" w:cs="Arial"/>
        </w:rPr>
        <w:t xml:space="preserve">the Australian Government has </w:t>
      </w:r>
      <w:r w:rsidR="005649A7" w:rsidRPr="00446928">
        <w:rPr>
          <w:rFonts w:ascii="Arial" w:eastAsia="Times New Roman" w:hAnsi="Arial" w:cs="Arial"/>
        </w:rPr>
        <w:t>emphasised the responsibility of the states and territories and has not committed to the implementation of particular reform in this area</w:t>
      </w:r>
      <w:r w:rsidR="001E7638" w:rsidRPr="00446928">
        <w:rPr>
          <w:rFonts w:ascii="Arial" w:eastAsia="Times New Roman" w:hAnsi="Arial" w:cs="Arial"/>
        </w:rPr>
        <w:t>.</w:t>
      </w:r>
      <w:r w:rsidR="00151FCE" w:rsidRPr="00446928">
        <w:rPr>
          <w:rStyle w:val="EndnoteReference"/>
          <w:rFonts w:eastAsia="Times New Roman" w:cs="Arial"/>
        </w:rPr>
        <w:endnoteReference w:id="9"/>
      </w:r>
    </w:p>
    <w:p w14:paraId="252139D8" w14:textId="4BC5F5BA" w:rsidR="001E7638" w:rsidRPr="00446928" w:rsidRDefault="001E7638" w:rsidP="001E7638">
      <w:pPr>
        <w:numPr>
          <w:ilvl w:val="0"/>
          <w:numId w:val="15"/>
        </w:numPr>
        <w:spacing w:before="240" w:after="240" w:line="240" w:lineRule="auto"/>
        <w:ind w:hanging="720"/>
        <w:rPr>
          <w:rFonts w:ascii="Arial" w:eastAsia="Times New Roman" w:hAnsi="Arial" w:cs="Arial"/>
        </w:rPr>
      </w:pPr>
      <w:bookmarkStart w:id="6" w:name="_Ref487194389"/>
      <w:r w:rsidRPr="00446928">
        <w:rPr>
          <w:rFonts w:ascii="Arial" w:eastAsia="Times New Roman" w:hAnsi="Arial" w:cs="Arial"/>
        </w:rPr>
        <w:t xml:space="preserve">At the international level, UN treaty bodies, agencies and special rapporteurs have increasingly called on member States to strengthen protections for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446928" w:rsidRPr="00446928">
        <w:rPr>
          <w:rFonts w:ascii="Arial" w:hAnsi="Arial" w:cs="Arial"/>
          <w:sz w:val="20"/>
          <w:vertAlign w:val="superscript"/>
        </w:rPr>
        <w:endnoteReference w:id="10"/>
      </w:r>
      <w:r w:rsidR="00446928" w:rsidRPr="00446928">
        <w:rPr>
          <w:rFonts w:ascii="Arial" w:hAnsi="Arial" w:cs="Arial"/>
          <w:sz w:val="20"/>
          <w:vertAlign w:val="superscript"/>
        </w:rPr>
        <w:t xml:space="preserve"> </w:t>
      </w:r>
      <w:r w:rsidRPr="00446928">
        <w:rPr>
          <w:rFonts w:ascii="Arial" w:eastAsia="Times New Roman" w:hAnsi="Arial" w:cs="Arial"/>
        </w:rPr>
        <w:t xml:space="preserve">For example, in 2013 the Special Rapporteur on Torture </w:t>
      </w:r>
      <w:r w:rsidR="00D746FC" w:rsidRPr="00446928">
        <w:rPr>
          <w:rFonts w:ascii="Arial" w:eastAsia="Times New Roman" w:hAnsi="Arial" w:cs="Arial"/>
          <w:lang w:val="en-GB"/>
        </w:rPr>
        <w:t xml:space="preserve">and Other Cruel, Inhuman or Degrading Treatment or Punishment </w:t>
      </w:r>
      <w:r w:rsidRPr="00446928">
        <w:rPr>
          <w:rFonts w:ascii="Arial" w:eastAsia="Times New Roman" w:hAnsi="Arial" w:cs="Arial"/>
        </w:rPr>
        <w:t>called on all states to</w:t>
      </w:r>
      <w:bookmarkEnd w:id="6"/>
      <w:r w:rsidR="001B1E43">
        <w:rPr>
          <w:rFonts w:ascii="Arial" w:eastAsia="Times New Roman" w:hAnsi="Arial" w:cs="Arial"/>
        </w:rPr>
        <w:t>:</w:t>
      </w:r>
      <w:r w:rsidRPr="00446928">
        <w:rPr>
          <w:rFonts w:ascii="Arial" w:eastAsia="Times New Roman" w:hAnsi="Arial" w:cs="Arial"/>
        </w:rPr>
        <w:t xml:space="preserve"> </w:t>
      </w:r>
    </w:p>
    <w:p w14:paraId="06B4D69C" w14:textId="378BC5CD" w:rsidR="001E7638" w:rsidRPr="00446928" w:rsidRDefault="001E7638" w:rsidP="001E7638">
      <w:pPr>
        <w:ind w:left="1440"/>
        <w:rPr>
          <w:rFonts w:ascii="Arial" w:eastAsia="Times New Roman" w:hAnsi="Arial" w:cs="Arial"/>
        </w:rPr>
      </w:pPr>
      <w:proofErr w:type="gramStart"/>
      <w:r w:rsidRPr="00446928">
        <w:rPr>
          <w:rFonts w:ascii="Arial" w:eastAsia="Times New Roman" w:hAnsi="Arial" w:cs="Arial"/>
        </w:rPr>
        <w:t>repeal</w:t>
      </w:r>
      <w:proofErr w:type="gramEnd"/>
      <w:r w:rsidRPr="00446928">
        <w:rPr>
          <w:rFonts w:ascii="Arial" w:eastAsia="Times New Roman" w:hAnsi="Arial" w:cs="Arial"/>
        </w:rPr>
        <w:t xml:space="preserve"> any law allowing intrusive and irreversible treatments, including forced genital-normalizing surgery … when enforced or administered without the free and informed consent of the person concerned [and] to outlaw forced or coerced sterilization in all circumstances…</w:t>
      </w:r>
      <w:r w:rsidR="00446928" w:rsidRPr="00446928">
        <w:rPr>
          <w:rFonts w:ascii="Arial" w:hAnsi="Arial" w:cs="Arial"/>
          <w:sz w:val="20"/>
          <w:vertAlign w:val="superscript"/>
        </w:rPr>
        <w:endnoteReference w:id="11"/>
      </w:r>
    </w:p>
    <w:p w14:paraId="6299C88E" w14:textId="36ECFA49" w:rsidR="001E7638" w:rsidRPr="00446928" w:rsidRDefault="00274CFC"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w:t>
      </w:r>
      <w:r w:rsidR="001E7638" w:rsidRPr="00446928">
        <w:rPr>
          <w:rFonts w:ascii="Arial" w:eastAsia="Times New Roman" w:hAnsi="Arial" w:cs="Arial"/>
        </w:rPr>
        <w:t>n June 2017</w:t>
      </w:r>
      <w:r w:rsidRPr="00446928">
        <w:rPr>
          <w:rFonts w:ascii="Arial" w:eastAsia="Times New Roman" w:hAnsi="Arial" w:cs="Arial"/>
        </w:rPr>
        <w:t>,</w:t>
      </w:r>
      <w:r w:rsidR="001E7638" w:rsidRPr="00446928">
        <w:rPr>
          <w:rFonts w:ascii="Arial" w:eastAsia="Times New Roman" w:hAnsi="Arial" w:cs="Arial"/>
        </w:rPr>
        <w:t xml:space="preserve"> the Committee on Economic, Social and Cultural Rights recommended that Australia implement the recommendations in the Senate Committee report and report on the involuntary or coerced sterilisation of intersex people in Australia.</w:t>
      </w:r>
      <w:r w:rsidR="00446928" w:rsidRPr="00030F1B">
        <w:rPr>
          <w:rFonts w:ascii="Arial" w:hAnsi="Arial" w:cs="Arial"/>
          <w:sz w:val="20"/>
          <w:vertAlign w:val="superscript"/>
        </w:rPr>
        <w:endnoteReference w:id="12"/>
      </w:r>
      <w:r w:rsidR="001E7638" w:rsidRPr="00446928">
        <w:rPr>
          <w:rFonts w:ascii="Arial" w:eastAsia="Times New Roman" w:hAnsi="Arial" w:cs="Arial"/>
        </w:rPr>
        <w:t xml:space="preserve"> </w:t>
      </w:r>
      <w:r w:rsidRPr="00446928">
        <w:rPr>
          <w:rFonts w:ascii="Arial" w:eastAsia="Times New Roman" w:hAnsi="Arial" w:cs="Arial"/>
        </w:rPr>
        <w:t>I</w:t>
      </w:r>
      <w:r w:rsidR="001E7638" w:rsidRPr="00446928">
        <w:rPr>
          <w:rFonts w:ascii="Arial" w:eastAsia="Times New Roman" w:hAnsi="Arial" w:cs="Arial"/>
        </w:rPr>
        <w:t>n November 2017</w:t>
      </w:r>
      <w:r w:rsidRPr="00446928">
        <w:rPr>
          <w:rFonts w:ascii="Arial" w:eastAsia="Times New Roman" w:hAnsi="Arial" w:cs="Arial"/>
        </w:rPr>
        <w:t>,</w:t>
      </w:r>
      <w:r w:rsidR="001E7638" w:rsidRPr="00446928">
        <w:rPr>
          <w:rFonts w:ascii="Arial" w:eastAsia="Times New Roman" w:hAnsi="Arial" w:cs="Arial"/>
        </w:rPr>
        <w:t xml:space="preserve"> the UN Human Rights Committee recommended that Australia give due consideration to the recommendations in the Senate Committee report</w:t>
      </w:r>
      <w:r w:rsidRPr="00446928">
        <w:rPr>
          <w:rFonts w:ascii="Arial" w:eastAsia="Times New Roman" w:hAnsi="Arial" w:cs="Arial"/>
        </w:rPr>
        <w:t xml:space="preserve"> and </w:t>
      </w:r>
      <w:r w:rsidR="00F87239">
        <w:rPr>
          <w:rFonts w:ascii="Arial" w:eastAsia="Times New Roman" w:hAnsi="Arial" w:cs="Arial"/>
        </w:rPr>
        <w:t>‘</w:t>
      </w:r>
      <w:r w:rsidR="0019148F" w:rsidRPr="00446928">
        <w:rPr>
          <w:rFonts w:ascii="Arial" w:eastAsia="Times New Roman" w:hAnsi="Arial" w:cs="Arial"/>
        </w:rPr>
        <w:t>move to end irreversible medical treatment, especially surgery, of intersex infants and children, who are not yet able to provide fully informed and free consent, unless such procedures constitute an absolute medical necessity</w:t>
      </w:r>
      <w:r w:rsidR="00F87239">
        <w:rPr>
          <w:rFonts w:ascii="Arial" w:eastAsia="Times New Roman" w:hAnsi="Arial" w:cs="Arial"/>
        </w:rPr>
        <w:t>’</w:t>
      </w:r>
      <w:r w:rsidR="001E7638" w:rsidRPr="00446928">
        <w:rPr>
          <w:rFonts w:ascii="Arial" w:eastAsia="Times New Roman" w:hAnsi="Arial" w:cs="Arial"/>
        </w:rPr>
        <w:t>.</w:t>
      </w:r>
      <w:r w:rsidR="00446928" w:rsidRPr="00030F1B">
        <w:rPr>
          <w:rFonts w:ascii="Arial" w:hAnsi="Arial" w:cs="Arial"/>
          <w:sz w:val="20"/>
          <w:vertAlign w:val="superscript"/>
        </w:rPr>
        <w:endnoteReference w:id="13"/>
      </w:r>
    </w:p>
    <w:p w14:paraId="475F1537" w14:textId="1376718F" w:rsidR="00F95D78" w:rsidRDefault="001E7638" w:rsidP="00F95D7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 </w:t>
      </w:r>
      <w:r w:rsidR="0019148F" w:rsidRPr="00446928">
        <w:rPr>
          <w:rFonts w:ascii="Arial" w:eastAsia="Times New Roman" w:hAnsi="Arial" w:cs="Arial"/>
        </w:rPr>
        <w:t>sum</w:t>
      </w:r>
      <w:r w:rsidR="00E93B68">
        <w:rPr>
          <w:rFonts w:ascii="Arial" w:eastAsia="Times New Roman" w:hAnsi="Arial" w:cs="Arial"/>
        </w:rPr>
        <w:t>mary</w:t>
      </w:r>
      <w:r w:rsidRPr="00446928">
        <w:rPr>
          <w:rFonts w:ascii="Arial" w:eastAsia="Times New Roman" w:hAnsi="Arial" w:cs="Arial"/>
        </w:rPr>
        <w:t>,</w:t>
      </w:r>
      <w:r w:rsidR="0019148F" w:rsidRPr="00446928">
        <w:rPr>
          <w:rFonts w:ascii="Arial" w:eastAsia="Times New Roman" w:hAnsi="Arial" w:cs="Arial"/>
        </w:rPr>
        <w:t xml:space="preserve"> there remain concerns about the human</w:t>
      </w:r>
      <w:r w:rsidR="00924AEB">
        <w:rPr>
          <w:rFonts w:ascii="Arial" w:eastAsia="Times New Roman" w:hAnsi="Arial" w:cs="Arial"/>
        </w:rPr>
        <w:t xml:space="preserve"> rights protection available to people </w:t>
      </w:r>
      <w:r w:rsidR="00FE04CC">
        <w:rPr>
          <w:rFonts w:ascii="Arial" w:eastAsia="Times New Roman" w:hAnsi="Arial" w:cs="Arial"/>
        </w:rPr>
        <w:t xml:space="preserve">born </w:t>
      </w:r>
      <w:r w:rsidR="0019148F" w:rsidRPr="00446928">
        <w:rPr>
          <w:rFonts w:ascii="Arial" w:eastAsia="Times New Roman" w:hAnsi="Arial" w:cs="Arial"/>
        </w:rPr>
        <w:t xml:space="preserve">with variations in sex characteristics </w:t>
      </w:r>
      <w:r w:rsidR="00924AEB">
        <w:rPr>
          <w:rFonts w:ascii="Arial" w:eastAsia="Times New Roman" w:hAnsi="Arial" w:cs="Arial"/>
        </w:rPr>
        <w:t>and the impacts of medical interventions, surgical and non-surgical, at various stages in their life, in</w:t>
      </w:r>
      <w:r w:rsidR="00B1550A">
        <w:rPr>
          <w:rFonts w:ascii="Arial" w:eastAsia="Times New Roman" w:hAnsi="Arial" w:cs="Arial"/>
        </w:rPr>
        <w:t>cluding</w:t>
      </w:r>
      <w:r w:rsidR="00924AEB">
        <w:rPr>
          <w:rFonts w:ascii="Arial" w:eastAsia="Times New Roman" w:hAnsi="Arial" w:cs="Arial"/>
        </w:rPr>
        <w:t xml:space="preserve"> infancy, childhood and adulthood</w:t>
      </w:r>
      <w:r w:rsidRPr="00446928">
        <w:rPr>
          <w:rFonts w:ascii="Arial" w:eastAsia="Times New Roman" w:hAnsi="Arial" w:cs="Arial"/>
        </w:rPr>
        <w:t>.</w:t>
      </w:r>
      <w:r w:rsidR="00F95D78" w:rsidRPr="00F95D78">
        <w:rPr>
          <w:rFonts w:ascii="Arial" w:eastAsia="Times New Roman" w:hAnsi="Arial" w:cs="Arial"/>
        </w:rPr>
        <w:t xml:space="preserve"> </w:t>
      </w:r>
      <w:r w:rsidR="00F95D78">
        <w:rPr>
          <w:rFonts w:ascii="Arial" w:eastAsia="Times New Roman" w:hAnsi="Arial" w:cs="Arial"/>
        </w:rPr>
        <w:t>Other human rights issues that are relevant to people born with variations in sex characteristics, but are beyond the scope of this project, include discrimination in education, workplaces and in sport, lack of support and adjustments in educational institutions an</w:t>
      </w:r>
      <w:r w:rsidR="00B52422">
        <w:rPr>
          <w:rFonts w:ascii="Arial" w:eastAsia="Times New Roman" w:hAnsi="Arial" w:cs="Arial"/>
        </w:rPr>
        <w:t>d workplaces and</w:t>
      </w:r>
      <w:r w:rsidR="00F95D78">
        <w:rPr>
          <w:rFonts w:ascii="Arial" w:eastAsia="Times New Roman" w:hAnsi="Arial" w:cs="Arial"/>
        </w:rPr>
        <w:t xml:space="preserve"> issues around legal classifications and documentation. This project </w:t>
      </w:r>
      <w:r w:rsidR="00B52422">
        <w:rPr>
          <w:rFonts w:ascii="Arial" w:eastAsia="Times New Roman" w:hAnsi="Arial" w:cs="Arial"/>
        </w:rPr>
        <w:t>focuses</w:t>
      </w:r>
      <w:r w:rsidR="00F95D78">
        <w:rPr>
          <w:rFonts w:ascii="Arial" w:eastAsia="Times New Roman" w:hAnsi="Arial" w:cs="Arial"/>
        </w:rPr>
        <w:t xml:space="preserve"> on medical interventions and </w:t>
      </w:r>
      <w:r w:rsidR="00050FAB" w:rsidRPr="00F95D78">
        <w:rPr>
          <w:rFonts w:ascii="Arial" w:eastAsia="Times New Roman" w:hAnsi="Arial" w:cs="Arial"/>
        </w:rPr>
        <w:t xml:space="preserve">seeks </w:t>
      </w:r>
      <w:r w:rsidR="0019148F" w:rsidRPr="00F95D78">
        <w:rPr>
          <w:rFonts w:ascii="Arial" w:eastAsia="Times New Roman" w:hAnsi="Arial" w:cs="Arial"/>
        </w:rPr>
        <w:t>to develop recommendations to improve human rights protection</w:t>
      </w:r>
      <w:r w:rsidR="00C11B4D" w:rsidRPr="00F95D78">
        <w:rPr>
          <w:rFonts w:ascii="Arial" w:eastAsia="Times New Roman" w:hAnsi="Arial" w:cs="Arial"/>
        </w:rPr>
        <w:t xml:space="preserve"> within legal frameworks, clinical practices and education</w:t>
      </w:r>
      <w:r w:rsidR="00F87239">
        <w:rPr>
          <w:rFonts w:ascii="Arial" w:eastAsia="Times New Roman" w:hAnsi="Arial" w:cs="Arial"/>
        </w:rPr>
        <w:t xml:space="preserve">. </w:t>
      </w:r>
      <w:r w:rsidR="00553099" w:rsidRPr="00F95D78">
        <w:rPr>
          <w:rFonts w:ascii="Arial" w:eastAsia="Times New Roman" w:hAnsi="Arial" w:cs="Arial"/>
        </w:rPr>
        <w:t xml:space="preserve">While </w:t>
      </w:r>
      <w:r w:rsidR="00F95D78">
        <w:rPr>
          <w:rFonts w:ascii="Arial" w:eastAsia="Times New Roman" w:hAnsi="Arial" w:cs="Arial"/>
        </w:rPr>
        <w:t xml:space="preserve">the Commission recognises that there are many </w:t>
      </w:r>
      <w:proofErr w:type="gramStart"/>
      <w:r w:rsidR="00F95D78">
        <w:rPr>
          <w:rFonts w:ascii="Arial" w:eastAsia="Times New Roman" w:hAnsi="Arial" w:cs="Arial"/>
        </w:rPr>
        <w:t>ways</w:t>
      </w:r>
      <w:proofErr w:type="gramEnd"/>
      <w:r w:rsidR="00F95D78">
        <w:rPr>
          <w:rFonts w:ascii="Arial" w:eastAsia="Times New Roman" w:hAnsi="Arial" w:cs="Arial"/>
        </w:rPr>
        <w:t xml:space="preserve"> in which people can be born with variations in sex characteristics</w:t>
      </w:r>
      <w:r w:rsidR="00553099" w:rsidRPr="00F95D78">
        <w:rPr>
          <w:rFonts w:ascii="Arial" w:eastAsia="Times New Roman" w:hAnsi="Arial" w:cs="Arial"/>
        </w:rPr>
        <w:t>,</w:t>
      </w:r>
      <w:r w:rsidR="00553099">
        <w:rPr>
          <w:rStyle w:val="EndnoteReference"/>
          <w:rFonts w:eastAsia="Times New Roman" w:cs="Arial"/>
        </w:rPr>
        <w:endnoteReference w:id="14"/>
      </w:r>
      <w:r w:rsidR="00F95D78">
        <w:rPr>
          <w:rFonts w:ascii="Arial" w:eastAsia="Times New Roman" w:hAnsi="Arial" w:cs="Arial"/>
        </w:rPr>
        <w:t xml:space="preserve"> </w:t>
      </w:r>
      <w:r w:rsidR="00553099" w:rsidRPr="00F95D78">
        <w:rPr>
          <w:rFonts w:ascii="Arial" w:eastAsia="Times New Roman" w:hAnsi="Arial" w:cs="Arial"/>
        </w:rPr>
        <w:t>the human rig</w:t>
      </w:r>
      <w:r w:rsidR="00445181" w:rsidRPr="00F95D78">
        <w:rPr>
          <w:rFonts w:ascii="Arial" w:eastAsia="Times New Roman" w:hAnsi="Arial" w:cs="Arial"/>
        </w:rPr>
        <w:t>hts issues broadly applicable</w:t>
      </w:r>
      <w:r w:rsidR="00F95D78">
        <w:rPr>
          <w:rFonts w:ascii="Arial" w:eastAsia="Times New Roman" w:hAnsi="Arial" w:cs="Arial"/>
        </w:rPr>
        <w:t xml:space="preserve"> will be considered</w:t>
      </w:r>
      <w:r w:rsidR="00553099" w:rsidRPr="00F95D78">
        <w:rPr>
          <w:rFonts w:ascii="Arial" w:eastAsia="Times New Roman" w:hAnsi="Arial" w:cs="Arial"/>
        </w:rPr>
        <w:t xml:space="preserve"> rather than the intricacies of approaching each </w:t>
      </w:r>
      <w:r w:rsidR="00F95D78">
        <w:rPr>
          <w:rFonts w:ascii="Arial" w:eastAsia="Times New Roman" w:hAnsi="Arial" w:cs="Arial"/>
        </w:rPr>
        <w:t xml:space="preserve">particular </w:t>
      </w:r>
      <w:r w:rsidR="00553099" w:rsidRPr="00F95D78">
        <w:rPr>
          <w:rFonts w:ascii="Arial" w:eastAsia="Times New Roman" w:hAnsi="Arial" w:cs="Arial"/>
        </w:rPr>
        <w:t xml:space="preserve">variation. </w:t>
      </w:r>
      <w:r w:rsidR="0095002C">
        <w:rPr>
          <w:rFonts w:ascii="Arial" w:eastAsia="Times New Roman" w:hAnsi="Arial" w:cs="Arial"/>
        </w:rPr>
        <w:t xml:space="preserve">This is </w:t>
      </w:r>
      <w:r w:rsidR="00A75EB6">
        <w:rPr>
          <w:rFonts w:ascii="Arial" w:eastAsia="Times New Roman" w:hAnsi="Arial" w:cs="Arial"/>
        </w:rPr>
        <w:t xml:space="preserve">because while the management of different variations may vary, the human rights that </w:t>
      </w:r>
      <w:proofErr w:type="gramStart"/>
      <w:r w:rsidR="00835531">
        <w:rPr>
          <w:rFonts w:ascii="Arial" w:eastAsia="Times New Roman" w:hAnsi="Arial" w:cs="Arial"/>
        </w:rPr>
        <w:t>must be</w:t>
      </w:r>
      <w:r w:rsidR="00B52422">
        <w:rPr>
          <w:rFonts w:ascii="Arial" w:eastAsia="Times New Roman" w:hAnsi="Arial" w:cs="Arial"/>
        </w:rPr>
        <w:t xml:space="preserve"> considered and</w:t>
      </w:r>
      <w:r w:rsidR="00835531">
        <w:rPr>
          <w:rFonts w:ascii="Arial" w:eastAsia="Times New Roman" w:hAnsi="Arial" w:cs="Arial"/>
        </w:rPr>
        <w:t xml:space="preserve"> protected</w:t>
      </w:r>
      <w:proofErr w:type="gramEnd"/>
      <w:r w:rsidR="00A75EB6">
        <w:rPr>
          <w:rFonts w:ascii="Arial" w:eastAsia="Times New Roman" w:hAnsi="Arial" w:cs="Arial"/>
        </w:rPr>
        <w:t xml:space="preserve"> are </w:t>
      </w:r>
      <w:r w:rsidR="00C36F38">
        <w:rPr>
          <w:rFonts w:ascii="Arial" w:eastAsia="Times New Roman" w:hAnsi="Arial" w:cs="Arial"/>
        </w:rPr>
        <w:t xml:space="preserve">broadly </w:t>
      </w:r>
      <w:r w:rsidR="00A75EB6">
        <w:rPr>
          <w:rFonts w:ascii="Arial" w:eastAsia="Times New Roman" w:hAnsi="Arial" w:cs="Arial"/>
        </w:rPr>
        <w:t xml:space="preserve">the same. </w:t>
      </w:r>
    </w:p>
    <w:p w14:paraId="62C02037" w14:textId="46EC40F5" w:rsidR="006A3A01" w:rsidRPr="00C36F38" w:rsidRDefault="00C36F38" w:rsidP="00346EF9">
      <w:pPr>
        <w:numPr>
          <w:ilvl w:val="0"/>
          <w:numId w:val="15"/>
        </w:numPr>
        <w:spacing w:before="240" w:after="240" w:line="240" w:lineRule="auto"/>
        <w:ind w:hanging="720"/>
        <w:rPr>
          <w:rFonts w:ascii="Arial" w:eastAsia="Times New Roman" w:hAnsi="Arial" w:cs="Arial"/>
        </w:rPr>
      </w:pPr>
      <w:r>
        <w:rPr>
          <w:rFonts w:ascii="Arial" w:eastAsia="Times New Roman" w:hAnsi="Arial" w:cs="Arial"/>
        </w:rPr>
        <w:t>As noted, t</w:t>
      </w:r>
      <w:r w:rsidR="00D20870" w:rsidRPr="00346EF9">
        <w:rPr>
          <w:rFonts w:ascii="Arial" w:eastAsia="Times New Roman" w:hAnsi="Arial" w:cs="Arial"/>
        </w:rPr>
        <w:t xml:space="preserve">he Commission </w:t>
      </w:r>
      <w:r w:rsidR="00FF32D3" w:rsidRPr="00346EF9">
        <w:rPr>
          <w:rFonts w:ascii="Arial" w:eastAsia="Times New Roman" w:hAnsi="Arial" w:cs="Arial"/>
        </w:rPr>
        <w:t>is taking</w:t>
      </w:r>
      <w:r w:rsidR="006A3A01" w:rsidRPr="00346EF9">
        <w:rPr>
          <w:rFonts w:ascii="Arial" w:eastAsia="Times New Roman" w:hAnsi="Arial" w:cs="Arial"/>
        </w:rPr>
        <w:t xml:space="preserve"> a human rights based approach t</w:t>
      </w:r>
      <w:r w:rsidR="006A3A01" w:rsidRPr="0008001C">
        <w:rPr>
          <w:rFonts w:ascii="Arial" w:eastAsia="Times New Roman" w:hAnsi="Arial" w:cs="Arial"/>
        </w:rPr>
        <w:t>o considering protections for people born with variations</w:t>
      </w:r>
      <w:r w:rsidR="006A3A01" w:rsidRPr="00C36F38">
        <w:rPr>
          <w:rFonts w:ascii="Arial" w:eastAsia="Times New Roman" w:hAnsi="Arial" w:cs="Arial"/>
        </w:rPr>
        <w:t xml:space="preserve"> in sex characteristics. </w:t>
      </w:r>
      <w:r>
        <w:rPr>
          <w:rFonts w:ascii="Arial" w:eastAsia="Times New Roman" w:hAnsi="Arial" w:cs="Arial"/>
        </w:rPr>
        <w:t>E</w:t>
      </w:r>
      <w:r w:rsidR="006A3A01" w:rsidRPr="00C36F38">
        <w:rPr>
          <w:rFonts w:ascii="Arial" w:eastAsia="Times New Roman" w:hAnsi="Arial" w:cs="Arial"/>
        </w:rPr>
        <w:t xml:space="preserve">thical principles </w:t>
      </w:r>
      <w:r w:rsidR="0095002C">
        <w:rPr>
          <w:rFonts w:ascii="Arial" w:eastAsia="Times New Roman" w:hAnsi="Arial" w:cs="Arial"/>
        </w:rPr>
        <w:t>in managing the healthcare of this</w:t>
      </w:r>
      <w:r w:rsidR="005A6151" w:rsidRPr="00C36F38">
        <w:rPr>
          <w:rFonts w:ascii="Arial" w:eastAsia="Times New Roman" w:hAnsi="Arial" w:cs="Arial"/>
        </w:rPr>
        <w:t xml:space="preserve"> population</w:t>
      </w:r>
      <w:r>
        <w:rPr>
          <w:rFonts w:ascii="Arial" w:eastAsia="Times New Roman" w:hAnsi="Arial" w:cs="Arial"/>
        </w:rPr>
        <w:t xml:space="preserve"> </w:t>
      </w:r>
      <w:proofErr w:type="gramStart"/>
      <w:r>
        <w:rPr>
          <w:rFonts w:ascii="Arial" w:eastAsia="Times New Roman" w:hAnsi="Arial" w:cs="Arial"/>
        </w:rPr>
        <w:t>have been developed</w:t>
      </w:r>
      <w:proofErr w:type="gramEnd"/>
      <w:r>
        <w:rPr>
          <w:rFonts w:ascii="Arial" w:eastAsia="Times New Roman" w:hAnsi="Arial" w:cs="Arial"/>
        </w:rPr>
        <w:t xml:space="preserve"> and </w:t>
      </w:r>
      <w:r w:rsidR="00E63562">
        <w:rPr>
          <w:rFonts w:ascii="Arial" w:eastAsia="Times New Roman" w:hAnsi="Arial" w:cs="Arial"/>
        </w:rPr>
        <w:t>their</w:t>
      </w:r>
      <w:r>
        <w:rPr>
          <w:rFonts w:ascii="Arial" w:eastAsia="Times New Roman" w:hAnsi="Arial" w:cs="Arial"/>
        </w:rPr>
        <w:t xml:space="preserve"> application discussed in various texts</w:t>
      </w:r>
      <w:r w:rsidR="00D20870" w:rsidRPr="00C36F38">
        <w:rPr>
          <w:rFonts w:ascii="Arial" w:eastAsia="Times New Roman" w:hAnsi="Arial" w:cs="Arial"/>
        </w:rPr>
        <w:t>,</w:t>
      </w:r>
      <w:r>
        <w:rPr>
          <w:rStyle w:val="EndnoteReference"/>
          <w:rFonts w:eastAsia="Times New Roman" w:cs="Arial"/>
        </w:rPr>
        <w:endnoteReference w:id="15"/>
      </w:r>
      <w:r w:rsidR="00D20870" w:rsidRPr="00C36F38">
        <w:rPr>
          <w:rFonts w:ascii="Arial" w:eastAsia="Times New Roman" w:hAnsi="Arial" w:cs="Arial"/>
        </w:rPr>
        <w:t xml:space="preserve"> </w:t>
      </w:r>
      <w:r>
        <w:rPr>
          <w:rFonts w:ascii="Arial" w:eastAsia="Times New Roman" w:hAnsi="Arial" w:cs="Arial"/>
        </w:rPr>
        <w:t>including ethical principles</w:t>
      </w:r>
      <w:r w:rsidR="00D20870" w:rsidRPr="00C36F38">
        <w:rPr>
          <w:rFonts w:ascii="Arial" w:eastAsia="Times New Roman" w:hAnsi="Arial" w:cs="Arial"/>
        </w:rPr>
        <w:t xml:space="preserve"> by medical professionals in </w:t>
      </w:r>
      <w:r w:rsidRPr="00C36F38">
        <w:rPr>
          <w:rFonts w:ascii="Arial" w:eastAsia="Times New Roman" w:hAnsi="Arial" w:cs="Arial"/>
        </w:rPr>
        <w:t>Melbourne that</w:t>
      </w:r>
      <w:r w:rsidR="00D20870" w:rsidRPr="00C36F38">
        <w:rPr>
          <w:rFonts w:ascii="Arial" w:eastAsia="Times New Roman" w:hAnsi="Arial" w:cs="Arial"/>
        </w:rPr>
        <w:t xml:space="preserve"> have</w:t>
      </w:r>
      <w:r w:rsidR="005A6151" w:rsidRPr="00C36F38">
        <w:rPr>
          <w:rFonts w:ascii="Arial" w:eastAsia="Times New Roman" w:hAnsi="Arial" w:cs="Arial"/>
        </w:rPr>
        <w:t xml:space="preserve"> </w:t>
      </w:r>
      <w:r w:rsidR="00D20870" w:rsidRPr="00C36F38">
        <w:rPr>
          <w:rFonts w:ascii="Arial" w:eastAsia="Times New Roman" w:hAnsi="Arial" w:cs="Arial"/>
        </w:rPr>
        <w:t>been endorsed internationally.</w:t>
      </w:r>
      <w:r w:rsidR="0008001C">
        <w:rPr>
          <w:rStyle w:val="EndnoteReference"/>
          <w:rFonts w:eastAsia="Times New Roman" w:cs="Arial"/>
        </w:rPr>
        <w:endnoteReference w:id="16"/>
      </w:r>
      <w:r w:rsidR="0008001C">
        <w:rPr>
          <w:rFonts w:ascii="Arial" w:eastAsia="Times New Roman" w:hAnsi="Arial" w:cs="Arial"/>
        </w:rPr>
        <w:t xml:space="preserve"> </w:t>
      </w:r>
      <w:r w:rsidR="00E63562">
        <w:rPr>
          <w:rFonts w:ascii="Arial" w:eastAsia="Times New Roman" w:hAnsi="Arial" w:cs="Arial"/>
        </w:rPr>
        <w:t>Other</w:t>
      </w:r>
      <w:r w:rsidR="006A3A01" w:rsidRPr="0008001C">
        <w:rPr>
          <w:rFonts w:ascii="Arial" w:eastAsia="Times New Roman" w:hAnsi="Arial" w:cs="Arial"/>
        </w:rPr>
        <w:t xml:space="preserve"> approaches</w:t>
      </w:r>
      <w:r w:rsidR="00E63562">
        <w:rPr>
          <w:rFonts w:ascii="Arial" w:eastAsia="Times New Roman" w:hAnsi="Arial" w:cs="Arial"/>
        </w:rPr>
        <w:t xml:space="preserve"> have also been considered</w:t>
      </w:r>
      <w:r w:rsidR="006A3A01" w:rsidRPr="0008001C">
        <w:rPr>
          <w:rFonts w:ascii="Arial" w:eastAsia="Times New Roman" w:hAnsi="Arial" w:cs="Arial"/>
        </w:rPr>
        <w:t xml:space="preserve">, for </w:t>
      </w:r>
      <w:proofErr w:type="gramStart"/>
      <w:r w:rsidR="006A3A01" w:rsidRPr="0008001C">
        <w:rPr>
          <w:rFonts w:ascii="Arial" w:eastAsia="Times New Roman" w:hAnsi="Arial" w:cs="Arial"/>
        </w:rPr>
        <w:t>example</w:t>
      </w:r>
      <w:proofErr w:type="gramEnd"/>
      <w:r w:rsidR="006A3A01" w:rsidRPr="0008001C">
        <w:rPr>
          <w:rFonts w:ascii="Arial" w:eastAsia="Times New Roman" w:hAnsi="Arial" w:cs="Arial"/>
        </w:rPr>
        <w:t xml:space="preserve"> the Victorian decision-</w:t>
      </w:r>
      <w:r w:rsidR="006A3A01" w:rsidRPr="00C36F38">
        <w:rPr>
          <w:rFonts w:ascii="Arial" w:eastAsia="Times New Roman" w:hAnsi="Arial" w:cs="Arial"/>
        </w:rPr>
        <w:t>making principles consider</w:t>
      </w:r>
      <w:r w:rsidR="00E63562">
        <w:rPr>
          <w:rFonts w:ascii="Arial" w:eastAsia="Times New Roman" w:hAnsi="Arial" w:cs="Arial"/>
        </w:rPr>
        <w:t xml:space="preserve"> the interconnection between</w:t>
      </w:r>
      <w:r w:rsidR="006A3A01" w:rsidRPr="00C36F38">
        <w:rPr>
          <w:rFonts w:ascii="Arial" w:eastAsia="Times New Roman" w:hAnsi="Arial" w:cs="Arial"/>
        </w:rPr>
        <w:t xml:space="preserve"> principles for supporting patients and parents, medical management, ethical and legal principles</w:t>
      </w:r>
      <w:r w:rsidR="005A6151" w:rsidRPr="00C36F38">
        <w:rPr>
          <w:rFonts w:ascii="Arial" w:eastAsia="Times New Roman" w:hAnsi="Arial" w:cs="Arial"/>
        </w:rPr>
        <w:t>,</w:t>
      </w:r>
      <w:r w:rsidR="006A3A01" w:rsidRPr="00C36F38">
        <w:rPr>
          <w:rFonts w:ascii="Arial" w:eastAsia="Times New Roman" w:hAnsi="Arial" w:cs="Arial"/>
        </w:rPr>
        <w:t xml:space="preserve"> in addit</w:t>
      </w:r>
      <w:r w:rsidR="0008001C" w:rsidRPr="00C36F38">
        <w:rPr>
          <w:rFonts w:ascii="Arial" w:eastAsia="Times New Roman" w:hAnsi="Arial" w:cs="Arial"/>
        </w:rPr>
        <w:t>ion to human rights principles.</w:t>
      </w:r>
      <w:r w:rsidR="0008001C">
        <w:rPr>
          <w:rStyle w:val="EndnoteReference"/>
          <w:rFonts w:eastAsia="Times New Roman" w:cs="Arial"/>
        </w:rPr>
        <w:endnoteReference w:id="17"/>
      </w:r>
      <w:r w:rsidR="005A6151" w:rsidRPr="0008001C">
        <w:rPr>
          <w:rFonts w:ascii="Arial" w:eastAsia="Times New Roman" w:hAnsi="Arial" w:cs="Arial"/>
        </w:rPr>
        <w:t xml:space="preserve"> </w:t>
      </w:r>
      <w:r w:rsidR="005D1E62">
        <w:rPr>
          <w:rFonts w:ascii="Arial" w:eastAsia="Times New Roman" w:hAnsi="Arial" w:cs="Arial"/>
        </w:rPr>
        <w:t>However, t</w:t>
      </w:r>
      <w:r w:rsidR="00FF32D3" w:rsidRPr="0008001C">
        <w:rPr>
          <w:rFonts w:ascii="Arial" w:eastAsia="Times New Roman" w:hAnsi="Arial" w:cs="Arial"/>
        </w:rPr>
        <w:t>he Commission</w:t>
      </w:r>
      <w:r w:rsidR="00F87239">
        <w:rPr>
          <w:rFonts w:ascii="Arial" w:eastAsia="Times New Roman" w:hAnsi="Arial" w:cs="Arial"/>
        </w:rPr>
        <w:t>’</w:t>
      </w:r>
      <w:r w:rsidR="00E63562">
        <w:rPr>
          <w:rFonts w:ascii="Arial" w:eastAsia="Times New Roman" w:hAnsi="Arial" w:cs="Arial"/>
        </w:rPr>
        <w:t xml:space="preserve">s approach will focus on the particular human rights that </w:t>
      </w:r>
      <w:proofErr w:type="gramStart"/>
      <w:r w:rsidR="00E63562">
        <w:rPr>
          <w:rFonts w:ascii="Arial" w:eastAsia="Times New Roman" w:hAnsi="Arial" w:cs="Arial"/>
        </w:rPr>
        <w:t>are engaged</w:t>
      </w:r>
      <w:proofErr w:type="gramEnd"/>
      <w:r w:rsidR="00E63562">
        <w:rPr>
          <w:rFonts w:ascii="Arial" w:eastAsia="Times New Roman" w:hAnsi="Arial" w:cs="Arial"/>
        </w:rPr>
        <w:t xml:space="preserve"> when </w:t>
      </w:r>
      <w:r w:rsidR="00F766B0">
        <w:rPr>
          <w:rFonts w:ascii="Arial" w:eastAsia="Times New Roman" w:hAnsi="Arial" w:cs="Arial"/>
        </w:rPr>
        <w:t>considering</w:t>
      </w:r>
      <w:r w:rsidR="00E63562">
        <w:rPr>
          <w:rFonts w:ascii="Arial" w:eastAsia="Times New Roman" w:hAnsi="Arial" w:cs="Arial"/>
        </w:rPr>
        <w:t xml:space="preserve"> people born with variations in sex characteristics </w:t>
      </w:r>
      <w:r w:rsidR="00F766B0">
        <w:rPr>
          <w:rFonts w:ascii="Arial" w:eastAsia="Times New Roman" w:hAnsi="Arial" w:cs="Arial"/>
        </w:rPr>
        <w:t>in the context of medical interventions, and consider how to best ensure these rights are protected.</w:t>
      </w:r>
    </w:p>
    <w:p w14:paraId="6C8C3C49" w14:textId="6AA997EC" w:rsidR="00E93B68" w:rsidRDefault="0019148F"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lastRenderedPageBreak/>
        <w:t xml:space="preserve">The Commission will conduct its own research and analysis, but </w:t>
      </w:r>
      <w:proofErr w:type="gramStart"/>
      <w:r w:rsidRPr="00446928">
        <w:rPr>
          <w:rFonts w:ascii="Arial" w:eastAsia="Times New Roman" w:hAnsi="Arial" w:cs="Arial"/>
        </w:rPr>
        <w:t>will be</w:t>
      </w:r>
      <w:r w:rsidR="00097EF4">
        <w:rPr>
          <w:rFonts w:ascii="Arial" w:eastAsia="Times New Roman" w:hAnsi="Arial" w:cs="Arial"/>
        </w:rPr>
        <w:t xml:space="preserve"> primarily</w:t>
      </w:r>
      <w:r w:rsidRPr="00446928">
        <w:rPr>
          <w:rFonts w:ascii="Arial" w:eastAsia="Times New Roman" w:hAnsi="Arial" w:cs="Arial"/>
        </w:rPr>
        <w:t xml:space="preserve"> guided</w:t>
      </w:r>
      <w:proofErr w:type="gramEnd"/>
      <w:r w:rsidRPr="00446928">
        <w:rPr>
          <w:rFonts w:ascii="Arial" w:eastAsia="Times New Roman" w:hAnsi="Arial" w:cs="Arial"/>
        </w:rPr>
        <w:t xml:space="preserve"> by community consultation</w:t>
      </w:r>
      <w:r w:rsidR="001E7638" w:rsidRPr="00446928">
        <w:rPr>
          <w:rFonts w:ascii="Arial" w:eastAsia="Times New Roman" w:hAnsi="Arial" w:cs="Arial"/>
        </w:rPr>
        <w:t xml:space="preserve">, </w:t>
      </w:r>
      <w:r w:rsidRPr="00446928">
        <w:rPr>
          <w:rFonts w:ascii="Arial" w:eastAsia="Times New Roman" w:hAnsi="Arial" w:cs="Arial"/>
        </w:rPr>
        <w:t xml:space="preserve">focusing on those most affected, </w:t>
      </w:r>
      <w:r w:rsidR="001E7638" w:rsidRPr="00446928">
        <w:rPr>
          <w:rFonts w:ascii="Arial" w:eastAsia="Times New Roman" w:hAnsi="Arial" w:cs="Arial"/>
        </w:rPr>
        <w:t xml:space="preserve">including </w:t>
      </w:r>
      <w:r w:rsidR="00241C46">
        <w:rPr>
          <w:rFonts w:ascii="Arial" w:eastAsia="Times New Roman" w:hAnsi="Arial" w:cs="Arial"/>
        </w:rPr>
        <w:t>people born with</w:t>
      </w:r>
      <w:r w:rsidR="001E7638" w:rsidRPr="00446928">
        <w:rPr>
          <w:rFonts w:ascii="Arial" w:eastAsia="Times New Roman" w:hAnsi="Arial" w:cs="Arial"/>
        </w:rPr>
        <w:t xml:space="preserve"> variations in sex characteristics, parents and carers, medical practitioners and human rights experts</w:t>
      </w:r>
      <w:r w:rsidRPr="00446928">
        <w:rPr>
          <w:rFonts w:ascii="Arial" w:eastAsia="Times New Roman" w:hAnsi="Arial" w:cs="Arial"/>
        </w:rPr>
        <w:t xml:space="preserve">. </w:t>
      </w:r>
    </w:p>
    <w:p w14:paraId="35E5A8B5" w14:textId="731900E1" w:rsidR="001E7638" w:rsidRPr="00446928" w:rsidRDefault="0019148F"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project</w:t>
      </w:r>
      <w:r w:rsidR="00F87239">
        <w:rPr>
          <w:rFonts w:ascii="Arial" w:eastAsia="Times New Roman" w:hAnsi="Arial" w:cs="Arial"/>
        </w:rPr>
        <w:t>’</w:t>
      </w:r>
      <w:r w:rsidRPr="00446928">
        <w:rPr>
          <w:rFonts w:ascii="Arial" w:eastAsia="Times New Roman" w:hAnsi="Arial" w:cs="Arial"/>
        </w:rPr>
        <w:t xml:space="preserve">s main aims are </w:t>
      </w:r>
      <w:r w:rsidR="001E7638" w:rsidRPr="00446928">
        <w:rPr>
          <w:rFonts w:ascii="Arial" w:eastAsia="Times New Roman" w:hAnsi="Arial" w:cs="Arial"/>
        </w:rPr>
        <w:t>to:</w:t>
      </w:r>
    </w:p>
    <w:p w14:paraId="4685EC63" w14:textId="07362469" w:rsidR="001E7638" w:rsidRPr="00446928" w:rsidRDefault="001E7638" w:rsidP="001E7638">
      <w:pPr>
        <w:numPr>
          <w:ilvl w:val="0"/>
          <w:numId w:val="16"/>
        </w:numPr>
        <w:spacing w:before="240" w:after="240" w:line="240" w:lineRule="auto"/>
        <w:rPr>
          <w:rFonts w:ascii="Arial" w:eastAsia="Times New Roman" w:hAnsi="Arial" w:cs="Arial"/>
        </w:rPr>
      </w:pPr>
      <w:r w:rsidRPr="00446928">
        <w:rPr>
          <w:rFonts w:ascii="Arial" w:eastAsia="Times New Roman" w:hAnsi="Arial" w:cs="Arial"/>
        </w:rPr>
        <w:t xml:space="preserve">document and analyse existing approaches to medical interventions involving </w:t>
      </w:r>
      <w:r w:rsidR="00241C46">
        <w:rPr>
          <w:rFonts w:ascii="Arial" w:eastAsia="Times New Roman" w:hAnsi="Arial" w:cs="Arial"/>
        </w:rPr>
        <w:t>people born with</w:t>
      </w:r>
      <w:r w:rsidRPr="00446928">
        <w:rPr>
          <w:rFonts w:ascii="Arial" w:eastAsia="Times New Roman" w:hAnsi="Arial" w:cs="Arial"/>
        </w:rPr>
        <w:t xml:space="preserve"> variations in sex characteristics in Australia and overseas; and</w:t>
      </w:r>
    </w:p>
    <w:p w14:paraId="1ACA7A7E" w14:textId="431F844B" w:rsidR="001E7638" w:rsidRPr="00446928" w:rsidRDefault="001E7638" w:rsidP="001E7638">
      <w:pPr>
        <w:numPr>
          <w:ilvl w:val="0"/>
          <w:numId w:val="16"/>
        </w:numPr>
        <w:spacing w:before="240" w:after="240" w:line="240" w:lineRule="auto"/>
        <w:rPr>
          <w:rFonts w:ascii="Arial" w:eastAsia="Times New Roman" w:hAnsi="Arial" w:cs="Arial"/>
        </w:rPr>
      </w:pPr>
      <w:proofErr w:type="gramStart"/>
      <w:r w:rsidRPr="00446928">
        <w:rPr>
          <w:rFonts w:ascii="Arial" w:eastAsia="Times New Roman" w:hAnsi="Arial" w:cs="Arial"/>
        </w:rPr>
        <w:t>identify</w:t>
      </w:r>
      <w:proofErr w:type="gramEnd"/>
      <w:r w:rsidRPr="00446928">
        <w:rPr>
          <w:rFonts w:ascii="Arial" w:eastAsia="Times New Roman" w:hAnsi="Arial" w:cs="Arial"/>
        </w:rPr>
        <w:t xml:space="preserve"> changes that should be made to these existing approaches, to ensure that decisions and processes regarding medical interventions involving </w:t>
      </w:r>
      <w:r w:rsidR="00241C46">
        <w:rPr>
          <w:rFonts w:ascii="Arial" w:eastAsia="Times New Roman" w:hAnsi="Arial" w:cs="Arial"/>
        </w:rPr>
        <w:t>people born with</w:t>
      </w:r>
      <w:r w:rsidRPr="00446928">
        <w:rPr>
          <w:rFonts w:ascii="Arial" w:eastAsia="Times New Roman" w:hAnsi="Arial" w:cs="Arial"/>
        </w:rPr>
        <w:t xml:space="preserve"> variations in sex characteristics respect and protect the human rights of those affected.</w:t>
      </w:r>
    </w:p>
    <w:p w14:paraId="64C9F628" w14:textId="3E402DB7" w:rsidR="001E7638" w:rsidRPr="00A4759F" w:rsidRDefault="001E7638" w:rsidP="008263BA">
      <w:pPr>
        <w:numPr>
          <w:ilvl w:val="0"/>
          <w:numId w:val="15"/>
        </w:numPr>
        <w:spacing w:before="240"/>
        <w:ind w:hanging="720"/>
        <w:rPr>
          <w:rFonts w:ascii="Arial" w:hAnsi="Arial" w:cs="Arial"/>
        </w:rPr>
      </w:pPr>
      <w:proofErr w:type="gramStart"/>
      <w:r w:rsidRPr="00446928">
        <w:rPr>
          <w:rFonts w:ascii="Arial" w:eastAsia="Times New Roman" w:hAnsi="Arial" w:cs="Arial"/>
        </w:rPr>
        <w:t>The Commission</w:t>
      </w:r>
      <w:r w:rsidR="00F87239">
        <w:rPr>
          <w:rFonts w:ascii="Arial" w:eastAsia="Times New Roman" w:hAnsi="Arial" w:cs="Arial"/>
        </w:rPr>
        <w:t>’</w:t>
      </w:r>
      <w:r w:rsidRPr="00446928">
        <w:rPr>
          <w:rFonts w:ascii="Arial" w:eastAsia="Times New Roman" w:hAnsi="Arial" w:cs="Arial"/>
        </w:rPr>
        <w:t xml:space="preserve">s work is guided by </w:t>
      </w:r>
      <w:r w:rsidR="00661564" w:rsidRPr="00446928">
        <w:rPr>
          <w:rFonts w:ascii="Arial" w:eastAsia="Times New Roman" w:hAnsi="Arial" w:cs="Arial"/>
        </w:rPr>
        <w:t xml:space="preserve">Terms of </w:t>
      </w:r>
      <w:r w:rsidR="00D828D6">
        <w:rPr>
          <w:rFonts w:ascii="Arial" w:eastAsia="Times New Roman" w:hAnsi="Arial" w:cs="Arial"/>
        </w:rPr>
        <w:t xml:space="preserve">Reference, included in </w:t>
      </w:r>
      <w:r w:rsidR="00D828D6" w:rsidRPr="00D828D6">
        <w:rPr>
          <w:rFonts w:ascii="Arial" w:eastAsia="Times New Roman" w:hAnsi="Arial" w:cs="Arial"/>
          <w:b/>
        </w:rPr>
        <w:fldChar w:fldCharType="begin"/>
      </w:r>
      <w:r w:rsidR="00D828D6" w:rsidRPr="00D828D6">
        <w:rPr>
          <w:rFonts w:ascii="Arial" w:eastAsia="Times New Roman" w:hAnsi="Arial" w:cs="Arial"/>
          <w:b/>
        </w:rPr>
        <w:instrText xml:space="preserve"> REF _Ref518984690 \h </w:instrText>
      </w:r>
      <w:r w:rsidR="00D828D6">
        <w:rPr>
          <w:rFonts w:ascii="Arial" w:eastAsia="Times New Roman" w:hAnsi="Arial" w:cs="Arial"/>
          <w:b/>
        </w:rPr>
        <w:instrText xml:space="preserve"> \* MERGEFORMAT </w:instrText>
      </w:r>
      <w:r w:rsidR="00D828D6" w:rsidRPr="00D828D6">
        <w:rPr>
          <w:rFonts w:ascii="Arial" w:eastAsia="Times New Roman" w:hAnsi="Arial" w:cs="Arial"/>
          <w:b/>
        </w:rPr>
      </w:r>
      <w:r w:rsidR="00D828D6" w:rsidRPr="00D828D6">
        <w:rPr>
          <w:rFonts w:ascii="Arial" w:eastAsia="Times New Roman" w:hAnsi="Arial" w:cs="Arial"/>
          <w:b/>
        </w:rPr>
        <w:fldChar w:fldCharType="separate"/>
      </w:r>
      <w:r w:rsidR="0075464F" w:rsidRPr="0075464F">
        <w:rPr>
          <w:rFonts w:ascii="Arial" w:hAnsi="Arial" w:cs="Arial"/>
          <w:b/>
        </w:rPr>
        <w:t>Appendix A</w:t>
      </w:r>
      <w:proofErr w:type="gramEnd"/>
      <w:r w:rsidR="0075464F" w:rsidRPr="0075464F">
        <w:rPr>
          <w:rFonts w:ascii="Arial" w:hAnsi="Arial" w:cs="Arial"/>
          <w:b/>
        </w:rPr>
        <w:t>: Terms of Reference</w:t>
      </w:r>
      <w:r w:rsidR="00D828D6" w:rsidRPr="00D828D6">
        <w:rPr>
          <w:rFonts w:ascii="Arial" w:eastAsia="Times New Roman" w:hAnsi="Arial" w:cs="Arial"/>
          <w:b/>
        </w:rPr>
        <w:fldChar w:fldCharType="end"/>
      </w:r>
      <w:r w:rsidR="008263BA">
        <w:rPr>
          <w:rFonts w:ascii="Arial" w:eastAsia="Times New Roman" w:hAnsi="Arial" w:cs="Arial"/>
          <w:b/>
        </w:rPr>
        <w:t>.</w:t>
      </w:r>
    </w:p>
    <w:p w14:paraId="32F55A30" w14:textId="0D8B1F84"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7" w:name="_Toc507585851"/>
      <w:bookmarkStart w:id="8" w:name="_Toc518984782"/>
      <w:r w:rsidRPr="00446928">
        <w:rPr>
          <w:rFonts w:ascii="Arial" w:hAnsi="Arial" w:cs="Arial"/>
          <w:b/>
          <w:i/>
          <w:color w:val="000000"/>
        </w:rPr>
        <w:t>Why the Australian Human Rights Commission?</w:t>
      </w:r>
      <w:bookmarkEnd w:id="7"/>
      <w:bookmarkEnd w:id="8"/>
    </w:p>
    <w:p w14:paraId="0991AE5F" w14:textId="5A037012" w:rsidR="001E7638" w:rsidRPr="00446928" w:rsidRDefault="0019148F"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As Australia</w:t>
      </w:r>
      <w:r w:rsidR="00F87239">
        <w:rPr>
          <w:rFonts w:ascii="Arial" w:eastAsia="Times New Roman" w:hAnsi="Arial" w:cs="Arial"/>
        </w:rPr>
        <w:t>’</w:t>
      </w:r>
      <w:r w:rsidRPr="00446928">
        <w:rPr>
          <w:rFonts w:ascii="Arial" w:eastAsia="Times New Roman" w:hAnsi="Arial" w:cs="Arial"/>
        </w:rPr>
        <w:t>s national human rights institution (NHRI), t</w:t>
      </w:r>
      <w:r w:rsidR="001E7638" w:rsidRPr="00446928">
        <w:rPr>
          <w:rFonts w:ascii="Arial" w:eastAsia="Times New Roman" w:hAnsi="Arial" w:cs="Arial"/>
        </w:rPr>
        <w:t xml:space="preserve">he Commission has an important role under international and Australian law to respect, protect and promote the human rights of all people. </w:t>
      </w:r>
    </w:p>
    <w:p w14:paraId="34DB1834" w14:textId="34CB697A"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Under the Principles Relating to the Status of National Institutions (the Paris Principles), </w:t>
      </w:r>
      <w:r w:rsidR="0019148F" w:rsidRPr="00446928">
        <w:rPr>
          <w:rFonts w:ascii="Arial" w:eastAsia="Times New Roman" w:hAnsi="Arial" w:cs="Arial"/>
        </w:rPr>
        <w:t xml:space="preserve">NHRIs </w:t>
      </w:r>
      <w:r w:rsidRPr="00446928">
        <w:rPr>
          <w:rFonts w:ascii="Arial" w:eastAsia="Times New Roman" w:hAnsi="Arial" w:cs="Arial"/>
        </w:rPr>
        <w:t>are responsible for providing opinions, recommendations, proposals and reports to governments and parliaments on any matters concerning the promotion and protection of human rights.</w:t>
      </w:r>
      <w:r w:rsidRPr="00446928">
        <w:rPr>
          <w:rFonts w:ascii="Arial" w:hAnsi="Arial" w:cs="Arial"/>
          <w:sz w:val="20"/>
          <w:vertAlign w:val="superscript"/>
        </w:rPr>
        <w:endnoteReference w:id="18"/>
      </w:r>
      <w:r w:rsidRPr="00446928">
        <w:rPr>
          <w:rFonts w:ascii="Arial" w:eastAsia="Times New Roman" w:hAnsi="Arial" w:cs="Arial"/>
        </w:rPr>
        <w:t xml:space="preserve"> This includes the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In recognition of this role, the Office of the High Commissioner on Human Rights (OHCHR) has called on NHRIs to </w:t>
      </w:r>
      <w:r w:rsidR="00F87239">
        <w:rPr>
          <w:rFonts w:ascii="Arial" w:eastAsia="Times New Roman" w:hAnsi="Arial" w:cs="Arial"/>
        </w:rPr>
        <w:t>‘</w:t>
      </w:r>
      <w:r w:rsidRPr="00446928">
        <w:rPr>
          <w:rFonts w:ascii="Arial" w:eastAsia="Times New Roman" w:hAnsi="Arial" w:cs="Arial"/>
        </w:rPr>
        <w:t>research and monitor the human rights situation of intersex people</w:t>
      </w:r>
      <w:r w:rsidR="00F87239">
        <w:rPr>
          <w:rFonts w:ascii="Arial" w:eastAsia="Times New Roman" w:hAnsi="Arial" w:cs="Arial"/>
        </w:rPr>
        <w:t>’</w:t>
      </w:r>
      <w:r w:rsidRPr="00446928">
        <w:rPr>
          <w:rFonts w:ascii="Arial" w:eastAsia="Times New Roman" w:hAnsi="Arial" w:cs="Arial"/>
        </w:rPr>
        <w:t>.</w:t>
      </w:r>
      <w:r w:rsidRPr="00446928">
        <w:rPr>
          <w:rFonts w:ascii="Arial" w:hAnsi="Arial" w:cs="Arial"/>
          <w:sz w:val="20"/>
          <w:vertAlign w:val="superscript"/>
        </w:rPr>
        <w:endnoteReference w:id="19"/>
      </w:r>
      <w:r w:rsidRPr="00446928">
        <w:rPr>
          <w:rFonts w:ascii="Arial" w:eastAsia="Times New Roman" w:hAnsi="Arial" w:cs="Arial"/>
        </w:rPr>
        <w:t xml:space="preserve"> </w:t>
      </w:r>
    </w:p>
    <w:p w14:paraId="7A8ADBE2" w14:textId="7CF72AA0" w:rsidR="00C02652" w:rsidRPr="00571719" w:rsidRDefault="001E7638" w:rsidP="00571719">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Commission also has a number of functions under Australian law that are relevant to protecting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For example, under the </w:t>
      </w:r>
      <w:r w:rsidRPr="00446928">
        <w:rPr>
          <w:rFonts w:ascii="Arial" w:eastAsia="Times New Roman" w:hAnsi="Arial" w:cs="Arial"/>
          <w:i/>
        </w:rPr>
        <w:t xml:space="preserve">Australian Human Rights Commission Act 1986 </w:t>
      </w:r>
      <w:r w:rsidRPr="00446928">
        <w:rPr>
          <w:rFonts w:ascii="Arial" w:eastAsia="Times New Roman" w:hAnsi="Arial" w:cs="Arial"/>
        </w:rPr>
        <w:t>(</w:t>
      </w:r>
      <w:proofErr w:type="spellStart"/>
      <w:r w:rsidRPr="00446928">
        <w:rPr>
          <w:rFonts w:ascii="Arial" w:eastAsia="Times New Roman" w:hAnsi="Arial" w:cs="Arial"/>
        </w:rPr>
        <w:t>Cth</w:t>
      </w:r>
      <w:proofErr w:type="spellEnd"/>
      <w:r w:rsidRPr="00446928">
        <w:rPr>
          <w:rFonts w:ascii="Arial" w:eastAsia="Times New Roman" w:hAnsi="Arial" w:cs="Arial"/>
        </w:rPr>
        <w:t>), the Commission may report to the Attorney-General on actions that Australia must take to comply with relevant human rights instruments.</w:t>
      </w:r>
      <w:r w:rsidRPr="00446928">
        <w:rPr>
          <w:rFonts w:ascii="Arial" w:hAnsi="Arial" w:cs="Arial"/>
          <w:sz w:val="20"/>
          <w:vertAlign w:val="superscript"/>
        </w:rPr>
        <w:endnoteReference w:id="20"/>
      </w:r>
      <w:r w:rsidRPr="00446928">
        <w:rPr>
          <w:rFonts w:ascii="Arial" w:eastAsia="Times New Roman" w:hAnsi="Arial" w:cs="Arial"/>
        </w:rPr>
        <w:t xml:space="preserve"> In addition, following the 2013 amendments to the </w:t>
      </w:r>
      <w:r w:rsidRPr="00446928">
        <w:rPr>
          <w:rFonts w:ascii="Arial" w:eastAsia="Times New Roman" w:hAnsi="Arial" w:cs="Arial"/>
          <w:i/>
        </w:rPr>
        <w:t xml:space="preserve">Sex Discrimination Act 1984 </w:t>
      </w:r>
      <w:r w:rsidRPr="00446928">
        <w:rPr>
          <w:rFonts w:ascii="Arial" w:eastAsia="Times New Roman" w:hAnsi="Arial" w:cs="Arial"/>
        </w:rPr>
        <w:t>(</w:t>
      </w:r>
      <w:proofErr w:type="spellStart"/>
      <w:r w:rsidRPr="00446928">
        <w:rPr>
          <w:rFonts w:ascii="Arial" w:eastAsia="Times New Roman" w:hAnsi="Arial" w:cs="Arial"/>
        </w:rPr>
        <w:t>Cth</w:t>
      </w:r>
      <w:proofErr w:type="spellEnd"/>
      <w:r w:rsidRPr="00446928">
        <w:rPr>
          <w:rFonts w:ascii="Arial" w:eastAsia="Times New Roman" w:hAnsi="Arial" w:cs="Arial"/>
        </w:rPr>
        <w:t>), the Commission may also receive and conciliate complaints of discrimination on the basis of intersex status,</w:t>
      </w:r>
      <w:r w:rsidRPr="00446928">
        <w:rPr>
          <w:rFonts w:ascii="Arial" w:hAnsi="Arial" w:cs="Arial"/>
          <w:sz w:val="20"/>
          <w:vertAlign w:val="superscript"/>
        </w:rPr>
        <w:endnoteReference w:id="21"/>
      </w:r>
      <w:r w:rsidRPr="00446928">
        <w:rPr>
          <w:rFonts w:ascii="Arial" w:eastAsia="Times New Roman" w:hAnsi="Arial" w:cs="Arial"/>
        </w:rPr>
        <w:t xml:space="preserve"> and report to the Attorney-General on matters specifically relevant to discrimination on the basis of intersex status.</w:t>
      </w:r>
      <w:r w:rsidRPr="00446928">
        <w:rPr>
          <w:rFonts w:ascii="Arial" w:hAnsi="Arial" w:cs="Arial"/>
          <w:sz w:val="20"/>
          <w:vertAlign w:val="superscript"/>
        </w:rPr>
        <w:endnoteReference w:id="22"/>
      </w:r>
      <w:r w:rsidRPr="00446928">
        <w:rPr>
          <w:rFonts w:ascii="Arial" w:eastAsia="Times New Roman" w:hAnsi="Arial" w:cs="Arial"/>
        </w:rPr>
        <w:t xml:space="preserve"> </w:t>
      </w:r>
    </w:p>
    <w:p w14:paraId="27180DA3"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9" w:name="_Toc507585852"/>
      <w:bookmarkStart w:id="10" w:name="_Toc518984783"/>
      <w:r w:rsidRPr="00446928">
        <w:rPr>
          <w:rFonts w:ascii="Arial" w:hAnsi="Arial" w:cs="Arial"/>
          <w:b/>
          <w:i/>
          <w:color w:val="000000"/>
        </w:rPr>
        <w:t>Ethics approval</w:t>
      </w:r>
      <w:bookmarkEnd w:id="9"/>
      <w:bookmarkEnd w:id="10"/>
    </w:p>
    <w:p w14:paraId="60CFFC3B" w14:textId="312A6D3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consultation component of this project </w:t>
      </w:r>
      <w:proofErr w:type="gramStart"/>
      <w:r w:rsidRPr="00446928">
        <w:rPr>
          <w:rFonts w:ascii="Arial" w:eastAsia="Times New Roman" w:hAnsi="Arial" w:cs="Arial"/>
        </w:rPr>
        <w:t xml:space="preserve">has been </w:t>
      </w:r>
      <w:r w:rsidRPr="00AE749E">
        <w:rPr>
          <w:rFonts w:ascii="Arial" w:eastAsia="Times New Roman" w:hAnsi="Arial" w:cs="Arial"/>
        </w:rPr>
        <w:t>reviewed and approved</w:t>
      </w:r>
      <w:r w:rsidRPr="00446928">
        <w:rPr>
          <w:rFonts w:ascii="Arial" w:eastAsia="Times New Roman" w:hAnsi="Arial" w:cs="Arial"/>
        </w:rPr>
        <w:t xml:space="preserve"> by an external, independent Human Research Ethics Committee (HREC)</w:t>
      </w:r>
      <w:r w:rsidR="00A215D5">
        <w:rPr>
          <w:rFonts w:ascii="Arial" w:eastAsia="Times New Roman" w:hAnsi="Arial" w:cs="Arial"/>
        </w:rPr>
        <w:t xml:space="preserve"> at the University of Sydney</w:t>
      </w:r>
      <w:proofErr w:type="gramEnd"/>
      <w:r w:rsidRPr="00446928">
        <w:rPr>
          <w:rFonts w:ascii="Arial" w:eastAsia="Times New Roman" w:hAnsi="Arial" w:cs="Arial"/>
        </w:rPr>
        <w:t>.</w:t>
      </w:r>
    </w:p>
    <w:p w14:paraId="260C515B" w14:textId="7B82E3F4" w:rsidR="001E7638" w:rsidRDefault="00A1183F"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Further information about the ethics process </w:t>
      </w:r>
      <w:proofErr w:type="gramStart"/>
      <w:r>
        <w:rPr>
          <w:rFonts w:ascii="Arial" w:eastAsia="Times New Roman" w:hAnsi="Arial" w:cs="Arial"/>
        </w:rPr>
        <w:t>is outlined</w:t>
      </w:r>
      <w:proofErr w:type="gramEnd"/>
      <w:r>
        <w:rPr>
          <w:rFonts w:ascii="Arial" w:eastAsia="Times New Roman" w:hAnsi="Arial" w:cs="Arial"/>
        </w:rPr>
        <w:t xml:space="preserve"> in the Participation Information Statement available on our website</w:t>
      </w:r>
      <w:r w:rsidR="00F87239">
        <w:rPr>
          <w:rFonts w:ascii="Arial" w:eastAsia="Times New Roman" w:hAnsi="Arial" w:cs="Arial"/>
        </w:rPr>
        <w:t xml:space="preserve">. </w:t>
      </w:r>
    </w:p>
    <w:p w14:paraId="676FFACE" w14:textId="07A4763C" w:rsidR="0007670F" w:rsidRDefault="0007670F" w:rsidP="0007670F">
      <w:pPr>
        <w:spacing w:before="240" w:after="240" w:line="240" w:lineRule="auto"/>
        <w:rPr>
          <w:rFonts w:ascii="Arial" w:eastAsia="Times New Roman" w:hAnsi="Arial" w:cs="Arial"/>
        </w:rPr>
      </w:pPr>
    </w:p>
    <w:p w14:paraId="4B589484" w14:textId="77777777" w:rsidR="0007670F" w:rsidRPr="00446928" w:rsidRDefault="0007670F" w:rsidP="0007670F">
      <w:pPr>
        <w:spacing w:before="240" w:after="240" w:line="240" w:lineRule="auto"/>
        <w:rPr>
          <w:rFonts w:ascii="Arial" w:eastAsia="Times New Roman" w:hAnsi="Arial" w:cs="Arial"/>
        </w:rPr>
      </w:pPr>
    </w:p>
    <w:p w14:paraId="4199D571"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11" w:name="_Ref504382911"/>
      <w:bookmarkStart w:id="12" w:name="_Ref504382913"/>
      <w:bookmarkStart w:id="13" w:name="_Ref504382915"/>
      <w:bookmarkStart w:id="14" w:name="_Toc507585853"/>
      <w:bookmarkStart w:id="15" w:name="_Toc518984784"/>
      <w:r w:rsidRPr="00446928">
        <w:rPr>
          <w:rFonts w:ascii="Arial" w:hAnsi="Arial" w:cs="Arial"/>
          <w:b/>
          <w:bCs/>
          <w:sz w:val="28"/>
          <w:szCs w:val="28"/>
        </w:rPr>
        <w:lastRenderedPageBreak/>
        <w:t>Terminology</w:t>
      </w:r>
      <w:bookmarkEnd w:id="11"/>
      <w:bookmarkEnd w:id="12"/>
      <w:bookmarkEnd w:id="13"/>
      <w:bookmarkEnd w:id="14"/>
      <w:bookmarkEnd w:id="15"/>
    </w:p>
    <w:p w14:paraId="459E3188" w14:textId="0BBDF3F4" w:rsidR="001E7638" w:rsidRPr="00446928" w:rsidRDefault="004B244E"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As noted above, </w:t>
      </w:r>
      <w:r w:rsidR="00ED4474">
        <w:rPr>
          <w:rFonts w:ascii="Arial" w:eastAsia="Times New Roman" w:hAnsi="Arial" w:cs="Arial"/>
        </w:rPr>
        <w:t xml:space="preserve">the </w:t>
      </w:r>
      <w:r w:rsidRPr="00446928">
        <w:rPr>
          <w:rFonts w:ascii="Arial" w:eastAsia="Times New Roman" w:hAnsi="Arial" w:cs="Arial"/>
        </w:rPr>
        <w:t>t</w:t>
      </w:r>
      <w:r w:rsidR="001E7638" w:rsidRPr="00446928">
        <w:rPr>
          <w:rFonts w:ascii="Arial" w:eastAsia="Times New Roman" w:hAnsi="Arial" w:cs="Arial"/>
        </w:rPr>
        <w:t xml:space="preserve">erminology used to describe </w:t>
      </w:r>
      <w:r w:rsidR="00241C46">
        <w:rPr>
          <w:rFonts w:ascii="Arial" w:eastAsia="Times New Roman" w:hAnsi="Arial" w:cs="Arial"/>
        </w:rPr>
        <w:t>people born with</w:t>
      </w:r>
      <w:r w:rsidR="001E7638" w:rsidRPr="00446928">
        <w:rPr>
          <w:rFonts w:ascii="Arial" w:eastAsia="Times New Roman" w:hAnsi="Arial" w:cs="Arial"/>
        </w:rPr>
        <w:t xml:space="preserve"> variations in sex characteristics </w:t>
      </w:r>
      <w:proofErr w:type="gramStart"/>
      <w:r w:rsidR="001E7638" w:rsidRPr="00446928">
        <w:rPr>
          <w:rFonts w:ascii="Arial" w:eastAsia="Times New Roman" w:hAnsi="Arial" w:cs="Arial"/>
        </w:rPr>
        <w:t>is contested</w:t>
      </w:r>
      <w:proofErr w:type="gramEnd"/>
      <w:r w:rsidR="001E7638" w:rsidRPr="00446928">
        <w:rPr>
          <w:rFonts w:ascii="Arial" w:eastAsia="Times New Roman" w:hAnsi="Arial" w:cs="Arial"/>
        </w:rPr>
        <w:t>.</w:t>
      </w:r>
      <w:r w:rsidR="004C439C" w:rsidRPr="00030F1B">
        <w:rPr>
          <w:rFonts w:ascii="Arial" w:eastAsia="Times New Roman" w:hAnsi="Arial" w:cs="Arial"/>
          <w:vertAlign w:val="superscript"/>
        </w:rPr>
        <w:endnoteReference w:id="23"/>
      </w:r>
      <w:r w:rsidR="004C439C" w:rsidRPr="00030F1B">
        <w:rPr>
          <w:rFonts w:ascii="Arial" w:eastAsia="Times New Roman" w:hAnsi="Arial" w:cs="Arial"/>
        </w:rPr>
        <w:t xml:space="preserve"> </w:t>
      </w:r>
      <w:r w:rsidR="001E7638" w:rsidRPr="00446928">
        <w:rPr>
          <w:rFonts w:ascii="Arial" w:eastAsia="Times New Roman" w:hAnsi="Arial" w:cs="Arial"/>
        </w:rPr>
        <w:t xml:space="preserve"> </w:t>
      </w:r>
    </w:p>
    <w:p w14:paraId="60DF144F" w14:textId="771A43FA"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of the more common terms used to collectively describe these variations include </w:t>
      </w:r>
      <w:r w:rsidR="00F87239">
        <w:rPr>
          <w:rFonts w:ascii="Arial" w:eastAsia="Times New Roman" w:hAnsi="Arial" w:cs="Arial"/>
        </w:rPr>
        <w:t>‘</w:t>
      </w:r>
      <w:r w:rsidRPr="00446928">
        <w:rPr>
          <w:rFonts w:ascii="Arial" w:eastAsia="Times New Roman" w:hAnsi="Arial" w:cs="Arial"/>
        </w:rPr>
        <w:t>intersex conditions</w:t>
      </w:r>
      <w:r w:rsidR="00F87239">
        <w:rPr>
          <w:rFonts w:ascii="Arial" w:eastAsia="Times New Roman" w:hAnsi="Arial" w:cs="Arial"/>
        </w:rPr>
        <w:t>’</w:t>
      </w:r>
      <w:r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intersex variations</w:t>
      </w:r>
      <w:r w:rsidR="00F87239">
        <w:rPr>
          <w:rFonts w:ascii="Arial" w:eastAsia="Times New Roman" w:hAnsi="Arial" w:cs="Arial"/>
        </w:rPr>
        <w:t>’</w:t>
      </w:r>
      <w:r w:rsidR="00E465E7"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disorders of sex development</w:t>
      </w:r>
      <w:r w:rsidR="00F87239">
        <w:rPr>
          <w:rFonts w:ascii="Arial" w:eastAsia="Times New Roman" w:hAnsi="Arial" w:cs="Arial"/>
        </w:rPr>
        <w:t>’</w:t>
      </w:r>
      <w:r w:rsidRPr="00446928">
        <w:rPr>
          <w:rFonts w:ascii="Arial" w:eastAsia="Times New Roman" w:hAnsi="Arial" w:cs="Arial"/>
        </w:rPr>
        <w:t xml:space="preserve"> </w:t>
      </w:r>
      <w:r w:rsidR="00E465E7" w:rsidRPr="00446928">
        <w:rPr>
          <w:rFonts w:ascii="Arial" w:eastAsia="Times New Roman" w:hAnsi="Arial" w:cs="Arial"/>
        </w:rPr>
        <w:t xml:space="preserve">and </w:t>
      </w:r>
      <w:r w:rsidR="00F87239">
        <w:rPr>
          <w:rFonts w:ascii="Arial" w:eastAsia="Times New Roman" w:hAnsi="Arial" w:cs="Arial"/>
        </w:rPr>
        <w:t>‘</w:t>
      </w:r>
      <w:r w:rsidRPr="00446928">
        <w:rPr>
          <w:rFonts w:ascii="Arial" w:eastAsia="Times New Roman" w:hAnsi="Arial" w:cs="Arial"/>
        </w:rPr>
        <w:t>differences of sex development</w:t>
      </w:r>
      <w:r w:rsidR="00F87239">
        <w:rPr>
          <w:rFonts w:ascii="Arial" w:eastAsia="Times New Roman" w:hAnsi="Arial" w:cs="Arial"/>
        </w:rPr>
        <w:t>’</w:t>
      </w:r>
      <w:r w:rsidRPr="00446928">
        <w:rPr>
          <w:rFonts w:ascii="Arial" w:eastAsia="Times New Roman" w:hAnsi="Arial" w:cs="Arial"/>
        </w:rPr>
        <w:t xml:space="preserve"> (DSD).</w:t>
      </w:r>
      <w:r w:rsidR="004C439C" w:rsidRPr="00030F1B">
        <w:rPr>
          <w:rStyle w:val="EndnoteReference"/>
          <w:rFonts w:eastAsia="Times New Roman" w:cs="Arial"/>
        </w:rPr>
        <w:endnoteReference w:id="24"/>
      </w:r>
    </w:p>
    <w:p w14:paraId="6981132A" w14:textId="47885679" w:rsidR="00B60408" w:rsidRPr="00B60408" w:rsidRDefault="00F87239" w:rsidP="00B60408">
      <w:pPr>
        <w:numPr>
          <w:ilvl w:val="0"/>
          <w:numId w:val="15"/>
        </w:numPr>
        <w:spacing w:before="240" w:after="240" w:line="240" w:lineRule="auto"/>
        <w:ind w:hanging="720"/>
        <w:rPr>
          <w:rFonts w:ascii="Arial" w:eastAsia="Times New Roman" w:hAnsi="Arial" w:cs="Arial"/>
        </w:rPr>
      </w:pPr>
      <w:r>
        <w:rPr>
          <w:rFonts w:ascii="Arial" w:eastAsia="Times New Roman" w:hAnsi="Arial" w:cs="Arial"/>
        </w:rPr>
        <w:t>‘</w:t>
      </w:r>
      <w:r w:rsidR="001E7638" w:rsidRPr="00446928">
        <w:rPr>
          <w:rFonts w:ascii="Arial" w:eastAsia="Times New Roman" w:hAnsi="Arial" w:cs="Arial"/>
        </w:rPr>
        <w:t>Intersex</w:t>
      </w:r>
      <w:r>
        <w:rPr>
          <w:rFonts w:ascii="Arial" w:eastAsia="Times New Roman" w:hAnsi="Arial" w:cs="Arial"/>
        </w:rPr>
        <w:t>’</w:t>
      </w:r>
      <w:r w:rsidR="001E7638" w:rsidRPr="00446928">
        <w:rPr>
          <w:rFonts w:ascii="Arial" w:eastAsia="Times New Roman" w:hAnsi="Arial" w:cs="Arial"/>
        </w:rPr>
        <w:t xml:space="preserve"> is an umbrella term that </w:t>
      </w:r>
      <w:proofErr w:type="gramStart"/>
      <w:r w:rsidR="002F4A66">
        <w:rPr>
          <w:rFonts w:ascii="Arial" w:eastAsia="Times New Roman" w:hAnsi="Arial" w:cs="Arial"/>
        </w:rPr>
        <w:t>is</w:t>
      </w:r>
      <w:r w:rsidR="001E7638" w:rsidRPr="00446928">
        <w:rPr>
          <w:rFonts w:ascii="Arial" w:eastAsia="Times New Roman" w:hAnsi="Arial" w:cs="Arial"/>
        </w:rPr>
        <w:t xml:space="preserve"> used</w:t>
      </w:r>
      <w:proofErr w:type="gramEnd"/>
      <w:r w:rsidR="001E7638" w:rsidRPr="00446928">
        <w:rPr>
          <w:rFonts w:ascii="Arial" w:eastAsia="Times New Roman" w:hAnsi="Arial" w:cs="Arial"/>
        </w:rPr>
        <w:t xml:space="preserve"> internationally to describe people who are born with atypical genetic, hormonal and/or physical sex characteristics.</w:t>
      </w:r>
      <w:r w:rsidR="004C439C" w:rsidRPr="00030F1B">
        <w:rPr>
          <w:rStyle w:val="EndnoteReference"/>
          <w:rFonts w:eastAsia="Times New Roman" w:cs="Arial"/>
        </w:rPr>
        <w:endnoteReference w:id="25"/>
      </w:r>
      <w:r w:rsidR="001E7638" w:rsidRPr="00446928">
        <w:rPr>
          <w:rFonts w:ascii="Arial" w:eastAsia="Times New Roman" w:hAnsi="Arial" w:cs="Arial"/>
        </w:rPr>
        <w:t xml:space="preserve"> Many intersex variations exist. Intersex variations may relate to sex chromosom</w:t>
      </w:r>
      <w:r w:rsidR="003C3FD5">
        <w:rPr>
          <w:rFonts w:ascii="Arial" w:eastAsia="Times New Roman" w:hAnsi="Arial" w:cs="Arial"/>
        </w:rPr>
        <w:t>al variations,</w:t>
      </w:r>
      <w:r w:rsidR="006D65F0">
        <w:rPr>
          <w:rFonts w:ascii="Arial" w:eastAsia="Times New Roman" w:hAnsi="Arial" w:cs="Arial"/>
        </w:rPr>
        <w:t xml:space="preserve"> </w:t>
      </w:r>
      <w:r w:rsidR="001E7638" w:rsidRPr="00446928">
        <w:rPr>
          <w:rFonts w:ascii="Arial" w:eastAsia="Times New Roman" w:hAnsi="Arial" w:cs="Arial"/>
        </w:rPr>
        <w:t xml:space="preserve">different physical responses to sex hormones, or different developmental hormone balances and anatomies. </w:t>
      </w:r>
      <w:r w:rsidR="002F4A66">
        <w:rPr>
          <w:rFonts w:ascii="Arial" w:eastAsia="Times New Roman" w:hAnsi="Arial" w:cs="Arial"/>
        </w:rPr>
        <w:t>Intersex people have</w:t>
      </w:r>
      <w:r w:rsidR="001E7638" w:rsidRPr="00446928">
        <w:rPr>
          <w:rFonts w:ascii="Arial" w:eastAsia="Times New Roman" w:hAnsi="Arial" w:cs="Arial"/>
        </w:rPr>
        <w:t xml:space="preserve"> many varied kinds of bodies, experiences and identities.</w:t>
      </w:r>
      <w:r w:rsidR="004C439C" w:rsidRPr="00030F1B">
        <w:rPr>
          <w:rFonts w:ascii="Arial" w:eastAsia="Times New Roman" w:hAnsi="Arial" w:cs="Arial"/>
          <w:vertAlign w:val="superscript"/>
        </w:rPr>
        <w:endnoteReference w:id="26"/>
      </w:r>
      <w:r w:rsidR="00B60408">
        <w:rPr>
          <w:rFonts w:ascii="Arial" w:eastAsia="Times New Roman" w:hAnsi="Arial" w:cs="Arial"/>
        </w:rPr>
        <w:t xml:space="preserve"> </w:t>
      </w:r>
      <w:r w:rsidR="00ED4474">
        <w:rPr>
          <w:rFonts w:ascii="Arial" w:eastAsia="Times New Roman" w:hAnsi="Arial" w:cs="Arial"/>
        </w:rPr>
        <w:t>Some e</w:t>
      </w:r>
      <w:r w:rsidR="00B60408" w:rsidRPr="00B60408">
        <w:rPr>
          <w:rFonts w:ascii="Arial" w:eastAsia="Times New Roman" w:hAnsi="Arial" w:cs="Arial"/>
        </w:rPr>
        <w:t>xamples of variations include hypospadias, Androgen Insensitivity Syndrome (AIS), Congenital Adrenal Hyperplasia (CAH), gonadal dysgenesis, vaginal agenesis or Mayer-</w:t>
      </w:r>
      <w:proofErr w:type="spellStart"/>
      <w:r w:rsidR="00B60408" w:rsidRPr="00B60408">
        <w:rPr>
          <w:rFonts w:ascii="Arial" w:eastAsia="Times New Roman" w:hAnsi="Arial" w:cs="Arial"/>
        </w:rPr>
        <w:t>Rokitansky</w:t>
      </w:r>
      <w:proofErr w:type="spellEnd"/>
      <w:r w:rsidR="00B60408" w:rsidRPr="00B60408">
        <w:rPr>
          <w:rFonts w:ascii="Arial" w:eastAsia="Times New Roman" w:hAnsi="Arial" w:cs="Arial"/>
        </w:rPr>
        <w:t>-</w:t>
      </w:r>
      <w:proofErr w:type="spellStart"/>
      <w:r w:rsidR="00B60408" w:rsidRPr="00B60408">
        <w:rPr>
          <w:rFonts w:ascii="Arial" w:eastAsia="Times New Roman" w:hAnsi="Arial" w:cs="Arial"/>
        </w:rPr>
        <w:t>Küster</w:t>
      </w:r>
      <w:proofErr w:type="spellEnd"/>
      <w:r w:rsidR="00B60408" w:rsidRPr="00B60408">
        <w:rPr>
          <w:rFonts w:ascii="Arial" w:eastAsia="Times New Roman" w:hAnsi="Arial" w:cs="Arial"/>
        </w:rPr>
        <w:t xml:space="preserve">-Hauser (MRKH) syndrome, and sex chromosome differences like 47,XXY (commonly diagnosed as </w:t>
      </w:r>
      <w:proofErr w:type="spellStart"/>
      <w:r w:rsidR="00B60408" w:rsidRPr="00B60408">
        <w:rPr>
          <w:rFonts w:ascii="Arial" w:eastAsia="Times New Roman" w:hAnsi="Arial" w:cs="Arial"/>
        </w:rPr>
        <w:t>Klinefelter</w:t>
      </w:r>
      <w:proofErr w:type="spellEnd"/>
      <w:r w:rsidR="00B60408" w:rsidRPr="00B60408">
        <w:rPr>
          <w:rFonts w:ascii="Arial" w:eastAsia="Times New Roman" w:hAnsi="Arial" w:cs="Arial"/>
        </w:rPr>
        <w:t xml:space="preserve"> syndrome) and 45,X0 (commonly diagnosed as Turner</w:t>
      </w:r>
      <w:r>
        <w:rPr>
          <w:rFonts w:ascii="Arial" w:eastAsia="Times New Roman" w:hAnsi="Arial" w:cs="Arial"/>
        </w:rPr>
        <w:t>’</w:t>
      </w:r>
      <w:r w:rsidR="00CC22E1">
        <w:rPr>
          <w:rFonts w:ascii="Arial" w:eastAsia="Times New Roman" w:hAnsi="Arial" w:cs="Arial"/>
        </w:rPr>
        <w:t>s</w:t>
      </w:r>
      <w:r w:rsidR="00B60408" w:rsidRPr="00B60408">
        <w:rPr>
          <w:rFonts w:ascii="Arial" w:eastAsia="Times New Roman" w:hAnsi="Arial" w:cs="Arial"/>
        </w:rPr>
        <w:t xml:space="preserve"> syndrome).</w:t>
      </w:r>
    </w:p>
    <w:p w14:paraId="4A5221BC" w14:textId="1B92112B"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From a medical perspective, the</w:t>
      </w:r>
      <w:r w:rsidR="00A01A8E" w:rsidRPr="00446928">
        <w:rPr>
          <w:rFonts w:ascii="Arial" w:eastAsia="Times New Roman" w:hAnsi="Arial" w:cs="Arial"/>
        </w:rPr>
        <w:t xml:space="preserve"> 2006</w:t>
      </w:r>
      <w:r w:rsidRPr="00446928">
        <w:rPr>
          <w:rFonts w:ascii="Arial" w:eastAsia="Times New Roman" w:hAnsi="Arial" w:cs="Arial"/>
        </w:rPr>
        <w:t xml:space="preserve"> Consensus Statement on Management of Intersex Disorders </w:t>
      </w:r>
      <w:r w:rsidR="00A01A8E" w:rsidRPr="00446928">
        <w:rPr>
          <w:rFonts w:ascii="Arial" w:eastAsia="Times New Roman" w:hAnsi="Arial" w:cs="Arial"/>
        </w:rPr>
        <w:t xml:space="preserve">developed by 50 international medical experts </w:t>
      </w:r>
      <w:r w:rsidR="004C439C">
        <w:rPr>
          <w:rFonts w:ascii="Arial" w:eastAsia="Times New Roman" w:hAnsi="Arial" w:cs="Arial"/>
        </w:rPr>
        <w:t>(Consensus Statement</w:t>
      </w:r>
      <w:r w:rsidRPr="00446928">
        <w:rPr>
          <w:rFonts w:ascii="Arial" w:eastAsia="Times New Roman" w:hAnsi="Arial" w:cs="Arial"/>
        </w:rPr>
        <w:t>) propose</w:t>
      </w:r>
      <w:r w:rsidR="006015B8">
        <w:rPr>
          <w:rFonts w:ascii="Arial" w:eastAsia="Times New Roman" w:hAnsi="Arial" w:cs="Arial"/>
        </w:rPr>
        <w:t>d</w:t>
      </w:r>
      <w:r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disorders of sex development</w:t>
      </w:r>
      <w:r w:rsidR="00F87239">
        <w:rPr>
          <w:rFonts w:ascii="Arial" w:eastAsia="Times New Roman" w:hAnsi="Arial" w:cs="Arial"/>
        </w:rPr>
        <w:t>’</w:t>
      </w:r>
      <w:r w:rsidRPr="00446928">
        <w:rPr>
          <w:rFonts w:ascii="Arial" w:eastAsia="Times New Roman" w:hAnsi="Arial" w:cs="Arial"/>
        </w:rPr>
        <w:t xml:space="preserve"> (DSD) as an umbrella term for differences in chromosomal, hormonal and/or anatomical sexual development.</w:t>
      </w:r>
      <w:r w:rsidR="004C439C" w:rsidRPr="00030F1B">
        <w:rPr>
          <w:rFonts w:ascii="Arial" w:eastAsia="Times New Roman" w:hAnsi="Arial" w:cs="Arial"/>
          <w:vertAlign w:val="superscript"/>
        </w:rPr>
        <w:endnoteReference w:id="27"/>
      </w:r>
      <w:r w:rsidR="009856B6">
        <w:rPr>
          <w:rFonts w:ascii="Arial" w:eastAsia="Times New Roman" w:hAnsi="Arial" w:cs="Arial"/>
        </w:rPr>
        <w:t xml:space="preserve"> This term arose </w:t>
      </w:r>
      <w:r w:rsidR="00906508">
        <w:rPr>
          <w:rFonts w:ascii="Arial" w:eastAsia="Times New Roman" w:hAnsi="Arial" w:cs="Arial"/>
        </w:rPr>
        <w:t>in response to</w:t>
      </w:r>
      <w:r w:rsidR="009856B6">
        <w:rPr>
          <w:rFonts w:ascii="Arial" w:eastAsia="Times New Roman" w:hAnsi="Arial" w:cs="Arial"/>
        </w:rPr>
        <w:t xml:space="preserve"> concerns</w:t>
      </w:r>
      <w:r w:rsidR="00906508">
        <w:rPr>
          <w:rFonts w:ascii="Arial" w:eastAsia="Times New Roman" w:hAnsi="Arial" w:cs="Arial"/>
        </w:rPr>
        <w:t xml:space="preserve"> at the time about the use of other terms</w:t>
      </w:r>
      <w:r w:rsidR="00A97BF7">
        <w:rPr>
          <w:rFonts w:ascii="Arial" w:eastAsia="Times New Roman" w:hAnsi="Arial" w:cs="Arial"/>
        </w:rPr>
        <w:t xml:space="preserve">, like </w:t>
      </w:r>
      <w:r w:rsidR="00F87239">
        <w:rPr>
          <w:rFonts w:ascii="Arial" w:eastAsia="Times New Roman" w:hAnsi="Arial" w:cs="Arial"/>
        </w:rPr>
        <w:t>‘</w:t>
      </w:r>
      <w:r w:rsidR="00A97BF7">
        <w:rPr>
          <w:rFonts w:ascii="Arial" w:eastAsia="Times New Roman" w:hAnsi="Arial" w:cs="Arial"/>
        </w:rPr>
        <w:t>pseudo-hermaphrodite</w:t>
      </w:r>
      <w:r w:rsidR="00F87239">
        <w:rPr>
          <w:rFonts w:ascii="Arial" w:eastAsia="Times New Roman" w:hAnsi="Arial" w:cs="Arial"/>
        </w:rPr>
        <w:t>’</w:t>
      </w:r>
      <w:r w:rsidR="00A97BF7">
        <w:rPr>
          <w:rFonts w:ascii="Arial" w:eastAsia="Times New Roman" w:hAnsi="Arial" w:cs="Arial"/>
        </w:rPr>
        <w:t xml:space="preserve"> and </w:t>
      </w:r>
      <w:r w:rsidR="00F87239">
        <w:rPr>
          <w:rFonts w:ascii="Arial" w:eastAsia="Times New Roman" w:hAnsi="Arial" w:cs="Arial"/>
        </w:rPr>
        <w:t>‘</w:t>
      </w:r>
      <w:r w:rsidR="00A97BF7">
        <w:rPr>
          <w:rFonts w:ascii="Arial" w:eastAsia="Times New Roman" w:hAnsi="Arial" w:cs="Arial"/>
        </w:rPr>
        <w:t>intersex</w:t>
      </w:r>
      <w:r w:rsidR="00F87239">
        <w:rPr>
          <w:rFonts w:ascii="Arial" w:eastAsia="Times New Roman" w:hAnsi="Arial" w:cs="Arial"/>
        </w:rPr>
        <w:t>’</w:t>
      </w:r>
      <w:r w:rsidR="00A97BF7">
        <w:rPr>
          <w:rFonts w:ascii="Arial" w:eastAsia="Times New Roman" w:hAnsi="Arial" w:cs="Arial"/>
        </w:rPr>
        <w:t>,</w:t>
      </w:r>
      <w:r w:rsidR="00906508">
        <w:rPr>
          <w:rFonts w:ascii="Arial" w:eastAsia="Times New Roman" w:hAnsi="Arial" w:cs="Arial"/>
        </w:rPr>
        <w:t xml:space="preserve"> </w:t>
      </w:r>
      <w:r w:rsidR="001B6F71">
        <w:rPr>
          <w:rFonts w:ascii="Arial" w:eastAsia="Times New Roman" w:hAnsi="Arial" w:cs="Arial"/>
        </w:rPr>
        <w:t xml:space="preserve">which </w:t>
      </w:r>
      <w:proofErr w:type="gramStart"/>
      <w:r w:rsidR="001B6F71">
        <w:rPr>
          <w:rFonts w:ascii="Arial" w:eastAsia="Times New Roman" w:hAnsi="Arial" w:cs="Arial"/>
        </w:rPr>
        <w:t>were considered</w:t>
      </w:r>
      <w:proofErr w:type="gramEnd"/>
      <w:r w:rsidR="00906508">
        <w:rPr>
          <w:rFonts w:ascii="Arial" w:eastAsia="Times New Roman" w:hAnsi="Arial" w:cs="Arial"/>
        </w:rPr>
        <w:t xml:space="preserve"> controversial and pejorative.</w:t>
      </w:r>
      <w:r w:rsidR="002F64CF">
        <w:rPr>
          <w:rStyle w:val="EndnoteReference"/>
          <w:rFonts w:eastAsia="Times New Roman" w:cs="Arial"/>
        </w:rPr>
        <w:endnoteReference w:id="28"/>
      </w:r>
      <w:r w:rsidR="009856B6">
        <w:rPr>
          <w:rFonts w:ascii="Arial" w:eastAsia="Times New Roman" w:hAnsi="Arial" w:cs="Arial"/>
        </w:rPr>
        <w:t xml:space="preserve"> </w:t>
      </w:r>
      <w:r w:rsidRPr="00446928">
        <w:rPr>
          <w:rFonts w:ascii="Arial" w:eastAsia="Times New Roman" w:hAnsi="Arial" w:cs="Arial"/>
        </w:rPr>
        <w:t xml:space="preserve">Some medical practitioners argue that </w:t>
      </w:r>
      <w:r w:rsidR="0080118C">
        <w:rPr>
          <w:rFonts w:ascii="Arial" w:eastAsia="Times New Roman" w:hAnsi="Arial" w:cs="Arial"/>
        </w:rPr>
        <w:t>DSD</w:t>
      </w:r>
      <w:r w:rsidR="0080118C" w:rsidRPr="00446928">
        <w:rPr>
          <w:rFonts w:ascii="Arial" w:eastAsia="Times New Roman" w:hAnsi="Arial" w:cs="Arial"/>
        </w:rPr>
        <w:t xml:space="preserve"> </w:t>
      </w:r>
      <w:r w:rsidRPr="00446928">
        <w:rPr>
          <w:rFonts w:ascii="Arial" w:eastAsia="Times New Roman" w:hAnsi="Arial" w:cs="Arial"/>
        </w:rPr>
        <w:t xml:space="preserve">is </w:t>
      </w:r>
      <w:r w:rsidR="00F87239">
        <w:rPr>
          <w:rFonts w:ascii="Arial" w:eastAsia="Times New Roman" w:hAnsi="Arial" w:cs="Arial"/>
        </w:rPr>
        <w:t>‘</w:t>
      </w:r>
      <w:r w:rsidRPr="00446928">
        <w:rPr>
          <w:rFonts w:ascii="Arial" w:eastAsia="Times New Roman" w:hAnsi="Arial" w:cs="Arial"/>
        </w:rPr>
        <w:t>more descriptive</w:t>
      </w:r>
      <w:r w:rsidR="00F87239">
        <w:rPr>
          <w:rFonts w:ascii="Arial" w:eastAsia="Times New Roman" w:hAnsi="Arial" w:cs="Arial"/>
        </w:rPr>
        <w:t>’</w:t>
      </w:r>
      <w:r w:rsidRPr="00446928">
        <w:rPr>
          <w:rFonts w:ascii="Arial" w:eastAsia="Times New Roman" w:hAnsi="Arial" w:cs="Arial"/>
        </w:rPr>
        <w:t xml:space="preserve"> and </w:t>
      </w:r>
      <w:r w:rsidR="00F87239">
        <w:rPr>
          <w:rFonts w:ascii="Arial" w:eastAsia="Times New Roman" w:hAnsi="Arial" w:cs="Arial"/>
        </w:rPr>
        <w:t>‘</w:t>
      </w:r>
      <w:r w:rsidRPr="00446928">
        <w:rPr>
          <w:rFonts w:ascii="Arial" w:eastAsia="Times New Roman" w:hAnsi="Arial" w:cs="Arial"/>
        </w:rPr>
        <w:t>supportive of people with intersex variations seeking intervention</w:t>
      </w:r>
      <w:r w:rsidR="00F87239">
        <w:rPr>
          <w:rFonts w:ascii="Arial" w:eastAsia="Times New Roman" w:hAnsi="Arial" w:cs="Arial"/>
        </w:rPr>
        <w:t>’</w:t>
      </w:r>
      <w:r w:rsidRPr="00446928">
        <w:rPr>
          <w:rFonts w:ascii="Arial" w:eastAsia="Times New Roman" w:hAnsi="Arial" w:cs="Arial"/>
        </w:rPr>
        <w:t>.</w:t>
      </w:r>
      <w:r w:rsidR="004C439C" w:rsidRPr="00030F1B">
        <w:rPr>
          <w:rFonts w:ascii="Arial" w:eastAsia="Times New Roman" w:hAnsi="Arial" w:cs="Arial"/>
          <w:vertAlign w:val="superscript"/>
        </w:rPr>
        <w:endnoteReference w:id="29"/>
      </w:r>
      <w:r w:rsidR="00A97BF7">
        <w:rPr>
          <w:rFonts w:ascii="Arial" w:eastAsia="Times New Roman" w:hAnsi="Arial" w:cs="Arial"/>
        </w:rPr>
        <w:t xml:space="preserve"> </w:t>
      </w:r>
      <w:r w:rsidRPr="00446928">
        <w:rPr>
          <w:rFonts w:ascii="Arial" w:eastAsia="Times New Roman" w:hAnsi="Arial" w:cs="Arial"/>
          <w:vertAlign w:val="superscript"/>
        </w:rPr>
        <w:t xml:space="preserve"> </w:t>
      </w:r>
      <w:r w:rsidR="00A97BF7" w:rsidRPr="00A97BF7">
        <w:rPr>
          <w:rFonts w:ascii="Arial" w:eastAsia="Times New Roman" w:hAnsi="Arial" w:cs="Arial"/>
        </w:rPr>
        <w:t xml:space="preserve"> </w:t>
      </w:r>
      <w:r w:rsidR="00A97BF7">
        <w:rPr>
          <w:rFonts w:ascii="Arial" w:eastAsia="Times New Roman" w:hAnsi="Arial" w:cs="Arial"/>
        </w:rPr>
        <w:t xml:space="preserve">A 2016 update to the Consensus Statement notes however that DSD terminology </w:t>
      </w:r>
      <w:r w:rsidR="001B6F71">
        <w:rPr>
          <w:rFonts w:ascii="Arial" w:eastAsia="Times New Roman" w:hAnsi="Arial" w:cs="Arial"/>
        </w:rPr>
        <w:t>has also been perceived to have negative connotations by some advocacy groups</w:t>
      </w:r>
      <w:r w:rsidR="0080118C">
        <w:rPr>
          <w:rFonts w:ascii="Arial" w:eastAsia="Times New Roman" w:hAnsi="Arial" w:cs="Arial"/>
        </w:rPr>
        <w:t xml:space="preserve"> and some people consider</w:t>
      </w:r>
      <w:r w:rsidR="002F64CF">
        <w:rPr>
          <w:rFonts w:ascii="Arial" w:eastAsia="Times New Roman" w:hAnsi="Arial" w:cs="Arial"/>
        </w:rPr>
        <w:t xml:space="preserve"> other terms</w:t>
      </w:r>
      <w:r w:rsidR="0080118C">
        <w:rPr>
          <w:rFonts w:ascii="Arial" w:eastAsia="Times New Roman" w:hAnsi="Arial" w:cs="Arial"/>
        </w:rPr>
        <w:t xml:space="preserve"> like </w:t>
      </w:r>
      <w:r w:rsidR="00F87239">
        <w:rPr>
          <w:rFonts w:ascii="Arial" w:eastAsia="Times New Roman" w:hAnsi="Arial" w:cs="Arial"/>
        </w:rPr>
        <w:t>‘</w:t>
      </w:r>
      <w:r w:rsidR="0080118C">
        <w:rPr>
          <w:rFonts w:ascii="Arial" w:eastAsia="Times New Roman" w:hAnsi="Arial" w:cs="Arial"/>
        </w:rPr>
        <w:t>intersex</w:t>
      </w:r>
      <w:r w:rsidR="00F87239">
        <w:rPr>
          <w:rFonts w:ascii="Arial" w:eastAsia="Times New Roman" w:hAnsi="Arial" w:cs="Arial"/>
        </w:rPr>
        <w:t>’</w:t>
      </w:r>
      <w:r w:rsidR="0080118C">
        <w:rPr>
          <w:rFonts w:ascii="Arial" w:eastAsia="Times New Roman" w:hAnsi="Arial" w:cs="Arial"/>
        </w:rPr>
        <w:t xml:space="preserve"> of </w:t>
      </w:r>
      <w:r w:rsidR="00F87239">
        <w:rPr>
          <w:rFonts w:ascii="Arial" w:eastAsia="Times New Roman" w:hAnsi="Arial" w:cs="Arial"/>
        </w:rPr>
        <w:t>‘</w:t>
      </w:r>
      <w:r w:rsidR="0080118C">
        <w:rPr>
          <w:rFonts w:ascii="Arial" w:eastAsia="Times New Roman" w:hAnsi="Arial" w:cs="Arial"/>
        </w:rPr>
        <w:t>differences of sex development</w:t>
      </w:r>
      <w:r w:rsidR="00F87239">
        <w:rPr>
          <w:rFonts w:ascii="Arial" w:eastAsia="Times New Roman" w:hAnsi="Arial" w:cs="Arial"/>
        </w:rPr>
        <w:t>’</w:t>
      </w:r>
      <w:r w:rsidR="002F64CF">
        <w:rPr>
          <w:rFonts w:ascii="Arial" w:eastAsia="Times New Roman" w:hAnsi="Arial" w:cs="Arial"/>
        </w:rPr>
        <w:t xml:space="preserve"> to be more appropriate.</w:t>
      </w:r>
      <w:r w:rsidR="00C52257">
        <w:rPr>
          <w:rStyle w:val="EndnoteReference"/>
          <w:rFonts w:eastAsia="Times New Roman" w:cs="Arial"/>
        </w:rPr>
        <w:endnoteReference w:id="30"/>
      </w:r>
      <w:r w:rsidR="002F64CF">
        <w:rPr>
          <w:rFonts w:ascii="Arial" w:eastAsia="Times New Roman" w:hAnsi="Arial" w:cs="Arial"/>
        </w:rPr>
        <w:t xml:space="preserve"> </w:t>
      </w:r>
    </w:p>
    <w:p w14:paraId="5EF9623F" w14:textId="4949C64A" w:rsidR="00815DD0"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advocates have raised concerns regarding </w:t>
      </w:r>
      <w:r w:rsidR="002F64CF">
        <w:rPr>
          <w:rFonts w:ascii="Arial" w:eastAsia="Times New Roman" w:hAnsi="Arial" w:cs="Arial"/>
        </w:rPr>
        <w:t>DSD</w:t>
      </w:r>
      <w:r w:rsidR="002F64CF" w:rsidRPr="00446928">
        <w:rPr>
          <w:rFonts w:ascii="Arial" w:eastAsia="Times New Roman" w:hAnsi="Arial" w:cs="Arial"/>
        </w:rPr>
        <w:t xml:space="preserve"> </w:t>
      </w:r>
      <w:r w:rsidRPr="00446928">
        <w:rPr>
          <w:rFonts w:ascii="Arial" w:eastAsia="Times New Roman" w:hAnsi="Arial" w:cs="Arial"/>
        </w:rPr>
        <w:t xml:space="preserve">terminology, citing contention over whether intersex is </w:t>
      </w:r>
      <w:r w:rsidR="00F87239">
        <w:rPr>
          <w:rFonts w:ascii="Arial" w:eastAsia="Times New Roman" w:hAnsi="Arial" w:cs="Arial"/>
        </w:rPr>
        <w:t>‘</w:t>
      </w:r>
      <w:r w:rsidRPr="00446928">
        <w:rPr>
          <w:rFonts w:ascii="Arial" w:eastAsia="Times New Roman" w:hAnsi="Arial" w:cs="Arial"/>
        </w:rPr>
        <w:t>inherently a disorder</w:t>
      </w:r>
      <w:r w:rsidR="00F87239">
        <w:rPr>
          <w:rFonts w:ascii="Arial" w:eastAsia="Times New Roman" w:hAnsi="Arial" w:cs="Arial"/>
        </w:rPr>
        <w:t>’</w:t>
      </w:r>
      <w:r w:rsidRPr="00446928">
        <w:rPr>
          <w:rFonts w:ascii="Arial" w:eastAsia="Times New Roman" w:hAnsi="Arial" w:cs="Arial"/>
        </w:rPr>
        <w:t xml:space="preserve"> or a </w:t>
      </w:r>
      <w:r w:rsidR="00F87239">
        <w:rPr>
          <w:rFonts w:ascii="Arial" w:eastAsia="Times New Roman" w:hAnsi="Arial" w:cs="Arial"/>
        </w:rPr>
        <w:t>‘</w:t>
      </w:r>
      <w:r w:rsidR="004C439C" w:rsidRPr="00030F1B">
        <w:rPr>
          <w:rFonts w:ascii="Arial" w:eastAsia="Times New Roman" w:hAnsi="Arial" w:cs="Arial"/>
        </w:rPr>
        <w:t xml:space="preserve">healthy variation </w:t>
      </w:r>
      <w:r w:rsidR="004C439C">
        <w:rPr>
          <w:rFonts w:ascii="Arial" w:eastAsia="Times New Roman" w:hAnsi="Arial" w:cs="Arial"/>
        </w:rPr>
        <w:t>amongst human bodies</w:t>
      </w:r>
      <w:r w:rsidR="00F87239">
        <w:rPr>
          <w:rFonts w:ascii="Arial" w:eastAsia="Times New Roman" w:hAnsi="Arial" w:cs="Arial"/>
        </w:rPr>
        <w:t>’</w:t>
      </w:r>
      <w:r w:rsidR="004C439C" w:rsidRPr="00030F1B">
        <w:rPr>
          <w:rFonts w:ascii="Arial" w:eastAsia="Times New Roman" w:hAnsi="Arial" w:cs="Arial"/>
        </w:rPr>
        <w:t>.</w:t>
      </w:r>
      <w:r w:rsidR="004C439C" w:rsidRPr="00030F1B">
        <w:rPr>
          <w:rFonts w:ascii="Arial" w:eastAsia="Times New Roman" w:hAnsi="Arial" w:cs="Arial"/>
          <w:vertAlign w:val="superscript"/>
        </w:rPr>
        <w:endnoteReference w:id="31"/>
      </w:r>
      <w:r w:rsidR="004C439C">
        <w:rPr>
          <w:rFonts w:ascii="Arial" w:eastAsia="Times New Roman" w:hAnsi="Arial" w:cs="Arial"/>
        </w:rPr>
        <w:t xml:space="preserve"> </w:t>
      </w:r>
      <w:r w:rsidRPr="00446928">
        <w:rPr>
          <w:rFonts w:ascii="Arial" w:eastAsia="Times New Roman" w:hAnsi="Arial" w:cs="Arial"/>
        </w:rPr>
        <w:t xml:space="preserve">In its 2013 report, the Senate Committee recommended that </w:t>
      </w:r>
      <w:r w:rsidR="00F87239">
        <w:rPr>
          <w:rFonts w:ascii="Arial" w:eastAsia="Times New Roman" w:hAnsi="Arial" w:cs="Arial"/>
        </w:rPr>
        <w:t>‘</w:t>
      </w:r>
      <w:r w:rsidRPr="00446928">
        <w:rPr>
          <w:rFonts w:ascii="Arial" w:eastAsia="Times New Roman" w:hAnsi="Arial" w:cs="Arial"/>
        </w:rPr>
        <w:t xml:space="preserve">governments and other organisations use the term </w:t>
      </w:r>
      <w:r w:rsidR="00F87239">
        <w:rPr>
          <w:rFonts w:ascii="Arial" w:eastAsia="Times New Roman" w:hAnsi="Arial" w:cs="Arial"/>
        </w:rPr>
        <w:t>“</w:t>
      </w:r>
      <w:r w:rsidRPr="00446928">
        <w:rPr>
          <w:rFonts w:ascii="Arial" w:eastAsia="Times New Roman" w:hAnsi="Arial" w:cs="Arial"/>
        </w:rPr>
        <w:t>intersex</w:t>
      </w:r>
      <w:r w:rsidR="00F87239">
        <w:rPr>
          <w:rFonts w:ascii="Arial" w:eastAsia="Times New Roman" w:hAnsi="Arial" w:cs="Arial"/>
        </w:rPr>
        <w:t>”</w:t>
      </w:r>
      <w:r w:rsidRPr="00446928">
        <w:rPr>
          <w:rFonts w:ascii="Arial" w:eastAsia="Times New Roman" w:hAnsi="Arial" w:cs="Arial"/>
        </w:rPr>
        <w:t xml:space="preserve"> and not the phrase </w:t>
      </w:r>
      <w:r w:rsidR="00F87239">
        <w:rPr>
          <w:rFonts w:ascii="Arial" w:eastAsia="Times New Roman" w:hAnsi="Arial" w:cs="Arial"/>
        </w:rPr>
        <w:t>“</w:t>
      </w:r>
      <w:r w:rsidRPr="00446928">
        <w:rPr>
          <w:rFonts w:ascii="Arial" w:eastAsia="Times New Roman" w:hAnsi="Arial" w:cs="Arial"/>
        </w:rPr>
        <w:t>disorders of sex development</w:t>
      </w:r>
      <w:r w:rsidR="00F87239">
        <w:rPr>
          <w:rFonts w:ascii="Arial" w:eastAsia="Times New Roman" w:hAnsi="Arial" w:cs="Arial"/>
        </w:rPr>
        <w:t>”‘</w:t>
      </w:r>
      <w:r w:rsidRPr="00446928">
        <w:rPr>
          <w:rFonts w:ascii="Arial" w:eastAsia="Times New Roman" w:hAnsi="Arial" w:cs="Arial"/>
        </w:rPr>
        <w:t>.</w:t>
      </w:r>
      <w:r w:rsidR="004C439C" w:rsidRPr="00030F1B">
        <w:rPr>
          <w:rFonts w:ascii="Arial" w:eastAsia="Times New Roman" w:hAnsi="Arial" w:cs="Arial"/>
          <w:vertAlign w:val="superscript"/>
        </w:rPr>
        <w:endnoteReference w:id="32"/>
      </w:r>
    </w:p>
    <w:p w14:paraId="4BE50D7A" w14:textId="1B250E52" w:rsidR="001E7638" w:rsidRPr="00446928" w:rsidRDefault="006D65F0"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The Commission also recognises</w:t>
      </w:r>
      <w:r w:rsidR="00815DD0">
        <w:rPr>
          <w:rFonts w:ascii="Arial" w:eastAsia="Times New Roman" w:hAnsi="Arial" w:cs="Arial"/>
        </w:rPr>
        <w:t xml:space="preserve"> that </w:t>
      </w:r>
      <w:r>
        <w:rPr>
          <w:rFonts w:ascii="Arial" w:eastAsia="Times New Roman" w:hAnsi="Arial" w:cs="Arial"/>
        </w:rPr>
        <w:t>a number of</w:t>
      </w:r>
      <w:r w:rsidR="00815DD0">
        <w:rPr>
          <w:rFonts w:ascii="Arial" w:eastAsia="Times New Roman" w:hAnsi="Arial" w:cs="Arial"/>
        </w:rPr>
        <w:t xml:space="preserve"> people</w:t>
      </w:r>
      <w:r>
        <w:rPr>
          <w:rFonts w:ascii="Arial" w:eastAsia="Times New Roman" w:hAnsi="Arial" w:cs="Arial"/>
        </w:rPr>
        <w:t xml:space="preserve"> born</w:t>
      </w:r>
      <w:r w:rsidR="00815DD0">
        <w:rPr>
          <w:rFonts w:ascii="Arial" w:eastAsia="Times New Roman" w:hAnsi="Arial" w:cs="Arial"/>
        </w:rPr>
        <w:t xml:space="preserve"> with variations in sex characteristics do not </w:t>
      </w:r>
      <w:r>
        <w:rPr>
          <w:rFonts w:ascii="Arial" w:eastAsia="Times New Roman" w:hAnsi="Arial" w:cs="Arial"/>
        </w:rPr>
        <w:t>use</w:t>
      </w:r>
      <w:r w:rsidR="00815DD0">
        <w:rPr>
          <w:rFonts w:ascii="Arial" w:eastAsia="Times New Roman" w:hAnsi="Arial" w:cs="Arial"/>
        </w:rPr>
        <w:t xml:space="preserve"> </w:t>
      </w:r>
      <w:r>
        <w:rPr>
          <w:rFonts w:ascii="Arial" w:eastAsia="Times New Roman" w:hAnsi="Arial" w:cs="Arial"/>
        </w:rPr>
        <w:t>any</w:t>
      </w:r>
      <w:r w:rsidR="00815DD0">
        <w:rPr>
          <w:rFonts w:ascii="Arial" w:eastAsia="Times New Roman" w:hAnsi="Arial" w:cs="Arial"/>
        </w:rPr>
        <w:t xml:space="preserve"> collective term</w:t>
      </w:r>
      <w:r>
        <w:rPr>
          <w:rFonts w:ascii="Arial" w:eastAsia="Times New Roman" w:hAnsi="Arial" w:cs="Arial"/>
        </w:rPr>
        <w:t xml:space="preserve"> to describe themselves or their variation,</w:t>
      </w:r>
      <w:r w:rsidR="00815DD0">
        <w:rPr>
          <w:rFonts w:ascii="Arial" w:eastAsia="Times New Roman" w:hAnsi="Arial" w:cs="Arial"/>
        </w:rPr>
        <w:t xml:space="preserve"> but instead </w:t>
      </w:r>
      <w:r w:rsidR="003E7CDA">
        <w:rPr>
          <w:rFonts w:ascii="Arial" w:eastAsia="Times New Roman" w:hAnsi="Arial" w:cs="Arial"/>
        </w:rPr>
        <w:t>may only talk specifically about their variation or</w:t>
      </w:r>
      <w:r w:rsidR="000E36FF">
        <w:rPr>
          <w:rFonts w:ascii="Arial" w:eastAsia="Times New Roman" w:hAnsi="Arial" w:cs="Arial"/>
        </w:rPr>
        <w:t xml:space="preserve"> </w:t>
      </w:r>
      <w:r>
        <w:rPr>
          <w:rFonts w:ascii="Arial" w:eastAsia="Times New Roman" w:hAnsi="Arial" w:cs="Arial"/>
        </w:rPr>
        <w:t xml:space="preserve">use </w:t>
      </w:r>
      <w:r w:rsidR="000E36FF">
        <w:rPr>
          <w:rFonts w:ascii="Arial" w:eastAsia="Times New Roman" w:hAnsi="Arial" w:cs="Arial"/>
        </w:rPr>
        <w:t>their</w:t>
      </w:r>
      <w:r w:rsidR="00815DD0">
        <w:rPr>
          <w:rFonts w:ascii="Arial" w:eastAsia="Times New Roman" w:hAnsi="Arial" w:cs="Arial"/>
        </w:rPr>
        <w:t xml:space="preserve"> medical diagnosis</w:t>
      </w:r>
      <w:r w:rsidR="003E7CDA">
        <w:rPr>
          <w:rFonts w:ascii="Arial" w:eastAsia="Times New Roman" w:hAnsi="Arial" w:cs="Arial"/>
        </w:rPr>
        <w:t xml:space="preserve">, or may </w:t>
      </w:r>
      <w:r w:rsidR="000E36FF">
        <w:rPr>
          <w:rFonts w:ascii="Arial" w:eastAsia="Times New Roman" w:hAnsi="Arial" w:cs="Arial"/>
        </w:rPr>
        <w:t>change the language they use in different contexts</w:t>
      </w:r>
      <w:r w:rsidR="00815DD0">
        <w:rPr>
          <w:rFonts w:ascii="Arial" w:eastAsia="Times New Roman" w:hAnsi="Arial" w:cs="Arial"/>
        </w:rPr>
        <w:t>.</w:t>
      </w:r>
      <w:r w:rsidR="000E36FF">
        <w:rPr>
          <w:rStyle w:val="EndnoteReference"/>
          <w:rFonts w:eastAsia="Times New Roman" w:cs="Arial"/>
        </w:rPr>
        <w:endnoteReference w:id="33"/>
      </w:r>
      <w:r w:rsidR="00815DD0">
        <w:rPr>
          <w:rFonts w:ascii="Arial" w:eastAsia="Times New Roman" w:hAnsi="Arial" w:cs="Arial"/>
        </w:rPr>
        <w:t xml:space="preserve"> </w:t>
      </w:r>
    </w:p>
    <w:p w14:paraId="2D42D58B" w14:textId="03D03FB5" w:rsidR="001E7638" w:rsidRPr="00446928" w:rsidRDefault="00E465E7"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As noted above, i</w:t>
      </w:r>
      <w:r w:rsidR="001E7638" w:rsidRPr="00446928">
        <w:rPr>
          <w:rFonts w:ascii="Arial" w:eastAsia="Times New Roman" w:hAnsi="Arial" w:cs="Arial"/>
        </w:rPr>
        <w:t xml:space="preserve">n this Consultation Paper, the Commission primarily uses the </w:t>
      </w:r>
      <w:r w:rsidRPr="00446928">
        <w:rPr>
          <w:rFonts w:ascii="Arial" w:eastAsia="Times New Roman" w:hAnsi="Arial" w:cs="Arial"/>
        </w:rPr>
        <w:t>term</w:t>
      </w:r>
      <w:r w:rsidR="001E7638" w:rsidRPr="00446928">
        <w:rPr>
          <w:rFonts w:ascii="Arial" w:eastAsia="Times New Roman" w:hAnsi="Arial" w:cs="Arial"/>
        </w:rPr>
        <w:t xml:space="preserve"> </w:t>
      </w:r>
      <w:r w:rsidR="00F87239">
        <w:rPr>
          <w:rFonts w:ascii="Arial" w:eastAsia="Times New Roman" w:hAnsi="Arial" w:cs="Arial"/>
        </w:rPr>
        <w:t>‘</w:t>
      </w:r>
      <w:r w:rsidR="00241C46">
        <w:rPr>
          <w:rFonts w:ascii="Arial" w:eastAsia="Times New Roman" w:hAnsi="Arial" w:cs="Arial"/>
        </w:rPr>
        <w:t>people born with</w:t>
      </w:r>
      <w:r w:rsidR="001E7638" w:rsidRPr="00446928">
        <w:rPr>
          <w:rFonts w:ascii="Arial" w:eastAsia="Times New Roman" w:hAnsi="Arial" w:cs="Arial"/>
        </w:rPr>
        <w:t xml:space="preserve"> variations in sex characteristics</w:t>
      </w:r>
      <w:r w:rsidR="00F87239">
        <w:rPr>
          <w:rFonts w:ascii="Arial" w:eastAsia="Times New Roman" w:hAnsi="Arial" w:cs="Arial"/>
        </w:rPr>
        <w:t>’</w:t>
      </w:r>
      <w:r w:rsidR="001E7638" w:rsidRPr="00446928">
        <w:rPr>
          <w:rFonts w:ascii="Arial" w:eastAsia="Times New Roman" w:hAnsi="Arial" w:cs="Arial"/>
        </w:rPr>
        <w:t xml:space="preserve">. </w:t>
      </w:r>
      <w:r w:rsidR="005C2408">
        <w:rPr>
          <w:rFonts w:ascii="Arial" w:eastAsia="Times New Roman" w:hAnsi="Arial" w:cs="Arial"/>
        </w:rPr>
        <w:t>This</w:t>
      </w:r>
      <w:r w:rsidR="008F3AF6">
        <w:rPr>
          <w:rFonts w:ascii="Arial" w:eastAsia="Times New Roman" w:hAnsi="Arial" w:cs="Arial"/>
        </w:rPr>
        <w:t xml:space="preserve"> term refers to </w:t>
      </w:r>
      <w:r w:rsidR="0059266C">
        <w:rPr>
          <w:rFonts w:ascii="Arial" w:eastAsia="Times New Roman" w:hAnsi="Arial" w:cs="Arial"/>
        </w:rPr>
        <w:t>children and adults</w:t>
      </w:r>
      <w:r w:rsidR="008F3AF6">
        <w:rPr>
          <w:rFonts w:ascii="Arial" w:eastAsia="Times New Roman" w:hAnsi="Arial" w:cs="Arial"/>
        </w:rPr>
        <w:t xml:space="preserve"> born with any sex characteristics that do not conform to medical norms for female or male bodies. </w:t>
      </w:r>
      <w:proofErr w:type="gramStart"/>
      <w:r w:rsidR="002C0A0F">
        <w:rPr>
          <w:rFonts w:ascii="Arial" w:eastAsia="Times New Roman" w:hAnsi="Arial" w:cs="Arial"/>
        </w:rPr>
        <w:t>While there is no universal or perhaps even generally</w:t>
      </w:r>
      <w:r w:rsidR="007A2273">
        <w:rPr>
          <w:rFonts w:ascii="Arial" w:eastAsia="Times New Roman" w:hAnsi="Arial" w:cs="Arial"/>
        </w:rPr>
        <w:t>-</w:t>
      </w:r>
      <w:r w:rsidRPr="00446928">
        <w:rPr>
          <w:rFonts w:ascii="Arial" w:eastAsia="Times New Roman" w:hAnsi="Arial" w:cs="Arial"/>
        </w:rPr>
        <w:t xml:space="preserve">accepted term </w:t>
      </w:r>
      <w:r w:rsidR="005C2408">
        <w:rPr>
          <w:rFonts w:ascii="Arial" w:eastAsia="Times New Roman" w:hAnsi="Arial" w:cs="Arial"/>
        </w:rPr>
        <w:t xml:space="preserve">across variation groups, human rights discourse and the medical literature </w:t>
      </w:r>
      <w:r w:rsidRPr="00446928">
        <w:rPr>
          <w:rFonts w:ascii="Arial" w:eastAsia="Times New Roman" w:hAnsi="Arial" w:cs="Arial"/>
        </w:rPr>
        <w:t xml:space="preserve">to describe this </w:t>
      </w:r>
      <w:r w:rsidR="004A6CE4">
        <w:rPr>
          <w:rFonts w:ascii="Arial" w:eastAsia="Times New Roman" w:hAnsi="Arial" w:cs="Arial"/>
        </w:rPr>
        <w:t>population</w:t>
      </w:r>
      <w:r w:rsidRPr="00446928">
        <w:rPr>
          <w:rFonts w:ascii="Arial" w:eastAsia="Times New Roman" w:hAnsi="Arial" w:cs="Arial"/>
        </w:rPr>
        <w:t xml:space="preserve">, the language adopted by the Commission </w:t>
      </w:r>
      <w:r w:rsidR="001A58F7">
        <w:rPr>
          <w:rFonts w:ascii="Arial" w:eastAsia="Times New Roman" w:hAnsi="Arial" w:cs="Arial"/>
        </w:rPr>
        <w:t>in this Consultation Paper</w:t>
      </w:r>
      <w:r w:rsidR="001A58F7" w:rsidRPr="00446928">
        <w:rPr>
          <w:rFonts w:ascii="Arial" w:eastAsia="Times New Roman" w:hAnsi="Arial" w:cs="Arial"/>
        </w:rPr>
        <w:t xml:space="preserve"> </w:t>
      </w:r>
      <w:r w:rsidRPr="00446928">
        <w:rPr>
          <w:rFonts w:ascii="Arial" w:eastAsia="Times New Roman" w:hAnsi="Arial" w:cs="Arial"/>
        </w:rPr>
        <w:t xml:space="preserve">is intended </w:t>
      </w:r>
      <w:r w:rsidR="001E7638" w:rsidRPr="00446928">
        <w:rPr>
          <w:rFonts w:ascii="Arial" w:eastAsia="Times New Roman" w:hAnsi="Arial" w:cs="Arial"/>
        </w:rPr>
        <w:t xml:space="preserve">to avoid </w:t>
      </w:r>
      <w:r w:rsidR="003513FB" w:rsidRPr="00446928">
        <w:rPr>
          <w:rFonts w:ascii="Arial" w:eastAsia="Times New Roman" w:hAnsi="Arial" w:cs="Arial"/>
        </w:rPr>
        <w:t>some of the mo</w:t>
      </w:r>
      <w:r w:rsidR="00611AA6">
        <w:rPr>
          <w:rFonts w:ascii="Arial" w:eastAsia="Times New Roman" w:hAnsi="Arial" w:cs="Arial"/>
        </w:rPr>
        <w:t>re</w:t>
      </w:r>
      <w:r w:rsidR="003513FB" w:rsidRPr="00446928">
        <w:rPr>
          <w:rFonts w:ascii="Arial" w:eastAsia="Times New Roman" w:hAnsi="Arial" w:cs="Arial"/>
        </w:rPr>
        <w:t xml:space="preserve"> commonly</w:t>
      </w:r>
      <w:r w:rsidR="009159A8">
        <w:rPr>
          <w:rFonts w:ascii="Arial" w:eastAsia="Times New Roman" w:hAnsi="Arial" w:cs="Arial"/>
        </w:rPr>
        <w:noBreakHyphen/>
      </w:r>
      <w:r w:rsidR="003513FB" w:rsidRPr="00446928">
        <w:rPr>
          <w:rFonts w:ascii="Arial" w:eastAsia="Times New Roman" w:hAnsi="Arial" w:cs="Arial"/>
        </w:rPr>
        <w:t>reported concerns expressed reg</w:t>
      </w:r>
      <w:r w:rsidR="004A6CE4">
        <w:rPr>
          <w:rFonts w:ascii="Arial" w:eastAsia="Times New Roman" w:hAnsi="Arial" w:cs="Arial"/>
        </w:rPr>
        <w:t>arding terminology in this area</w:t>
      </w:r>
      <w:r w:rsidR="007744F6">
        <w:rPr>
          <w:rFonts w:ascii="Open Sans" w:hAnsi="Open Sans"/>
        </w:rPr>
        <w:t xml:space="preserve"> </w:t>
      </w:r>
      <w:r w:rsidR="007744F6" w:rsidRPr="007744F6">
        <w:rPr>
          <w:rFonts w:ascii="Open Sans" w:hAnsi="Open Sans"/>
        </w:rPr>
        <w:t>—</w:t>
      </w:r>
      <w:r w:rsidR="007744F6">
        <w:rPr>
          <w:rFonts w:ascii="Open Sans" w:hAnsi="Open Sans"/>
        </w:rPr>
        <w:t xml:space="preserve"> </w:t>
      </w:r>
      <w:r w:rsidR="001A58F7">
        <w:rPr>
          <w:rFonts w:ascii="Arial" w:eastAsia="Times New Roman" w:hAnsi="Arial" w:cs="Arial"/>
        </w:rPr>
        <w:t>particularly the need</w:t>
      </w:r>
      <w:r w:rsidR="001A58F7" w:rsidRPr="00446928">
        <w:rPr>
          <w:rFonts w:ascii="Arial" w:eastAsia="Times New Roman" w:hAnsi="Arial" w:cs="Arial"/>
        </w:rPr>
        <w:t xml:space="preserve"> </w:t>
      </w:r>
      <w:r w:rsidR="008F3AF6">
        <w:rPr>
          <w:rFonts w:ascii="Arial" w:eastAsia="Times New Roman" w:hAnsi="Arial" w:cs="Arial"/>
        </w:rPr>
        <w:t>to</w:t>
      </w:r>
      <w:r w:rsidR="001A58F7">
        <w:rPr>
          <w:rFonts w:ascii="Arial" w:eastAsia="Times New Roman" w:hAnsi="Arial" w:cs="Arial"/>
        </w:rPr>
        <w:t xml:space="preserve"> avoid stigma, misconceptions, </w:t>
      </w:r>
      <w:r w:rsidR="007A2273">
        <w:rPr>
          <w:rFonts w:ascii="Arial" w:eastAsia="Times New Roman" w:hAnsi="Arial" w:cs="Arial"/>
        </w:rPr>
        <w:t xml:space="preserve">un-necessary </w:t>
      </w:r>
      <w:proofErr w:type="spellStart"/>
      <w:r w:rsidR="001A58F7">
        <w:rPr>
          <w:rFonts w:ascii="Arial" w:eastAsia="Times New Roman" w:hAnsi="Arial" w:cs="Arial"/>
        </w:rPr>
        <w:t>patholog</w:t>
      </w:r>
      <w:r w:rsidR="007A2273">
        <w:rPr>
          <w:rFonts w:ascii="Arial" w:eastAsia="Times New Roman" w:hAnsi="Arial" w:cs="Arial"/>
        </w:rPr>
        <w:t>ising</w:t>
      </w:r>
      <w:proofErr w:type="spellEnd"/>
      <w:r w:rsidR="007A2273">
        <w:rPr>
          <w:rFonts w:ascii="Arial" w:eastAsia="Times New Roman" w:hAnsi="Arial" w:cs="Arial"/>
        </w:rPr>
        <w:t xml:space="preserve"> </w:t>
      </w:r>
      <w:r w:rsidR="001A58F7">
        <w:rPr>
          <w:rFonts w:ascii="Arial" w:eastAsia="Times New Roman" w:hAnsi="Arial" w:cs="Arial"/>
        </w:rPr>
        <w:t xml:space="preserve">and </w:t>
      </w:r>
      <w:r w:rsidR="007A2273">
        <w:rPr>
          <w:rFonts w:ascii="Arial" w:eastAsia="Times New Roman" w:hAnsi="Arial" w:cs="Arial"/>
        </w:rPr>
        <w:t xml:space="preserve">unhelpful </w:t>
      </w:r>
      <w:r w:rsidR="001A58F7">
        <w:rPr>
          <w:rFonts w:ascii="Arial" w:eastAsia="Times New Roman" w:hAnsi="Arial" w:cs="Arial"/>
        </w:rPr>
        <w:t>preconceptions.</w:t>
      </w:r>
      <w:proofErr w:type="gramEnd"/>
      <w:r w:rsidR="003513FB" w:rsidRPr="00446928">
        <w:rPr>
          <w:rFonts w:ascii="Arial" w:eastAsia="Times New Roman" w:hAnsi="Arial" w:cs="Arial"/>
        </w:rPr>
        <w:t xml:space="preserve"> At the same time</w:t>
      </w:r>
      <w:r w:rsidR="001E7638" w:rsidRPr="00446928">
        <w:rPr>
          <w:rFonts w:ascii="Arial" w:eastAsia="Times New Roman" w:hAnsi="Arial" w:cs="Arial"/>
        </w:rPr>
        <w:t xml:space="preserve">, </w:t>
      </w:r>
      <w:r w:rsidR="003513FB" w:rsidRPr="00446928">
        <w:rPr>
          <w:rFonts w:ascii="Arial" w:eastAsia="Times New Roman" w:hAnsi="Arial" w:cs="Arial"/>
        </w:rPr>
        <w:t>the Commission</w:t>
      </w:r>
      <w:r w:rsidR="00F87239">
        <w:rPr>
          <w:rFonts w:ascii="Arial" w:eastAsia="Times New Roman" w:hAnsi="Arial" w:cs="Arial"/>
        </w:rPr>
        <w:t>’</w:t>
      </w:r>
      <w:r w:rsidR="003513FB" w:rsidRPr="00446928">
        <w:rPr>
          <w:rFonts w:ascii="Arial" w:eastAsia="Times New Roman" w:hAnsi="Arial" w:cs="Arial"/>
        </w:rPr>
        <w:t xml:space="preserve">s terminology aims to </w:t>
      </w:r>
      <w:r w:rsidR="001E7638" w:rsidRPr="00446928">
        <w:rPr>
          <w:rFonts w:ascii="Arial" w:eastAsia="Times New Roman" w:hAnsi="Arial" w:cs="Arial"/>
        </w:rPr>
        <w:t xml:space="preserve">remain precise about the population </w:t>
      </w:r>
      <w:r w:rsidR="001A58F7">
        <w:rPr>
          <w:rFonts w:ascii="Arial" w:eastAsia="Times New Roman" w:hAnsi="Arial" w:cs="Arial"/>
        </w:rPr>
        <w:t>and human rights concerns that are the subject of this inquiry</w:t>
      </w:r>
      <w:r w:rsidR="001E7638" w:rsidRPr="00446928">
        <w:rPr>
          <w:rFonts w:ascii="Arial" w:eastAsia="Times New Roman" w:hAnsi="Arial" w:cs="Arial"/>
        </w:rPr>
        <w:t xml:space="preserve">. The terms </w:t>
      </w:r>
      <w:r w:rsidR="00F87239">
        <w:rPr>
          <w:rFonts w:ascii="Arial" w:eastAsia="Times New Roman" w:hAnsi="Arial" w:cs="Arial"/>
        </w:rPr>
        <w:t>‘</w:t>
      </w:r>
      <w:r w:rsidR="001E7638" w:rsidRPr="00446928">
        <w:rPr>
          <w:rFonts w:ascii="Arial" w:eastAsia="Times New Roman" w:hAnsi="Arial" w:cs="Arial"/>
        </w:rPr>
        <w:t>intersex</w:t>
      </w:r>
      <w:r w:rsidR="00F87239">
        <w:rPr>
          <w:rFonts w:ascii="Arial" w:eastAsia="Times New Roman" w:hAnsi="Arial" w:cs="Arial"/>
        </w:rPr>
        <w:t>’</w:t>
      </w:r>
      <w:r w:rsidR="001E7638" w:rsidRPr="00446928">
        <w:rPr>
          <w:rFonts w:ascii="Arial" w:eastAsia="Times New Roman" w:hAnsi="Arial" w:cs="Arial"/>
        </w:rPr>
        <w:t xml:space="preserve"> and </w:t>
      </w:r>
      <w:r w:rsidR="00F87239">
        <w:rPr>
          <w:rFonts w:ascii="Arial" w:eastAsia="Times New Roman" w:hAnsi="Arial" w:cs="Arial"/>
        </w:rPr>
        <w:t>‘</w:t>
      </w:r>
      <w:r w:rsidR="001E7638" w:rsidRPr="00446928">
        <w:rPr>
          <w:rFonts w:ascii="Arial" w:eastAsia="Times New Roman" w:hAnsi="Arial" w:cs="Arial"/>
        </w:rPr>
        <w:t>disorders of sex development</w:t>
      </w:r>
      <w:r w:rsidR="00F87239">
        <w:rPr>
          <w:rFonts w:ascii="Arial" w:eastAsia="Times New Roman" w:hAnsi="Arial" w:cs="Arial"/>
        </w:rPr>
        <w:t>’</w:t>
      </w:r>
      <w:r w:rsidR="001E7638" w:rsidRPr="00446928">
        <w:rPr>
          <w:rFonts w:ascii="Arial" w:eastAsia="Times New Roman" w:hAnsi="Arial" w:cs="Arial"/>
        </w:rPr>
        <w:t xml:space="preserve"> </w:t>
      </w:r>
      <w:proofErr w:type="gramStart"/>
      <w:r w:rsidR="001E7638" w:rsidRPr="00446928">
        <w:rPr>
          <w:rFonts w:ascii="Arial" w:eastAsia="Times New Roman" w:hAnsi="Arial" w:cs="Arial"/>
        </w:rPr>
        <w:t>are used</w:t>
      </w:r>
      <w:proofErr w:type="gramEnd"/>
      <w:r w:rsidR="001E7638" w:rsidRPr="00446928">
        <w:rPr>
          <w:rFonts w:ascii="Arial" w:eastAsia="Times New Roman" w:hAnsi="Arial" w:cs="Arial"/>
        </w:rPr>
        <w:t xml:space="preserve"> when referring to specific texts that use </w:t>
      </w:r>
      <w:r w:rsidR="003513FB" w:rsidRPr="00446928">
        <w:rPr>
          <w:rFonts w:ascii="Arial" w:eastAsia="Times New Roman" w:hAnsi="Arial" w:cs="Arial"/>
        </w:rPr>
        <w:t>those terms</w:t>
      </w:r>
      <w:r w:rsidR="00F87239">
        <w:rPr>
          <w:rFonts w:ascii="Arial" w:eastAsia="Times New Roman" w:hAnsi="Arial" w:cs="Arial"/>
        </w:rPr>
        <w:t xml:space="preserve">. </w:t>
      </w:r>
    </w:p>
    <w:p w14:paraId="5E3FDFD0" w14:textId="77777777" w:rsidR="007A2273" w:rsidRDefault="003513FB" w:rsidP="00143C02">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lastRenderedPageBreak/>
        <w:t>The Commission recognises that the language used to identify a group of people can be vitally important to those people, and that such questions can be difficult to resolve. As a result, t</w:t>
      </w:r>
      <w:r w:rsidR="001E7638" w:rsidRPr="00446928">
        <w:rPr>
          <w:rFonts w:ascii="Arial" w:eastAsia="Times New Roman" w:hAnsi="Arial" w:cs="Arial"/>
        </w:rPr>
        <w:t xml:space="preserve">he Commission </w:t>
      </w:r>
      <w:r w:rsidRPr="00446928">
        <w:rPr>
          <w:rFonts w:ascii="Arial" w:eastAsia="Times New Roman" w:hAnsi="Arial" w:cs="Arial"/>
        </w:rPr>
        <w:t xml:space="preserve">is not proposing to settle the question of terminology in this Consultation Paper </w:t>
      </w:r>
      <w:r w:rsidR="001E7638" w:rsidRPr="00446928">
        <w:rPr>
          <w:rFonts w:ascii="Arial" w:eastAsia="Times New Roman" w:hAnsi="Arial" w:cs="Arial"/>
        </w:rPr>
        <w:t xml:space="preserve">and welcomes </w:t>
      </w:r>
      <w:r w:rsidRPr="00446928">
        <w:rPr>
          <w:rFonts w:ascii="Arial" w:eastAsia="Times New Roman" w:hAnsi="Arial" w:cs="Arial"/>
        </w:rPr>
        <w:t xml:space="preserve">input </w:t>
      </w:r>
      <w:r w:rsidR="001E7638" w:rsidRPr="00446928">
        <w:rPr>
          <w:rFonts w:ascii="Arial" w:eastAsia="Times New Roman" w:hAnsi="Arial" w:cs="Arial"/>
        </w:rPr>
        <w:t>about appropriate terminology.</w:t>
      </w:r>
      <w:r w:rsidRPr="00446928">
        <w:rPr>
          <w:rFonts w:ascii="Arial" w:eastAsia="Times New Roman" w:hAnsi="Arial" w:cs="Arial"/>
        </w:rPr>
        <w:t xml:space="preserve"> </w:t>
      </w:r>
    </w:p>
    <w:p w14:paraId="1DE17F20" w14:textId="0D9FAECF" w:rsidR="00143C02" w:rsidRPr="007A2273" w:rsidRDefault="00DB29CE" w:rsidP="00143C02">
      <w:pPr>
        <w:numPr>
          <w:ilvl w:val="0"/>
          <w:numId w:val="15"/>
        </w:numPr>
        <w:spacing w:before="240" w:after="240" w:line="240" w:lineRule="auto"/>
        <w:ind w:hanging="720"/>
        <w:rPr>
          <w:rFonts w:ascii="Arial" w:eastAsia="Times New Roman" w:hAnsi="Arial" w:cs="Arial"/>
        </w:rPr>
      </w:pPr>
      <w:r w:rsidRPr="007A2273">
        <w:rPr>
          <w:rFonts w:ascii="Arial" w:eastAsia="Times New Roman" w:hAnsi="Arial" w:cs="Arial"/>
        </w:rPr>
        <w:t xml:space="preserve">Further, the term </w:t>
      </w:r>
      <w:r w:rsidR="00F87239">
        <w:rPr>
          <w:rFonts w:ascii="Arial" w:eastAsia="Times New Roman" w:hAnsi="Arial" w:cs="Arial"/>
        </w:rPr>
        <w:t>‘</w:t>
      </w:r>
      <w:r w:rsidRPr="007A2273">
        <w:rPr>
          <w:rFonts w:ascii="Arial" w:eastAsia="Times New Roman" w:hAnsi="Arial" w:cs="Arial"/>
        </w:rPr>
        <w:t>medical intervention</w:t>
      </w:r>
      <w:r w:rsidR="00F87239">
        <w:rPr>
          <w:rFonts w:ascii="Arial" w:eastAsia="Times New Roman" w:hAnsi="Arial" w:cs="Arial"/>
        </w:rPr>
        <w:t>’</w:t>
      </w:r>
      <w:r w:rsidRPr="007A2273">
        <w:rPr>
          <w:rFonts w:ascii="Arial" w:eastAsia="Times New Roman" w:hAnsi="Arial" w:cs="Arial"/>
        </w:rPr>
        <w:t xml:space="preserve"> </w:t>
      </w:r>
      <w:proofErr w:type="gramStart"/>
      <w:r w:rsidRPr="007A2273">
        <w:rPr>
          <w:rFonts w:ascii="Arial" w:eastAsia="Times New Roman" w:hAnsi="Arial" w:cs="Arial"/>
        </w:rPr>
        <w:t>is used</w:t>
      </w:r>
      <w:proofErr w:type="gramEnd"/>
      <w:r w:rsidRPr="007A2273">
        <w:rPr>
          <w:rFonts w:ascii="Arial" w:eastAsia="Times New Roman" w:hAnsi="Arial" w:cs="Arial"/>
        </w:rPr>
        <w:t xml:space="preserve"> in this Consultation Paper to cover surgical and non-surgical interventions. Surgical interventions include procedures like clitoral rescission, </w:t>
      </w:r>
      <w:proofErr w:type="spellStart"/>
      <w:r w:rsidRPr="007A2273">
        <w:rPr>
          <w:rFonts w:ascii="Arial" w:eastAsia="Times New Roman" w:hAnsi="Arial" w:cs="Arial"/>
        </w:rPr>
        <w:t>vaginoplasty</w:t>
      </w:r>
      <w:proofErr w:type="spellEnd"/>
      <w:r w:rsidRPr="007A2273">
        <w:rPr>
          <w:rFonts w:ascii="Arial" w:eastAsia="Times New Roman" w:hAnsi="Arial" w:cs="Arial"/>
        </w:rPr>
        <w:t xml:space="preserve">, </w:t>
      </w:r>
      <w:proofErr w:type="spellStart"/>
      <w:r w:rsidRPr="007A2273">
        <w:rPr>
          <w:rFonts w:ascii="Arial" w:eastAsia="Times New Roman" w:hAnsi="Arial" w:cs="Arial"/>
        </w:rPr>
        <w:t>gonadectomy</w:t>
      </w:r>
      <w:proofErr w:type="spellEnd"/>
      <w:r w:rsidRPr="007A2273">
        <w:rPr>
          <w:rFonts w:ascii="Arial" w:eastAsia="Times New Roman" w:hAnsi="Arial" w:cs="Arial"/>
        </w:rPr>
        <w:t xml:space="preserve"> or mastectomy. Non-surgical interventions include procedures like hormone replacement therapy or dilation. </w:t>
      </w:r>
      <w:r w:rsidR="000F0525" w:rsidRPr="007A2273">
        <w:rPr>
          <w:rFonts w:ascii="Arial" w:eastAsia="Times New Roman" w:hAnsi="Arial" w:cs="Arial"/>
        </w:rPr>
        <w:t>Medical interventions may also cover interventions that do not just affect the sex characteristics of the individual concerned</w:t>
      </w:r>
      <w:r w:rsidR="00606FF8" w:rsidRPr="007A2273">
        <w:rPr>
          <w:rFonts w:ascii="Arial" w:eastAsia="Times New Roman" w:hAnsi="Arial" w:cs="Arial"/>
        </w:rPr>
        <w:t xml:space="preserve">. </w:t>
      </w:r>
      <w:r w:rsidR="000F0525" w:rsidRPr="007A2273">
        <w:rPr>
          <w:rFonts w:ascii="Arial" w:eastAsia="Times New Roman" w:hAnsi="Arial" w:cs="Arial"/>
        </w:rPr>
        <w:t>Particular variations may be associated with other differences</w:t>
      </w:r>
      <w:r w:rsidR="00B71CB8" w:rsidRPr="007A2273">
        <w:rPr>
          <w:rFonts w:ascii="Arial" w:eastAsia="Times New Roman" w:hAnsi="Arial" w:cs="Arial"/>
        </w:rPr>
        <w:t xml:space="preserve"> too, f</w:t>
      </w:r>
      <w:r w:rsidR="00AE75F9" w:rsidRPr="007A2273">
        <w:rPr>
          <w:rFonts w:ascii="Arial" w:eastAsia="Times New Roman" w:hAnsi="Arial" w:cs="Arial"/>
        </w:rPr>
        <w:t xml:space="preserve">or </w:t>
      </w:r>
      <w:proofErr w:type="gramStart"/>
      <w:r w:rsidR="00AE75F9" w:rsidRPr="007A2273">
        <w:rPr>
          <w:rFonts w:ascii="Arial" w:eastAsia="Times New Roman" w:hAnsi="Arial" w:cs="Arial"/>
        </w:rPr>
        <w:t>example</w:t>
      </w:r>
      <w:proofErr w:type="gramEnd"/>
      <w:r w:rsidR="00AE75F9" w:rsidRPr="007A2273">
        <w:rPr>
          <w:rFonts w:ascii="Arial" w:eastAsia="Times New Roman" w:hAnsi="Arial" w:cs="Arial"/>
        </w:rPr>
        <w:t xml:space="preserve"> some variations are associated with shorter stature and individuals affected may be put on growth hormones, while other variations are associated with cognitive difficulties and individuals affected may </w:t>
      </w:r>
      <w:r w:rsidR="00A4420F" w:rsidRPr="007A2273">
        <w:rPr>
          <w:rFonts w:ascii="Arial" w:eastAsia="Times New Roman" w:hAnsi="Arial" w:cs="Arial"/>
        </w:rPr>
        <w:t xml:space="preserve">see speech pathologists </w:t>
      </w:r>
      <w:r w:rsidR="00AE75F9" w:rsidRPr="007A2273">
        <w:rPr>
          <w:rFonts w:ascii="Arial" w:eastAsia="Times New Roman" w:hAnsi="Arial" w:cs="Arial"/>
        </w:rPr>
        <w:t xml:space="preserve">or occupational therapists. </w:t>
      </w:r>
    </w:p>
    <w:tbl>
      <w:tblPr>
        <w:tblStyle w:val="TableGrid"/>
        <w:tblW w:w="0" w:type="auto"/>
        <w:tblLook w:val="04A0" w:firstRow="1" w:lastRow="0" w:firstColumn="1" w:lastColumn="0" w:noHBand="0" w:noVBand="1"/>
      </w:tblPr>
      <w:tblGrid>
        <w:gridCol w:w="9628"/>
      </w:tblGrid>
      <w:tr w:rsidR="00143C02" w:rsidRPr="00446928" w14:paraId="59C06F25" w14:textId="77777777" w:rsidTr="002F6F18">
        <w:tc>
          <w:tcPr>
            <w:tcW w:w="9628" w:type="dxa"/>
          </w:tcPr>
          <w:p w14:paraId="743F2128" w14:textId="32036673" w:rsidR="00143C02" w:rsidRPr="00446928" w:rsidRDefault="00143C02" w:rsidP="002F6F18">
            <w:pPr>
              <w:rPr>
                <w:rFonts w:ascii="Arial" w:hAnsi="Arial" w:cs="Arial"/>
                <w:b/>
              </w:rPr>
            </w:pPr>
            <w:r>
              <w:rPr>
                <w:rFonts w:ascii="Arial" w:hAnsi="Arial" w:cs="Arial"/>
                <w:b/>
              </w:rPr>
              <w:t>Key question</w:t>
            </w:r>
            <w:r w:rsidRPr="00446928">
              <w:rPr>
                <w:rFonts w:ascii="Arial" w:hAnsi="Arial" w:cs="Arial"/>
                <w:b/>
              </w:rPr>
              <w:t>:</w:t>
            </w:r>
          </w:p>
          <w:p w14:paraId="64743920" w14:textId="539DD2A8" w:rsidR="006B4C3B" w:rsidRPr="007A2273" w:rsidRDefault="00F61474" w:rsidP="00832629">
            <w:pPr>
              <w:pStyle w:val="SubmissionNormal"/>
              <w:numPr>
                <w:ilvl w:val="0"/>
                <w:numId w:val="27"/>
              </w:numPr>
              <w:rPr>
                <w:rFonts w:ascii="Arial" w:hAnsi="Arial" w:cs="Arial"/>
              </w:rPr>
            </w:pPr>
            <w:r>
              <w:rPr>
                <w:rFonts w:ascii="Arial" w:hAnsi="Arial" w:cs="Arial"/>
              </w:rPr>
              <w:t>Is</w:t>
            </w:r>
            <w:r w:rsidR="00143C02" w:rsidRPr="005D78F7">
              <w:rPr>
                <w:rFonts w:ascii="Arial" w:hAnsi="Arial" w:cs="Arial"/>
              </w:rPr>
              <w:t xml:space="preserve"> the term </w:t>
            </w:r>
            <w:r w:rsidR="00F87239">
              <w:rPr>
                <w:rFonts w:ascii="Arial" w:hAnsi="Arial" w:cs="Arial"/>
              </w:rPr>
              <w:t>‘</w:t>
            </w:r>
            <w:r w:rsidR="00241C46">
              <w:rPr>
                <w:rFonts w:ascii="Arial" w:hAnsi="Arial" w:cs="Arial"/>
              </w:rPr>
              <w:t>people born with</w:t>
            </w:r>
            <w:r w:rsidR="00143C02" w:rsidRPr="005D78F7">
              <w:rPr>
                <w:rFonts w:ascii="Arial" w:hAnsi="Arial" w:cs="Arial"/>
              </w:rPr>
              <w:t xml:space="preserve"> variations in sex characteristics</w:t>
            </w:r>
            <w:r w:rsidR="00F87239">
              <w:rPr>
                <w:rFonts w:ascii="Arial" w:hAnsi="Arial" w:cs="Arial"/>
              </w:rPr>
              <w:t>’</w:t>
            </w:r>
            <w:r w:rsidR="00A5498B">
              <w:rPr>
                <w:rFonts w:ascii="Arial" w:hAnsi="Arial" w:cs="Arial"/>
              </w:rPr>
              <w:t xml:space="preserve"> </w:t>
            </w:r>
            <w:r w:rsidR="00143C02" w:rsidRPr="005D78F7">
              <w:rPr>
                <w:rFonts w:ascii="Arial" w:hAnsi="Arial" w:cs="Arial"/>
              </w:rPr>
              <w:t xml:space="preserve">appropriate, or is there a better </w:t>
            </w:r>
            <w:r w:rsidR="00C462D8">
              <w:rPr>
                <w:rFonts w:ascii="Arial" w:hAnsi="Arial" w:cs="Arial"/>
              </w:rPr>
              <w:t>way</w:t>
            </w:r>
            <w:r w:rsidR="00C462D8" w:rsidRPr="005D78F7">
              <w:rPr>
                <w:rFonts w:ascii="Arial" w:hAnsi="Arial" w:cs="Arial"/>
              </w:rPr>
              <w:t xml:space="preserve"> </w:t>
            </w:r>
            <w:r w:rsidR="00143C02" w:rsidRPr="005D78F7">
              <w:rPr>
                <w:rFonts w:ascii="Arial" w:hAnsi="Arial" w:cs="Arial"/>
              </w:rPr>
              <w:t xml:space="preserve">to describe the </w:t>
            </w:r>
            <w:r w:rsidR="00C462D8">
              <w:rPr>
                <w:rFonts w:ascii="Arial" w:hAnsi="Arial" w:cs="Arial"/>
              </w:rPr>
              <w:t>people</w:t>
            </w:r>
            <w:r w:rsidR="00C462D8" w:rsidRPr="005D78F7">
              <w:rPr>
                <w:rFonts w:ascii="Arial" w:hAnsi="Arial" w:cs="Arial"/>
              </w:rPr>
              <w:t xml:space="preserve"> </w:t>
            </w:r>
            <w:r w:rsidR="00143C02" w:rsidRPr="005D78F7">
              <w:rPr>
                <w:rFonts w:ascii="Arial" w:hAnsi="Arial" w:cs="Arial"/>
              </w:rPr>
              <w:t>who are the subj</w:t>
            </w:r>
            <w:r w:rsidR="008D4320" w:rsidRPr="005D78F7">
              <w:rPr>
                <w:rFonts w:ascii="Arial" w:hAnsi="Arial" w:cs="Arial"/>
              </w:rPr>
              <w:t>ect of this Consultation Paper?</w:t>
            </w:r>
          </w:p>
        </w:tc>
      </w:tr>
    </w:tbl>
    <w:p w14:paraId="45A2F19E" w14:textId="77777777" w:rsidR="00143C02" w:rsidRPr="00446928" w:rsidRDefault="00143C02" w:rsidP="00143C02">
      <w:pPr>
        <w:spacing w:before="240" w:after="240" w:line="240" w:lineRule="auto"/>
        <w:rPr>
          <w:rFonts w:ascii="Arial" w:eastAsia="Times New Roman" w:hAnsi="Arial" w:cs="Arial"/>
        </w:rPr>
      </w:pPr>
    </w:p>
    <w:p w14:paraId="0B230C59" w14:textId="77777777" w:rsidR="001E7638" w:rsidRPr="00446928" w:rsidRDefault="001E7638" w:rsidP="001E7638">
      <w:pPr>
        <w:spacing w:after="0"/>
        <w:rPr>
          <w:rFonts w:ascii="Arial" w:eastAsia="Times New Roman" w:hAnsi="Arial" w:cs="Arial"/>
        </w:rPr>
      </w:pPr>
      <w:r w:rsidRPr="00446928">
        <w:rPr>
          <w:rFonts w:ascii="Arial" w:hAnsi="Arial" w:cs="Arial"/>
        </w:rPr>
        <w:br w:type="page"/>
      </w:r>
    </w:p>
    <w:p w14:paraId="5A9D613C" w14:textId="7777777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16" w:name="_Toc507585854"/>
      <w:bookmarkStart w:id="17" w:name="_Toc518984785"/>
      <w:r w:rsidRPr="00446928">
        <w:rPr>
          <w:rFonts w:ascii="Arial" w:hAnsi="Arial" w:cs="Arial"/>
          <w:b/>
          <w:bCs/>
          <w:sz w:val="28"/>
          <w:szCs w:val="28"/>
        </w:rPr>
        <w:lastRenderedPageBreak/>
        <w:t>Relevance of human rights</w:t>
      </w:r>
      <w:bookmarkEnd w:id="16"/>
      <w:bookmarkEnd w:id="17"/>
    </w:p>
    <w:p w14:paraId="62A82FC2"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18" w:name="_Toc507585855"/>
      <w:bookmarkStart w:id="19" w:name="_Toc518984786"/>
      <w:r w:rsidRPr="00446928">
        <w:rPr>
          <w:rFonts w:ascii="Arial" w:hAnsi="Arial" w:cs="Arial"/>
          <w:b/>
          <w:i/>
          <w:color w:val="000000"/>
        </w:rPr>
        <w:t>Overview</w:t>
      </w:r>
      <w:bookmarkEnd w:id="18"/>
      <w:bookmarkEnd w:id="19"/>
    </w:p>
    <w:p w14:paraId="693D1412" w14:textId="107BF509" w:rsidR="001E7638" w:rsidRPr="00446928" w:rsidRDefault="00241C46"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People born with</w:t>
      </w:r>
      <w:r w:rsidR="001E7638" w:rsidRPr="00446928">
        <w:rPr>
          <w:rFonts w:ascii="Arial" w:eastAsia="Times New Roman" w:hAnsi="Arial" w:cs="Arial"/>
        </w:rPr>
        <w:t xml:space="preserve"> variations in sex characteristics have the same human rights as everyone else.</w:t>
      </w:r>
    </w:p>
    <w:p w14:paraId="63D7642F" w14:textId="43AC3796" w:rsidR="001E7638" w:rsidRPr="00446928" w:rsidRDefault="002F4A66" w:rsidP="009C5B1D">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UN treaties identify </w:t>
      </w:r>
      <w:r w:rsidR="001E7638" w:rsidRPr="00446928">
        <w:rPr>
          <w:rFonts w:ascii="Arial" w:eastAsia="Times New Roman" w:hAnsi="Arial" w:cs="Arial"/>
        </w:rPr>
        <w:t xml:space="preserve">a number of human rights </w:t>
      </w:r>
      <w:r>
        <w:rPr>
          <w:rFonts w:ascii="Arial" w:eastAsia="Times New Roman" w:hAnsi="Arial" w:cs="Arial"/>
        </w:rPr>
        <w:t xml:space="preserve">that are relevant </w:t>
      </w:r>
      <w:r w:rsidR="001E7638" w:rsidRPr="00446928">
        <w:rPr>
          <w:rFonts w:ascii="Arial" w:eastAsia="Times New Roman" w:hAnsi="Arial" w:cs="Arial"/>
        </w:rPr>
        <w:t>to medical interventions (particularly with respect to children).</w:t>
      </w:r>
      <w:r w:rsidR="009C5B1D" w:rsidRPr="00446928">
        <w:rPr>
          <w:rFonts w:ascii="Arial" w:eastAsia="Times New Roman" w:hAnsi="Arial" w:cs="Arial"/>
        </w:rPr>
        <w:t xml:space="preserve"> They </w:t>
      </w:r>
      <w:r w:rsidR="001E7638" w:rsidRPr="00446928">
        <w:rPr>
          <w:rFonts w:ascii="Arial" w:eastAsia="Times New Roman" w:hAnsi="Arial" w:cs="Arial"/>
        </w:rPr>
        <w:t>include:</w:t>
      </w:r>
    </w:p>
    <w:p w14:paraId="592B4859" w14:textId="025BC34C"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Freedom from</w:t>
      </w:r>
      <w:r w:rsidR="00FC00CB">
        <w:rPr>
          <w:rFonts w:ascii="Arial" w:eastAsia="Times New Roman" w:hAnsi="Arial" w:cs="Arial"/>
        </w:rPr>
        <w:t xml:space="preserve"> torture,</w:t>
      </w:r>
      <w:r w:rsidRPr="00446928">
        <w:rPr>
          <w:rFonts w:ascii="Arial" w:eastAsia="Times New Roman" w:hAnsi="Arial" w:cs="Arial"/>
        </w:rPr>
        <w:t xml:space="preserve"> cruel, inhuman or degrading treatment</w:t>
      </w:r>
      <w:r w:rsidR="00FC00CB">
        <w:rPr>
          <w:rFonts w:ascii="Arial" w:eastAsia="Times New Roman" w:hAnsi="Arial" w:cs="Arial"/>
        </w:rPr>
        <w:t>, including freedom from medical experimentation</w:t>
      </w:r>
      <w:r w:rsidR="004A6CE4" w:rsidRPr="00030F1B">
        <w:rPr>
          <w:rFonts w:ascii="Arial" w:hAnsi="Arial" w:cs="Arial"/>
          <w:sz w:val="20"/>
          <w:vertAlign w:val="superscript"/>
        </w:rPr>
        <w:endnoteReference w:id="34"/>
      </w:r>
    </w:p>
    <w:p w14:paraId="6C836009" w14:textId="6DB3C3E7"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security of person</w:t>
      </w:r>
      <w:r w:rsidR="004A6CE4" w:rsidRPr="00030F1B">
        <w:rPr>
          <w:rFonts w:ascii="Arial" w:hAnsi="Arial" w:cs="Arial"/>
          <w:sz w:val="20"/>
          <w:vertAlign w:val="superscript"/>
        </w:rPr>
        <w:endnoteReference w:id="35"/>
      </w:r>
    </w:p>
    <w:p w14:paraId="60C2B203" w14:textId="598AA35C" w:rsidR="001E7638" w:rsidRDefault="009C5B1D"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the h</w:t>
      </w:r>
      <w:r w:rsidR="001E7638" w:rsidRPr="00446928">
        <w:rPr>
          <w:rFonts w:ascii="Arial" w:eastAsia="Times New Roman" w:hAnsi="Arial" w:cs="Arial"/>
        </w:rPr>
        <w:t>ighest attainable standard of health</w:t>
      </w:r>
      <w:r w:rsidR="004A6CE4" w:rsidRPr="00030F1B">
        <w:rPr>
          <w:rFonts w:ascii="Arial" w:hAnsi="Arial" w:cs="Arial"/>
          <w:sz w:val="20"/>
          <w:vertAlign w:val="superscript"/>
        </w:rPr>
        <w:endnoteReference w:id="36"/>
      </w:r>
    </w:p>
    <w:p w14:paraId="36A9F17D" w14:textId="4F56CF74" w:rsidR="0099105D" w:rsidRPr="00446928" w:rsidRDefault="0099105D" w:rsidP="001E7638">
      <w:pPr>
        <w:numPr>
          <w:ilvl w:val="1"/>
          <w:numId w:val="15"/>
        </w:numPr>
        <w:spacing w:before="240" w:after="240" w:line="240" w:lineRule="auto"/>
        <w:rPr>
          <w:rFonts w:ascii="Arial" w:eastAsia="Times New Roman" w:hAnsi="Arial" w:cs="Arial"/>
        </w:rPr>
      </w:pPr>
      <w:r>
        <w:rPr>
          <w:rFonts w:ascii="Arial" w:eastAsia="Times New Roman" w:hAnsi="Arial" w:cs="Arial"/>
        </w:rPr>
        <w:t>Freedom from violence</w:t>
      </w:r>
      <w:r>
        <w:rPr>
          <w:rStyle w:val="EndnoteReference"/>
          <w:rFonts w:eastAsia="Times New Roman" w:cs="Arial"/>
        </w:rPr>
        <w:endnoteReference w:id="37"/>
      </w:r>
    </w:p>
    <w:p w14:paraId="2834199F" w14:textId="0B4B5B6B" w:rsidR="001E7638" w:rsidRPr="000C61EF" w:rsidRDefault="001E7638" w:rsidP="001E7638">
      <w:pPr>
        <w:numPr>
          <w:ilvl w:val="1"/>
          <w:numId w:val="15"/>
        </w:numPr>
        <w:spacing w:before="240" w:after="240" w:line="240" w:lineRule="auto"/>
        <w:rPr>
          <w:rFonts w:ascii="Arial" w:eastAsia="Times New Roman" w:hAnsi="Arial" w:cs="Arial"/>
        </w:rPr>
      </w:pPr>
      <w:r w:rsidRPr="000C61EF">
        <w:rPr>
          <w:rFonts w:ascii="Arial" w:eastAsia="Times New Roman" w:hAnsi="Arial" w:cs="Arial"/>
        </w:rPr>
        <w:t>Equality and non-discrimination</w:t>
      </w:r>
      <w:r w:rsidR="004A6CE4" w:rsidRPr="000C61EF">
        <w:rPr>
          <w:rFonts w:ascii="Arial" w:hAnsi="Arial" w:cs="Arial"/>
          <w:sz w:val="20"/>
          <w:vertAlign w:val="superscript"/>
        </w:rPr>
        <w:endnoteReference w:id="38"/>
      </w:r>
    </w:p>
    <w:p w14:paraId="64FED310" w14:textId="5B772F9D" w:rsidR="002A5B6B" w:rsidRPr="000C61EF" w:rsidRDefault="002A5B6B" w:rsidP="001E7638">
      <w:pPr>
        <w:numPr>
          <w:ilvl w:val="1"/>
          <w:numId w:val="15"/>
        </w:numPr>
        <w:spacing w:before="240" w:after="240" w:line="240" w:lineRule="auto"/>
        <w:rPr>
          <w:rFonts w:ascii="Arial" w:eastAsia="Times New Roman" w:hAnsi="Arial" w:cs="Arial"/>
        </w:rPr>
      </w:pPr>
      <w:r w:rsidRPr="000C61EF">
        <w:rPr>
          <w:rFonts w:ascii="Arial" w:eastAsia="Times New Roman" w:hAnsi="Arial" w:cs="Arial"/>
        </w:rPr>
        <w:t>Equal recognition before the law, including safeguards relating to the exercise of legal capacity</w:t>
      </w:r>
    </w:p>
    <w:p w14:paraId="71C7BE41" w14:textId="287B5CB3" w:rsidR="001E7638" w:rsidRPr="00446928" w:rsidRDefault="009C5B1D"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p</w:t>
      </w:r>
      <w:r w:rsidR="001E7638" w:rsidRPr="00446928">
        <w:rPr>
          <w:rFonts w:ascii="Arial" w:eastAsia="Times New Roman" w:hAnsi="Arial" w:cs="Arial"/>
        </w:rPr>
        <w:t>rivacy</w:t>
      </w:r>
      <w:r w:rsidR="004A6CE4" w:rsidRPr="00030F1B">
        <w:rPr>
          <w:rFonts w:ascii="Arial" w:hAnsi="Arial" w:cs="Arial"/>
          <w:sz w:val="20"/>
          <w:vertAlign w:val="superscript"/>
        </w:rPr>
        <w:endnoteReference w:id="39"/>
      </w:r>
    </w:p>
    <w:p w14:paraId="16DAA71F" w14:textId="4036AD1B"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to physical and mental integrity</w:t>
      </w:r>
      <w:r w:rsidR="004A6CE4" w:rsidRPr="00030F1B">
        <w:rPr>
          <w:rFonts w:ascii="Arial" w:hAnsi="Arial" w:cs="Arial"/>
          <w:sz w:val="20"/>
          <w:vertAlign w:val="superscript"/>
        </w:rPr>
        <w:endnoteReference w:id="40"/>
      </w:r>
    </w:p>
    <w:p w14:paraId="5D4A0C21" w14:textId="697CD8AE" w:rsidR="001E7638" w:rsidRPr="000C61EF" w:rsidRDefault="001E7638" w:rsidP="001E7638">
      <w:pPr>
        <w:numPr>
          <w:ilvl w:val="1"/>
          <w:numId w:val="15"/>
        </w:numPr>
        <w:spacing w:before="240" w:after="240" w:line="240" w:lineRule="auto"/>
        <w:rPr>
          <w:rFonts w:ascii="Arial" w:eastAsia="Times New Roman" w:hAnsi="Arial" w:cs="Arial"/>
        </w:rPr>
      </w:pPr>
      <w:r w:rsidRPr="000C61EF">
        <w:rPr>
          <w:rFonts w:ascii="Arial" w:eastAsia="Times New Roman" w:hAnsi="Arial" w:cs="Arial"/>
        </w:rPr>
        <w:t>Right to found a family</w:t>
      </w:r>
      <w:r w:rsidR="004A6CE4" w:rsidRPr="000C61EF">
        <w:rPr>
          <w:rFonts w:ascii="Arial" w:hAnsi="Arial" w:cs="Arial"/>
          <w:sz w:val="20"/>
          <w:vertAlign w:val="superscript"/>
        </w:rPr>
        <w:endnoteReference w:id="41"/>
      </w:r>
    </w:p>
    <w:p w14:paraId="7CC02CD8" w14:textId="524C6D4C"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of child to express views freely in all matters concerning them</w:t>
      </w:r>
      <w:r w:rsidR="004A6CE4" w:rsidRPr="00030F1B">
        <w:rPr>
          <w:rFonts w:ascii="Arial" w:hAnsi="Arial" w:cs="Arial"/>
          <w:sz w:val="20"/>
          <w:vertAlign w:val="superscript"/>
        </w:rPr>
        <w:endnoteReference w:id="42"/>
      </w:r>
    </w:p>
    <w:p w14:paraId="73855905" w14:textId="002D7583"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Right of child to preservation of identity</w:t>
      </w:r>
      <w:r w:rsidR="004A6CE4" w:rsidRPr="00030F1B">
        <w:rPr>
          <w:rFonts w:ascii="Arial" w:hAnsi="Arial" w:cs="Arial"/>
          <w:sz w:val="20"/>
          <w:vertAlign w:val="superscript"/>
        </w:rPr>
        <w:endnoteReference w:id="43"/>
      </w:r>
    </w:p>
    <w:p w14:paraId="5DB50D13" w14:textId="614DFF7B" w:rsidR="001E7638" w:rsidRPr="00446928" w:rsidRDefault="001E7638" w:rsidP="001E7638">
      <w:pPr>
        <w:numPr>
          <w:ilvl w:val="1"/>
          <w:numId w:val="15"/>
        </w:numPr>
        <w:spacing w:before="240" w:after="240" w:line="240" w:lineRule="auto"/>
        <w:rPr>
          <w:rFonts w:ascii="Arial" w:eastAsia="Times New Roman" w:hAnsi="Arial" w:cs="Arial"/>
        </w:rPr>
      </w:pPr>
      <w:r w:rsidRPr="00446928">
        <w:rPr>
          <w:rFonts w:ascii="Arial" w:eastAsia="Times New Roman" w:hAnsi="Arial" w:cs="Arial"/>
        </w:rPr>
        <w:t>Best interests of the child</w:t>
      </w:r>
      <w:r w:rsidR="009159A8">
        <w:rPr>
          <w:rFonts w:ascii="Arial" w:eastAsia="Times New Roman" w:hAnsi="Arial" w:cs="Arial"/>
        </w:rPr>
        <w:t>,</w:t>
      </w:r>
      <w:r w:rsidR="004A6CE4" w:rsidRPr="00030F1B">
        <w:rPr>
          <w:rFonts w:ascii="Arial" w:hAnsi="Arial" w:cs="Arial"/>
          <w:sz w:val="20"/>
          <w:vertAlign w:val="superscript"/>
        </w:rPr>
        <w:endnoteReference w:id="44"/>
      </w:r>
      <w:r w:rsidR="009159A8">
        <w:rPr>
          <w:rFonts w:ascii="Arial" w:eastAsia="Times New Roman" w:hAnsi="Arial" w:cs="Arial"/>
        </w:rPr>
        <w:t xml:space="preserve"> and</w:t>
      </w:r>
    </w:p>
    <w:p w14:paraId="56528437" w14:textId="1DF70E85" w:rsidR="00822277" w:rsidRPr="00BF621B" w:rsidRDefault="001E7638" w:rsidP="00BF621B">
      <w:pPr>
        <w:numPr>
          <w:ilvl w:val="1"/>
          <w:numId w:val="15"/>
        </w:numPr>
        <w:spacing w:before="240" w:after="240" w:line="240" w:lineRule="auto"/>
        <w:rPr>
          <w:rFonts w:ascii="Arial" w:eastAsia="Times New Roman" w:hAnsi="Arial" w:cs="Arial"/>
        </w:rPr>
      </w:pPr>
      <w:r w:rsidRPr="00446928">
        <w:rPr>
          <w:rFonts w:ascii="Arial" w:eastAsia="Times New Roman" w:hAnsi="Arial" w:cs="Arial"/>
        </w:rPr>
        <w:t xml:space="preserve">Right of child to </w:t>
      </w:r>
      <w:r w:rsidR="00F87239">
        <w:rPr>
          <w:rFonts w:ascii="Arial" w:eastAsia="Times New Roman" w:hAnsi="Arial" w:cs="Arial"/>
        </w:rPr>
        <w:t>‘</w:t>
      </w:r>
      <w:r w:rsidRPr="00446928">
        <w:rPr>
          <w:rFonts w:ascii="Arial" w:eastAsia="Times New Roman" w:hAnsi="Arial" w:cs="Arial"/>
        </w:rPr>
        <w:t>maximum extent</w:t>
      </w:r>
      <w:r w:rsidR="00F87239">
        <w:rPr>
          <w:rFonts w:ascii="Arial" w:eastAsia="Times New Roman" w:hAnsi="Arial" w:cs="Arial"/>
        </w:rPr>
        <w:t>’</w:t>
      </w:r>
      <w:r w:rsidRPr="00446928">
        <w:rPr>
          <w:rFonts w:ascii="Arial" w:eastAsia="Times New Roman" w:hAnsi="Arial" w:cs="Arial"/>
        </w:rPr>
        <w:t xml:space="preserve"> of development</w:t>
      </w:r>
      <w:r w:rsidR="009C5B1D" w:rsidRPr="00446928">
        <w:rPr>
          <w:rFonts w:ascii="Arial" w:eastAsia="Times New Roman" w:hAnsi="Arial" w:cs="Arial"/>
        </w:rPr>
        <w:t>.</w:t>
      </w:r>
      <w:r w:rsidR="004A6CE4" w:rsidRPr="00030F1B">
        <w:rPr>
          <w:rFonts w:ascii="Arial" w:hAnsi="Arial" w:cs="Arial"/>
          <w:sz w:val="20"/>
          <w:vertAlign w:val="superscript"/>
        </w:rPr>
        <w:endnoteReference w:id="45"/>
      </w:r>
      <w:r w:rsidRPr="00446928">
        <w:rPr>
          <w:rFonts w:ascii="Arial" w:eastAsia="Times New Roman" w:hAnsi="Arial" w:cs="Arial"/>
        </w:rPr>
        <w:t xml:space="preserve"> </w:t>
      </w:r>
    </w:p>
    <w:p w14:paraId="278F2687" w14:textId="049B28AB" w:rsidR="00085095" w:rsidRPr="00085095" w:rsidRDefault="008E3959" w:rsidP="00085095">
      <w:pPr>
        <w:numPr>
          <w:ilvl w:val="0"/>
          <w:numId w:val="15"/>
        </w:numPr>
        <w:spacing w:before="240" w:after="240" w:line="240" w:lineRule="auto"/>
        <w:ind w:hanging="720"/>
        <w:rPr>
          <w:rFonts w:ascii="Arial" w:eastAsia="Times New Roman" w:hAnsi="Arial" w:cs="Arial"/>
        </w:rPr>
      </w:pPr>
      <w:r>
        <w:rPr>
          <w:rFonts w:ascii="Arial" w:eastAsia="Times New Roman" w:hAnsi="Arial" w:cs="Arial"/>
        </w:rPr>
        <w:t>T</w:t>
      </w:r>
      <w:r w:rsidR="002A3827">
        <w:rPr>
          <w:rFonts w:ascii="Arial" w:eastAsia="Times New Roman" w:hAnsi="Arial" w:cs="Arial"/>
        </w:rPr>
        <w:t xml:space="preserve">reaty bodies </w:t>
      </w:r>
      <w:r w:rsidR="00CD137D">
        <w:rPr>
          <w:rFonts w:ascii="Arial" w:eastAsia="Times New Roman" w:hAnsi="Arial" w:cs="Arial"/>
        </w:rPr>
        <w:t xml:space="preserve">have recommended </w:t>
      </w:r>
      <w:r w:rsidR="009159A8">
        <w:rPr>
          <w:rFonts w:ascii="Arial" w:eastAsia="Times New Roman" w:hAnsi="Arial" w:cs="Arial"/>
        </w:rPr>
        <w:t>S</w:t>
      </w:r>
      <w:r w:rsidR="002A3827">
        <w:rPr>
          <w:rFonts w:ascii="Arial" w:eastAsia="Times New Roman" w:hAnsi="Arial" w:cs="Arial"/>
        </w:rPr>
        <w:t>tate</w:t>
      </w:r>
      <w:r w:rsidR="000C5DCF">
        <w:rPr>
          <w:rFonts w:ascii="Arial" w:eastAsia="Times New Roman" w:hAnsi="Arial" w:cs="Arial"/>
        </w:rPr>
        <w:t>s</w:t>
      </w:r>
      <w:r w:rsidR="002A3827">
        <w:rPr>
          <w:rFonts w:ascii="Arial" w:eastAsia="Times New Roman" w:hAnsi="Arial" w:cs="Arial"/>
        </w:rPr>
        <w:t xml:space="preserve"> </w:t>
      </w:r>
      <w:r w:rsidR="000C5DCF">
        <w:rPr>
          <w:rFonts w:ascii="Arial" w:eastAsia="Times New Roman" w:hAnsi="Arial" w:cs="Arial"/>
        </w:rPr>
        <w:t>P</w:t>
      </w:r>
      <w:r w:rsidR="002A3827">
        <w:rPr>
          <w:rFonts w:ascii="Arial" w:eastAsia="Times New Roman" w:hAnsi="Arial" w:cs="Arial"/>
        </w:rPr>
        <w:t>arties</w:t>
      </w:r>
      <w:r w:rsidR="00CD137D">
        <w:rPr>
          <w:rFonts w:ascii="Arial" w:eastAsia="Times New Roman" w:hAnsi="Arial" w:cs="Arial"/>
        </w:rPr>
        <w:t xml:space="preserve"> implement measures to guarantee these rights</w:t>
      </w:r>
      <w:r w:rsidR="00085095">
        <w:rPr>
          <w:rFonts w:ascii="Arial" w:eastAsia="Times New Roman" w:hAnsi="Arial" w:cs="Arial"/>
        </w:rPr>
        <w:t xml:space="preserve"> </w:t>
      </w:r>
      <w:r w:rsidR="00DC018D">
        <w:rPr>
          <w:rFonts w:ascii="Arial" w:eastAsia="Times New Roman" w:hAnsi="Arial" w:cs="Arial"/>
        </w:rPr>
        <w:t>and have increasingly discussed these rights</w:t>
      </w:r>
      <w:r w:rsidR="00085095">
        <w:rPr>
          <w:rFonts w:ascii="Arial" w:eastAsia="Times New Roman" w:hAnsi="Arial" w:cs="Arial"/>
        </w:rPr>
        <w:t xml:space="preserve"> in relation to the medical treatment of </w:t>
      </w:r>
      <w:r w:rsidR="00241C46">
        <w:rPr>
          <w:rFonts w:ascii="Arial" w:eastAsia="Times New Roman" w:hAnsi="Arial" w:cs="Arial"/>
        </w:rPr>
        <w:t>people born with</w:t>
      </w:r>
      <w:r w:rsidR="00085095">
        <w:rPr>
          <w:rFonts w:ascii="Arial" w:eastAsia="Times New Roman" w:hAnsi="Arial" w:cs="Arial"/>
        </w:rPr>
        <w:t xml:space="preserve"> variations in sex characteristics.</w:t>
      </w:r>
      <w:r w:rsidR="00B24817" w:rsidRPr="00030F1B">
        <w:rPr>
          <w:rFonts w:ascii="Arial" w:hAnsi="Arial" w:cs="Arial"/>
          <w:sz w:val="20"/>
          <w:vertAlign w:val="superscript"/>
        </w:rPr>
        <w:endnoteReference w:id="46"/>
      </w:r>
      <w:r w:rsidR="00085095">
        <w:rPr>
          <w:rFonts w:ascii="Arial" w:eastAsia="Times New Roman" w:hAnsi="Arial" w:cs="Arial"/>
        </w:rPr>
        <w:t xml:space="preserve"> </w:t>
      </w:r>
    </w:p>
    <w:p w14:paraId="50884227" w14:textId="3447AD0A" w:rsidR="00795B4D" w:rsidRDefault="00795B4D" w:rsidP="00795B4D">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The </w:t>
      </w:r>
      <w:r w:rsidRPr="00AE749E">
        <w:rPr>
          <w:rFonts w:ascii="Arial" w:eastAsia="Times New Roman" w:hAnsi="Arial" w:cs="Arial"/>
          <w:i/>
        </w:rPr>
        <w:t>Yogyakarta Principles</w:t>
      </w:r>
      <w:r>
        <w:rPr>
          <w:rFonts w:ascii="Arial" w:eastAsia="Times New Roman" w:hAnsi="Arial" w:cs="Arial"/>
        </w:rPr>
        <w:t>,</w:t>
      </w:r>
      <w:r w:rsidR="00CD137D">
        <w:rPr>
          <w:rFonts w:ascii="Arial" w:eastAsia="Times New Roman" w:hAnsi="Arial" w:cs="Arial"/>
        </w:rPr>
        <w:t xml:space="preserve"> a set of influential principles relating to sexual orientation, gender identity</w:t>
      </w:r>
      <w:r w:rsidR="00833EFF">
        <w:rPr>
          <w:rFonts w:ascii="Arial" w:eastAsia="Times New Roman" w:hAnsi="Arial" w:cs="Arial"/>
        </w:rPr>
        <w:t xml:space="preserve">, </w:t>
      </w:r>
      <w:r w:rsidR="00CD137D">
        <w:rPr>
          <w:rFonts w:ascii="Arial" w:eastAsia="Times New Roman" w:hAnsi="Arial" w:cs="Arial"/>
        </w:rPr>
        <w:t>gender exp</w:t>
      </w:r>
      <w:r w:rsidR="00833EFF">
        <w:rPr>
          <w:rFonts w:ascii="Arial" w:eastAsia="Times New Roman" w:hAnsi="Arial" w:cs="Arial"/>
        </w:rPr>
        <w:t xml:space="preserve">ression and sex characteristics </w:t>
      </w:r>
      <w:r>
        <w:rPr>
          <w:rFonts w:ascii="Arial" w:eastAsia="Times New Roman" w:hAnsi="Arial" w:cs="Arial"/>
        </w:rPr>
        <w:t xml:space="preserve">further support the human rights </w:t>
      </w:r>
      <w:r w:rsidR="00833EFF">
        <w:rPr>
          <w:rFonts w:ascii="Arial" w:eastAsia="Times New Roman" w:hAnsi="Arial" w:cs="Arial"/>
        </w:rPr>
        <w:t xml:space="preserve">of </w:t>
      </w:r>
      <w:r w:rsidR="00241C46">
        <w:rPr>
          <w:rFonts w:ascii="Arial" w:eastAsia="Times New Roman" w:hAnsi="Arial" w:cs="Arial"/>
        </w:rPr>
        <w:t>people born with</w:t>
      </w:r>
      <w:r w:rsidR="00833EFF">
        <w:rPr>
          <w:rFonts w:ascii="Arial" w:eastAsia="Times New Roman" w:hAnsi="Arial" w:cs="Arial"/>
        </w:rPr>
        <w:t xml:space="preserve"> variations in sex characteristics</w:t>
      </w:r>
      <w:r>
        <w:rPr>
          <w:rFonts w:ascii="Arial" w:eastAsia="Times New Roman" w:hAnsi="Arial" w:cs="Arial"/>
        </w:rPr>
        <w:t>, in particular the right to bodily and mental integrity and the right to truth.</w:t>
      </w:r>
      <w:r w:rsidR="00833EFF" w:rsidRPr="00030F1B">
        <w:rPr>
          <w:rFonts w:ascii="Arial" w:hAnsi="Arial" w:cs="Arial"/>
          <w:sz w:val="20"/>
          <w:vertAlign w:val="superscript"/>
        </w:rPr>
        <w:endnoteReference w:id="47"/>
      </w:r>
      <w:r w:rsidR="00833EFF" w:rsidRPr="00030F1B">
        <w:rPr>
          <w:rFonts w:ascii="Arial" w:eastAsia="Times New Roman" w:hAnsi="Arial" w:cs="Arial"/>
        </w:rPr>
        <w:t xml:space="preserve"> </w:t>
      </w:r>
      <w:r>
        <w:rPr>
          <w:rFonts w:ascii="Arial" w:eastAsia="Times New Roman" w:hAnsi="Arial" w:cs="Arial"/>
        </w:rPr>
        <w:t xml:space="preserve"> </w:t>
      </w:r>
    </w:p>
    <w:p w14:paraId="088D2A24" w14:textId="44209E73" w:rsidR="00795B4D" w:rsidRDefault="00795B4D" w:rsidP="00795B4D">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How particular </w:t>
      </w:r>
      <w:r w:rsidR="00012349">
        <w:rPr>
          <w:rFonts w:ascii="Arial" w:eastAsia="Times New Roman" w:hAnsi="Arial" w:cs="Arial"/>
        </w:rPr>
        <w:t xml:space="preserve">treaty bodies and the </w:t>
      </w:r>
      <w:r w:rsidR="00012349" w:rsidRPr="00AE749E">
        <w:rPr>
          <w:rFonts w:ascii="Arial" w:eastAsia="Times New Roman" w:hAnsi="Arial" w:cs="Arial"/>
          <w:i/>
        </w:rPr>
        <w:t>Yogyakarta Principles</w:t>
      </w:r>
      <w:r w:rsidR="00012349">
        <w:rPr>
          <w:rFonts w:ascii="Arial" w:eastAsia="Times New Roman" w:hAnsi="Arial" w:cs="Arial"/>
        </w:rPr>
        <w:t xml:space="preserve"> have referenced </w:t>
      </w:r>
      <w:r w:rsidR="00833EFF">
        <w:rPr>
          <w:rFonts w:ascii="Arial" w:eastAsia="Times New Roman" w:hAnsi="Arial" w:cs="Arial"/>
        </w:rPr>
        <w:t xml:space="preserve">relevant </w:t>
      </w:r>
      <w:r>
        <w:rPr>
          <w:rFonts w:ascii="Arial" w:eastAsia="Times New Roman" w:hAnsi="Arial" w:cs="Arial"/>
        </w:rPr>
        <w:t xml:space="preserve">human rights </w:t>
      </w:r>
      <w:r w:rsidR="00476697">
        <w:rPr>
          <w:rFonts w:ascii="Arial" w:eastAsia="Times New Roman" w:hAnsi="Arial" w:cs="Arial"/>
        </w:rPr>
        <w:t xml:space="preserve">in this context </w:t>
      </w:r>
      <w:proofErr w:type="gramStart"/>
      <w:r>
        <w:rPr>
          <w:rFonts w:ascii="Arial" w:eastAsia="Times New Roman" w:hAnsi="Arial" w:cs="Arial"/>
        </w:rPr>
        <w:t>are discussed</w:t>
      </w:r>
      <w:proofErr w:type="gramEnd"/>
      <w:r>
        <w:rPr>
          <w:rFonts w:ascii="Arial" w:eastAsia="Times New Roman" w:hAnsi="Arial" w:cs="Arial"/>
        </w:rPr>
        <w:t xml:space="preserve"> further</w:t>
      </w:r>
      <w:r w:rsidRPr="00446928">
        <w:rPr>
          <w:rFonts w:ascii="Arial" w:eastAsia="Times New Roman" w:hAnsi="Arial" w:cs="Arial"/>
        </w:rPr>
        <w:t xml:space="preserve"> in </w:t>
      </w:r>
      <w:r w:rsidRPr="00C03D0C">
        <w:rPr>
          <w:rFonts w:ascii="Arial" w:eastAsia="Times New Roman" w:hAnsi="Arial" w:cs="Arial"/>
          <w:b/>
        </w:rPr>
        <w:fldChar w:fldCharType="begin"/>
      </w:r>
      <w:r w:rsidRPr="00C03D0C">
        <w:rPr>
          <w:rFonts w:ascii="Arial" w:eastAsia="Times New Roman" w:hAnsi="Arial" w:cs="Arial"/>
          <w:b/>
        </w:rPr>
        <w:instrText xml:space="preserve"> REF _Ref504384101 \h  \* MERGEFORMAT </w:instrText>
      </w:r>
      <w:r w:rsidRPr="00C03D0C">
        <w:rPr>
          <w:rFonts w:ascii="Arial" w:eastAsia="Times New Roman" w:hAnsi="Arial" w:cs="Arial"/>
          <w:b/>
        </w:rPr>
      </w:r>
      <w:r w:rsidRPr="00C03D0C">
        <w:rPr>
          <w:rFonts w:ascii="Arial" w:eastAsia="Times New Roman" w:hAnsi="Arial" w:cs="Arial"/>
          <w:b/>
        </w:rPr>
        <w:fldChar w:fldCharType="separate"/>
      </w:r>
      <w:r w:rsidR="0075464F" w:rsidRPr="0075464F">
        <w:rPr>
          <w:rFonts w:ascii="Arial" w:eastAsia="Times New Roman" w:hAnsi="Arial" w:cs="Arial"/>
          <w:b/>
        </w:rPr>
        <w:t>Appendix B</w:t>
      </w:r>
      <w:r w:rsidR="0075464F" w:rsidRPr="00E218FF">
        <w:rPr>
          <w:rFonts w:ascii="Arial" w:hAnsi="Arial" w:cs="Arial"/>
        </w:rPr>
        <w:t>: Human rights framework</w:t>
      </w:r>
      <w:r w:rsidRPr="00C03D0C">
        <w:rPr>
          <w:rFonts w:ascii="Arial" w:eastAsia="Times New Roman" w:hAnsi="Arial" w:cs="Arial"/>
          <w:b/>
        </w:rPr>
        <w:fldChar w:fldCharType="end"/>
      </w:r>
      <w:r w:rsidRPr="00446928">
        <w:rPr>
          <w:rFonts w:ascii="Arial" w:eastAsia="Times New Roman" w:hAnsi="Arial" w:cs="Arial"/>
        </w:rPr>
        <w:t>.</w:t>
      </w:r>
    </w:p>
    <w:p w14:paraId="4342221F" w14:textId="5C4E3497"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20" w:name="_Toc507585856"/>
      <w:bookmarkStart w:id="21" w:name="_Toc518984787"/>
      <w:r w:rsidRPr="00446928">
        <w:rPr>
          <w:rFonts w:ascii="Arial" w:hAnsi="Arial" w:cs="Arial"/>
          <w:b/>
          <w:bCs/>
          <w:sz w:val="28"/>
          <w:szCs w:val="28"/>
        </w:rPr>
        <w:lastRenderedPageBreak/>
        <w:t>International developments</w:t>
      </w:r>
      <w:bookmarkEnd w:id="20"/>
      <w:bookmarkEnd w:id="21"/>
    </w:p>
    <w:p w14:paraId="5B23E05E"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22" w:name="_Toc507585857"/>
      <w:bookmarkStart w:id="23" w:name="_Toc518984788"/>
      <w:r w:rsidRPr="00446928">
        <w:rPr>
          <w:rFonts w:ascii="Arial" w:hAnsi="Arial" w:cs="Arial"/>
          <w:b/>
          <w:i/>
          <w:color w:val="000000"/>
        </w:rPr>
        <w:t>Overview</w:t>
      </w:r>
      <w:bookmarkEnd w:id="22"/>
      <w:bookmarkEnd w:id="23"/>
    </w:p>
    <w:p w14:paraId="0A635F93" w14:textId="7B66A62D"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Legislative changes, legal cases, reports and statements internationally from governments, organisations and other bodies also support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These developments reflect a growing concern regarding the rationales, decision-making processes and outcomes of medical interventions. </w:t>
      </w:r>
    </w:p>
    <w:p w14:paraId="215653AF" w14:textId="624E2375"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24" w:name="_Ref503186040"/>
      <w:bookmarkStart w:id="25" w:name="_Toc507585858"/>
      <w:bookmarkStart w:id="26" w:name="_Toc518984789"/>
      <w:r w:rsidRPr="00446928">
        <w:rPr>
          <w:rFonts w:ascii="Arial" w:hAnsi="Arial" w:cs="Arial"/>
          <w:b/>
          <w:i/>
          <w:color w:val="000000"/>
        </w:rPr>
        <w:t>Country approaches to medical interventions</w:t>
      </w:r>
      <w:bookmarkEnd w:id="24"/>
      <w:bookmarkEnd w:id="25"/>
      <w:bookmarkEnd w:id="26"/>
    </w:p>
    <w:p w14:paraId="52924326" w14:textId="206AE108" w:rsidR="008A0C67" w:rsidRPr="008A0C67" w:rsidRDefault="00F25E15" w:rsidP="008A0C67">
      <w:pPr>
        <w:numPr>
          <w:ilvl w:val="0"/>
          <w:numId w:val="15"/>
        </w:numPr>
        <w:spacing w:before="240" w:after="240" w:line="240" w:lineRule="auto"/>
        <w:ind w:hanging="720"/>
        <w:rPr>
          <w:rFonts w:ascii="Arial" w:hAnsi="Arial" w:cs="Arial"/>
          <w:bCs/>
          <w:szCs w:val="26"/>
        </w:rPr>
      </w:pPr>
      <w:r>
        <w:rPr>
          <w:rFonts w:ascii="Arial" w:eastAsia="Times New Roman" w:hAnsi="Arial" w:cs="Arial"/>
        </w:rPr>
        <w:t xml:space="preserve">Most countries have no </w:t>
      </w:r>
      <w:r w:rsidR="008D420A">
        <w:rPr>
          <w:rFonts w:ascii="Arial" w:eastAsia="Times New Roman" w:hAnsi="Arial" w:cs="Arial"/>
        </w:rPr>
        <w:t xml:space="preserve">dedicated </w:t>
      </w:r>
      <w:r>
        <w:rPr>
          <w:rFonts w:ascii="Arial" w:eastAsia="Times New Roman" w:hAnsi="Arial" w:cs="Arial"/>
        </w:rPr>
        <w:t xml:space="preserve">oversight or </w:t>
      </w:r>
      <w:r w:rsidR="008D420A">
        <w:rPr>
          <w:rFonts w:ascii="Arial" w:eastAsia="Times New Roman" w:hAnsi="Arial" w:cs="Arial"/>
        </w:rPr>
        <w:t xml:space="preserve">specific </w:t>
      </w:r>
      <w:r>
        <w:rPr>
          <w:rFonts w:ascii="Arial" w:eastAsia="Times New Roman" w:hAnsi="Arial" w:cs="Arial"/>
        </w:rPr>
        <w:t xml:space="preserve">regulation over medical interventions performed on </w:t>
      </w:r>
      <w:r w:rsidR="00241C46">
        <w:rPr>
          <w:rFonts w:ascii="Arial" w:eastAsia="Times New Roman" w:hAnsi="Arial" w:cs="Arial"/>
        </w:rPr>
        <w:t>people born with</w:t>
      </w:r>
      <w:r>
        <w:rPr>
          <w:rFonts w:ascii="Arial" w:eastAsia="Times New Roman" w:hAnsi="Arial" w:cs="Arial"/>
        </w:rPr>
        <w:t xml:space="preserve"> variations in sex characteristics. </w:t>
      </w:r>
      <w:r w:rsidR="000E0943">
        <w:rPr>
          <w:rFonts w:ascii="Arial" w:eastAsia="Times New Roman" w:hAnsi="Arial" w:cs="Arial"/>
        </w:rPr>
        <w:t>However, s</w:t>
      </w:r>
      <w:r w:rsidR="008A0C67">
        <w:rPr>
          <w:rFonts w:ascii="Arial" w:eastAsia="Times New Roman" w:hAnsi="Arial" w:cs="Arial"/>
        </w:rPr>
        <w:t xml:space="preserve">ome countries have taken </w:t>
      </w:r>
      <w:r w:rsidR="000E0943">
        <w:rPr>
          <w:rFonts w:ascii="Arial" w:eastAsia="Times New Roman" w:hAnsi="Arial" w:cs="Arial"/>
        </w:rPr>
        <w:t xml:space="preserve">some </w:t>
      </w:r>
      <w:r w:rsidR="008A0C67">
        <w:rPr>
          <w:rFonts w:ascii="Arial" w:eastAsia="Times New Roman" w:hAnsi="Arial" w:cs="Arial"/>
        </w:rPr>
        <w:t xml:space="preserve">steps towards regulating medical interventions, particularly </w:t>
      </w:r>
      <w:r w:rsidR="000E0943">
        <w:rPr>
          <w:rFonts w:ascii="Arial" w:eastAsia="Times New Roman" w:hAnsi="Arial" w:cs="Arial"/>
        </w:rPr>
        <w:t>regarding</w:t>
      </w:r>
      <w:r>
        <w:rPr>
          <w:rFonts w:ascii="Arial" w:eastAsia="Times New Roman" w:hAnsi="Arial" w:cs="Arial"/>
        </w:rPr>
        <w:t xml:space="preserve"> interventions performed on children</w:t>
      </w:r>
      <w:r w:rsidR="008A0C67">
        <w:rPr>
          <w:rFonts w:ascii="Arial" w:eastAsia="Times New Roman" w:hAnsi="Arial" w:cs="Arial"/>
        </w:rPr>
        <w:t xml:space="preserve">. </w:t>
      </w:r>
      <w:r>
        <w:rPr>
          <w:rFonts w:ascii="Arial" w:eastAsia="Times New Roman" w:hAnsi="Arial" w:cs="Arial"/>
        </w:rPr>
        <w:t>Th</w:t>
      </w:r>
      <w:r w:rsidR="001C7D2E">
        <w:rPr>
          <w:rFonts w:ascii="Arial" w:eastAsia="Times New Roman" w:hAnsi="Arial" w:cs="Arial"/>
        </w:rPr>
        <w:t>e</w:t>
      </w:r>
      <w:r>
        <w:rPr>
          <w:rFonts w:ascii="Arial" w:eastAsia="Times New Roman" w:hAnsi="Arial" w:cs="Arial"/>
        </w:rPr>
        <w:t>se countries</w:t>
      </w:r>
      <w:r w:rsidR="008A0C67">
        <w:rPr>
          <w:rFonts w:ascii="Arial" w:eastAsia="Times New Roman" w:hAnsi="Arial" w:cs="Arial"/>
        </w:rPr>
        <w:t xml:space="preserve"> have taken considerably different approaches</w:t>
      </w:r>
      <w:r w:rsidR="00F87239">
        <w:rPr>
          <w:rFonts w:ascii="Arial" w:eastAsia="Times New Roman" w:hAnsi="Arial" w:cs="Arial"/>
        </w:rPr>
        <w:t xml:space="preserve">. </w:t>
      </w:r>
    </w:p>
    <w:p w14:paraId="07D52CC8" w14:textId="270A5602"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27" w:name="_Toc507585859"/>
      <w:bookmarkStart w:id="28" w:name="_Toc518984790"/>
      <w:r w:rsidRPr="00446928">
        <w:rPr>
          <w:rFonts w:ascii="Arial" w:hAnsi="Arial" w:cs="Arial"/>
          <w:bCs/>
          <w:i/>
          <w:szCs w:val="26"/>
        </w:rPr>
        <w:t>Malta</w:t>
      </w:r>
      <w:bookmarkEnd w:id="27"/>
      <w:bookmarkEnd w:id="28"/>
    </w:p>
    <w:p w14:paraId="18239DB8" w14:textId="77777777" w:rsidR="001E7638" w:rsidRPr="00446928" w:rsidRDefault="001E7638" w:rsidP="001E7638">
      <w:pPr>
        <w:numPr>
          <w:ilvl w:val="0"/>
          <w:numId w:val="15"/>
        </w:numPr>
        <w:spacing w:before="240" w:after="240" w:line="240" w:lineRule="auto"/>
        <w:ind w:hanging="720"/>
        <w:rPr>
          <w:rFonts w:ascii="Arial" w:hAnsi="Arial" w:cs="Arial"/>
          <w:bCs/>
          <w:szCs w:val="26"/>
        </w:rPr>
      </w:pPr>
      <w:r w:rsidRPr="00446928">
        <w:rPr>
          <w:rFonts w:ascii="Arial" w:hAnsi="Arial" w:cs="Arial"/>
          <w:bCs/>
          <w:szCs w:val="26"/>
        </w:rPr>
        <w:t>In 2015</w:t>
      </w:r>
      <w:r w:rsidR="00410D1D" w:rsidRPr="00446928">
        <w:rPr>
          <w:rFonts w:ascii="Arial" w:hAnsi="Arial" w:cs="Arial"/>
          <w:bCs/>
          <w:szCs w:val="26"/>
        </w:rPr>
        <w:t>,</w:t>
      </w:r>
      <w:r w:rsidRPr="00446928">
        <w:rPr>
          <w:rFonts w:ascii="Arial" w:hAnsi="Arial" w:cs="Arial"/>
          <w:bCs/>
          <w:szCs w:val="26"/>
        </w:rPr>
        <w:t xml:space="preserve"> Malta enacted the </w:t>
      </w:r>
      <w:r w:rsidRPr="00446928">
        <w:rPr>
          <w:rFonts w:ascii="Arial" w:hAnsi="Arial" w:cs="Arial"/>
          <w:bCs/>
          <w:i/>
          <w:szCs w:val="26"/>
        </w:rPr>
        <w:t>Gender Identity, Gender Expression and Sex Characteristics Act</w:t>
      </w:r>
      <w:r w:rsidRPr="00446928">
        <w:rPr>
          <w:rFonts w:ascii="Arial" w:hAnsi="Arial" w:cs="Arial"/>
          <w:bCs/>
          <w:szCs w:val="26"/>
        </w:rPr>
        <w:t xml:space="preserve"> (2015). </w:t>
      </w:r>
    </w:p>
    <w:p w14:paraId="29666400" w14:textId="3146755B" w:rsidR="001E7638" w:rsidRPr="00446928" w:rsidRDefault="001E7638" w:rsidP="001E7638">
      <w:pPr>
        <w:numPr>
          <w:ilvl w:val="0"/>
          <w:numId w:val="15"/>
        </w:numPr>
        <w:spacing w:before="240" w:after="240" w:line="240" w:lineRule="auto"/>
        <w:ind w:hanging="720"/>
        <w:rPr>
          <w:rFonts w:ascii="Arial" w:hAnsi="Arial" w:cs="Arial"/>
          <w:bCs/>
          <w:szCs w:val="26"/>
        </w:rPr>
      </w:pPr>
      <w:r w:rsidRPr="00446928">
        <w:rPr>
          <w:rFonts w:ascii="Arial" w:hAnsi="Arial" w:cs="Arial"/>
          <w:bCs/>
          <w:szCs w:val="26"/>
        </w:rPr>
        <w:t xml:space="preserve">This Act </w:t>
      </w:r>
      <w:r w:rsidR="006A6FCE">
        <w:rPr>
          <w:rFonts w:ascii="Arial" w:hAnsi="Arial" w:cs="Arial"/>
          <w:bCs/>
          <w:szCs w:val="26"/>
        </w:rPr>
        <w:t xml:space="preserve">makes it unlawful to perform </w:t>
      </w:r>
      <w:r w:rsidRPr="00446928">
        <w:rPr>
          <w:rFonts w:ascii="Arial" w:hAnsi="Arial" w:cs="Arial"/>
          <w:bCs/>
          <w:szCs w:val="26"/>
        </w:rPr>
        <w:t>unnecessary sex assignment surgery or treatment on infants</w:t>
      </w:r>
      <w:r w:rsidR="002A5B6B">
        <w:rPr>
          <w:rFonts w:ascii="Arial" w:hAnsi="Arial" w:cs="Arial"/>
          <w:bCs/>
          <w:szCs w:val="26"/>
        </w:rPr>
        <w:t>, children and adolescents</w:t>
      </w:r>
      <w:r w:rsidRPr="00446928">
        <w:rPr>
          <w:rFonts w:ascii="Arial" w:hAnsi="Arial" w:cs="Arial"/>
          <w:bCs/>
          <w:szCs w:val="26"/>
        </w:rPr>
        <w:t xml:space="preserve"> without the child</w:t>
      </w:r>
      <w:r w:rsidR="00F87239">
        <w:rPr>
          <w:rFonts w:ascii="Arial" w:hAnsi="Arial" w:cs="Arial"/>
          <w:bCs/>
          <w:szCs w:val="26"/>
        </w:rPr>
        <w:t>’</w:t>
      </w:r>
      <w:r w:rsidRPr="00446928">
        <w:rPr>
          <w:rFonts w:ascii="Arial" w:hAnsi="Arial" w:cs="Arial"/>
          <w:bCs/>
          <w:szCs w:val="26"/>
        </w:rPr>
        <w:t>s informed consent.</w:t>
      </w:r>
      <w:r w:rsidR="00D217BF" w:rsidRPr="00030F1B">
        <w:rPr>
          <w:rFonts w:ascii="Arial" w:hAnsi="Arial" w:cs="Arial"/>
          <w:bCs/>
          <w:sz w:val="20"/>
          <w:szCs w:val="26"/>
          <w:vertAlign w:val="superscript"/>
        </w:rPr>
        <w:endnoteReference w:id="48"/>
      </w:r>
      <w:r w:rsidRPr="00446928">
        <w:rPr>
          <w:rFonts w:ascii="Arial" w:hAnsi="Arial" w:cs="Arial"/>
          <w:bCs/>
          <w:szCs w:val="26"/>
        </w:rPr>
        <w:t xml:space="preserve"> Malta is the first country to </w:t>
      </w:r>
      <w:r w:rsidR="00E60D95">
        <w:rPr>
          <w:rFonts w:ascii="Arial" w:hAnsi="Arial" w:cs="Arial"/>
          <w:bCs/>
          <w:szCs w:val="26"/>
        </w:rPr>
        <w:t>make</w:t>
      </w:r>
      <w:r w:rsidR="00E60D95" w:rsidRPr="00446928">
        <w:rPr>
          <w:rFonts w:ascii="Arial" w:hAnsi="Arial" w:cs="Arial"/>
          <w:bCs/>
          <w:szCs w:val="26"/>
        </w:rPr>
        <w:t xml:space="preserve"> </w:t>
      </w:r>
      <w:r w:rsidRPr="00446928">
        <w:rPr>
          <w:rFonts w:ascii="Arial" w:hAnsi="Arial" w:cs="Arial"/>
          <w:bCs/>
          <w:szCs w:val="26"/>
        </w:rPr>
        <w:t>these interventions</w:t>
      </w:r>
      <w:r w:rsidR="00E60D95">
        <w:rPr>
          <w:rFonts w:ascii="Arial" w:hAnsi="Arial" w:cs="Arial"/>
          <w:bCs/>
          <w:szCs w:val="26"/>
        </w:rPr>
        <w:t xml:space="preserve"> unlawful</w:t>
      </w:r>
      <w:r w:rsidRPr="00446928">
        <w:rPr>
          <w:rFonts w:ascii="Arial" w:hAnsi="Arial" w:cs="Arial"/>
          <w:bCs/>
          <w:szCs w:val="26"/>
        </w:rPr>
        <w:t>.</w:t>
      </w:r>
    </w:p>
    <w:p w14:paraId="58172AC4" w14:textId="1B97B135" w:rsidR="001E7638" w:rsidRPr="00446928" w:rsidRDefault="00AC3128" w:rsidP="001E7638">
      <w:pPr>
        <w:numPr>
          <w:ilvl w:val="0"/>
          <w:numId w:val="15"/>
        </w:numPr>
        <w:spacing w:before="240" w:after="240" w:line="240" w:lineRule="auto"/>
        <w:ind w:hanging="720"/>
        <w:rPr>
          <w:rFonts w:ascii="Arial" w:hAnsi="Arial" w:cs="Arial"/>
          <w:bCs/>
          <w:szCs w:val="26"/>
        </w:rPr>
      </w:pPr>
      <w:r w:rsidRPr="00446928">
        <w:rPr>
          <w:rFonts w:ascii="Arial" w:hAnsi="Arial" w:cs="Arial"/>
          <w:bCs/>
          <w:szCs w:val="26"/>
        </w:rPr>
        <w:t>The Act allows i</w:t>
      </w:r>
      <w:r w:rsidR="001E7638" w:rsidRPr="00446928">
        <w:rPr>
          <w:rFonts w:ascii="Arial" w:hAnsi="Arial" w:cs="Arial"/>
          <w:bCs/>
          <w:szCs w:val="26"/>
        </w:rPr>
        <w:t xml:space="preserve">nterventions </w:t>
      </w:r>
      <w:r w:rsidRPr="00446928">
        <w:rPr>
          <w:rFonts w:ascii="Arial" w:hAnsi="Arial" w:cs="Arial"/>
          <w:bCs/>
          <w:szCs w:val="26"/>
        </w:rPr>
        <w:t>to</w:t>
      </w:r>
      <w:r w:rsidR="001E7638" w:rsidRPr="00446928">
        <w:rPr>
          <w:rFonts w:ascii="Arial" w:hAnsi="Arial" w:cs="Arial"/>
          <w:bCs/>
          <w:szCs w:val="26"/>
        </w:rPr>
        <w:t xml:space="preserve"> be carried out on a minor in </w:t>
      </w:r>
      <w:r w:rsidR="00F87239">
        <w:rPr>
          <w:rFonts w:ascii="Arial" w:hAnsi="Arial" w:cs="Arial"/>
          <w:bCs/>
          <w:szCs w:val="26"/>
        </w:rPr>
        <w:t>‘</w:t>
      </w:r>
      <w:r w:rsidR="001E7638" w:rsidRPr="00446928">
        <w:rPr>
          <w:rFonts w:ascii="Arial" w:hAnsi="Arial" w:cs="Arial"/>
          <w:bCs/>
          <w:szCs w:val="26"/>
        </w:rPr>
        <w:t>exceptional circumstances</w:t>
      </w:r>
      <w:r w:rsidR="00F87239">
        <w:rPr>
          <w:rFonts w:ascii="Arial" w:hAnsi="Arial" w:cs="Arial"/>
          <w:bCs/>
          <w:szCs w:val="26"/>
        </w:rPr>
        <w:t>’</w:t>
      </w:r>
      <w:r w:rsidR="001E7638" w:rsidRPr="00446928">
        <w:rPr>
          <w:rFonts w:ascii="Arial" w:hAnsi="Arial" w:cs="Arial"/>
          <w:bCs/>
          <w:szCs w:val="26"/>
        </w:rPr>
        <w:t xml:space="preserve"> as determined by an </w:t>
      </w:r>
      <w:r w:rsidR="00F87239">
        <w:rPr>
          <w:rFonts w:ascii="Arial" w:hAnsi="Arial" w:cs="Arial"/>
          <w:bCs/>
          <w:szCs w:val="26"/>
        </w:rPr>
        <w:t>‘</w:t>
      </w:r>
      <w:r w:rsidR="001E7638" w:rsidRPr="00446928">
        <w:rPr>
          <w:rFonts w:ascii="Arial" w:hAnsi="Arial" w:cs="Arial"/>
          <w:bCs/>
          <w:szCs w:val="26"/>
        </w:rPr>
        <w:t>interdisciplinary team</w:t>
      </w:r>
      <w:r w:rsidR="00F87239">
        <w:rPr>
          <w:rFonts w:ascii="Arial" w:hAnsi="Arial" w:cs="Arial"/>
          <w:bCs/>
          <w:szCs w:val="26"/>
        </w:rPr>
        <w:t>’</w:t>
      </w:r>
      <w:r w:rsidR="001E7638" w:rsidRPr="00446928">
        <w:rPr>
          <w:rFonts w:ascii="Arial" w:hAnsi="Arial" w:cs="Arial"/>
          <w:bCs/>
          <w:szCs w:val="26"/>
        </w:rPr>
        <w:t>.</w:t>
      </w:r>
      <w:r w:rsidR="00D217BF" w:rsidRPr="00030F1B">
        <w:rPr>
          <w:rStyle w:val="EndnoteReference"/>
          <w:rFonts w:cs="Arial"/>
          <w:bCs/>
          <w:szCs w:val="26"/>
        </w:rPr>
        <w:endnoteReference w:id="49"/>
      </w:r>
      <w:r w:rsidR="001E7638" w:rsidRPr="00446928">
        <w:rPr>
          <w:rFonts w:ascii="Arial" w:hAnsi="Arial" w:cs="Arial"/>
          <w:bCs/>
          <w:szCs w:val="26"/>
        </w:rPr>
        <w:t xml:space="preserve"> This team of professionals must reach agreement with the parents or guardians of the child, prioritise the child</w:t>
      </w:r>
      <w:r w:rsidR="00F87239">
        <w:rPr>
          <w:rFonts w:ascii="Arial" w:hAnsi="Arial" w:cs="Arial"/>
          <w:bCs/>
          <w:szCs w:val="26"/>
        </w:rPr>
        <w:t>’</w:t>
      </w:r>
      <w:r w:rsidR="001E7638" w:rsidRPr="00446928">
        <w:rPr>
          <w:rFonts w:ascii="Arial" w:hAnsi="Arial" w:cs="Arial"/>
          <w:bCs/>
          <w:szCs w:val="26"/>
        </w:rPr>
        <w:t xml:space="preserve">s best interests, and </w:t>
      </w:r>
      <w:proofErr w:type="gramStart"/>
      <w:r w:rsidR="001E7638" w:rsidRPr="00446928">
        <w:rPr>
          <w:rFonts w:ascii="Arial" w:hAnsi="Arial" w:cs="Arial"/>
          <w:bCs/>
          <w:szCs w:val="26"/>
        </w:rPr>
        <w:t>cannot be driven</w:t>
      </w:r>
      <w:proofErr w:type="gramEnd"/>
      <w:r w:rsidR="001E7638" w:rsidRPr="00446928">
        <w:rPr>
          <w:rFonts w:ascii="Arial" w:hAnsi="Arial" w:cs="Arial"/>
          <w:bCs/>
          <w:szCs w:val="26"/>
        </w:rPr>
        <w:t xml:space="preserve"> by </w:t>
      </w:r>
      <w:r w:rsidR="00F87239">
        <w:rPr>
          <w:rFonts w:ascii="Arial" w:hAnsi="Arial" w:cs="Arial"/>
          <w:bCs/>
          <w:szCs w:val="26"/>
        </w:rPr>
        <w:t>‘</w:t>
      </w:r>
      <w:r w:rsidR="001E7638" w:rsidRPr="00446928">
        <w:rPr>
          <w:rFonts w:ascii="Arial" w:hAnsi="Arial" w:cs="Arial"/>
          <w:bCs/>
          <w:szCs w:val="26"/>
        </w:rPr>
        <w:t>social factors</w:t>
      </w:r>
      <w:r w:rsidR="00F87239">
        <w:rPr>
          <w:rFonts w:ascii="Arial" w:hAnsi="Arial" w:cs="Arial"/>
          <w:bCs/>
          <w:szCs w:val="26"/>
        </w:rPr>
        <w:t>’</w:t>
      </w:r>
      <w:r w:rsidR="001E7638" w:rsidRPr="00446928">
        <w:rPr>
          <w:rFonts w:ascii="Arial" w:hAnsi="Arial" w:cs="Arial"/>
          <w:bCs/>
          <w:szCs w:val="26"/>
        </w:rPr>
        <w:t xml:space="preserve"> in their decision.</w:t>
      </w:r>
      <w:r w:rsidR="00D217BF" w:rsidRPr="00030F1B">
        <w:rPr>
          <w:rFonts w:ascii="Arial" w:hAnsi="Arial" w:cs="Arial"/>
          <w:bCs/>
          <w:sz w:val="20"/>
          <w:szCs w:val="26"/>
          <w:vertAlign w:val="superscript"/>
        </w:rPr>
        <w:endnoteReference w:id="50"/>
      </w:r>
      <w:r w:rsidR="001E7638" w:rsidRPr="00446928">
        <w:rPr>
          <w:rFonts w:ascii="Arial" w:hAnsi="Arial" w:cs="Arial"/>
          <w:bCs/>
          <w:szCs w:val="26"/>
        </w:rPr>
        <w:t xml:space="preserve"> </w:t>
      </w:r>
      <w:r w:rsidRPr="00446928">
        <w:rPr>
          <w:rFonts w:ascii="Arial" w:hAnsi="Arial" w:cs="Arial"/>
          <w:bCs/>
          <w:szCs w:val="26"/>
        </w:rPr>
        <w:t>The Act does not define</w:t>
      </w:r>
      <w:r w:rsidR="001E7638" w:rsidRPr="00446928">
        <w:rPr>
          <w:rFonts w:ascii="Arial" w:hAnsi="Arial" w:cs="Arial"/>
          <w:bCs/>
          <w:szCs w:val="26"/>
        </w:rPr>
        <w:t xml:space="preserve"> what constitutes a social factor.</w:t>
      </w:r>
      <w:r w:rsidR="00E8214F">
        <w:rPr>
          <w:rFonts w:ascii="Arial" w:hAnsi="Arial" w:cs="Arial"/>
          <w:bCs/>
          <w:szCs w:val="26"/>
        </w:rPr>
        <w:t xml:space="preserve"> Further, the Act requires a</w:t>
      </w:r>
      <w:r w:rsidR="008519D5" w:rsidRPr="008519D5">
        <w:rPr>
          <w:rFonts w:ascii="Arial" w:hAnsi="Arial" w:cs="Arial"/>
          <w:bCs/>
          <w:szCs w:val="26"/>
        </w:rPr>
        <w:t xml:space="preserve"> </w:t>
      </w:r>
      <w:r w:rsidR="00F87239">
        <w:rPr>
          <w:rFonts w:ascii="Arial" w:hAnsi="Arial" w:cs="Arial"/>
          <w:bCs/>
          <w:szCs w:val="26"/>
        </w:rPr>
        <w:t>‘</w:t>
      </w:r>
      <w:r w:rsidR="008519D5" w:rsidRPr="008519D5">
        <w:rPr>
          <w:rFonts w:ascii="Arial" w:hAnsi="Arial" w:cs="Arial"/>
          <w:bCs/>
          <w:szCs w:val="26"/>
        </w:rPr>
        <w:t>working group</w:t>
      </w:r>
      <w:r w:rsidR="00F87239">
        <w:rPr>
          <w:rFonts w:ascii="Arial" w:hAnsi="Arial" w:cs="Arial"/>
          <w:bCs/>
          <w:szCs w:val="26"/>
        </w:rPr>
        <w:t>’</w:t>
      </w:r>
      <w:r w:rsidR="008519D5" w:rsidRPr="008519D5">
        <w:rPr>
          <w:rFonts w:ascii="Arial" w:hAnsi="Arial" w:cs="Arial"/>
          <w:bCs/>
          <w:szCs w:val="26"/>
        </w:rPr>
        <w:t xml:space="preserve"> comprising </w:t>
      </w:r>
      <w:r w:rsidR="00F87239">
        <w:rPr>
          <w:rFonts w:ascii="Arial" w:hAnsi="Arial" w:cs="Arial"/>
          <w:bCs/>
          <w:szCs w:val="26"/>
        </w:rPr>
        <w:t>‘</w:t>
      </w:r>
      <w:r w:rsidR="008519D5" w:rsidRPr="008519D5">
        <w:rPr>
          <w:rFonts w:ascii="Arial" w:hAnsi="Arial" w:cs="Arial"/>
          <w:bCs/>
          <w:szCs w:val="26"/>
        </w:rPr>
        <w:t>three experts in human rights issues, three psychosocial professionals and three medical experts</w:t>
      </w:r>
      <w:r w:rsidR="00F87239">
        <w:rPr>
          <w:rFonts w:ascii="Arial" w:hAnsi="Arial" w:cs="Arial"/>
          <w:bCs/>
          <w:szCs w:val="26"/>
        </w:rPr>
        <w:t>’</w:t>
      </w:r>
      <w:r w:rsidR="008519D5" w:rsidRPr="008519D5">
        <w:rPr>
          <w:rFonts w:ascii="Arial" w:hAnsi="Arial" w:cs="Arial"/>
          <w:bCs/>
          <w:szCs w:val="26"/>
        </w:rPr>
        <w:t xml:space="preserve"> to </w:t>
      </w:r>
      <w:r w:rsidR="00F87239">
        <w:rPr>
          <w:rFonts w:ascii="Arial" w:hAnsi="Arial" w:cs="Arial"/>
          <w:bCs/>
          <w:szCs w:val="26"/>
        </w:rPr>
        <w:t>‘</w:t>
      </w:r>
      <w:r w:rsidR="008519D5" w:rsidRPr="008519D5">
        <w:rPr>
          <w:rFonts w:ascii="Arial" w:hAnsi="Arial" w:cs="Arial"/>
          <w:bCs/>
          <w:szCs w:val="26"/>
        </w:rPr>
        <w:t>review the current medical treatment protocols in line with current medical best practices and human rights standards</w:t>
      </w:r>
      <w:r w:rsidR="00F87239">
        <w:rPr>
          <w:rFonts w:ascii="Arial" w:hAnsi="Arial" w:cs="Arial"/>
          <w:bCs/>
          <w:szCs w:val="26"/>
        </w:rPr>
        <w:t>’</w:t>
      </w:r>
      <w:r w:rsidR="008519D5">
        <w:rPr>
          <w:rFonts w:ascii="Arial" w:hAnsi="Arial" w:cs="Arial"/>
          <w:bCs/>
          <w:szCs w:val="26"/>
        </w:rPr>
        <w:t>.</w:t>
      </w:r>
      <w:r w:rsidR="005148CD">
        <w:rPr>
          <w:rStyle w:val="EndnoteReference"/>
          <w:rFonts w:cs="Arial"/>
          <w:bCs/>
          <w:szCs w:val="26"/>
        </w:rPr>
        <w:endnoteReference w:id="51"/>
      </w:r>
    </w:p>
    <w:p w14:paraId="0BD08815" w14:textId="4A0E273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29" w:name="_Toc507585860"/>
      <w:bookmarkStart w:id="30" w:name="_Toc518984791"/>
      <w:r w:rsidRPr="00446928">
        <w:rPr>
          <w:rFonts w:ascii="Arial" w:hAnsi="Arial" w:cs="Arial"/>
          <w:bCs/>
          <w:i/>
          <w:szCs w:val="26"/>
        </w:rPr>
        <w:t>Chile</w:t>
      </w:r>
      <w:bookmarkEnd w:id="29"/>
      <w:bookmarkEnd w:id="30"/>
    </w:p>
    <w:p w14:paraId="5A01502A" w14:textId="1E72AB4F" w:rsidR="001E7638" w:rsidRPr="00446928" w:rsidRDefault="001E7638" w:rsidP="00D217BF">
      <w:pPr>
        <w:numPr>
          <w:ilvl w:val="0"/>
          <w:numId w:val="15"/>
        </w:numPr>
        <w:spacing w:before="240" w:after="240" w:line="240" w:lineRule="auto"/>
        <w:ind w:hanging="720"/>
        <w:rPr>
          <w:rFonts w:ascii="Arial" w:hAnsi="Arial" w:cs="Arial"/>
          <w:bCs/>
          <w:i/>
          <w:szCs w:val="26"/>
        </w:rPr>
      </w:pPr>
      <w:r w:rsidRPr="00446928">
        <w:rPr>
          <w:rFonts w:ascii="Arial" w:hAnsi="Arial" w:cs="Arial"/>
          <w:bCs/>
          <w:szCs w:val="26"/>
        </w:rPr>
        <w:t xml:space="preserve">The Chilean Ministry of Health has </w:t>
      </w:r>
      <w:r w:rsidR="00DB02C6" w:rsidRPr="00446928">
        <w:rPr>
          <w:rFonts w:ascii="Arial" w:hAnsi="Arial" w:cs="Arial"/>
          <w:bCs/>
          <w:szCs w:val="26"/>
        </w:rPr>
        <w:t xml:space="preserve">sought to regulate </w:t>
      </w:r>
      <w:r w:rsidR="00F62F58" w:rsidRPr="00446928">
        <w:rPr>
          <w:rFonts w:ascii="Arial" w:hAnsi="Arial" w:cs="Arial"/>
          <w:bCs/>
          <w:szCs w:val="26"/>
        </w:rPr>
        <w:t xml:space="preserve">or guide </w:t>
      </w:r>
      <w:r w:rsidR="00DB02C6" w:rsidRPr="00446928">
        <w:rPr>
          <w:rFonts w:ascii="Arial" w:hAnsi="Arial" w:cs="Arial"/>
          <w:bCs/>
          <w:szCs w:val="26"/>
        </w:rPr>
        <w:t>how</w:t>
      </w:r>
      <w:r w:rsidRPr="00446928">
        <w:rPr>
          <w:rFonts w:ascii="Arial" w:hAnsi="Arial" w:cs="Arial"/>
          <w:bCs/>
          <w:szCs w:val="26"/>
        </w:rPr>
        <w:t xml:space="preserve"> medical interventions </w:t>
      </w:r>
      <w:r w:rsidR="00DB02C6" w:rsidRPr="00446928">
        <w:rPr>
          <w:rFonts w:ascii="Arial" w:hAnsi="Arial" w:cs="Arial"/>
          <w:bCs/>
          <w:szCs w:val="26"/>
        </w:rPr>
        <w:t xml:space="preserve">take place </w:t>
      </w:r>
      <w:r w:rsidRPr="00446928">
        <w:rPr>
          <w:rFonts w:ascii="Arial" w:hAnsi="Arial" w:cs="Arial"/>
          <w:bCs/>
          <w:szCs w:val="26"/>
        </w:rPr>
        <w:t xml:space="preserve">by issuing instructions </w:t>
      </w:r>
      <w:r w:rsidR="00D217BF">
        <w:rPr>
          <w:rFonts w:ascii="Arial" w:hAnsi="Arial" w:cs="Arial"/>
          <w:bCs/>
          <w:szCs w:val="26"/>
        </w:rPr>
        <w:t xml:space="preserve">called </w:t>
      </w:r>
      <w:r w:rsidRPr="00446928">
        <w:rPr>
          <w:rFonts w:ascii="Arial" w:hAnsi="Arial" w:cs="Arial"/>
          <w:bCs/>
          <w:szCs w:val="26"/>
        </w:rPr>
        <w:t xml:space="preserve">a </w:t>
      </w:r>
      <w:r w:rsidR="00F87239">
        <w:rPr>
          <w:rFonts w:ascii="Arial" w:hAnsi="Arial" w:cs="Arial"/>
          <w:bCs/>
          <w:szCs w:val="26"/>
        </w:rPr>
        <w:t>‘</w:t>
      </w:r>
      <w:r w:rsidRPr="00446928">
        <w:rPr>
          <w:rFonts w:ascii="Arial" w:hAnsi="Arial" w:cs="Arial"/>
          <w:bCs/>
          <w:szCs w:val="26"/>
        </w:rPr>
        <w:t>Circular</w:t>
      </w:r>
      <w:r w:rsidR="00F87239">
        <w:rPr>
          <w:rFonts w:ascii="Arial" w:hAnsi="Arial" w:cs="Arial"/>
          <w:bCs/>
          <w:szCs w:val="26"/>
        </w:rPr>
        <w:t>’</w:t>
      </w:r>
      <w:r w:rsidRPr="00446928">
        <w:rPr>
          <w:rFonts w:ascii="Arial" w:hAnsi="Arial" w:cs="Arial"/>
          <w:bCs/>
          <w:szCs w:val="26"/>
        </w:rPr>
        <w:t xml:space="preserve">. </w:t>
      </w:r>
      <w:r w:rsidR="00F62F58" w:rsidRPr="00446928">
        <w:rPr>
          <w:rFonts w:ascii="Arial" w:hAnsi="Arial" w:cs="Arial"/>
          <w:bCs/>
          <w:szCs w:val="26"/>
        </w:rPr>
        <w:t>Circulars are not legally binding</w:t>
      </w:r>
      <w:r w:rsidRPr="00446928">
        <w:rPr>
          <w:rFonts w:ascii="Arial" w:hAnsi="Arial" w:cs="Arial"/>
          <w:bCs/>
          <w:szCs w:val="26"/>
        </w:rPr>
        <w:t>. In December</w:t>
      </w:r>
      <w:r w:rsidR="00110A4B">
        <w:rPr>
          <w:rFonts w:ascii="Arial" w:hAnsi="Arial" w:cs="Arial"/>
          <w:bCs/>
          <w:szCs w:val="26"/>
        </w:rPr>
        <w:t> </w:t>
      </w:r>
      <w:r w:rsidRPr="00446928">
        <w:rPr>
          <w:rFonts w:ascii="Arial" w:hAnsi="Arial" w:cs="Arial"/>
          <w:bCs/>
          <w:szCs w:val="26"/>
        </w:rPr>
        <w:t>2015</w:t>
      </w:r>
      <w:r w:rsidR="00F57664" w:rsidRPr="00446928">
        <w:rPr>
          <w:rFonts w:ascii="Arial" w:hAnsi="Arial" w:cs="Arial"/>
          <w:bCs/>
          <w:szCs w:val="26"/>
        </w:rPr>
        <w:t>,</w:t>
      </w:r>
      <w:r w:rsidRPr="00446928">
        <w:rPr>
          <w:rFonts w:ascii="Arial" w:hAnsi="Arial" w:cs="Arial"/>
          <w:bCs/>
          <w:szCs w:val="26"/>
        </w:rPr>
        <w:t xml:space="preserve"> the Ministry issued Circular No. 18 instructing health care providers to stop unnecessary </w:t>
      </w:r>
      <w:r w:rsidR="00F87239">
        <w:rPr>
          <w:rFonts w:ascii="Arial" w:hAnsi="Arial" w:cs="Arial"/>
          <w:bCs/>
          <w:szCs w:val="26"/>
        </w:rPr>
        <w:t>‘</w:t>
      </w:r>
      <w:r w:rsidRPr="00446928">
        <w:rPr>
          <w:rFonts w:ascii="Arial" w:hAnsi="Arial" w:cs="Arial"/>
          <w:bCs/>
          <w:szCs w:val="26"/>
        </w:rPr>
        <w:t>normalising</w:t>
      </w:r>
      <w:r w:rsidR="00F87239">
        <w:rPr>
          <w:rFonts w:ascii="Arial" w:hAnsi="Arial" w:cs="Arial"/>
          <w:bCs/>
          <w:szCs w:val="26"/>
        </w:rPr>
        <w:t>’</w:t>
      </w:r>
      <w:r w:rsidRPr="00446928">
        <w:rPr>
          <w:rFonts w:ascii="Arial" w:hAnsi="Arial" w:cs="Arial"/>
          <w:bCs/>
          <w:szCs w:val="26"/>
        </w:rPr>
        <w:t xml:space="preserve"> medical treatment on intersex children and defer them until the child reaches an age where t</w:t>
      </w:r>
      <w:r w:rsidR="00D217BF">
        <w:rPr>
          <w:rFonts w:ascii="Arial" w:hAnsi="Arial" w:cs="Arial"/>
          <w:bCs/>
          <w:szCs w:val="26"/>
        </w:rPr>
        <w:t>hey can give their own consent.</w:t>
      </w:r>
      <w:r w:rsidR="00D217BF">
        <w:rPr>
          <w:rStyle w:val="EndnoteReference"/>
          <w:rFonts w:cs="Arial"/>
          <w:bCs/>
          <w:szCs w:val="26"/>
        </w:rPr>
        <w:endnoteReference w:id="52"/>
      </w:r>
    </w:p>
    <w:p w14:paraId="7C3676CC" w14:textId="259B6CAC" w:rsidR="00D217BF" w:rsidRPr="00030F1B" w:rsidRDefault="00D217BF" w:rsidP="00D217BF">
      <w:pPr>
        <w:numPr>
          <w:ilvl w:val="0"/>
          <w:numId w:val="15"/>
        </w:numPr>
        <w:spacing w:before="240" w:after="240" w:line="240" w:lineRule="auto"/>
        <w:ind w:hanging="720"/>
        <w:rPr>
          <w:rFonts w:ascii="Arial" w:hAnsi="Arial" w:cs="Arial"/>
          <w:bCs/>
          <w:i/>
          <w:szCs w:val="26"/>
        </w:rPr>
      </w:pPr>
      <w:r w:rsidRPr="00030F1B">
        <w:rPr>
          <w:rFonts w:ascii="Arial" w:hAnsi="Arial" w:cs="Arial"/>
          <w:bCs/>
          <w:szCs w:val="26"/>
        </w:rPr>
        <w:t xml:space="preserve">This Circular </w:t>
      </w:r>
      <w:proofErr w:type="gramStart"/>
      <w:r w:rsidRPr="00030F1B">
        <w:rPr>
          <w:rFonts w:ascii="Arial" w:hAnsi="Arial" w:cs="Arial"/>
          <w:bCs/>
          <w:szCs w:val="26"/>
        </w:rPr>
        <w:t>was replaced</w:t>
      </w:r>
      <w:proofErr w:type="gramEnd"/>
      <w:r w:rsidRPr="00030F1B">
        <w:rPr>
          <w:rFonts w:ascii="Arial" w:hAnsi="Arial" w:cs="Arial"/>
          <w:bCs/>
          <w:szCs w:val="26"/>
        </w:rPr>
        <w:t xml:space="preserve"> in August 2016 with Circular No. 7</w:t>
      </w:r>
      <w:r>
        <w:rPr>
          <w:rFonts w:ascii="Arial" w:hAnsi="Arial" w:cs="Arial"/>
          <w:bCs/>
          <w:szCs w:val="26"/>
        </w:rPr>
        <w:t>,</w:t>
      </w:r>
      <w:r w:rsidRPr="00030F1B">
        <w:rPr>
          <w:rFonts w:ascii="Arial" w:hAnsi="Arial" w:cs="Arial"/>
          <w:bCs/>
          <w:szCs w:val="26"/>
        </w:rPr>
        <w:t xml:space="preserve"> which removed the blanket prohib</w:t>
      </w:r>
      <w:r>
        <w:rPr>
          <w:rFonts w:ascii="Arial" w:hAnsi="Arial" w:cs="Arial"/>
          <w:bCs/>
          <w:szCs w:val="26"/>
        </w:rPr>
        <w:t xml:space="preserve">ition on unnecessary treatments. It states that the recommendation not to perform unnecessary surgery does not apply where </w:t>
      </w:r>
      <w:r w:rsidR="00F87239">
        <w:rPr>
          <w:rFonts w:ascii="Arial" w:hAnsi="Arial" w:cs="Arial"/>
          <w:bCs/>
          <w:szCs w:val="26"/>
        </w:rPr>
        <w:t>‘</w:t>
      </w:r>
      <w:r>
        <w:rPr>
          <w:rFonts w:ascii="Arial" w:hAnsi="Arial" w:cs="Arial"/>
          <w:bCs/>
          <w:szCs w:val="26"/>
        </w:rPr>
        <w:t>there is a clearly defined sex</w:t>
      </w:r>
      <w:r w:rsidR="00F87239">
        <w:rPr>
          <w:rFonts w:ascii="Arial" w:hAnsi="Arial" w:cs="Arial"/>
          <w:bCs/>
          <w:szCs w:val="26"/>
        </w:rPr>
        <w:t>’</w:t>
      </w:r>
      <w:r>
        <w:rPr>
          <w:rFonts w:ascii="Arial" w:hAnsi="Arial" w:cs="Arial"/>
          <w:bCs/>
          <w:szCs w:val="26"/>
        </w:rPr>
        <w:t xml:space="preserve"> and gives</w:t>
      </w:r>
      <w:r w:rsidRPr="00030F1B">
        <w:rPr>
          <w:rFonts w:ascii="Arial" w:hAnsi="Arial" w:cs="Arial"/>
          <w:bCs/>
          <w:szCs w:val="26"/>
        </w:rPr>
        <w:t xml:space="preserve"> </w:t>
      </w:r>
      <w:r>
        <w:rPr>
          <w:rFonts w:ascii="Arial" w:hAnsi="Arial" w:cs="Arial"/>
          <w:bCs/>
          <w:szCs w:val="26"/>
        </w:rPr>
        <w:t>guidance on</w:t>
      </w:r>
      <w:r w:rsidRPr="00030F1B">
        <w:rPr>
          <w:rFonts w:ascii="Arial" w:hAnsi="Arial" w:cs="Arial"/>
          <w:bCs/>
          <w:szCs w:val="26"/>
        </w:rPr>
        <w:t xml:space="preserve"> when interventions should occur</w:t>
      </w:r>
      <w:r>
        <w:rPr>
          <w:rFonts w:ascii="Arial" w:hAnsi="Arial" w:cs="Arial"/>
          <w:bCs/>
          <w:szCs w:val="26"/>
        </w:rPr>
        <w:t xml:space="preserve"> for other variations</w:t>
      </w:r>
      <w:r w:rsidRPr="00030F1B">
        <w:rPr>
          <w:rFonts w:ascii="Arial" w:hAnsi="Arial" w:cs="Arial"/>
          <w:bCs/>
          <w:szCs w:val="26"/>
        </w:rPr>
        <w:t>.</w:t>
      </w:r>
      <w:r>
        <w:rPr>
          <w:rStyle w:val="EndnoteReference"/>
          <w:rFonts w:cs="Arial"/>
          <w:bCs/>
          <w:szCs w:val="26"/>
        </w:rPr>
        <w:endnoteReference w:id="53"/>
      </w:r>
      <w:r w:rsidRPr="00030F1B">
        <w:rPr>
          <w:rFonts w:ascii="Arial" w:hAnsi="Arial" w:cs="Arial"/>
          <w:bCs/>
          <w:szCs w:val="26"/>
        </w:rPr>
        <w:t xml:space="preserve"> Th</w:t>
      </w:r>
      <w:r w:rsidR="00110A4B">
        <w:rPr>
          <w:rFonts w:ascii="Arial" w:hAnsi="Arial" w:cs="Arial"/>
          <w:bCs/>
          <w:szCs w:val="26"/>
        </w:rPr>
        <w:t>e Circular states that decision</w:t>
      </w:r>
      <w:r w:rsidR="00110A4B">
        <w:rPr>
          <w:rFonts w:ascii="Arial" w:hAnsi="Arial" w:cs="Arial"/>
          <w:bCs/>
          <w:szCs w:val="26"/>
        </w:rPr>
        <w:noBreakHyphen/>
      </w:r>
      <w:r w:rsidRPr="00030F1B">
        <w:rPr>
          <w:rFonts w:ascii="Arial" w:hAnsi="Arial" w:cs="Arial"/>
          <w:bCs/>
          <w:szCs w:val="26"/>
        </w:rPr>
        <w:t xml:space="preserve">making </w:t>
      </w:r>
      <w:r>
        <w:rPr>
          <w:rFonts w:ascii="Arial" w:hAnsi="Arial" w:cs="Arial"/>
          <w:bCs/>
          <w:szCs w:val="26"/>
        </w:rPr>
        <w:t>may require</w:t>
      </w:r>
      <w:r w:rsidRPr="00030F1B">
        <w:rPr>
          <w:rFonts w:ascii="Arial" w:hAnsi="Arial" w:cs="Arial"/>
          <w:bCs/>
          <w:szCs w:val="26"/>
        </w:rPr>
        <w:t xml:space="preserve"> the </w:t>
      </w:r>
      <w:r>
        <w:rPr>
          <w:rFonts w:ascii="Arial" w:hAnsi="Arial" w:cs="Arial"/>
          <w:bCs/>
          <w:szCs w:val="26"/>
        </w:rPr>
        <w:t>opinion of an ethics c</w:t>
      </w:r>
      <w:r w:rsidRPr="00030F1B">
        <w:rPr>
          <w:rFonts w:ascii="Arial" w:hAnsi="Arial" w:cs="Arial"/>
          <w:bCs/>
          <w:szCs w:val="26"/>
        </w:rPr>
        <w:t xml:space="preserve">ommittee and </w:t>
      </w:r>
      <w:r>
        <w:rPr>
          <w:rFonts w:ascii="Arial" w:hAnsi="Arial" w:cs="Arial"/>
          <w:bCs/>
          <w:szCs w:val="26"/>
        </w:rPr>
        <w:t>the possibility of deferring surgery</w:t>
      </w:r>
      <w:r w:rsidRPr="00030F1B">
        <w:rPr>
          <w:rFonts w:ascii="Arial" w:hAnsi="Arial" w:cs="Arial"/>
          <w:bCs/>
          <w:szCs w:val="26"/>
        </w:rPr>
        <w:t xml:space="preserve"> until the child reaches an age where they can demonstrate their own tendencies of sexual identity</w:t>
      </w:r>
      <w:r>
        <w:rPr>
          <w:rFonts w:ascii="Arial" w:hAnsi="Arial" w:cs="Arial"/>
          <w:bCs/>
          <w:szCs w:val="26"/>
        </w:rPr>
        <w:t xml:space="preserve"> </w:t>
      </w:r>
      <w:proofErr w:type="gramStart"/>
      <w:r w:rsidRPr="00030F1B">
        <w:rPr>
          <w:rFonts w:ascii="Arial" w:hAnsi="Arial" w:cs="Arial"/>
          <w:bCs/>
          <w:szCs w:val="26"/>
        </w:rPr>
        <w:t xml:space="preserve">should be </w:t>
      </w:r>
      <w:r>
        <w:rPr>
          <w:rFonts w:ascii="Arial" w:hAnsi="Arial" w:cs="Arial"/>
          <w:bCs/>
          <w:szCs w:val="26"/>
        </w:rPr>
        <w:t>explained</w:t>
      </w:r>
      <w:proofErr w:type="gramEnd"/>
      <w:r>
        <w:rPr>
          <w:rFonts w:ascii="Arial" w:hAnsi="Arial" w:cs="Arial"/>
          <w:bCs/>
          <w:szCs w:val="26"/>
        </w:rPr>
        <w:t xml:space="preserve"> to</w:t>
      </w:r>
      <w:r w:rsidRPr="00030F1B">
        <w:rPr>
          <w:rFonts w:ascii="Arial" w:hAnsi="Arial" w:cs="Arial"/>
          <w:bCs/>
          <w:szCs w:val="26"/>
        </w:rPr>
        <w:t xml:space="preserve"> parents.</w:t>
      </w:r>
      <w:r w:rsidRPr="00030F1B">
        <w:rPr>
          <w:rFonts w:ascii="Arial" w:hAnsi="Arial" w:cs="Arial"/>
          <w:bCs/>
          <w:sz w:val="20"/>
          <w:szCs w:val="26"/>
          <w:vertAlign w:val="superscript"/>
        </w:rPr>
        <w:endnoteReference w:id="54"/>
      </w:r>
      <w:r w:rsidRPr="00030F1B">
        <w:rPr>
          <w:rFonts w:ascii="Arial" w:hAnsi="Arial" w:cs="Arial"/>
          <w:bCs/>
          <w:szCs w:val="26"/>
        </w:rPr>
        <w:t xml:space="preserve"> </w:t>
      </w:r>
    </w:p>
    <w:p w14:paraId="1D4FBE19" w14:textId="5204E67A" w:rsidR="001E7638" w:rsidRPr="00446928" w:rsidRDefault="001E7638" w:rsidP="001E7638">
      <w:pPr>
        <w:keepNext/>
        <w:keepLines/>
        <w:numPr>
          <w:ilvl w:val="2"/>
          <w:numId w:val="1"/>
        </w:numPr>
        <w:spacing w:before="360" w:after="240" w:line="240" w:lineRule="auto"/>
        <w:outlineLvl w:val="2"/>
        <w:rPr>
          <w:rFonts w:ascii="Arial" w:hAnsi="Arial" w:cs="Arial"/>
          <w:bCs/>
          <w:i/>
        </w:rPr>
      </w:pPr>
      <w:bookmarkStart w:id="31" w:name="_Toc507585861"/>
      <w:bookmarkStart w:id="32" w:name="_Toc518984792"/>
      <w:r w:rsidRPr="00446928">
        <w:rPr>
          <w:rFonts w:ascii="Arial" w:hAnsi="Arial" w:cs="Arial"/>
          <w:bCs/>
          <w:i/>
          <w:szCs w:val="26"/>
        </w:rPr>
        <w:lastRenderedPageBreak/>
        <w:t>Colombia</w:t>
      </w:r>
      <w:bookmarkEnd w:id="31"/>
      <w:bookmarkEnd w:id="32"/>
    </w:p>
    <w:p w14:paraId="58ED2238" w14:textId="77777777" w:rsidR="008D420A" w:rsidRDefault="001E7638" w:rsidP="008D420A">
      <w:pPr>
        <w:numPr>
          <w:ilvl w:val="0"/>
          <w:numId w:val="15"/>
        </w:numPr>
        <w:spacing w:before="240" w:after="240" w:line="240" w:lineRule="auto"/>
        <w:ind w:hanging="720"/>
        <w:rPr>
          <w:rFonts w:ascii="Arial" w:hAnsi="Arial" w:cs="Arial"/>
          <w:bCs/>
          <w:i/>
        </w:rPr>
      </w:pPr>
      <w:r w:rsidRPr="00446928">
        <w:rPr>
          <w:rFonts w:ascii="Arial" w:hAnsi="Arial" w:cs="Arial"/>
          <w:bCs/>
        </w:rPr>
        <w:t xml:space="preserve">Medical interventions </w:t>
      </w:r>
      <w:proofErr w:type="gramStart"/>
      <w:r w:rsidRPr="00446928">
        <w:rPr>
          <w:rFonts w:ascii="Arial" w:hAnsi="Arial" w:cs="Arial"/>
          <w:bCs/>
        </w:rPr>
        <w:t>have not been legislatively prohibited</w:t>
      </w:r>
      <w:proofErr w:type="gramEnd"/>
      <w:r w:rsidRPr="00446928">
        <w:rPr>
          <w:rFonts w:ascii="Arial" w:hAnsi="Arial" w:cs="Arial"/>
          <w:bCs/>
        </w:rPr>
        <w:t xml:space="preserve"> in Colombia</w:t>
      </w:r>
      <w:r w:rsidR="00F62F58" w:rsidRPr="00446928">
        <w:rPr>
          <w:rFonts w:ascii="Arial" w:hAnsi="Arial" w:cs="Arial"/>
          <w:bCs/>
        </w:rPr>
        <w:t>;</w:t>
      </w:r>
      <w:r w:rsidRPr="00446928">
        <w:rPr>
          <w:rFonts w:ascii="Arial" w:hAnsi="Arial" w:cs="Arial"/>
          <w:bCs/>
        </w:rPr>
        <w:t xml:space="preserve"> however</w:t>
      </w:r>
      <w:r w:rsidR="00F62F58" w:rsidRPr="00446928">
        <w:rPr>
          <w:rFonts w:ascii="Arial" w:hAnsi="Arial" w:cs="Arial"/>
          <w:bCs/>
        </w:rPr>
        <w:t>,</w:t>
      </w:r>
      <w:r w:rsidRPr="00446928">
        <w:rPr>
          <w:rFonts w:ascii="Arial" w:hAnsi="Arial" w:cs="Arial"/>
          <w:bCs/>
        </w:rPr>
        <w:t xml:space="preserve"> these practices are regulated through a number of Constitutional Court decisions. These decisions have affirmed the right of the child to bodily autonomy and development of gender identity.</w:t>
      </w:r>
      <w:r w:rsidR="00CB39D0" w:rsidRPr="00030F1B">
        <w:rPr>
          <w:rFonts w:ascii="Arial" w:hAnsi="Arial" w:cs="Arial"/>
          <w:bCs/>
          <w:sz w:val="20"/>
          <w:vertAlign w:val="superscript"/>
        </w:rPr>
        <w:endnoteReference w:id="55"/>
      </w:r>
    </w:p>
    <w:p w14:paraId="02DEF024" w14:textId="2A23F51C" w:rsidR="008D420A" w:rsidRPr="008D420A" w:rsidRDefault="001E7638" w:rsidP="008D420A">
      <w:pPr>
        <w:numPr>
          <w:ilvl w:val="0"/>
          <w:numId w:val="15"/>
        </w:numPr>
        <w:spacing w:before="240" w:after="240" w:line="240" w:lineRule="auto"/>
        <w:ind w:hanging="720"/>
        <w:rPr>
          <w:rFonts w:ascii="Arial" w:hAnsi="Arial" w:cs="Arial"/>
          <w:bCs/>
          <w:i/>
        </w:rPr>
      </w:pPr>
      <w:r w:rsidRPr="008D420A">
        <w:rPr>
          <w:rFonts w:ascii="Arial" w:hAnsi="Arial" w:cs="Arial"/>
          <w:bCs/>
        </w:rPr>
        <w:t xml:space="preserve">The Constitutional Court has </w:t>
      </w:r>
      <w:r w:rsidR="009B4B52" w:rsidRPr="008D420A">
        <w:rPr>
          <w:rFonts w:ascii="Arial" w:hAnsi="Arial" w:cs="Arial"/>
          <w:bCs/>
        </w:rPr>
        <w:t>held</w:t>
      </w:r>
      <w:r w:rsidRPr="008D420A">
        <w:rPr>
          <w:rFonts w:ascii="Arial" w:hAnsi="Arial" w:cs="Arial"/>
          <w:bCs/>
        </w:rPr>
        <w:t xml:space="preserve"> that parents cannot consent on behalf of their child </w:t>
      </w:r>
      <w:r w:rsidR="009B4B52" w:rsidRPr="008D420A">
        <w:rPr>
          <w:rFonts w:ascii="Arial" w:hAnsi="Arial" w:cs="Arial"/>
          <w:bCs/>
        </w:rPr>
        <w:t>where the child is over</w:t>
      </w:r>
      <w:r w:rsidRPr="008D420A">
        <w:rPr>
          <w:rFonts w:ascii="Arial" w:hAnsi="Arial" w:cs="Arial"/>
          <w:bCs/>
        </w:rPr>
        <w:t xml:space="preserve"> the age of </w:t>
      </w:r>
      <w:r w:rsidR="00110A4B">
        <w:rPr>
          <w:rFonts w:ascii="Arial" w:hAnsi="Arial" w:cs="Arial"/>
          <w:bCs/>
        </w:rPr>
        <w:t>five</w:t>
      </w:r>
      <w:r w:rsidRPr="008D420A">
        <w:rPr>
          <w:rFonts w:ascii="Arial" w:hAnsi="Arial" w:cs="Arial"/>
          <w:bCs/>
        </w:rPr>
        <w:t xml:space="preserve">, but can give </w:t>
      </w:r>
      <w:r w:rsidR="00F87239">
        <w:rPr>
          <w:rFonts w:ascii="Arial" w:hAnsi="Arial" w:cs="Arial"/>
          <w:bCs/>
        </w:rPr>
        <w:t>‘</w:t>
      </w:r>
      <w:r w:rsidRPr="008D420A">
        <w:rPr>
          <w:rFonts w:ascii="Arial" w:hAnsi="Arial" w:cs="Arial"/>
          <w:bCs/>
        </w:rPr>
        <w:t>qualified and informed consent</w:t>
      </w:r>
      <w:r w:rsidR="00F87239">
        <w:rPr>
          <w:rFonts w:ascii="Arial" w:hAnsi="Arial" w:cs="Arial"/>
          <w:bCs/>
        </w:rPr>
        <w:t>’</w:t>
      </w:r>
      <w:r w:rsidRPr="008D420A">
        <w:rPr>
          <w:rFonts w:ascii="Arial" w:hAnsi="Arial" w:cs="Arial"/>
          <w:bCs/>
        </w:rPr>
        <w:t xml:space="preserve"> </w:t>
      </w:r>
      <w:r w:rsidR="009B4B52" w:rsidRPr="008D420A">
        <w:rPr>
          <w:rFonts w:ascii="Arial" w:hAnsi="Arial" w:cs="Arial"/>
          <w:bCs/>
        </w:rPr>
        <w:t>where the child is under</w:t>
      </w:r>
      <w:r w:rsidRPr="008D420A">
        <w:rPr>
          <w:rFonts w:ascii="Arial" w:hAnsi="Arial" w:cs="Arial"/>
          <w:bCs/>
        </w:rPr>
        <w:t xml:space="preserve"> </w:t>
      </w:r>
      <w:r w:rsidR="00110A4B">
        <w:rPr>
          <w:rFonts w:ascii="Arial" w:hAnsi="Arial" w:cs="Arial"/>
          <w:bCs/>
        </w:rPr>
        <w:t>five</w:t>
      </w:r>
      <w:r w:rsidRPr="008D420A">
        <w:rPr>
          <w:rFonts w:ascii="Arial" w:hAnsi="Arial" w:cs="Arial"/>
          <w:bCs/>
        </w:rPr>
        <w:t xml:space="preserve"> years of age.</w:t>
      </w:r>
      <w:r w:rsidR="00CB39D0">
        <w:rPr>
          <w:rStyle w:val="EndnoteReference"/>
          <w:rFonts w:cs="Arial"/>
          <w:bCs/>
        </w:rPr>
        <w:endnoteReference w:id="56"/>
      </w:r>
      <w:r w:rsidR="00312530" w:rsidRPr="008D420A">
        <w:rPr>
          <w:rFonts w:ascii="Arial" w:hAnsi="Arial" w:cs="Arial"/>
          <w:bCs/>
        </w:rPr>
        <w:t xml:space="preserve"> </w:t>
      </w:r>
      <w:r w:rsidR="00A442E1" w:rsidRPr="008D420A">
        <w:rPr>
          <w:rFonts w:ascii="Arial" w:hAnsi="Arial" w:cs="Arial"/>
          <w:bCs/>
        </w:rPr>
        <w:t xml:space="preserve">There has been some concern that this approach </w:t>
      </w:r>
      <w:r w:rsidR="00AB14B4" w:rsidRPr="008D420A">
        <w:rPr>
          <w:rFonts w:ascii="Arial" w:hAnsi="Arial" w:cs="Arial"/>
          <w:bCs/>
        </w:rPr>
        <w:t>expedites medical procedures</w:t>
      </w:r>
      <w:r w:rsidR="00312530" w:rsidRPr="008D420A">
        <w:rPr>
          <w:rFonts w:ascii="Arial" w:hAnsi="Arial" w:cs="Arial"/>
          <w:bCs/>
        </w:rPr>
        <w:t>.</w:t>
      </w:r>
      <w:r w:rsidR="00312530">
        <w:rPr>
          <w:rStyle w:val="EndnoteReference"/>
          <w:rFonts w:cs="Arial"/>
          <w:bCs/>
        </w:rPr>
        <w:endnoteReference w:id="57"/>
      </w:r>
      <w:r w:rsidRPr="008D420A">
        <w:rPr>
          <w:rFonts w:ascii="Arial" w:hAnsi="Arial" w:cs="Arial"/>
          <w:bCs/>
        </w:rPr>
        <w:t xml:space="preserve"> </w:t>
      </w:r>
      <w:bookmarkStart w:id="33" w:name="_Toc507585862"/>
    </w:p>
    <w:p w14:paraId="6C866AF9" w14:textId="3C28C373" w:rsidR="001E7638" w:rsidRPr="00446928" w:rsidRDefault="001E7638" w:rsidP="001E7638">
      <w:pPr>
        <w:keepNext/>
        <w:keepLines/>
        <w:numPr>
          <w:ilvl w:val="2"/>
          <w:numId w:val="1"/>
        </w:numPr>
        <w:spacing w:before="360" w:after="240" w:line="240" w:lineRule="auto"/>
        <w:outlineLvl w:val="2"/>
        <w:rPr>
          <w:rFonts w:ascii="Arial" w:hAnsi="Arial" w:cs="Arial"/>
          <w:bCs/>
          <w:i/>
        </w:rPr>
      </w:pPr>
      <w:bookmarkStart w:id="34" w:name="_Toc518984793"/>
      <w:r w:rsidRPr="00446928">
        <w:rPr>
          <w:rFonts w:ascii="Arial" w:hAnsi="Arial" w:cs="Arial"/>
          <w:bCs/>
          <w:i/>
          <w:szCs w:val="26"/>
        </w:rPr>
        <w:t>Germany</w:t>
      </w:r>
      <w:bookmarkEnd w:id="33"/>
      <w:bookmarkEnd w:id="34"/>
    </w:p>
    <w:p w14:paraId="7BC2D355" w14:textId="7FE5B967" w:rsidR="001E7638" w:rsidRPr="00446928" w:rsidRDefault="001E7638" w:rsidP="001E7638">
      <w:pPr>
        <w:numPr>
          <w:ilvl w:val="0"/>
          <w:numId w:val="15"/>
        </w:numPr>
        <w:spacing w:before="240" w:after="240" w:line="240" w:lineRule="auto"/>
        <w:ind w:hanging="720"/>
        <w:rPr>
          <w:rFonts w:ascii="Arial" w:hAnsi="Arial" w:cs="Arial"/>
          <w:bCs/>
          <w:i/>
        </w:rPr>
      </w:pPr>
      <w:r w:rsidRPr="00446928">
        <w:rPr>
          <w:rFonts w:ascii="Arial" w:hAnsi="Arial" w:cs="Arial"/>
          <w:bCs/>
        </w:rPr>
        <w:t>German</w:t>
      </w:r>
      <w:r w:rsidR="006D5672">
        <w:rPr>
          <w:rFonts w:ascii="Arial" w:hAnsi="Arial" w:cs="Arial"/>
          <w:bCs/>
        </w:rPr>
        <w:t xml:space="preserve"> courts have determined</w:t>
      </w:r>
      <w:r w:rsidR="00FA0D08">
        <w:rPr>
          <w:rFonts w:ascii="Arial" w:hAnsi="Arial" w:cs="Arial"/>
          <w:bCs/>
        </w:rPr>
        <w:t xml:space="preserve"> </w:t>
      </w:r>
      <w:r w:rsidRPr="00446928">
        <w:rPr>
          <w:rFonts w:ascii="Arial" w:hAnsi="Arial" w:cs="Arial"/>
          <w:bCs/>
        </w:rPr>
        <w:t xml:space="preserve">a number of civil suits regarding medical interventions on individuals </w:t>
      </w:r>
      <w:r w:rsidR="00F55823">
        <w:rPr>
          <w:rFonts w:ascii="Arial" w:hAnsi="Arial" w:cs="Arial"/>
          <w:bCs/>
        </w:rPr>
        <w:t>born with</w:t>
      </w:r>
      <w:r w:rsidRPr="00446928">
        <w:rPr>
          <w:rFonts w:ascii="Arial" w:hAnsi="Arial" w:cs="Arial"/>
          <w:bCs/>
        </w:rPr>
        <w:t xml:space="preserve"> variations in sex characteristics. These cases have granted remedies where full and informed consent </w:t>
      </w:r>
      <w:proofErr w:type="gramStart"/>
      <w:r w:rsidRPr="00446928">
        <w:rPr>
          <w:rFonts w:ascii="Arial" w:hAnsi="Arial" w:cs="Arial"/>
          <w:bCs/>
        </w:rPr>
        <w:t>was not given</w:t>
      </w:r>
      <w:proofErr w:type="gramEnd"/>
      <w:r w:rsidRPr="00446928">
        <w:rPr>
          <w:rFonts w:ascii="Arial" w:hAnsi="Arial" w:cs="Arial"/>
          <w:bCs/>
        </w:rPr>
        <w:t xml:space="preserve"> to the procedures performed.</w:t>
      </w:r>
      <w:r w:rsidR="00CB39D0" w:rsidRPr="00030F1B">
        <w:rPr>
          <w:rFonts w:ascii="Arial" w:hAnsi="Arial" w:cs="Arial"/>
          <w:bCs/>
          <w:sz w:val="20"/>
          <w:vertAlign w:val="superscript"/>
        </w:rPr>
        <w:endnoteReference w:id="58"/>
      </w:r>
    </w:p>
    <w:p w14:paraId="7C324DE6" w14:textId="301F964E" w:rsidR="001E7638" w:rsidRPr="00446928" w:rsidRDefault="006D0260" w:rsidP="001E7638">
      <w:pPr>
        <w:numPr>
          <w:ilvl w:val="0"/>
          <w:numId w:val="15"/>
        </w:numPr>
        <w:spacing w:before="240" w:after="240" w:line="240" w:lineRule="auto"/>
        <w:ind w:hanging="720"/>
        <w:rPr>
          <w:rFonts w:ascii="Arial" w:hAnsi="Arial" w:cs="Arial"/>
          <w:bCs/>
          <w:i/>
        </w:rPr>
      </w:pPr>
      <w:r w:rsidRPr="00446928">
        <w:rPr>
          <w:rFonts w:ascii="Arial" w:hAnsi="Arial" w:cs="Arial"/>
          <w:bCs/>
        </w:rPr>
        <w:t>R</w:t>
      </w:r>
      <w:r w:rsidR="001E7638" w:rsidRPr="00446928">
        <w:rPr>
          <w:rFonts w:ascii="Arial" w:hAnsi="Arial" w:cs="Arial"/>
          <w:bCs/>
        </w:rPr>
        <w:t xml:space="preserve">eform in Germany has focused on the creation of an additional category on birth certificates rather than prohibiting interventions. This approach has largely been criticised by advocates </w:t>
      </w:r>
      <w:r w:rsidR="00E0607C">
        <w:rPr>
          <w:rFonts w:ascii="Arial" w:hAnsi="Arial" w:cs="Arial"/>
          <w:bCs/>
        </w:rPr>
        <w:t>because</w:t>
      </w:r>
      <w:r w:rsidR="009378C1" w:rsidRPr="00446928">
        <w:rPr>
          <w:rFonts w:ascii="Arial" w:hAnsi="Arial" w:cs="Arial"/>
          <w:bCs/>
        </w:rPr>
        <w:t xml:space="preserve"> </w:t>
      </w:r>
      <w:r w:rsidR="00030C4D" w:rsidRPr="00446928">
        <w:rPr>
          <w:rFonts w:ascii="Arial" w:hAnsi="Arial" w:cs="Arial"/>
          <w:bCs/>
        </w:rPr>
        <w:t>the legislation requires</w:t>
      </w:r>
      <w:r w:rsidR="001E7638" w:rsidRPr="00446928">
        <w:rPr>
          <w:rFonts w:ascii="Arial" w:hAnsi="Arial" w:cs="Arial"/>
          <w:bCs/>
        </w:rPr>
        <w:t xml:space="preserve"> mandatory allocation into </w:t>
      </w:r>
      <w:r w:rsidR="00030C4D" w:rsidRPr="00446928">
        <w:rPr>
          <w:rFonts w:ascii="Arial" w:hAnsi="Arial" w:cs="Arial"/>
          <w:bCs/>
        </w:rPr>
        <w:t>an</w:t>
      </w:r>
      <w:r w:rsidR="001E7638" w:rsidRPr="00446928">
        <w:rPr>
          <w:rFonts w:ascii="Arial" w:hAnsi="Arial" w:cs="Arial"/>
          <w:bCs/>
        </w:rPr>
        <w:t xml:space="preserve"> additional category for infants who do not present as male or female</w:t>
      </w:r>
      <w:r w:rsidR="00365AA4">
        <w:rPr>
          <w:rFonts w:ascii="Arial" w:hAnsi="Arial" w:cs="Arial"/>
          <w:bCs/>
        </w:rPr>
        <w:t xml:space="preserve">, </w:t>
      </w:r>
      <w:r w:rsidR="00E610D7" w:rsidRPr="00446928">
        <w:rPr>
          <w:rFonts w:ascii="Arial" w:hAnsi="Arial" w:cs="Arial"/>
          <w:bCs/>
        </w:rPr>
        <w:t xml:space="preserve">which may </w:t>
      </w:r>
      <w:r w:rsidR="00C919D6">
        <w:rPr>
          <w:rFonts w:ascii="Arial" w:hAnsi="Arial" w:cs="Arial"/>
          <w:bCs/>
        </w:rPr>
        <w:t>cause</w:t>
      </w:r>
      <w:r w:rsidR="00E610D7" w:rsidRPr="00446928">
        <w:rPr>
          <w:rFonts w:ascii="Arial" w:hAnsi="Arial" w:cs="Arial"/>
          <w:bCs/>
        </w:rPr>
        <w:t xml:space="preserve"> parents to </w:t>
      </w:r>
      <w:r w:rsidR="00C919D6">
        <w:rPr>
          <w:rFonts w:ascii="Arial" w:hAnsi="Arial" w:cs="Arial"/>
          <w:bCs/>
        </w:rPr>
        <w:t xml:space="preserve">feel pressure to </w:t>
      </w:r>
      <w:r w:rsidR="00E610D7" w:rsidRPr="00446928">
        <w:rPr>
          <w:rFonts w:ascii="Arial" w:hAnsi="Arial" w:cs="Arial"/>
          <w:bCs/>
        </w:rPr>
        <w:t xml:space="preserve">consent to medical interventions to avoid their child </w:t>
      </w:r>
      <w:proofErr w:type="gramStart"/>
      <w:r w:rsidR="00E610D7" w:rsidRPr="00446928">
        <w:rPr>
          <w:rFonts w:ascii="Arial" w:hAnsi="Arial" w:cs="Arial"/>
          <w:bCs/>
        </w:rPr>
        <w:t>being assigned</w:t>
      </w:r>
      <w:proofErr w:type="gramEnd"/>
      <w:r w:rsidR="00E610D7" w:rsidRPr="00446928">
        <w:rPr>
          <w:rFonts w:ascii="Arial" w:hAnsi="Arial" w:cs="Arial"/>
          <w:bCs/>
        </w:rPr>
        <w:t xml:space="preserve"> to this category</w:t>
      </w:r>
      <w:r w:rsidR="00E0607C">
        <w:rPr>
          <w:rFonts w:ascii="Arial" w:hAnsi="Arial" w:cs="Arial"/>
          <w:bCs/>
        </w:rPr>
        <w:t xml:space="preserve">. Further, </w:t>
      </w:r>
      <w:proofErr w:type="gramStart"/>
      <w:r w:rsidR="001E7638" w:rsidRPr="00446928">
        <w:rPr>
          <w:rFonts w:ascii="Arial" w:hAnsi="Arial" w:cs="Arial"/>
          <w:bCs/>
        </w:rPr>
        <w:t>it is the medical community who</w:t>
      </w:r>
      <w:proofErr w:type="gramEnd"/>
      <w:r w:rsidR="001E7638" w:rsidRPr="00446928">
        <w:rPr>
          <w:rFonts w:ascii="Arial" w:hAnsi="Arial" w:cs="Arial"/>
          <w:bCs/>
        </w:rPr>
        <w:t xml:space="preserve"> determines whether the child holds </w:t>
      </w:r>
      <w:r w:rsidR="00F87239">
        <w:rPr>
          <w:rFonts w:ascii="Arial" w:hAnsi="Arial" w:cs="Arial"/>
          <w:bCs/>
        </w:rPr>
        <w:t>‘</w:t>
      </w:r>
      <w:r w:rsidR="001E7638" w:rsidRPr="00446928">
        <w:rPr>
          <w:rFonts w:ascii="Arial" w:hAnsi="Arial" w:cs="Arial"/>
          <w:bCs/>
        </w:rPr>
        <w:t>clear gender-determining physical characteristics</w:t>
      </w:r>
      <w:r w:rsidR="00F87239">
        <w:rPr>
          <w:rFonts w:ascii="Arial" w:hAnsi="Arial" w:cs="Arial"/>
          <w:bCs/>
        </w:rPr>
        <w:t>’</w:t>
      </w:r>
      <w:r w:rsidR="00E0607C">
        <w:rPr>
          <w:rFonts w:ascii="Arial" w:hAnsi="Arial" w:cs="Arial"/>
          <w:bCs/>
        </w:rPr>
        <w:t xml:space="preserve">. The reform </w:t>
      </w:r>
      <w:proofErr w:type="gramStart"/>
      <w:r w:rsidR="00E0607C">
        <w:rPr>
          <w:rFonts w:ascii="Arial" w:hAnsi="Arial" w:cs="Arial"/>
          <w:bCs/>
        </w:rPr>
        <w:t>has also not been matched</w:t>
      </w:r>
      <w:proofErr w:type="gramEnd"/>
      <w:r w:rsidR="00E0607C">
        <w:rPr>
          <w:rFonts w:ascii="Arial" w:hAnsi="Arial" w:cs="Arial"/>
          <w:bCs/>
        </w:rPr>
        <w:t xml:space="preserve"> with reform in other areas </w:t>
      </w:r>
      <w:r w:rsidR="001E7638" w:rsidRPr="00446928">
        <w:rPr>
          <w:rFonts w:ascii="Arial" w:hAnsi="Arial" w:cs="Arial"/>
          <w:bCs/>
        </w:rPr>
        <w:t>like anti</w:t>
      </w:r>
      <w:r w:rsidR="00110A4B">
        <w:rPr>
          <w:rFonts w:ascii="Arial" w:hAnsi="Arial" w:cs="Arial"/>
          <w:bCs/>
        </w:rPr>
        <w:noBreakHyphen/>
      </w:r>
      <w:r w:rsidR="001E7638" w:rsidRPr="00446928">
        <w:rPr>
          <w:rFonts w:ascii="Arial" w:hAnsi="Arial" w:cs="Arial"/>
          <w:bCs/>
        </w:rPr>
        <w:t xml:space="preserve">discrimination </w:t>
      </w:r>
      <w:r w:rsidR="00E0607C">
        <w:rPr>
          <w:rFonts w:ascii="Arial" w:hAnsi="Arial" w:cs="Arial"/>
          <w:bCs/>
        </w:rPr>
        <w:t xml:space="preserve">protection </w:t>
      </w:r>
      <w:r w:rsidR="001E7638" w:rsidRPr="00446928">
        <w:rPr>
          <w:rFonts w:ascii="Arial" w:hAnsi="Arial" w:cs="Arial"/>
          <w:bCs/>
        </w:rPr>
        <w:t>and marriage/civil partnerships</w:t>
      </w:r>
      <w:r w:rsidR="00E0607C">
        <w:rPr>
          <w:rFonts w:ascii="Arial" w:hAnsi="Arial" w:cs="Arial"/>
          <w:bCs/>
        </w:rPr>
        <w:t>, and therefore individuals assigned to this category face uncertain issues arising in the future.</w:t>
      </w:r>
      <w:r w:rsidR="00707806" w:rsidRPr="00030F1B">
        <w:rPr>
          <w:rFonts w:ascii="Arial" w:hAnsi="Arial" w:cs="Arial"/>
          <w:bCs/>
          <w:sz w:val="20"/>
          <w:vertAlign w:val="superscript"/>
        </w:rPr>
        <w:endnoteReference w:id="59"/>
      </w:r>
    </w:p>
    <w:p w14:paraId="38B525C1" w14:textId="21BE5BB2"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35" w:name="_Toc507585864"/>
      <w:bookmarkStart w:id="36" w:name="_Toc518984794"/>
      <w:r w:rsidRPr="00446928">
        <w:rPr>
          <w:rFonts w:ascii="Arial" w:hAnsi="Arial" w:cs="Arial"/>
          <w:b/>
          <w:i/>
          <w:color w:val="000000"/>
        </w:rPr>
        <w:t>Significant reports and statements from groups and organisations</w:t>
      </w:r>
      <w:bookmarkEnd w:id="35"/>
      <w:bookmarkEnd w:id="36"/>
    </w:p>
    <w:p w14:paraId="18762BB7" w14:textId="77777777" w:rsidR="001E7638" w:rsidRPr="00446928" w:rsidRDefault="001E7638" w:rsidP="001E7638">
      <w:pPr>
        <w:keepNext/>
        <w:keepLines/>
        <w:numPr>
          <w:ilvl w:val="2"/>
          <w:numId w:val="1"/>
        </w:numPr>
        <w:spacing w:before="360" w:after="240" w:line="240" w:lineRule="auto"/>
        <w:outlineLvl w:val="2"/>
        <w:rPr>
          <w:rFonts w:ascii="Arial" w:eastAsia="Times New Roman" w:hAnsi="Arial" w:cs="Arial"/>
        </w:rPr>
      </w:pPr>
      <w:bookmarkStart w:id="37" w:name="_Toc507585865"/>
      <w:bookmarkStart w:id="38" w:name="_Toc518984795"/>
      <w:r w:rsidRPr="00446928">
        <w:rPr>
          <w:rFonts w:ascii="Arial" w:eastAsia="Times New Roman" w:hAnsi="Arial" w:cs="Arial"/>
          <w:i/>
        </w:rPr>
        <w:t>Human</w:t>
      </w:r>
      <w:r w:rsidRPr="00446928">
        <w:rPr>
          <w:rFonts w:ascii="Arial" w:eastAsia="Times New Roman" w:hAnsi="Arial" w:cs="Arial"/>
        </w:rPr>
        <w:t xml:space="preserve"> </w:t>
      </w:r>
      <w:r w:rsidRPr="00446928">
        <w:rPr>
          <w:rFonts w:ascii="Arial" w:hAnsi="Arial" w:cs="Arial"/>
          <w:bCs/>
          <w:i/>
          <w:szCs w:val="26"/>
        </w:rPr>
        <w:t>rights bodies</w:t>
      </w:r>
      <w:bookmarkEnd w:id="37"/>
      <w:bookmarkEnd w:id="38"/>
    </w:p>
    <w:p w14:paraId="0877D3B7" w14:textId="366F310F"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2005</w:t>
      </w:r>
      <w:r w:rsidR="00CF3795" w:rsidRPr="00446928">
        <w:rPr>
          <w:rFonts w:ascii="Arial" w:eastAsia="Times New Roman" w:hAnsi="Arial" w:cs="Arial"/>
        </w:rPr>
        <w:t>,</w:t>
      </w:r>
      <w:r w:rsidRPr="00446928">
        <w:rPr>
          <w:rFonts w:ascii="Arial" w:eastAsia="Times New Roman" w:hAnsi="Arial" w:cs="Arial"/>
        </w:rPr>
        <w:t xml:space="preserve"> the San Francisco Human Rights Commission conducted an investigation into the medical </w:t>
      </w:r>
      <w:r w:rsidR="00F87239">
        <w:rPr>
          <w:rFonts w:ascii="Arial" w:eastAsia="Times New Roman" w:hAnsi="Arial" w:cs="Arial"/>
        </w:rPr>
        <w:t>‘</w:t>
      </w:r>
      <w:r w:rsidRPr="00446928">
        <w:rPr>
          <w:rFonts w:ascii="Arial" w:eastAsia="Times New Roman" w:hAnsi="Arial" w:cs="Arial"/>
        </w:rPr>
        <w:t>normalization</w:t>
      </w:r>
      <w:r w:rsidR="00F87239">
        <w:rPr>
          <w:rFonts w:ascii="Arial" w:eastAsia="Times New Roman" w:hAnsi="Arial" w:cs="Arial"/>
        </w:rPr>
        <w:t>’</w:t>
      </w:r>
      <w:r w:rsidRPr="00446928">
        <w:rPr>
          <w:rFonts w:ascii="Arial" w:eastAsia="Times New Roman" w:hAnsi="Arial" w:cs="Arial"/>
        </w:rPr>
        <w:t xml:space="preserve"> of intersex people.</w:t>
      </w:r>
      <w:r w:rsidR="00707806">
        <w:rPr>
          <w:rStyle w:val="EndnoteReference"/>
          <w:rFonts w:eastAsia="Times New Roman" w:cs="Arial"/>
        </w:rPr>
        <w:endnoteReference w:id="60"/>
      </w:r>
      <w:r w:rsidRPr="00446928">
        <w:rPr>
          <w:rFonts w:ascii="Arial" w:eastAsia="Times New Roman" w:hAnsi="Arial" w:cs="Arial"/>
        </w:rPr>
        <w:t xml:space="preserve"> </w:t>
      </w:r>
      <w:r w:rsidR="00707806">
        <w:rPr>
          <w:rFonts w:ascii="Arial" w:eastAsia="Times New Roman" w:hAnsi="Arial" w:cs="Arial"/>
        </w:rPr>
        <w:t>The</w:t>
      </w:r>
      <w:r w:rsidRPr="00446928">
        <w:rPr>
          <w:rFonts w:ascii="Arial" w:eastAsia="Times New Roman" w:hAnsi="Arial" w:cs="Arial"/>
        </w:rPr>
        <w:t xml:space="preserve"> Commission presented 23 recommendations including that </w:t>
      </w:r>
      <w:r w:rsidR="00F87239">
        <w:rPr>
          <w:rFonts w:ascii="Arial" w:eastAsia="Times New Roman" w:hAnsi="Arial" w:cs="Arial"/>
        </w:rPr>
        <w:t>‘</w:t>
      </w:r>
      <w:r w:rsidRPr="00446928">
        <w:rPr>
          <w:rFonts w:ascii="Arial" w:eastAsia="Times New Roman" w:hAnsi="Arial" w:cs="Arial"/>
        </w:rPr>
        <w:t>normalizing</w:t>
      </w:r>
      <w:r w:rsidR="00F87239">
        <w:rPr>
          <w:rFonts w:ascii="Arial" w:eastAsia="Times New Roman" w:hAnsi="Arial" w:cs="Arial"/>
        </w:rPr>
        <w:t>’</w:t>
      </w:r>
      <w:r w:rsidRPr="00446928">
        <w:rPr>
          <w:rFonts w:ascii="Arial" w:eastAsia="Times New Roman" w:hAnsi="Arial" w:cs="Arial"/>
        </w:rPr>
        <w:t xml:space="preserve"> interventions should not occur in childhood,</w:t>
      </w:r>
      <w:r w:rsidR="009A25D5" w:rsidRPr="00446928">
        <w:rPr>
          <w:rFonts w:ascii="Arial" w:eastAsia="Times New Roman" w:hAnsi="Arial" w:cs="Arial"/>
        </w:rPr>
        <w:t xml:space="preserve"> and</w:t>
      </w:r>
      <w:r w:rsidRPr="00446928">
        <w:rPr>
          <w:rFonts w:ascii="Arial" w:eastAsia="Times New Roman" w:hAnsi="Arial" w:cs="Arial"/>
        </w:rPr>
        <w:t xml:space="preserve"> care should be </w:t>
      </w:r>
      <w:proofErr w:type="gramStart"/>
      <w:r w:rsidRPr="00446928">
        <w:rPr>
          <w:rFonts w:ascii="Arial" w:eastAsia="Times New Roman" w:hAnsi="Arial" w:cs="Arial"/>
        </w:rPr>
        <w:t>p</w:t>
      </w:r>
      <w:r w:rsidR="009A25D5" w:rsidRPr="00446928">
        <w:rPr>
          <w:rFonts w:ascii="Arial" w:eastAsia="Times New Roman" w:hAnsi="Arial" w:cs="Arial"/>
        </w:rPr>
        <w:t xml:space="preserve">atient-centred </w:t>
      </w:r>
      <w:r w:rsidRPr="00446928">
        <w:rPr>
          <w:rFonts w:ascii="Arial" w:eastAsia="Times New Roman" w:hAnsi="Arial" w:cs="Arial"/>
        </w:rPr>
        <w:t>and emphasise peer support, access to information</w:t>
      </w:r>
      <w:proofErr w:type="gramEnd"/>
      <w:r w:rsidRPr="00446928">
        <w:rPr>
          <w:rFonts w:ascii="Arial" w:eastAsia="Times New Roman" w:hAnsi="Arial" w:cs="Arial"/>
        </w:rPr>
        <w:t xml:space="preserve"> and focus on full and informed choices.</w:t>
      </w:r>
      <w:r w:rsidR="00707806">
        <w:rPr>
          <w:rStyle w:val="EndnoteReference"/>
          <w:rFonts w:eastAsia="Times New Roman" w:cs="Arial"/>
        </w:rPr>
        <w:endnoteReference w:id="61"/>
      </w:r>
      <w:r w:rsidRPr="00446928">
        <w:rPr>
          <w:rFonts w:ascii="Arial" w:eastAsia="Times New Roman" w:hAnsi="Arial" w:cs="Arial"/>
        </w:rPr>
        <w:t xml:space="preserve"> The recommendations also highlighted the lack of funding for organisations that serve the needs of intersex people.</w:t>
      </w:r>
      <w:r w:rsidR="00C202A1">
        <w:rPr>
          <w:rStyle w:val="EndnoteReference"/>
          <w:rFonts w:eastAsia="Times New Roman" w:cs="Arial"/>
        </w:rPr>
        <w:endnoteReference w:id="62"/>
      </w:r>
      <w:r w:rsidR="00C202A1" w:rsidRPr="00030F1B">
        <w:rPr>
          <w:rFonts w:ascii="Arial" w:eastAsia="Times New Roman" w:hAnsi="Arial" w:cs="Arial"/>
        </w:rPr>
        <w:t xml:space="preserve"> </w:t>
      </w:r>
    </w:p>
    <w:p w14:paraId="7801CAD9" w14:textId="0AC5EAE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2012</w:t>
      </w:r>
      <w:r w:rsidR="00CF3795" w:rsidRPr="00446928">
        <w:rPr>
          <w:rFonts w:ascii="Arial" w:eastAsia="Times New Roman" w:hAnsi="Arial" w:cs="Arial"/>
        </w:rPr>
        <w:t>,</w:t>
      </w:r>
      <w:r w:rsidRPr="00446928">
        <w:rPr>
          <w:rFonts w:ascii="Arial" w:eastAsia="Times New Roman" w:hAnsi="Arial" w:cs="Arial"/>
        </w:rPr>
        <w:t xml:space="preserve"> the German Ethics Council produced a report to consider the situation and challenges of intersex people. Among other things, the Council recommended that as irreversible gender assignment procedures </w:t>
      </w:r>
      <w:r w:rsidR="00CF3795" w:rsidRPr="00446928">
        <w:rPr>
          <w:rFonts w:ascii="Arial" w:eastAsia="Times New Roman" w:hAnsi="Arial" w:cs="Arial"/>
        </w:rPr>
        <w:t xml:space="preserve">can </w:t>
      </w:r>
      <w:r w:rsidRPr="00446928">
        <w:rPr>
          <w:rFonts w:ascii="Arial" w:eastAsia="Times New Roman" w:hAnsi="Arial" w:cs="Arial"/>
        </w:rPr>
        <w:t xml:space="preserve">infringe the right to physical </w:t>
      </w:r>
      <w:proofErr w:type="gramStart"/>
      <w:r w:rsidRPr="00446928">
        <w:rPr>
          <w:rFonts w:ascii="Arial" w:eastAsia="Times New Roman" w:hAnsi="Arial" w:cs="Arial"/>
        </w:rPr>
        <w:t>integrity,</w:t>
      </w:r>
      <w:proofErr w:type="gramEnd"/>
      <w:r w:rsidRPr="00446928">
        <w:rPr>
          <w:rFonts w:ascii="Arial" w:eastAsia="Times New Roman" w:hAnsi="Arial" w:cs="Arial"/>
        </w:rPr>
        <w:t xml:space="preserve"> and sexual and gender identity, the decision is a personal one and therefore should be postponed until it can be made solely by the individual concerned.</w:t>
      </w:r>
      <w:r w:rsidR="00C202A1" w:rsidRPr="00030F1B">
        <w:rPr>
          <w:rStyle w:val="EndnoteReference"/>
          <w:rFonts w:eastAsia="Times New Roman" w:cs="Arial"/>
        </w:rPr>
        <w:endnoteReference w:id="63"/>
      </w:r>
    </w:p>
    <w:p w14:paraId="77CFEFF3" w14:textId="41644533" w:rsidR="001E763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Swiss National Advisory Commission on Biomedical Ethics</w:t>
      </w:r>
      <w:r w:rsidR="00CF3795" w:rsidRPr="00446928">
        <w:rPr>
          <w:rFonts w:ascii="Arial" w:eastAsia="Times New Roman" w:hAnsi="Arial" w:cs="Arial"/>
        </w:rPr>
        <w:t>,</w:t>
      </w:r>
      <w:r w:rsidRPr="00446928">
        <w:rPr>
          <w:rFonts w:ascii="Arial" w:eastAsia="Times New Roman" w:hAnsi="Arial" w:cs="Arial"/>
        </w:rPr>
        <w:t xml:space="preserve"> in Opinion No. 20/2012</w:t>
      </w:r>
      <w:r w:rsidR="00931240" w:rsidRPr="00446928">
        <w:rPr>
          <w:rFonts w:ascii="Arial" w:eastAsia="Times New Roman" w:hAnsi="Arial" w:cs="Arial"/>
        </w:rPr>
        <w:t xml:space="preserve"> (</w:t>
      </w:r>
      <w:r w:rsidR="00F87239">
        <w:rPr>
          <w:rFonts w:ascii="Arial" w:eastAsia="Times New Roman" w:hAnsi="Arial" w:cs="Arial"/>
        </w:rPr>
        <w:t>‘</w:t>
      </w:r>
      <w:r w:rsidR="00931240" w:rsidRPr="00446928">
        <w:rPr>
          <w:rFonts w:ascii="Arial" w:eastAsia="Times New Roman" w:hAnsi="Arial" w:cs="Arial"/>
        </w:rPr>
        <w:t>Swiss Advisory Opinion</w:t>
      </w:r>
      <w:r w:rsidR="00F87239">
        <w:rPr>
          <w:rFonts w:ascii="Arial" w:eastAsia="Times New Roman" w:hAnsi="Arial" w:cs="Arial"/>
        </w:rPr>
        <w:t>’</w:t>
      </w:r>
      <w:r w:rsidR="00931240" w:rsidRPr="00446928">
        <w:rPr>
          <w:rFonts w:ascii="Arial" w:eastAsia="Times New Roman" w:hAnsi="Arial" w:cs="Arial"/>
        </w:rPr>
        <w:t>)</w:t>
      </w:r>
      <w:r w:rsidR="00CF3795" w:rsidRPr="00446928">
        <w:rPr>
          <w:rFonts w:ascii="Arial" w:eastAsia="Times New Roman" w:hAnsi="Arial" w:cs="Arial"/>
        </w:rPr>
        <w:t>,</w:t>
      </w:r>
      <w:r w:rsidRPr="00446928">
        <w:rPr>
          <w:rFonts w:ascii="Arial" w:eastAsia="Times New Roman" w:hAnsi="Arial" w:cs="Arial"/>
        </w:rPr>
        <w:t xml:space="preserve"> discusses the management of disorders of sex development and ethical issues relating to </w:t>
      </w:r>
      <w:r w:rsidR="00F87239">
        <w:rPr>
          <w:rFonts w:ascii="Arial" w:eastAsia="Times New Roman" w:hAnsi="Arial" w:cs="Arial"/>
        </w:rPr>
        <w:t>‘</w:t>
      </w:r>
      <w:r w:rsidRPr="00446928">
        <w:rPr>
          <w:rFonts w:ascii="Arial" w:eastAsia="Times New Roman" w:hAnsi="Arial" w:cs="Arial"/>
        </w:rPr>
        <w:t>intersexuality</w:t>
      </w:r>
      <w:r w:rsidR="00F87239">
        <w:rPr>
          <w:rFonts w:ascii="Arial" w:eastAsia="Times New Roman" w:hAnsi="Arial" w:cs="Arial"/>
        </w:rPr>
        <w:t>’</w:t>
      </w:r>
      <w:r w:rsidRPr="00446928">
        <w:rPr>
          <w:rFonts w:ascii="Arial" w:eastAsia="Times New Roman" w:hAnsi="Arial" w:cs="Arial"/>
        </w:rPr>
        <w:t>.</w:t>
      </w:r>
      <w:r w:rsidR="00C202A1">
        <w:rPr>
          <w:rStyle w:val="EndnoteReference"/>
          <w:rFonts w:eastAsia="Times New Roman" w:cs="Arial"/>
        </w:rPr>
        <w:endnoteReference w:id="64"/>
      </w:r>
      <w:r w:rsidRPr="00446928">
        <w:rPr>
          <w:rFonts w:ascii="Arial" w:eastAsia="Times New Roman" w:hAnsi="Arial" w:cs="Arial"/>
        </w:rPr>
        <w:t xml:space="preserve"> The Opinion outlines 14 recommendations including that </w:t>
      </w:r>
      <w:proofErr w:type="gramStart"/>
      <w:r w:rsidR="00F87239">
        <w:rPr>
          <w:rFonts w:ascii="Arial" w:eastAsia="Times New Roman" w:hAnsi="Arial" w:cs="Arial"/>
        </w:rPr>
        <w:t>‘</w:t>
      </w:r>
      <w:r w:rsidRPr="00446928">
        <w:rPr>
          <w:rFonts w:ascii="Arial" w:eastAsia="Times New Roman" w:hAnsi="Arial" w:cs="Arial"/>
        </w:rPr>
        <w:t>all (non-trivial) sex assignment treatment decisions which have irreversible consequences but can be deferred should not be taken until the person to be treated can decide for him/herself</w:t>
      </w:r>
      <w:r w:rsidR="00F87239">
        <w:rPr>
          <w:rFonts w:ascii="Arial" w:eastAsia="Times New Roman" w:hAnsi="Arial" w:cs="Arial"/>
        </w:rPr>
        <w:t>’</w:t>
      </w:r>
      <w:proofErr w:type="gramEnd"/>
      <w:r w:rsidRPr="00446928">
        <w:rPr>
          <w:rFonts w:ascii="Arial" w:eastAsia="Times New Roman" w:hAnsi="Arial" w:cs="Arial"/>
        </w:rPr>
        <w:t>.</w:t>
      </w:r>
      <w:r w:rsidR="00C202A1">
        <w:rPr>
          <w:rStyle w:val="EndnoteReference"/>
          <w:rFonts w:eastAsia="Times New Roman" w:cs="Arial"/>
        </w:rPr>
        <w:endnoteReference w:id="65"/>
      </w:r>
      <w:r w:rsidRPr="00446928">
        <w:rPr>
          <w:rFonts w:ascii="Arial" w:eastAsia="Times New Roman" w:hAnsi="Arial" w:cs="Arial"/>
        </w:rPr>
        <w:t xml:space="preserve"> It also noted the need for decision</w:t>
      </w:r>
      <w:r w:rsidR="00CF3795" w:rsidRPr="00446928">
        <w:rPr>
          <w:rFonts w:ascii="Arial" w:eastAsia="Times New Roman" w:hAnsi="Arial" w:cs="Arial"/>
        </w:rPr>
        <w:t xml:space="preserve"> </w:t>
      </w:r>
      <w:r w:rsidRPr="00446928">
        <w:rPr>
          <w:rFonts w:ascii="Arial" w:eastAsia="Times New Roman" w:hAnsi="Arial" w:cs="Arial"/>
        </w:rPr>
        <w:t xml:space="preserve">making within a multidisciplinary team with the involvement of the parent and as </w:t>
      </w:r>
      <w:r w:rsidR="00931240" w:rsidRPr="00446928">
        <w:rPr>
          <w:rFonts w:ascii="Arial" w:eastAsia="Times New Roman" w:hAnsi="Arial" w:cs="Arial"/>
        </w:rPr>
        <w:t>far as possible with the child</w:t>
      </w:r>
      <w:r w:rsidRPr="00446928">
        <w:rPr>
          <w:rFonts w:ascii="Arial" w:eastAsia="Times New Roman" w:hAnsi="Arial" w:cs="Arial"/>
        </w:rPr>
        <w:t>.</w:t>
      </w:r>
      <w:r w:rsidR="00C202A1" w:rsidRPr="00030F1B">
        <w:rPr>
          <w:rStyle w:val="EndnoteReference"/>
          <w:rFonts w:eastAsia="Times New Roman" w:cs="Arial"/>
        </w:rPr>
        <w:endnoteReference w:id="66"/>
      </w:r>
      <w:r w:rsidRPr="00446928">
        <w:rPr>
          <w:rFonts w:ascii="Arial" w:eastAsia="Times New Roman" w:hAnsi="Arial" w:cs="Arial"/>
        </w:rPr>
        <w:t xml:space="preserve"> </w:t>
      </w:r>
    </w:p>
    <w:p w14:paraId="4C515D24" w14:textId="623F81F6" w:rsidR="00717BA2" w:rsidRPr="00DF1188" w:rsidRDefault="008572FC" w:rsidP="005F2202">
      <w:pPr>
        <w:numPr>
          <w:ilvl w:val="0"/>
          <w:numId w:val="15"/>
        </w:numPr>
        <w:spacing w:before="240" w:after="240" w:line="240" w:lineRule="auto"/>
        <w:ind w:hanging="720"/>
        <w:rPr>
          <w:rFonts w:ascii="Arial" w:eastAsia="Times New Roman" w:hAnsi="Arial" w:cs="Arial"/>
        </w:rPr>
      </w:pPr>
      <w:r w:rsidRPr="00DF1188">
        <w:rPr>
          <w:rFonts w:ascii="Arial" w:eastAsia="Times New Roman" w:hAnsi="Arial" w:cs="Arial"/>
        </w:rPr>
        <w:lastRenderedPageBreak/>
        <w:t xml:space="preserve">The Council of Europe </w:t>
      </w:r>
      <w:r w:rsidR="00DF1188">
        <w:rPr>
          <w:rFonts w:ascii="Arial" w:eastAsia="Times New Roman" w:hAnsi="Arial" w:cs="Arial"/>
        </w:rPr>
        <w:t xml:space="preserve">has </w:t>
      </w:r>
      <w:r w:rsidR="0007063A">
        <w:rPr>
          <w:rFonts w:ascii="Arial" w:eastAsia="Times New Roman" w:hAnsi="Arial" w:cs="Arial"/>
        </w:rPr>
        <w:t xml:space="preserve">also </w:t>
      </w:r>
      <w:r w:rsidR="00DF1188">
        <w:rPr>
          <w:rFonts w:ascii="Arial" w:eastAsia="Times New Roman" w:hAnsi="Arial" w:cs="Arial"/>
        </w:rPr>
        <w:t xml:space="preserve">published reports </w:t>
      </w:r>
      <w:r w:rsidR="0007063A">
        <w:rPr>
          <w:rFonts w:ascii="Arial" w:eastAsia="Times New Roman" w:hAnsi="Arial" w:cs="Arial"/>
        </w:rPr>
        <w:t>concerning intersex people. I</w:t>
      </w:r>
      <w:r w:rsidR="00DF1188">
        <w:rPr>
          <w:rFonts w:ascii="Arial" w:eastAsia="Times New Roman" w:hAnsi="Arial" w:cs="Arial"/>
        </w:rPr>
        <w:t>n 2013</w:t>
      </w:r>
      <w:r w:rsidR="0007063A">
        <w:rPr>
          <w:rFonts w:ascii="Arial" w:eastAsia="Times New Roman" w:hAnsi="Arial" w:cs="Arial"/>
        </w:rPr>
        <w:t xml:space="preserve"> i</w:t>
      </w:r>
      <w:r w:rsidR="00DF1188">
        <w:rPr>
          <w:rFonts w:ascii="Arial" w:eastAsia="Times New Roman" w:hAnsi="Arial" w:cs="Arial"/>
        </w:rPr>
        <w:t xml:space="preserve">n </w:t>
      </w:r>
      <w:r w:rsidR="0007063A">
        <w:rPr>
          <w:rFonts w:ascii="Arial" w:eastAsia="Times New Roman" w:hAnsi="Arial" w:cs="Arial"/>
        </w:rPr>
        <w:t>a report entitled</w:t>
      </w:r>
      <w:r w:rsidR="00DF1188">
        <w:rPr>
          <w:rFonts w:ascii="Arial" w:eastAsia="Times New Roman" w:hAnsi="Arial" w:cs="Arial"/>
        </w:rPr>
        <w:t xml:space="preserve"> </w:t>
      </w:r>
      <w:r w:rsidR="00F87239">
        <w:rPr>
          <w:rFonts w:ascii="Arial" w:eastAsia="Times New Roman" w:hAnsi="Arial" w:cs="Arial"/>
        </w:rPr>
        <w:t>‘</w:t>
      </w:r>
      <w:r w:rsidR="0007063A">
        <w:rPr>
          <w:rFonts w:ascii="Arial" w:eastAsia="Times New Roman" w:hAnsi="Arial" w:cs="Arial"/>
        </w:rPr>
        <w:t>C</w:t>
      </w:r>
      <w:r w:rsidR="00DF1188">
        <w:rPr>
          <w:rFonts w:ascii="Arial" w:eastAsia="Times New Roman" w:hAnsi="Arial" w:cs="Arial"/>
        </w:rPr>
        <w:t>hildren</w:t>
      </w:r>
      <w:r w:rsidR="00F87239">
        <w:rPr>
          <w:rFonts w:ascii="Arial" w:eastAsia="Times New Roman" w:hAnsi="Arial" w:cs="Arial"/>
        </w:rPr>
        <w:t>’</w:t>
      </w:r>
      <w:r w:rsidR="00DF1188">
        <w:rPr>
          <w:rFonts w:ascii="Arial" w:eastAsia="Times New Roman" w:hAnsi="Arial" w:cs="Arial"/>
        </w:rPr>
        <w:t>s right to physical integrity</w:t>
      </w:r>
      <w:r w:rsidR="00F87239">
        <w:rPr>
          <w:rFonts w:ascii="Arial" w:eastAsia="Times New Roman" w:hAnsi="Arial" w:cs="Arial"/>
        </w:rPr>
        <w:t>’</w:t>
      </w:r>
      <w:r w:rsidR="0007063A">
        <w:rPr>
          <w:rFonts w:ascii="Arial" w:eastAsia="Times New Roman" w:hAnsi="Arial" w:cs="Arial"/>
        </w:rPr>
        <w:t xml:space="preserve">, the Rapporteur on Social Affairs, Health and Sustainable Development </w:t>
      </w:r>
      <w:r w:rsidR="00DF1188">
        <w:rPr>
          <w:rFonts w:ascii="Arial" w:eastAsia="Times New Roman" w:hAnsi="Arial" w:cs="Arial"/>
        </w:rPr>
        <w:t>discussed the need to consider cases where operations in childhood are acceptable and the need to give more voice to children to participate in decisions concerning them</w:t>
      </w:r>
      <w:r w:rsidR="005F2202">
        <w:rPr>
          <w:rFonts w:ascii="Arial" w:eastAsia="Times New Roman" w:hAnsi="Arial" w:cs="Arial"/>
        </w:rPr>
        <w:t>.</w:t>
      </w:r>
      <w:r w:rsidR="00DF1188">
        <w:rPr>
          <w:rStyle w:val="EndnoteReference"/>
          <w:rFonts w:eastAsia="Times New Roman" w:cs="Arial"/>
        </w:rPr>
        <w:endnoteReference w:id="67"/>
      </w:r>
      <w:r w:rsidR="00DF1188">
        <w:rPr>
          <w:rFonts w:ascii="Arial" w:eastAsia="Times New Roman" w:hAnsi="Arial" w:cs="Arial"/>
        </w:rPr>
        <w:t xml:space="preserve"> </w:t>
      </w:r>
      <w:r w:rsidR="005F2202">
        <w:rPr>
          <w:rFonts w:ascii="Arial" w:eastAsia="Times New Roman" w:hAnsi="Arial" w:cs="Arial"/>
        </w:rPr>
        <w:t>I</w:t>
      </w:r>
      <w:r w:rsidR="00DF1188">
        <w:rPr>
          <w:rFonts w:ascii="Arial" w:eastAsia="Times New Roman" w:hAnsi="Arial" w:cs="Arial"/>
        </w:rPr>
        <w:t xml:space="preserve">n </w:t>
      </w:r>
      <w:proofErr w:type="gramStart"/>
      <w:r w:rsidR="00DF1188">
        <w:rPr>
          <w:rFonts w:ascii="Arial" w:eastAsia="Times New Roman" w:hAnsi="Arial" w:cs="Arial"/>
        </w:rPr>
        <w:t>2015</w:t>
      </w:r>
      <w:proofErr w:type="gramEnd"/>
      <w:r w:rsidR="00DF1188">
        <w:rPr>
          <w:rFonts w:ascii="Arial" w:eastAsia="Times New Roman" w:hAnsi="Arial" w:cs="Arial"/>
        </w:rPr>
        <w:t xml:space="preserve"> </w:t>
      </w:r>
      <w:r w:rsidR="005F2202">
        <w:rPr>
          <w:rFonts w:ascii="Arial" w:eastAsia="Times New Roman" w:hAnsi="Arial" w:cs="Arial"/>
        </w:rPr>
        <w:t>the Council of Europe also</w:t>
      </w:r>
      <w:r w:rsidR="00DF1188">
        <w:rPr>
          <w:rFonts w:ascii="Arial" w:eastAsia="Times New Roman" w:hAnsi="Arial" w:cs="Arial"/>
        </w:rPr>
        <w:t xml:space="preserve"> publis</w:t>
      </w:r>
      <w:r w:rsidR="0007063A">
        <w:rPr>
          <w:rFonts w:ascii="Arial" w:eastAsia="Times New Roman" w:hAnsi="Arial" w:cs="Arial"/>
        </w:rPr>
        <w:t xml:space="preserve">hed an issues paper </w:t>
      </w:r>
      <w:r w:rsidR="00DF1188">
        <w:rPr>
          <w:rFonts w:ascii="Arial" w:eastAsia="Times New Roman" w:hAnsi="Arial" w:cs="Arial"/>
        </w:rPr>
        <w:t>on human rights and intersex people</w:t>
      </w:r>
      <w:r w:rsidR="005F2202">
        <w:rPr>
          <w:rFonts w:ascii="Arial" w:eastAsia="Times New Roman" w:hAnsi="Arial" w:cs="Arial"/>
        </w:rPr>
        <w:t>,</w:t>
      </w:r>
      <w:r w:rsidR="005F2202" w:rsidRPr="00030F1B">
        <w:rPr>
          <w:rStyle w:val="EndnoteReference"/>
          <w:rFonts w:eastAsia="Times New Roman" w:cs="Arial"/>
        </w:rPr>
        <w:endnoteReference w:id="68"/>
      </w:r>
      <w:r w:rsidR="005F2202">
        <w:rPr>
          <w:rFonts w:ascii="Arial" w:eastAsia="Times New Roman" w:hAnsi="Arial" w:cs="Arial"/>
        </w:rPr>
        <w:t xml:space="preserve"> and in 2017 </w:t>
      </w:r>
      <w:r w:rsidR="006E4E29">
        <w:rPr>
          <w:rFonts w:ascii="Arial" w:eastAsia="Times New Roman" w:hAnsi="Arial" w:cs="Arial"/>
        </w:rPr>
        <w:t>the Council of Europe</w:t>
      </w:r>
      <w:r w:rsidR="00F87239">
        <w:rPr>
          <w:rFonts w:ascii="Arial" w:eastAsia="Times New Roman" w:hAnsi="Arial" w:cs="Arial"/>
        </w:rPr>
        <w:t>’</w:t>
      </w:r>
      <w:r w:rsidR="006E4E29">
        <w:rPr>
          <w:rFonts w:ascii="Arial" w:eastAsia="Times New Roman" w:hAnsi="Arial" w:cs="Arial"/>
        </w:rPr>
        <w:t>s Committee on Bioethics published</w:t>
      </w:r>
      <w:r w:rsidR="005F2202">
        <w:rPr>
          <w:rFonts w:ascii="Arial" w:eastAsia="Times New Roman" w:hAnsi="Arial" w:cs="Arial"/>
        </w:rPr>
        <w:t xml:space="preserve"> a report on the rights of children in biomedicine which included a consideration of </w:t>
      </w:r>
      <w:r w:rsidR="005E1842">
        <w:rPr>
          <w:rFonts w:ascii="Arial" w:eastAsia="Times New Roman" w:hAnsi="Arial" w:cs="Arial"/>
        </w:rPr>
        <w:t xml:space="preserve">the human rights of </w:t>
      </w:r>
      <w:r w:rsidR="00F87239">
        <w:rPr>
          <w:rFonts w:ascii="Arial" w:eastAsia="Times New Roman" w:hAnsi="Arial" w:cs="Arial"/>
        </w:rPr>
        <w:t>‘</w:t>
      </w:r>
      <w:r w:rsidR="005F2202">
        <w:rPr>
          <w:rFonts w:ascii="Arial" w:eastAsia="Times New Roman" w:hAnsi="Arial" w:cs="Arial"/>
        </w:rPr>
        <w:t>children with differences in sex development and intersex conditions</w:t>
      </w:r>
      <w:r w:rsidR="00F87239">
        <w:rPr>
          <w:rFonts w:ascii="Arial" w:eastAsia="Times New Roman" w:hAnsi="Arial" w:cs="Arial"/>
        </w:rPr>
        <w:t>’</w:t>
      </w:r>
      <w:r w:rsidR="005F2202">
        <w:rPr>
          <w:rFonts w:ascii="Arial" w:eastAsia="Times New Roman" w:hAnsi="Arial" w:cs="Arial"/>
        </w:rPr>
        <w:t>.</w:t>
      </w:r>
      <w:r w:rsidR="005F2202">
        <w:rPr>
          <w:rStyle w:val="EndnoteReference"/>
          <w:rFonts w:eastAsia="Times New Roman" w:cs="Arial"/>
        </w:rPr>
        <w:endnoteReference w:id="69"/>
      </w:r>
    </w:p>
    <w:p w14:paraId="187FAD1B" w14:textId="634E72D7" w:rsidR="00632AAF" w:rsidRPr="00AB48A2" w:rsidRDefault="001E7638" w:rsidP="00AB48A2">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UN High Commission</w:t>
      </w:r>
      <w:r w:rsidR="00A105AB" w:rsidRPr="00446928">
        <w:rPr>
          <w:rFonts w:ascii="Arial" w:eastAsia="Times New Roman" w:hAnsi="Arial" w:cs="Arial"/>
        </w:rPr>
        <w:t>er</w:t>
      </w:r>
      <w:r w:rsidRPr="00446928">
        <w:rPr>
          <w:rFonts w:ascii="Arial" w:eastAsia="Times New Roman" w:hAnsi="Arial" w:cs="Arial"/>
        </w:rPr>
        <w:t xml:space="preserve"> for Human Rights has</w:t>
      </w:r>
      <w:r w:rsidR="00857DFF">
        <w:rPr>
          <w:rFonts w:ascii="Arial" w:eastAsia="Times New Roman" w:hAnsi="Arial" w:cs="Arial"/>
        </w:rPr>
        <w:t xml:space="preserve"> also</w:t>
      </w:r>
      <w:r w:rsidRPr="00446928">
        <w:rPr>
          <w:rFonts w:ascii="Arial" w:eastAsia="Times New Roman" w:hAnsi="Arial" w:cs="Arial"/>
        </w:rPr>
        <w:t xml:space="preserve"> </w:t>
      </w:r>
      <w:r w:rsidR="00CF3795" w:rsidRPr="00446928">
        <w:rPr>
          <w:rFonts w:ascii="Arial" w:eastAsia="Times New Roman" w:hAnsi="Arial" w:cs="Arial"/>
        </w:rPr>
        <w:t xml:space="preserve">made </w:t>
      </w:r>
      <w:r w:rsidRPr="00446928">
        <w:rPr>
          <w:rFonts w:ascii="Arial" w:eastAsia="Times New Roman" w:hAnsi="Arial" w:cs="Arial"/>
        </w:rPr>
        <w:t>statements</w:t>
      </w:r>
      <w:r w:rsidR="00CF3795" w:rsidRPr="00446928">
        <w:rPr>
          <w:rFonts w:ascii="Arial" w:eastAsia="Times New Roman" w:hAnsi="Arial" w:cs="Arial"/>
        </w:rPr>
        <w:t xml:space="preserve"> on this issue</w:t>
      </w:r>
      <w:r w:rsidRPr="00446928">
        <w:rPr>
          <w:rFonts w:ascii="Arial" w:eastAsia="Times New Roman" w:hAnsi="Arial" w:cs="Arial"/>
        </w:rPr>
        <w:t xml:space="preserve">. The factsheet </w:t>
      </w:r>
      <w:r w:rsidRPr="00446928">
        <w:rPr>
          <w:rFonts w:ascii="Arial" w:eastAsia="Times New Roman" w:hAnsi="Arial" w:cs="Arial"/>
          <w:i/>
        </w:rPr>
        <w:t>Born Free and Equal</w:t>
      </w:r>
      <w:r w:rsidRPr="00446928">
        <w:rPr>
          <w:rFonts w:ascii="Arial" w:eastAsia="Times New Roman" w:hAnsi="Arial" w:cs="Arial"/>
        </w:rPr>
        <w:t xml:space="preserve"> affirmed </w:t>
      </w:r>
      <w:r w:rsidR="00F87239">
        <w:rPr>
          <w:rFonts w:ascii="Arial" w:eastAsia="Times New Roman" w:hAnsi="Arial" w:cs="Arial"/>
        </w:rPr>
        <w:t>‘</w:t>
      </w:r>
      <w:r w:rsidRPr="00446928">
        <w:rPr>
          <w:rFonts w:ascii="Arial" w:eastAsia="Times New Roman" w:hAnsi="Arial" w:cs="Arial"/>
        </w:rPr>
        <w:t>the legal obligations of nations to safeguard the human rights of LGBT and intersex people</w:t>
      </w:r>
      <w:r w:rsidR="00F87239">
        <w:rPr>
          <w:rFonts w:ascii="Arial" w:eastAsia="Times New Roman" w:hAnsi="Arial" w:cs="Arial"/>
        </w:rPr>
        <w:t>’</w:t>
      </w:r>
      <w:r w:rsidRPr="00446928">
        <w:rPr>
          <w:rFonts w:ascii="Arial" w:eastAsia="Times New Roman" w:hAnsi="Arial" w:cs="Arial"/>
        </w:rPr>
        <w:t>, including the right to security of</w:t>
      </w:r>
      <w:r w:rsidR="00CF3795" w:rsidRPr="00446928">
        <w:rPr>
          <w:rFonts w:ascii="Arial" w:eastAsia="Times New Roman" w:hAnsi="Arial" w:cs="Arial"/>
        </w:rPr>
        <w:t xml:space="preserve"> the</w:t>
      </w:r>
      <w:r w:rsidRPr="00446928">
        <w:rPr>
          <w:rFonts w:ascii="Arial" w:eastAsia="Times New Roman" w:hAnsi="Arial" w:cs="Arial"/>
        </w:rPr>
        <w:t xml:space="preserve"> person.</w:t>
      </w:r>
      <w:r w:rsidR="00C202A1" w:rsidRPr="00030F1B">
        <w:rPr>
          <w:rStyle w:val="EndnoteReference"/>
          <w:rFonts w:eastAsia="Times New Roman" w:cs="Arial"/>
        </w:rPr>
        <w:endnoteReference w:id="70"/>
      </w:r>
      <w:r w:rsidRPr="00446928">
        <w:rPr>
          <w:rFonts w:ascii="Arial" w:eastAsia="Times New Roman" w:hAnsi="Arial" w:cs="Arial"/>
        </w:rPr>
        <w:t xml:space="preserve"> A further factsheet in 2015 </w:t>
      </w:r>
      <w:r w:rsidR="004E5E9B" w:rsidRPr="00446928">
        <w:rPr>
          <w:rFonts w:ascii="Arial" w:eastAsia="Times New Roman" w:hAnsi="Arial" w:cs="Arial"/>
        </w:rPr>
        <w:t xml:space="preserve">notes that </w:t>
      </w:r>
      <w:r w:rsidRPr="00446928">
        <w:rPr>
          <w:rFonts w:ascii="Arial" w:eastAsia="Times New Roman" w:hAnsi="Arial" w:cs="Arial"/>
        </w:rPr>
        <w:t>medical procedures performed without the full, free and informed consent of the person concerned may violate the right to physical integrity.</w:t>
      </w:r>
      <w:r w:rsidR="00C202A1" w:rsidRPr="00030F1B">
        <w:rPr>
          <w:rFonts w:ascii="Arial" w:hAnsi="Arial" w:cs="Arial"/>
          <w:sz w:val="20"/>
          <w:vertAlign w:val="superscript"/>
        </w:rPr>
        <w:endnoteReference w:id="71"/>
      </w:r>
      <w:r w:rsidR="00230224">
        <w:rPr>
          <w:rFonts w:ascii="Arial" w:eastAsia="Times New Roman" w:hAnsi="Arial" w:cs="Arial"/>
        </w:rPr>
        <w:t xml:space="preserve"> </w:t>
      </w:r>
      <w:r w:rsidR="005952D0">
        <w:rPr>
          <w:rFonts w:ascii="Arial" w:eastAsia="Times New Roman" w:hAnsi="Arial" w:cs="Arial"/>
        </w:rPr>
        <w:t xml:space="preserve">For Intersex Awareness Day </w:t>
      </w:r>
      <w:r w:rsidR="00230224">
        <w:rPr>
          <w:rFonts w:ascii="Arial" w:eastAsia="Times New Roman" w:hAnsi="Arial" w:cs="Arial"/>
        </w:rPr>
        <w:t>(</w:t>
      </w:r>
      <w:r w:rsidR="005952D0">
        <w:rPr>
          <w:rFonts w:ascii="Arial" w:eastAsia="Times New Roman" w:hAnsi="Arial" w:cs="Arial"/>
        </w:rPr>
        <w:t>26 October</w:t>
      </w:r>
      <w:r w:rsidR="00230224">
        <w:rPr>
          <w:rFonts w:ascii="Arial" w:eastAsia="Times New Roman" w:hAnsi="Arial" w:cs="Arial"/>
        </w:rPr>
        <w:t>)</w:t>
      </w:r>
      <w:r w:rsidR="005952D0">
        <w:rPr>
          <w:rFonts w:ascii="Arial" w:eastAsia="Times New Roman" w:hAnsi="Arial" w:cs="Arial"/>
        </w:rPr>
        <w:t xml:space="preserve"> in 2016</w:t>
      </w:r>
      <w:r w:rsidR="00230224">
        <w:rPr>
          <w:rFonts w:ascii="Arial" w:eastAsia="Times New Roman" w:hAnsi="Arial" w:cs="Arial"/>
        </w:rPr>
        <w:t>,</w:t>
      </w:r>
      <w:r w:rsidR="005952D0">
        <w:rPr>
          <w:rFonts w:ascii="Arial" w:eastAsia="Times New Roman" w:hAnsi="Arial" w:cs="Arial"/>
        </w:rPr>
        <w:t xml:space="preserve"> a group of UN and international human rights experts also published a statement </w:t>
      </w:r>
      <w:r w:rsidR="006F76FB">
        <w:rPr>
          <w:rFonts w:ascii="Arial" w:eastAsia="Times New Roman" w:hAnsi="Arial" w:cs="Arial"/>
        </w:rPr>
        <w:t xml:space="preserve">urging governments to prohibit medical procedures on intersex infants, children and adolescents without </w:t>
      </w:r>
      <w:r w:rsidR="00F87239">
        <w:rPr>
          <w:rFonts w:ascii="Arial" w:eastAsia="Times New Roman" w:hAnsi="Arial" w:cs="Arial"/>
        </w:rPr>
        <w:t>‘</w:t>
      </w:r>
      <w:r w:rsidR="006F76FB">
        <w:rPr>
          <w:rFonts w:ascii="Arial" w:eastAsia="Times New Roman" w:hAnsi="Arial" w:cs="Arial"/>
        </w:rPr>
        <w:t>the full, free and informed consent of the person concerned</w:t>
      </w:r>
      <w:r w:rsidR="00F87239">
        <w:rPr>
          <w:rFonts w:ascii="Arial" w:eastAsia="Times New Roman" w:hAnsi="Arial" w:cs="Arial"/>
        </w:rPr>
        <w:t>’</w:t>
      </w:r>
      <w:r w:rsidR="006F76FB">
        <w:rPr>
          <w:rFonts w:ascii="Arial" w:eastAsia="Times New Roman" w:hAnsi="Arial" w:cs="Arial"/>
        </w:rPr>
        <w:t>.</w:t>
      </w:r>
      <w:r w:rsidR="006F76FB">
        <w:rPr>
          <w:rStyle w:val="EndnoteReference"/>
          <w:rFonts w:eastAsia="Times New Roman" w:cs="Arial"/>
        </w:rPr>
        <w:endnoteReference w:id="72"/>
      </w:r>
      <w:r w:rsidR="006F76FB">
        <w:rPr>
          <w:rFonts w:ascii="Arial" w:eastAsia="Times New Roman" w:hAnsi="Arial" w:cs="Arial"/>
        </w:rPr>
        <w:t xml:space="preserve"> </w:t>
      </w:r>
    </w:p>
    <w:p w14:paraId="19ABECCB" w14:textId="1EB4C39C" w:rsidR="00632AAF" w:rsidRPr="00AB48A2" w:rsidRDefault="00632AAF" w:rsidP="00630FCC">
      <w:pPr>
        <w:numPr>
          <w:ilvl w:val="0"/>
          <w:numId w:val="15"/>
        </w:numPr>
        <w:spacing w:before="240" w:after="240" w:line="240" w:lineRule="auto"/>
        <w:ind w:hanging="720"/>
        <w:rPr>
          <w:rFonts w:ascii="Arial" w:hAnsi="Arial" w:cs="Arial"/>
        </w:rPr>
      </w:pPr>
      <w:r w:rsidRPr="00630FCC">
        <w:rPr>
          <w:rFonts w:ascii="Arial" w:eastAsia="Times New Roman" w:hAnsi="Arial" w:cs="Arial"/>
        </w:rPr>
        <w:t>The</w:t>
      </w:r>
      <w:r w:rsidRPr="00AB48A2">
        <w:rPr>
          <w:rFonts w:ascii="Arial" w:hAnsi="Arial" w:cs="Arial"/>
        </w:rPr>
        <w:t xml:space="preserve"> New Zealand Human Rights Commission conducted two intersex roundtables in 2008 and 2010 to discuss issues facing people born with variations in sex characteristics. A third roundtable was held in 2016 to bring together intersex people, medical professionals, academics and government stakeholders to share information, review international best practice and plan action.</w:t>
      </w:r>
      <w:r w:rsidRPr="00AB48A2">
        <w:rPr>
          <w:rFonts w:ascii="Arial" w:hAnsi="Arial" w:cs="Arial"/>
          <w:vertAlign w:val="superscript"/>
        </w:rPr>
        <w:endnoteReference w:id="73"/>
      </w:r>
      <w:r w:rsidRPr="00AB48A2">
        <w:rPr>
          <w:rFonts w:ascii="Arial" w:hAnsi="Arial" w:cs="Arial"/>
        </w:rPr>
        <w:t xml:space="preserve"> One of the outcomes of the roundtable </w:t>
      </w:r>
      <w:r w:rsidR="00857DFF">
        <w:rPr>
          <w:rFonts w:ascii="Arial" w:hAnsi="Arial" w:cs="Arial"/>
        </w:rPr>
        <w:t xml:space="preserve">is a move towards setting up a National Clinical Network, established through the Paediatric Society of New Zealand and funded by the Ministry of Health. The reference group for the network will comprise </w:t>
      </w:r>
      <w:r w:rsidRPr="00AB48A2">
        <w:rPr>
          <w:rFonts w:ascii="Arial" w:hAnsi="Arial" w:cs="Arial"/>
        </w:rPr>
        <w:t>people born with variations in sex characteristics, medical professionals and members of the New Zealand Human Rights Commission</w:t>
      </w:r>
      <w:r w:rsidR="00857DFF">
        <w:rPr>
          <w:rFonts w:ascii="Arial" w:hAnsi="Arial" w:cs="Arial"/>
        </w:rPr>
        <w:t>, and will, amongst other things, work</w:t>
      </w:r>
      <w:r w:rsidRPr="00AB48A2">
        <w:rPr>
          <w:rFonts w:ascii="Arial" w:hAnsi="Arial" w:cs="Arial"/>
        </w:rPr>
        <w:t xml:space="preserve"> to </w:t>
      </w:r>
      <w:r w:rsidR="00857DFF">
        <w:rPr>
          <w:rFonts w:ascii="Arial" w:hAnsi="Arial" w:cs="Arial"/>
        </w:rPr>
        <w:t xml:space="preserve">promote nationally coordinated intersex health services and </w:t>
      </w:r>
      <w:r w:rsidRPr="00AB48A2">
        <w:rPr>
          <w:rFonts w:ascii="Arial" w:hAnsi="Arial" w:cs="Arial"/>
        </w:rPr>
        <w:t>address the recommendations New Zealand received from the UN Committee on the Rights of the Child.</w:t>
      </w:r>
      <w:r w:rsidRPr="00AB48A2">
        <w:rPr>
          <w:rFonts w:ascii="Arial" w:hAnsi="Arial" w:cs="Arial"/>
          <w:vertAlign w:val="superscript"/>
        </w:rPr>
        <w:endnoteReference w:id="74"/>
      </w:r>
    </w:p>
    <w:p w14:paraId="351A90BF" w14:textId="4BE34938" w:rsidR="001E7638" w:rsidRDefault="00CF3795"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Other material</w:t>
      </w:r>
      <w:r w:rsidR="001E7638" w:rsidRPr="00446928">
        <w:rPr>
          <w:rFonts w:ascii="Arial" w:eastAsia="Times New Roman" w:hAnsi="Arial" w:cs="Arial"/>
        </w:rPr>
        <w:t xml:space="preserve"> highlighting the growing international attention on current practices include</w:t>
      </w:r>
      <w:r w:rsidRPr="00446928">
        <w:rPr>
          <w:rFonts w:ascii="Arial" w:eastAsia="Times New Roman" w:hAnsi="Arial" w:cs="Arial"/>
        </w:rPr>
        <w:t>s</w:t>
      </w:r>
      <w:r w:rsidR="00FA0D08">
        <w:rPr>
          <w:rFonts w:ascii="Arial" w:eastAsia="Times New Roman" w:hAnsi="Arial" w:cs="Arial"/>
        </w:rPr>
        <w:t xml:space="preserve"> </w:t>
      </w:r>
      <w:r w:rsidR="001E7638" w:rsidRPr="00446928">
        <w:rPr>
          <w:rFonts w:ascii="Arial" w:eastAsia="Times New Roman" w:hAnsi="Arial" w:cs="Arial"/>
        </w:rPr>
        <w:t xml:space="preserve">two </w:t>
      </w:r>
      <w:r w:rsidRPr="00446928">
        <w:rPr>
          <w:rFonts w:ascii="Arial" w:eastAsia="Times New Roman" w:hAnsi="Arial" w:cs="Arial"/>
        </w:rPr>
        <w:t xml:space="preserve">2017 </w:t>
      </w:r>
      <w:r w:rsidR="001E7638" w:rsidRPr="00446928">
        <w:rPr>
          <w:rFonts w:ascii="Arial" w:eastAsia="Times New Roman" w:hAnsi="Arial" w:cs="Arial"/>
        </w:rPr>
        <w:t>reports by Human Rights Watch on medical practices on intersex children in the United</w:t>
      </w:r>
      <w:r w:rsidR="001206D1">
        <w:rPr>
          <w:rFonts w:ascii="Arial" w:eastAsia="Times New Roman" w:hAnsi="Arial" w:cs="Arial"/>
        </w:rPr>
        <w:t xml:space="preserve"> </w:t>
      </w:r>
      <w:r w:rsidR="001E7638" w:rsidRPr="00446928">
        <w:rPr>
          <w:rFonts w:ascii="Arial" w:eastAsia="Times New Roman" w:hAnsi="Arial" w:cs="Arial"/>
        </w:rPr>
        <w:t>States</w:t>
      </w:r>
      <w:r w:rsidR="00A44A35">
        <w:rPr>
          <w:rFonts w:ascii="Arial" w:eastAsia="Times New Roman" w:hAnsi="Arial" w:cs="Arial"/>
        </w:rPr>
        <w:t>,</w:t>
      </w:r>
      <w:r w:rsidR="00C202A1" w:rsidRPr="00030F1B">
        <w:rPr>
          <w:rStyle w:val="EndnoteReference"/>
          <w:rFonts w:eastAsia="Times New Roman" w:cs="Arial"/>
        </w:rPr>
        <w:endnoteReference w:id="75"/>
      </w:r>
      <w:r w:rsidR="001E7638" w:rsidRPr="00446928">
        <w:rPr>
          <w:rFonts w:ascii="Arial" w:eastAsia="Times New Roman" w:hAnsi="Arial" w:cs="Arial"/>
        </w:rPr>
        <w:t xml:space="preserve"> and a report by Amnesty International on the rights of children with variations in sex characteristics in Denmark and Germany.</w:t>
      </w:r>
      <w:r w:rsidR="00C202A1" w:rsidRPr="00030F1B">
        <w:rPr>
          <w:rStyle w:val="EndnoteReference"/>
          <w:rFonts w:eastAsia="Times New Roman" w:cs="Arial"/>
        </w:rPr>
        <w:endnoteReference w:id="76"/>
      </w:r>
      <w:r w:rsidR="00A44A35">
        <w:rPr>
          <w:rFonts w:ascii="Arial" w:eastAsia="Times New Roman" w:hAnsi="Arial" w:cs="Arial"/>
        </w:rPr>
        <w:t xml:space="preserve"> </w:t>
      </w:r>
    </w:p>
    <w:p w14:paraId="641A538E" w14:textId="19879BD8" w:rsidR="001A2738" w:rsidRPr="00446928" w:rsidRDefault="001A2738"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In response to concerns regarding </w:t>
      </w:r>
      <w:r w:rsidR="00AB5C93">
        <w:rPr>
          <w:rFonts w:ascii="Arial" w:eastAsia="Times New Roman" w:hAnsi="Arial" w:cs="Arial"/>
        </w:rPr>
        <w:t xml:space="preserve">the </w:t>
      </w:r>
      <w:r>
        <w:rPr>
          <w:rFonts w:ascii="Arial" w:eastAsia="Times New Roman" w:hAnsi="Arial" w:cs="Arial"/>
        </w:rPr>
        <w:t xml:space="preserve">human rights implications for current treatment models, </w:t>
      </w:r>
      <w:r w:rsidR="001A2B0C">
        <w:rPr>
          <w:rFonts w:ascii="Arial" w:eastAsia="Times New Roman" w:hAnsi="Arial" w:cs="Arial"/>
        </w:rPr>
        <w:t xml:space="preserve">some </w:t>
      </w:r>
      <w:r>
        <w:rPr>
          <w:rFonts w:ascii="Arial" w:eastAsia="Times New Roman" w:hAnsi="Arial" w:cs="Arial"/>
        </w:rPr>
        <w:t xml:space="preserve">clinicians have worked towards developing </w:t>
      </w:r>
      <w:r w:rsidR="001A2B0C">
        <w:rPr>
          <w:rFonts w:ascii="Arial" w:eastAsia="Times New Roman" w:hAnsi="Arial" w:cs="Arial"/>
        </w:rPr>
        <w:t xml:space="preserve">various </w:t>
      </w:r>
      <w:r>
        <w:rPr>
          <w:rFonts w:ascii="Arial" w:eastAsia="Times New Roman" w:hAnsi="Arial" w:cs="Arial"/>
        </w:rPr>
        <w:t xml:space="preserve">ethical guidelines to approaching the </w:t>
      </w:r>
      <w:r w:rsidR="001A2B0C">
        <w:rPr>
          <w:rFonts w:ascii="Arial" w:eastAsia="Times New Roman" w:hAnsi="Arial" w:cs="Arial"/>
        </w:rPr>
        <w:t>management of</w:t>
      </w:r>
      <w:r>
        <w:rPr>
          <w:rFonts w:ascii="Arial" w:eastAsia="Times New Roman" w:hAnsi="Arial" w:cs="Arial"/>
        </w:rPr>
        <w:t xml:space="preserve"> people born with variations in sex </w:t>
      </w:r>
      <w:r w:rsidR="001A2B0C">
        <w:rPr>
          <w:rFonts w:ascii="Arial" w:eastAsia="Times New Roman" w:hAnsi="Arial" w:cs="Arial"/>
        </w:rPr>
        <w:t>characteristics</w:t>
      </w:r>
      <w:r w:rsidR="004C1DEA">
        <w:rPr>
          <w:rFonts w:ascii="Arial" w:eastAsia="Times New Roman" w:hAnsi="Arial" w:cs="Arial"/>
        </w:rPr>
        <w:t>.</w:t>
      </w:r>
      <w:r w:rsidR="004C1DEA">
        <w:rPr>
          <w:rStyle w:val="EndnoteReference"/>
          <w:rFonts w:eastAsia="Times New Roman" w:cs="Arial"/>
        </w:rPr>
        <w:endnoteReference w:id="77"/>
      </w:r>
      <w:r w:rsidR="004C1DEA">
        <w:rPr>
          <w:rFonts w:ascii="Arial" w:eastAsia="Times New Roman" w:hAnsi="Arial" w:cs="Arial"/>
        </w:rPr>
        <w:t xml:space="preserve"> </w:t>
      </w:r>
      <w:r w:rsidR="001A2B0C">
        <w:rPr>
          <w:rFonts w:ascii="Arial" w:eastAsia="Times New Roman" w:hAnsi="Arial" w:cs="Arial"/>
        </w:rPr>
        <w:t>The developments in New</w:t>
      </w:r>
      <w:r w:rsidR="001206D1">
        <w:rPr>
          <w:rFonts w:ascii="Arial" w:eastAsia="Times New Roman" w:hAnsi="Arial" w:cs="Arial"/>
        </w:rPr>
        <w:t xml:space="preserve"> </w:t>
      </w:r>
      <w:r w:rsidR="001A2B0C">
        <w:rPr>
          <w:rFonts w:ascii="Arial" w:eastAsia="Times New Roman" w:hAnsi="Arial" w:cs="Arial"/>
        </w:rPr>
        <w:t xml:space="preserve">Zealand also reflect steps towards medical professionals and </w:t>
      </w:r>
      <w:r w:rsidR="00AB5C93">
        <w:rPr>
          <w:rFonts w:ascii="Arial" w:eastAsia="Times New Roman" w:hAnsi="Arial" w:cs="Arial"/>
        </w:rPr>
        <w:t>people born with variations in sex characteristics</w:t>
      </w:r>
      <w:r w:rsidR="001A2B0C">
        <w:rPr>
          <w:rFonts w:ascii="Arial" w:eastAsia="Times New Roman" w:hAnsi="Arial" w:cs="Arial"/>
        </w:rPr>
        <w:t xml:space="preserve"> working together to improve practices</w:t>
      </w:r>
      <w:r w:rsidR="00F87239">
        <w:rPr>
          <w:rFonts w:ascii="Arial" w:eastAsia="Times New Roman" w:hAnsi="Arial" w:cs="Arial"/>
        </w:rPr>
        <w:t xml:space="preserve">. </w:t>
      </w:r>
    </w:p>
    <w:p w14:paraId="572FC2A2" w14:textId="686E8193" w:rsidR="001E7638" w:rsidRPr="00446928" w:rsidRDefault="001E7638" w:rsidP="001E7638">
      <w:pPr>
        <w:keepNext/>
        <w:keepLines/>
        <w:numPr>
          <w:ilvl w:val="2"/>
          <w:numId w:val="1"/>
        </w:numPr>
        <w:spacing w:before="360" w:after="240" w:line="240" w:lineRule="auto"/>
        <w:outlineLvl w:val="2"/>
        <w:rPr>
          <w:rFonts w:ascii="Arial" w:eastAsia="Times New Roman" w:hAnsi="Arial" w:cs="Arial"/>
        </w:rPr>
      </w:pPr>
      <w:bookmarkStart w:id="39" w:name="_Ref503186361"/>
      <w:bookmarkStart w:id="40" w:name="_Toc507585866"/>
      <w:bookmarkStart w:id="41" w:name="_Ref510534021"/>
      <w:bookmarkStart w:id="42" w:name="_Toc518984796"/>
      <w:r w:rsidRPr="00446928">
        <w:rPr>
          <w:rFonts w:ascii="Arial" w:eastAsia="Times New Roman" w:hAnsi="Arial" w:cs="Arial"/>
          <w:i/>
        </w:rPr>
        <w:t>Medical</w:t>
      </w:r>
      <w:r w:rsidRPr="00446928">
        <w:rPr>
          <w:rFonts w:ascii="Arial" w:eastAsia="Times New Roman" w:hAnsi="Arial" w:cs="Arial"/>
        </w:rPr>
        <w:t xml:space="preserve"> </w:t>
      </w:r>
      <w:r w:rsidRPr="00446928">
        <w:rPr>
          <w:rFonts w:ascii="Arial" w:hAnsi="Arial" w:cs="Arial"/>
          <w:bCs/>
          <w:i/>
          <w:szCs w:val="26"/>
        </w:rPr>
        <w:t>guidelines</w:t>
      </w:r>
      <w:bookmarkEnd w:id="39"/>
      <w:bookmarkEnd w:id="40"/>
      <w:bookmarkEnd w:id="41"/>
      <w:bookmarkEnd w:id="42"/>
    </w:p>
    <w:p w14:paraId="48EAD2BC" w14:textId="2CD91B5B" w:rsidR="000B6BF4" w:rsidRPr="00CF26A8" w:rsidRDefault="009011BB" w:rsidP="00CF26A8">
      <w:pPr>
        <w:numPr>
          <w:ilvl w:val="0"/>
          <w:numId w:val="15"/>
        </w:numPr>
        <w:spacing w:before="240" w:after="240" w:line="240" w:lineRule="auto"/>
        <w:ind w:hanging="720"/>
        <w:rPr>
          <w:rFonts w:ascii="Arial" w:eastAsia="Times New Roman" w:hAnsi="Arial" w:cs="Arial"/>
        </w:rPr>
      </w:pPr>
      <w:r>
        <w:rPr>
          <w:rFonts w:ascii="Arial" w:eastAsia="Times New Roman" w:hAnsi="Arial" w:cs="Arial"/>
        </w:rPr>
        <w:t>People can be born with a</w:t>
      </w:r>
      <w:r w:rsidR="00B72F18">
        <w:rPr>
          <w:rFonts w:ascii="Arial" w:eastAsia="Times New Roman" w:hAnsi="Arial" w:cs="Arial"/>
        </w:rPr>
        <w:t xml:space="preserve"> range</w:t>
      </w:r>
      <w:r w:rsidR="00B835D2">
        <w:rPr>
          <w:rFonts w:ascii="Arial" w:eastAsia="Times New Roman" w:hAnsi="Arial" w:cs="Arial"/>
        </w:rPr>
        <w:t xml:space="preserve"> of var</w:t>
      </w:r>
      <w:r>
        <w:rPr>
          <w:rFonts w:ascii="Arial" w:eastAsia="Times New Roman" w:hAnsi="Arial" w:cs="Arial"/>
        </w:rPr>
        <w:t>iations in sex characteristics</w:t>
      </w:r>
      <w:r w:rsidR="00287BA1">
        <w:rPr>
          <w:rFonts w:ascii="Arial" w:eastAsia="Times New Roman" w:hAnsi="Arial" w:cs="Arial"/>
        </w:rPr>
        <w:t>. A</w:t>
      </w:r>
      <w:r w:rsidR="00B835D2">
        <w:rPr>
          <w:rFonts w:ascii="Arial" w:eastAsia="Times New Roman" w:hAnsi="Arial" w:cs="Arial"/>
        </w:rPr>
        <w:t>n Australia</w:t>
      </w:r>
      <w:r w:rsidR="00B72F18">
        <w:rPr>
          <w:rFonts w:ascii="Arial" w:eastAsia="Times New Roman" w:hAnsi="Arial" w:cs="Arial"/>
        </w:rPr>
        <w:t>n</w:t>
      </w:r>
      <w:r w:rsidR="00287BA1">
        <w:rPr>
          <w:rFonts w:ascii="Arial" w:eastAsia="Times New Roman" w:hAnsi="Arial" w:cs="Arial"/>
        </w:rPr>
        <w:t xml:space="preserve"> study in 2016 found</w:t>
      </w:r>
      <w:r w:rsidR="00B835D2">
        <w:rPr>
          <w:rFonts w:ascii="Arial" w:eastAsia="Times New Roman" w:hAnsi="Arial" w:cs="Arial"/>
        </w:rPr>
        <w:t xml:space="preserve"> participants had</w:t>
      </w:r>
      <w:r w:rsidR="00287BA1">
        <w:rPr>
          <w:rFonts w:ascii="Arial" w:eastAsia="Times New Roman" w:hAnsi="Arial" w:cs="Arial"/>
        </w:rPr>
        <w:t xml:space="preserve"> over 40 different variations.</w:t>
      </w:r>
      <w:r w:rsidR="00B835D2">
        <w:rPr>
          <w:rStyle w:val="EndnoteReference"/>
          <w:rFonts w:eastAsia="Times New Roman" w:cs="Arial"/>
        </w:rPr>
        <w:endnoteReference w:id="78"/>
      </w:r>
      <w:r w:rsidR="00287BA1">
        <w:rPr>
          <w:rFonts w:ascii="Arial" w:eastAsia="Times New Roman" w:hAnsi="Arial" w:cs="Arial"/>
        </w:rPr>
        <w:t xml:space="preserve"> </w:t>
      </w:r>
      <w:r w:rsidR="00217F74" w:rsidRPr="00630FCC">
        <w:rPr>
          <w:rFonts w:ascii="Arial" w:eastAsia="Times New Roman" w:hAnsi="Arial" w:cs="Arial"/>
        </w:rPr>
        <w:t>These variations can manifest different</w:t>
      </w:r>
      <w:r w:rsidR="00630FCC" w:rsidRPr="00630FCC">
        <w:rPr>
          <w:rFonts w:ascii="Arial" w:eastAsia="Times New Roman" w:hAnsi="Arial" w:cs="Arial"/>
        </w:rPr>
        <w:t>ly</w:t>
      </w:r>
      <w:r w:rsidR="00217F74" w:rsidRPr="00630FCC">
        <w:rPr>
          <w:rFonts w:ascii="Arial" w:eastAsia="Times New Roman" w:hAnsi="Arial" w:cs="Arial"/>
        </w:rPr>
        <w:t xml:space="preserve"> and </w:t>
      </w:r>
      <w:r w:rsidR="00630FCC" w:rsidRPr="00630FCC">
        <w:rPr>
          <w:rFonts w:ascii="Arial" w:eastAsia="Times New Roman" w:hAnsi="Arial" w:cs="Arial"/>
        </w:rPr>
        <w:t>various</w:t>
      </w:r>
      <w:r w:rsidR="00217F74" w:rsidRPr="00630FCC">
        <w:rPr>
          <w:rFonts w:ascii="Arial" w:eastAsia="Times New Roman" w:hAnsi="Arial" w:cs="Arial"/>
        </w:rPr>
        <w:t xml:space="preserve"> medical or other issues can arise depending on the variation or the particular individual concerned.</w:t>
      </w:r>
      <w:r w:rsidR="00217F74">
        <w:rPr>
          <w:rFonts w:ascii="Arial" w:eastAsia="Times New Roman" w:hAnsi="Arial" w:cs="Arial"/>
        </w:rPr>
        <w:t xml:space="preserve"> </w:t>
      </w:r>
      <w:r w:rsidR="00CF26A8">
        <w:rPr>
          <w:rFonts w:ascii="Arial" w:eastAsia="Times New Roman" w:hAnsi="Arial" w:cs="Arial"/>
        </w:rPr>
        <w:t xml:space="preserve">Given how different these variations </w:t>
      </w:r>
      <w:r>
        <w:rPr>
          <w:rFonts w:ascii="Arial" w:eastAsia="Times New Roman" w:hAnsi="Arial" w:cs="Arial"/>
        </w:rPr>
        <w:t>can</w:t>
      </w:r>
      <w:r w:rsidR="00CF26A8">
        <w:rPr>
          <w:rFonts w:ascii="Arial" w:eastAsia="Times New Roman" w:hAnsi="Arial" w:cs="Arial"/>
        </w:rPr>
        <w:t xml:space="preserve"> be from each other, the different times in someone</w:t>
      </w:r>
      <w:r w:rsidR="00F87239">
        <w:rPr>
          <w:rFonts w:ascii="Arial" w:eastAsia="Times New Roman" w:hAnsi="Arial" w:cs="Arial"/>
        </w:rPr>
        <w:t>’</w:t>
      </w:r>
      <w:r w:rsidR="00CF26A8">
        <w:rPr>
          <w:rFonts w:ascii="Arial" w:eastAsia="Times New Roman" w:hAnsi="Arial" w:cs="Arial"/>
        </w:rPr>
        <w:t xml:space="preserve">s life that they may be </w:t>
      </w:r>
      <w:r>
        <w:rPr>
          <w:rFonts w:ascii="Arial" w:eastAsia="Times New Roman" w:hAnsi="Arial" w:cs="Arial"/>
        </w:rPr>
        <w:t>discovered</w:t>
      </w:r>
      <w:r w:rsidR="00CF26A8">
        <w:rPr>
          <w:rFonts w:ascii="Arial" w:eastAsia="Times New Roman" w:hAnsi="Arial" w:cs="Arial"/>
        </w:rPr>
        <w:t xml:space="preserve">, and the different issues associated with a particular variation, </w:t>
      </w:r>
      <w:proofErr w:type="gramStart"/>
      <w:r w:rsidR="00CF26A8">
        <w:rPr>
          <w:rFonts w:ascii="Arial" w:eastAsia="Times New Roman" w:hAnsi="Arial" w:cs="Arial"/>
        </w:rPr>
        <w:t>often medical</w:t>
      </w:r>
      <w:proofErr w:type="gramEnd"/>
      <w:r w:rsidR="00CF26A8">
        <w:rPr>
          <w:rFonts w:ascii="Arial" w:eastAsia="Times New Roman" w:hAnsi="Arial" w:cs="Arial"/>
        </w:rPr>
        <w:t xml:space="preserve"> guidelines exist to manage particular variations</w:t>
      </w:r>
      <w:r w:rsidR="006D12CC">
        <w:rPr>
          <w:rFonts w:ascii="Arial" w:eastAsia="Times New Roman" w:hAnsi="Arial" w:cs="Arial"/>
        </w:rPr>
        <w:t xml:space="preserve"> rather than all of them</w:t>
      </w:r>
      <w:r w:rsidR="00CF26A8">
        <w:rPr>
          <w:rFonts w:ascii="Arial" w:eastAsia="Times New Roman" w:hAnsi="Arial" w:cs="Arial"/>
        </w:rPr>
        <w:t xml:space="preserve">. For </w:t>
      </w:r>
      <w:r w:rsidR="00287BA1" w:rsidRPr="00CF26A8">
        <w:rPr>
          <w:rFonts w:ascii="Arial" w:eastAsia="Times New Roman" w:hAnsi="Arial" w:cs="Arial"/>
        </w:rPr>
        <w:t>example, the Endocrine Society Clinical Practices developed guidelines in 2010 for</w:t>
      </w:r>
      <w:r w:rsidR="00B72F18" w:rsidRPr="00CF26A8">
        <w:rPr>
          <w:rFonts w:ascii="Arial" w:eastAsia="Times New Roman" w:hAnsi="Arial" w:cs="Arial"/>
        </w:rPr>
        <w:t xml:space="preserve"> Congenital Adrenal Hyperplasia,</w:t>
      </w:r>
      <w:r w:rsidR="0045269E">
        <w:rPr>
          <w:rStyle w:val="EndnoteReference"/>
          <w:rFonts w:eastAsia="Times New Roman" w:cs="Arial"/>
        </w:rPr>
        <w:endnoteReference w:id="79"/>
      </w:r>
      <w:r w:rsidR="00B72F18" w:rsidRPr="00CF26A8">
        <w:rPr>
          <w:rFonts w:ascii="Arial" w:eastAsia="Times New Roman" w:hAnsi="Arial" w:cs="Arial"/>
        </w:rPr>
        <w:t xml:space="preserve"> and </w:t>
      </w:r>
      <w:r w:rsidR="006C1309">
        <w:rPr>
          <w:rFonts w:ascii="Arial" w:eastAsia="Times New Roman" w:hAnsi="Arial" w:cs="Arial"/>
        </w:rPr>
        <w:t xml:space="preserve">the 2016 Cincinnati International Turner Syndrome Meeting produced </w:t>
      </w:r>
      <w:r w:rsidR="00B72F18" w:rsidRPr="00CF26A8">
        <w:rPr>
          <w:rFonts w:ascii="Arial" w:eastAsia="Times New Roman" w:hAnsi="Arial" w:cs="Arial"/>
        </w:rPr>
        <w:t>clinical practice guidelines for Turner</w:t>
      </w:r>
      <w:r w:rsidR="00F87239">
        <w:rPr>
          <w:rFonts w:ascii="Arial" w:eastAsia="Times New Roman" w:hAnsi="Arial" w:cs="Arial"/>
        </w:rPr>
        <w:t>’</w:t>
      </w:r>
      <w:r w:rsidR="00B72F18" w:rsidRPr="00CF26A8">
        <w:rPr>
          <w:rFonts w:ascii="Arial" w:eastAsia="Times New Roman" w:hAnsi="Arial" w:cs="Arial"/>
        </w:rPr>
        <w:t xml:space="preserve">s </w:t>
      </w:r>
      <w:r w:rsidR="00B72F18" w:rsidRPr="00CF26A8">
        <w:rPr>
          <w:rFonts w:ascii="Arial" w:eastAsia="Times New Roman" w:hAnsi="Arial" w:cs="Arial"/>
        </w:rPr>
        <w:lastRenderedPageBreak/>
        <w:t>syndrome</w:t>
      </w:r>
      <w:r w:rsidR="006C1309">
        <w:rPr>
          <w:rFonts w:ascii="Arial" w:eastAsia="Times New Roman" w:hAnsi="Arial" w:cs="Arial"/>
        </w:rPr>
        <w:t>.</w:t>
      </w:r>
      <w:r w:rsidR="00B72F18">
        <w:rPr>
          <w:rStyle w:val="EndnoteReference"/>
          <w:rFonts w:eastAsia="Times New Roman" w:cs="Arial"/>
        </w:rPr>
        <w:endnoteReference w:id="80"/>
      </w:r>
      <w:r w:rsidR="00304856" w:rsidRPr="00CF26A8">
        <w:rPr>
          <w:rFonts w:ascii="Arial" w:eastAsia="Times New Roman" w:hAnsi="Arial" w:cs="Arial"/>
        </w:rPr>
        <w:t xml:space="preserve"> </w:t>
      </w:r>
      <w:r w:rsidR="00CF26A8">
        <w:rPr>
          <w:rFonts w:ascii="Arial" w:eastAsia="Times New Roman" w:hAnsi="Arial" w:cs="Arial"/>
        </w:rPr>
        <w:t xml:space="preserve">These guidelines </w:t>
      </w:r>
      <w:proofErr w:type="gramStart"/>
      <w:r w:rsidR="00CF26A8">
        <w:rPr>
          <w:rFonts w:ascii="Arial" w:eastAsia="Times New Roman" w:hAnsi="Arial" w:cs="Arial"/>
        </w:rPr>
        <w:t>have been developed</w:t>
      </w:r>
      <w:proofErr w:type="gramEnd"/>
      <w:r w:rsidR="00CF26A8">
        <w:rPr>
          <w:rFonts w:ascii="Arial" w:eastAsia="Times New Roman" w:hAnsi="Arial" w:cs="Arial"/>
        </w:rPr>
        <w:t xml:space="preserve"> by multidisciplinary teams in hospitals or by bodies repre</w:t>
      </w:r>
      <w:r w:rsidR="0045269E">
        <w:rPr>
          <w:rFonts w:ascii="Arial" w:eastAsia="Times New Roman" w:hAnsi="Arial" w:cs="Arial"/>
        </w:rPr>
        <w:t>senting particular specialities.</w:t>
      </w:r>
    </w:p>
    <w:p w14:paraId="77CEDFB9" w14:textId="545C8993" w:rsidR="00B725B0" w:rsidRDefault="001B6415"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While </w:t>
      </w:r>
      <w:r w:rsidR="00A13188">
        <w:rPr>
          <w:rFonts w:ascii="Arial" w:eastAsia="Times New Roman" w:hAnsi="Arial" w:cs="Arial"/>
        </w:rPr>
        <w:t>some</w:t>
      </w:r>
      <w:r>
        <w:rPr>
          <w:rFonts w:ascii="Arial" w:eastAsia="Times New Roman" w:hAnsi="Arial" w:cs="Arial"/>
        </w:rPr>
        <w:t xml:space="preserve"> guidelines </w:t>
      </w:r>
      <w:r w:rsidR="00A13188">
        <w:rPr>
          <w:rFonts w:ascii="Arial" w:eastAsia="Times New Roman" w:hAnsi="Arial" w:cs="Arial"/>
        </w:rPr>
        <w:t>focus on</w:t>
      </w:r>
      <w:r>
        <w:rPr>
          <w:rFonts w:ascii="Arial" w:eastAsia="Times New Roman" w:hAnsi="Arial" w:cs="Arial"/>
        </w:rPr>
        <w:t xml:space="preserve"> particular variations, </w:t>
      </w:r>
      <w:r w:rsidR="00A13188">
        <w:rPr>
          <w:rFonts w:ascii="Arial" w:eastAsia="Times New Roman" w:hAnsi="Arial" w:cs="Arial"/>
        </w:rPr>
        <w:t>others are broader</w:t>
      </w:r>
      <w:r w:rsidR="0040685C">
        <w:rPr>
          <w:rFonts w:ascii="Arial" w:eastAsia="Times New Roman" w:hAnsi="Arial" w:cs="Arial"/>
        </w:rPr>
        <w:t xml:space="preserve"> and may focus on a number of variations</w:t>
      </w:r>
      <w:r w:rsidR="00A13188">
        <w:rPr>
          <w:rFonts w:ascii="Arial" w:eastAsia="Times New Roman" w:hAnsi="Arial" w:cs="Arial"/>
        </w:rPr>
        <w:t>.</w:t>
      </w:r>
      <w:r w:rsidR="0040685C">
        <w:rPr>
          <w:rStyle w:val="EndnoteReference"/>
          <w:rFonts w:eastAsia="Times New Roman" w:cs="Arial"/>
        </w:rPr>
        <w:endnoteReference w:id="81"/>
      </w:r>
      <w:r w:rsidR="00A13188">
        <w:rPr>
          <w:rFonts w:ascii="Arial" w:eastAsia="Times New Roman" w:hAnsi="Arial" w:cs="Arial"/>
        </w:rPr>
        <w:t xml:space="preserve"> In </w:t>
      </w:r>
      <w:proofErr w:type="gramStart"/>
      <w:r w:rsidR="00A13188">
        <w:rPr>
          <w:rFonts w:ascii="Arial" w:eastAsia="Times New Roman" w:hAnsi="Arial" w:cs="Arial"/>
        </w:rPr>
        <w:t>2006</w:t>
      </w:r>
      <w:proofErr w:type="gramEnd"/>
      <w:r w:rsidR="00A13188">
        <w:rPr>
          <w:rFonts w:ascii="Arial" w:eastAsia="Times New Roman" w:hAnsi="Arial" w:cs="Arial"/>
        </w:rPr>
        <w:t xml:space="preserve"> </w:t>
      </w:r>
      <w:r>
        <w:rPr>
          <w:rFonts w:ascii="Arial" w:eastAsia="Times New Roman" w:hAnsi="Arial" w:cs="Arial"/>
        </w:rPr>
        <w:t xml:space="preserve">general principles </w:t>
      </w:r>
      <w:r w:rsidR="001003E9">
        <w:rPr>
          <w:rFonts w:ascii="Arial" w:eastAsia="Times New Roman" w:hAnsi="Arial" w:cs="Arial"/>
        </w:rPr>
        <w:t xml:space="preserve">for care </w:t>
      </w:r>
      <w:r>
        <w:rPr>
          <w:rFonts w:ascii="Arial" w:eastAsia="Times New Roman" w:hAnsi="Arial" w:cs="Arial"/>
        </w:rPr>
        <w:t xml:space="preserve">were </w:t>
      </w:r>
      <w:r w:rsidR="00A13188">
        <w:rPr>
          <w:rFonts w:ascii="Arial" w:eastAsia="Times New Roman" w:hAnsi="Arial" w:cs="Arial"/>
        </w:rPr>
        <w:t xml:space="preserve">established in a </w:t>
      </w:r>
      <w:r w:rsidR="001E7638" w:rsidRPr="00446928">
        <w:rPr>
          <w:rFonts w:ascii="Arial" w:eastAsia="Times New Roman" w:hAnsi="Arial" w:cs="Arial"/>
        </w:rPr>
        <w:t>Consensus Statement on the management of intersex disorders</w:t>
      </w:r>
      <w:r>
        <w:rPr>
          <w:rFonts w:ascii="Arial" w:eastAsia="Times New Roman" w:hAnsi="Arial" w:cs="Arial"/>
        </w:rPr>
        <w:t>.</w:t>
      </w:r>
      <w:r w:rsidR="001E7638" w:rsidRPr="00446928">
        <w:rPr>
          <w:rFonts w:ascii="Arial" w:eastAsia="Times New Roman" w:hAnsi="Arial" w:cs="Arial"/>
        </w:rPr>
        <w:t xml:space="preserve"> </w:t>
      </w:r>
      <w:proofErr w:type="gramStart"/>
      <w:r>
        <w:rPr>
          <w:rFonts w:ascii="Arial" w:eastAsia="Times New Roman" w:hAnsi="Arial" w:cs="Arial"/>
        </w:rPr>
        <w:t xml:space="preserve">This </w:t>
      </w:r>
      <w:r w:rsidR="001E7638" w:rsidRPr="00446928">
        <w:rPr>
          <w:rFonts w:ascii="Arial" w:eastAsia="Times New Roman" w:hAnsi="Arial" w:cs="Arial"/>
        </w:rPr>
        <w:t>was published by international medical experts following an international intersex consensus conference in Chicago, USA</w:t>
      </w:r>
      <w:proofErr w:type="gramEnd"/>
      <w:r w:rsidR="001E7638" w:rsidRPr="00446928">
        <w:rPr>
          <w:rFonts w:ascii="Arial" w:eastAsia="Times New Roman" w:hAnsi="Arial" w:cs="Arial"/>
        </w:rPr>
        <w:t>.</w:t>
      </w:r>
      <w:r w:rsidR="00131BA9">
        <w:rPr>
          <w:rStyle w:val="EndnoteReference"/>
          <w:rFonts w:eastAsia="Times New Roman" w:cs="Arial"/>
        </w:rPr>
        <w:endnoteReference w:id="82"/>
      </w:r>
      <w:r w:rsidR="001E7638" w:rsidRPr="00446928">
        <w:rPr>
          <w:rFonts w:ascii="Arial" w:eastAsia="Times New Roman" w:hAnsi="Arial" w:cs="Arial"/>
        </w:rPr>
        <w:t xml:space="preserve"> The Consensus Statement discusses the management of disorders of sex development</w:t>
      </w:r>
      <w:r w:rsidR="00620CF5">
        <w:rPr>
          <w:rFonts w:ascii="Arial" w:eastAsia="Times New Roman" w:hAnsi="Arial" w:cs="Arial"/>
        </w:rPr>
        <w:t xml:space="preserve"> and, a</w:t>
      </w:r>
      <w:r w:rsidR="00FF0097">
        <w:rPr>
          <w:rFonts w:ascii="Arial" w:eastAsia="Times New Roman" w:hAnsi="Arial" w:cs="Arial"/>
        </w:rPr>
        <w:t>mongst other things</w:t>
      </w:r>
      <w:r w:rsidR="00620CF5">
        <w:rPr>
          <w:rFonts w:ascii="Arial" w:eastAsia="Times New Roman" w:hAnsi="Arial" w:cs="Arial"/>
        </w:rPr>
        <w:t xml:space="preserve">, it </w:t>
      </w:r>
      <w:r w:rsidR="00B725B0">
        <w:rPr>
          <w:rFonts w:ascii="Arial" w:eastAsia="Times New Roman" w:hAnsi="Arial" w:cs="Arial"/>
        </w:rPr>
        <w:t>highlights the</w:t>
      </w:r>
      <w:r w:rsidR="006438CB" w:rsidRPr="00446928">
        <w:rPr>
          <w:rFonts w:ascii="Arial" w:eastAsia="Times New Roman" w:hAnsi="Arial" w:cs="Arial"/>
        </w:rPr>
        <w:t xml:space="preserve"> </w:t>
      </w:r>
      <w:r w:rsidR="00B725B0">
        <w:rPr>
          <w:rFonts w:ascii="Arial" w:eastAsia="Times New Roman" w:hAnsi="Arial" w:cs="Arial"/>
        </w:rPr>
        <w:t xml:space="preserve">importance of using multidisciplinary teams </w:t>
      </w:r>
      <w:r w:rsidR="00F85E29">
        <w:rPr>
          <w:rFonts w:ascii="Arial" w:eastAsia="Times New Roman" w:hAnsi="Arial" w:cs="Arial"/>
        </w:rPr>
        <w:t>and the inclusion of</w:t>
      </w:r>
      <w:r w:rsidR="00B725B0">
        <w:rPr>
          <w:rFonts w:ascii="Arial" w:eastAsia="Times New Roman" w:hAnsi="Arial" w:cs="Arial"/>
        </w:rPr>
        <w:t xml:space="preserve"> psychological support</w:t>
      </w:r>
      <w:r w:rsidR="00F85E29">
        <w:rPr>
          <w:rFonts w:ascii="Arial" w:eastAsia="Times New Roman" w:hAnsi="Arial" w:cs="Arial"/>
        </w:rPr>
        <w:t xml:space="preserve"> within that structure</w:t>
      </w:r>
      <w:r w:rsidR="00B725B0">
        <w:rPr>
          <w:rFonts w:ascii="Arial" w:eastAsia="Times New Roman" w:hAnsi="Arial" w:cs="Arial"/>
        </w:rPr>
        <w:t xml:space="preserve">, recognises the importance </w:t>
      </w:r>
      <w:r w:rsidR="00FF0097">
        <w:rPr>
          <w:rFonts w:ascii="Arial" w:eastAsia="Times New Roman" w:hAnsi="Arial" w:cs="Arial"/>
        </w:rPr>
        <w:t xml:space="preserve">and </w:t>
      </w:r>
      <w:r w:rsidR="006438CB" w:rsidRPr="00446928">
        <w:rPr>
          <w:rFonts w:ascii="Arial" w:eastAsia="Times New Roman" w:hAnsi="Arial" w:cs="Arial"/>
        </w:rPr>
        <w:t>value of peer support</w:t>
      </w:r>
      <w:r w:rsidR="00B725B0">
        <w:rPr>
          <w:rFonts w:ascii="Arial" w:eastAsia="Times New Roman" w:hAnsi="Arial" w:cs="Arial"/>
        </w:rPr>
        <w:t xml:space="preserve">, and recognises the need for more </w:t>
      </w:r>
      <w:proofErr w:type="gramStart"/>
      <w:r w:rsidR="00B725B0">
        <w:rPr>
          <w:rFonts w:ascii="Arial" w:eastAsia="Times New Roman" w:hAnsi="Arial" w:cs="Arial"/>
        </w:rPr>
        <w:t>long term</w:t>
      </w:r>
      <w:proofErr w:type="gramEnd"/>
      <w:r w:rsidR="00B725B0">
        <w:rPr>
          <w:rFonts w:ascii="Arial" w:eastAsia="Times New Roman" w:hAnsi="Arial" w:cs="Arial"/>
        </w:rPr>
        <w:t xml:space="preserve"> data</w:t>
      </w:r>
      <w:r w:rsidR="00217F74">
        <w:rPr>
          <w:rFonts w:ascii="Arial" w:eastAsia="Times New Roman" w:hAnsi="Arial" w:cs="Arial"/>
        </w:rPr>
        <w:t>.</w:t>
      </w:r>
      <w:r w:rsidR="00131BA9" w:rsidRPr="00030F1B">
        <w:rPr>
          <w:rStyle w:val="EndnoteReference"/>
          <w:rFonts w:eastAsia="Times New Roman" w:cs="Arial"/>
        </w:rPr>
        <w:endnoteReference w:id="83"/>
      </w:r>
      <w:r w:rsidR="006438CB" w:rsidRPr="00446928">
        <w:rPr>
          <w:rFonts w:ascii="Arial" w:eastAsia="Times New Roman" w:hAnsi="Arial" w:cs="Arial"/>
        </w:rPr>
        <w:t xml:space="preserve"> </w:t>
      </w:r>
    </w:p>
    <w:p w14:paraId="5E4A931F" w14:textId="07F3CB1E"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Consensus Statement has attracted significant criticism by</w:t>
      </w:r>
      <w:r w:rsidR="005D14CC">
        <w:rPr>
          <w:rFonts w:ascii="Arial" w:eastAsia="Times New Roman" w:hAnsi="Arial" w:cs="Arial"/>
        </w:rPr>
        <w:t xml:space="preserve"> some</w:t>
      </w:r>
      <w:r w:rsidRPr="00446928">
        <w:rPr>
          <w:rFonts w:ascii="Arial" w:eastAsia="Times New Roman" w:hAnsi="Arial" w:cs="Arial"/>
        </w:rPr>
        <w:t xml:space="preserve"> intersex and human rights advocates</w:t>
      </w:r>
      <w:r w:rsidR="00A60B71" w:rsidRPr="00446928">
        <w:rPr>
          <w:rFonts w:ascii="Arial" w:eastAsia="Times New Roman" w:hAnsi="Arial" w:cs="Arial"/>
        </w:rPr>
        <w:t xml:space="preserve">, particularly </w:t>
      </w:r>
      <w:proofErr w:type="gramStart"/>
      <w:r w:rsidR="00A60B71" w:rsidRPr="00446928">
        <w:rPr>
          <w:rFonts w:ascii="Arial" w:eastAsia="Times New Roman" w:hAnsi="Arial" w:cs="Arial"/>
        </w:rPr>
        <w:t>in regard to</w:t>
      </w:r>
      <w:proofErr w:type="gramEnd"/>
      <w:r w:rsidR="00A60B71" w:rsidRPr="00446928">
        <w:rPr>
          <w:rFonts w:ascii="Arial" w:eastAsia="Times New Roman" w:hAnsi="Arial" w:cs="Arial"/>
        </w:rPr>
        <w:t xml:space="preserve"> its support for interventions to </w:t>
      </w:r>
      <w:r w:rsidR="00F87239">
        <w:rPr>
          <w:rFonts w:ascii="Arial" w:eastAsia="Times New Roman" w:hAnsi="Arial" w:cs="Arial"/>
        </w:rPr>
        <w:t>‘</w:t>
      </w:r>
      <w:r w:rsidR="00A60B71" w:rsidRPr="00446928">
        <w:rPr>
          <w:rFonts w:ascii="Arial" w:eastAsia="Times New Roman" w:hAnsi="Arial" w:cs="Arial"/>
        </w:rPr>
        <w:t>minimise family concern and distress</w:t>
      </w:r>
      <w:r w:rsidR="00F87239">
        <w:rPr>
          <w:rFonts w:ascii="Arial" w:eastAsia="Times New Roman" w:hAnsi="Arial" w:cs="Arial"/>
        </w:rPr>
        <w:t>’</w:t>
      </w:r>
      <w:r w:rsidR="00A60B71" w:rsidRPr="00446928">
        <w:rPr>
          <w:rFonts w:ascii="Arial" w:eastAsia="Times New Roman" w:hAnsi="Arial" w:cs="Arial"/>
        </w:rPr>
        <w:t xml:space="preserve">, facilitate parental bonding and mitigate </w:t>
      </w:r>
      <w:r w:rsidR="00F87239">
        <w:rPr>
          <w:rFonts w:ascii="Arial" w:eastAsia="Times New Roman" w:hAnsi="Arial" w:cs="Arial"/>
        </w:rPr>
        <w:t>‘</w:t>
      </w:r>
      <w:r w:rsidR="00A60B71" w:rsidRPr="00446928">
        <w:rPr>
          <w:rFonts w:ascii="Arial" w:eastAsia="Times New Roman" w:hAnsi="Arial" w:cs="Arial"/>
        </w:rPr>
        <w:t>the risk</w:t>
      </w:r>
      <w:r w:rsidR="00B102EF">
        <w:rPr>
          <w:rFonts w:ascii="Arial" w:eastAsia="Times New Roman" w:hAnsi="Arial" w:cs="Arial"/>
        </w:rPr>
        <w:t>s</w:t>
      </w:r>
      <w:r w:rsidR="00A60B71" w:rsidRPr="00446928">
        <w:rPr>
          <w:rFonts w:ascii="Arial" w:eastAsia="Times New Roman" w:hAnsi="Arial" w:cs="Arial"/>
        </w:rPr>
        <w:t xml:space="preserve"> of stigmati</w:t>
      </w:r>
      <w:r w:rsidR="00B102EF">
        <w:rPr>
          <w:rFonts w:ascii="Arial" w:eastAsia="Times New Roman" w:hAnsi="Arial" w:cs="Arial"/>
        </w:rPr>
        <w:t>z</w:t>
      </w:r>
      <w:r w:rsidR="00A60B71" w:rsidRPr="00446928">
        <w:rPr>
          <w:rFonts w:ascii="Arial" w:eastAsia="Times New Roman" w:hAnsi="Arial" w:cs="Arial"/>
        </w:rPr>
        <w:t>ation</w:t>
      </w:r>
      <w:r w:rsidR="00F87239">
        <w:rPr>
          <w:rFonts w:ascii="Arial" w:eastAsia="Times New Roman" w:hAnsi="Arial" w:cs="Arial"/>
        </w:rPr>
        <w:t>’</w:t>
      </w:r>
      <w:r w:rsidR="00A60B71" w:rsidRPr="00446928">
        <w:rPr>
          <w:rFonts w:ascii="Arial" w:eastAsia="Times New Roman" w:hAnsi="Arial" w:cs="Arial"/>
        </w:rPr>
        <w:t>.</w:t>
      </w:r>
      <w:r w:rsidR="00131BA9" w:rsidRPr="00030F1B">
        <w:rPr>
          <w:rStyle w:val="EndnoteReference"/>
          <w:rFonts w:eastAsia="Times New Roman" w:cs="Arial"/>
        </w:rPr>
        <w:endnoteReference w:id="84"/>
      </w:r>
    </w:p>
    <w:p w14:paraId="6DFAF708" w14:textId="2ED2507C" w:rsidR="001E7638" w:rsidRPr="008358EE" w:rsidRDefault="001E7638" w:rsidP="008358EE">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A follow-up statement </w:t>
      </w:r>
      <w:proofErr w:type="gramStart"/>
      <w:r w:rsidRPr="00446928">
        <w:rPr>
          <w:rFonts w:ascii="Arial" w:eastAsia="Times New Roman" w:hAnsi="Arial" w:cs="Arial"/>
        </w:rPr>
        <w:t>was issued</w:t>
      </w:r>
      <w:proofErr w:type="gramEnd"/>
      <w:r w:rsidRPr="00446928">
        <w:rPr>
          <w:rFonts w:ascii="Arial" w:eastAsia="Times New Roman" w:hAnsi="Arial" w:cs="Arial"/>
        </w:rPr>
        <w:t xml:space="preserve"> in 2016</w:t>
      </w:r>
      <w:r w:rsidR="006679EC">
        <w:rPr>
          <w:rFonts w:ascii="Arial" w:eastAsia="Times New Roman" w:hAnsi="Arial" w:cs="Arial"/>
        </w:rPr>
        <w:t xml:space="preserve"> to address changes to clinical approaches. It recognises</w:t>
      </w:r>
      <w:r w:rsidR="00AC6251">
        <w:rPr>
          <w:rFonts w:ascii="Arial" w:eastAsia="Times New Roman" w:hAnsi="Arial" w:cs="Arial"/>
        </w:rPr>
        <w:t xml:space="preserve"> advances in medical and surgical approaches,</w:t>
      </w:r>
      <w:r w:rsidR="006679EC">
        <w:rPr>
          <w:rFonts w:ascii="Arial" w:eastAsia="Times New Roman" w:hAnsi="Arial" w:cs="Arial"/>
        </w:rPr>
        <w:t xml:space="preserve"> differences in opinion regarding</w:t>
      </w:r>
      <w:r w:rsidR="00AC6251">
        <w:rPr>
          <w:rFonts w:ascii="Arial" w:eastAsia="Times New Roman" w:hAnsi="Arial" w:cs="Arial"/>
        </w:rPr>
        <w:t xml:space="preserve"> terminology and</w:t>
      </w:r>
      <w:r w:rsidR="006679EC">
        <w:rPr>
          <w:rFonts w:ascii="Arial" w:eastAsia="Times New Roman" w:hAnsi="Arial" w:cs="Arial"/>
        </w:rPr>
        <w:t xml:space="preserve"> </w:t>
      </w:r>
      <w:r w:rsidR="00EA4610">
        <w:rPr>
          <w:rFonts w:ascii="Arial" w:eastAsia="Times New Roman" w:hAnsi="Arial" w:cs="Arial"/>
        </w:rPr>
        <w:t xml:space="preserve">the importance of peer support </w:t>
      </w:r>
      <w:r w:rsidR="00AC6251">
        <w:rPr>
          <w:rFonts w:ascii="Arial" w:eastAsia="Times New Roman" w:hAnsi="Arial" w:cs="Arial"/>
        </w:rPr>
        <w:t>groups</w:t>
      </w:r>
      <w:r w:rsidR="008358EE">
        <w:rPr>
          <w:rFonts w:ascii="Arial" w:eastAsia="Times New Roman" w:hAnsi="Arial" w:cs="Arial"/>
        </w:rPr>
        <w:t xml:space="preserve">. It </w:t>
      </w:r>
      <w:r w:rsidR="00AC6251">
        <w:rPr>
          <w:rFonts w:ascii="Arial" w:eastAsia="Times New Roman" w:hAnsi="Arial" w:cs="Arial"/>
        </w:rPr>
        <w:t>also acknowledges</w:t>
      </w:r>
      <w:r w:rsidR="008358EE">
        <w:rPr>
          <w:rFonts w:ascii="Arial" w:eastAsia="Times New Roman" w:hAnsi="Arial" w:cs="Arial"/>
        </w:rPr>
        <w:t xml:space="preserve"> the ethical, legal and cultural issues that arise </w:t>
      </w:r>
      <w:r w:rsidR="00AC6251">
        <w:rPr>
          <w:rFonts w:ascii="Arial" w:eastAsia="Times New Roman" w:hAnsi="Arial" w:cs="Arial"/>
        </w:rPr>
        <w:t xml:space="preserve">in the management of DSDs </w:t>
      </w:r>
      <w:r w:rsidR="008358EE">
        <w:rPr>
          <w:rFonts w:ascii="Arial" w:eastAsia="Times New Roman" w:hAnsi="Arial" w:cs="Arial"/>
        </w:rPr>
        <w:t xml:space="preserve">and </w:t>
      </w:r>
      <w:r w:rsidRPr="008358EE">
        <w:rPr>
          <w:rFonts w:ascii="Arial" w:eastAsia="Times New Roman" w:hAnsi="Arial" w:cs="Arial"/>
        </w:rPr>
        <w:t xml:space="preserve">the challenges in </w:t>
      </w:r>
      <w:r w:rsidR="00F87239">
        <w:rPr>
          <w:rFonts w:ascii="Arial" w:eastAsia="Times New Roman" w:hAnsi="Arial" w:cs="Arial"/>
        </w:rPr>
        <w:t>‘</w:t>
      </w:r>
      <w:r w:rsidRPr="008358EE">
        <w:rPr>
          <w:rFonts w:ascii="Arial" w:eastAsia="Times New Roman" w:hAnsi="Arial" w:cs="Arial"/>
        </w:rPr>
        <w:t>striking the appropriate balance</w:t>
      </w:r>
      <w:r w:rsidR="00F87239">
        <w:rPr>
          <w:rFonts w:ascii="Arial" w:eastAsia="Times New Roman" w:hAnsi="Arial" w:cs="Arial"/>
        </w:rPr>
        <w:t>’</w:t>
      </w:r>
      <w:r w:rsidRPr="008358EE">
        <w:rPr>
          <w:rFonts w:ascii="Arial" w:eastAsia="Times New Roman" w:hAnsi="Arial" w:cs="Arial"/>
        </w:rPr>
        <w:t xml:space="preserve"> among competing</w:t>
      </w:r>
      <w:r w:rsidR="00B102EF" w:rsidRPr="008358EE">
        <w:rPr>
          <w:rFonts w:ascii="Arial" w:eastAsia="Times New Roman" w:hAnsi="Arial" w:cs="Arial"/>
        </w:rPr>
        <w:t xml:space="preserve"> </w:t>
      </w:r>
      <w:r w:rsidRPr="008358EE">
        <w:rPr>
          <w:rFonts w:ascii="Arial" w:eastAsia="Times New Roman" w:hAnsi="Arial" w:cs="Arial"/>
        </w:rPr>
        <w:t>rationales</w:t>
      </w:r>
      <w:r w:rsidR="008358EE">
        <w:rPr>
          <w:rFonts w:ascii="Arial" w:eastAsia="Times New Roman" w:hAnsi="Arial" w:cs="Arial"/>
        </w:rPr>
        <w:t xml:space="preserve"> to undertake medical intervention</w:t>
      </w:r>
      <w:r w:rsidRPr="008358EE">
        <w:rPr>
          <w:rFonts w:ascii="Arial" w:eastAsia="Times New Roman" w:hAnsi="Arial" w:cs="Arial"/>
        </w:rPr>
        <w:t>.</w:t>
      </w:r>
      <w:r w:rsidR="00131BA9" w:rsidRPr="00030F1B">
        <w:rPr>
          <w:rFonts w:ascii="Arial" w:hAnsi="Arial" w:cs="Arial"/>
          <w:sz w:val="20"/>
          <w:vertAlign w:val="superscript"/>
        </w:rPr>
        <w:endnoteReference w:id="85"/>
      </w:r>
    </w:p>
    <w:p w14:paraId="4FE3E7E4" w14:textId="4A8CAACB" w:rsidR="001E7638" w:rsidRPr="00446928" w:rsidRDefault="001E7638" w:rsidP="001E7638">
      <w:pPr>
        <w:keepNext/>
        <w:keepLines/>
        <w:numPr>
          <w:ilvl w:val="2"/>
          <w:numId w:val="1"/>
        </w:numPr>
        <w:spacing w:before="360" w:after="240" w:line="240" w:lineRule="auto"/>
        <w:outlineLvl w:val="2"/>
        <w:rPr>
          <w:rFonts w:ascii="Arial" w:eastAsia="Times New Roman" w:hAnsi="Arial" w:cs="Arial"/>
        </w:rPr>
      </w:pPr>
      <w:bookmarkStart w:id="43" w:name="_Toc507585867"/>
      <w:bookmarkStart w:id="44" w:name="_Toc518984797"/>
      <w:r w:rsidRPr="00446928">
        <w:rPr>
          <w:rFonts w:ascii="Arial" w:eastAsia="Times New Roman" w:hAnsi="Arial" w:cs="Arial"/>
          <w:i/>
        </w:rPr>
        <w:t>A growing intersex movement</w:t>
      </w:r>
      <w:bookmarkEnd w:id="43"/>
      <w:bookmarkEnd w:id="44"/>
      <w:r w:rsidRPr="00446928">
        <w:rPr>
          <w:rFonts w:ascii="Arial" w:eastAsia="Times New Roman" w:hAnsi="Arial" w:cs="Arial"/>
          <w:i/>
        </w:rPr>
        <w:t xml:space="preserve"> </w:t>
      </w:r>
    </w:p>
    <w:p w14:paraId="7543E493" w14:textId="7777777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Intersex people have increasingly connected and come together to call for the protection of their human rights. </w:t>
      </w:r>
    </w:p>
    <w:p w14:paraId="48A4D7EF" w14:textId="5C67B09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Third International Intersex Forum produced the Malta Declaration in December 2013.</w:t>
      </w:r>
      <w:r w:rsidR="00E5374C" w:rsidRPr="00030F1B">
        <w:rPr>
          <w:rStyle w:val="EndnoteReference"/>
          <w:rFonts w:eastAsia="Times New Roman" w:cs="Arial"/>
        </w:rPr>
        <w:endnoteReference w:id="86"/>
      </w:r>
      <w:r w:rsidRPr="00446928">
        <w:rPr>
          <w:rFonts w:ascii="Arial" w:eastAsia="Times New Roman" w:hAnsi="Arial" w:cs="Arial"/>
        </w:rPr>
        <w:t xml:space="preserve"> This was a seminal statement outlining demands and a call for action from governments, human rights institutions and organisations, media and funders. The authors were intersex advocates representing 30 intersex organisations</w:t>
      </w:r>
      <w:r w:rsidR="00A051D1" w:rsidRPr="00446928">
        <w:rPr>
          <w:rFonts w:ascii="Arial" w:eastAsia="Times New Roman" w:hAnsi="Arial" w:cs="Arial"/>
        </w:rPr>
        <w:t xml:space="preserve"> from</w:t>
      </w:r>
      <w:r w:rsidRPr="00446928">
        <w:rPr>
          <w:rFonts w:ascii="Arial" w:eastAsia="Times New Roman" w:hAnsi="Arial" w:cs="Arial"/>
        </w:rPr>
        <w:t xml:space="preserve"> across the world.</w:t>
      </w:r>
    </w:p>
    <w:p w14:paraId="76FCC177" w14:textId="20962427"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2017</w:t>
      </w:r>
      <w:r w:rsidR="004464E4" w:rsidRPr="00446928">
        <w:rPr>
          <w:rFonts w:ascii="Arial" w:eastAsia="Times New Roman" w:hAnsi="Arial" w:cs="Arial"/>
        </w:rPr>
        <w:t>,</w:t>
      </w:r>
      <w:r w:rsidRPr="00446928">
        <w:rPr>
          <w:rFonts w:ascii="Arial" w:eastAsia="Times New Roman" w:hAnsi="Arial" w:cs="Arial"/>
        </w:rPr>
        <w:t xml:space="preserve"> three regional statements </w:t>
      </w:r>
      <w:proofErr w:type="gramStart"/>
      <w:r w:rsidRPr="00446928">
        <w:rPr>
          <w:rFonts w:ascii="Arial" w:eastAsia="Times New Roman" w:hAnsi="Arial" w:cs="Arial"/>
        </w:rPr>
        <w:t>were published</w:t>
      </w:r>
      <w:proofErr w:type="gramEnd"/>
      <w:r w:rsidRPr="00446928">
        <w:rPr>
          <w:rFonts w:ascii="Arial" w:eastAsia="Times New Roman" w:hAnsi="Arial" w:cs="Arial"/>
        </w:rPr>
        <w:t>. In March, intersex advocates from Australia and Aotearoa / New Zealand published the Darlington Statement</w:t>
      </w:r>
      <w:r w:rsidR="00562F6C" w:rsidRPr="00446928">
        <w:rPr>
          <w:rFonts w:ascii="Arial" w:eastAsia="Times New Roman" w:hAnsi="Arial" w:cs="Arial"/>
        </w:rPr>
        <w:t>;</w:t>
      </w:r>
      <w:r w:rsidR="00E5374C">
        <w:rPr>
          <w:rStyle w:val="EndnoteReference"/>
          <w:rFonts w:eastAsia="Times New Roman" w:cs="Arial"/>
        </w:rPr>
        <w:endnoteReference w:id="87"/>
      </w:r>
      <w:r w:rsidRPr="00446928">
        <w:rPr>
          <w:rFonts w:ascii="Arial" w:eastAsia="Times New Roman" w:hAnsi="Arial" w:cs="Arial"/>
        </w:rPr>
        <w:t xml:space="preserve"> in April</w:t>
      </w:r>
      <w:r w:rsidR="00562F6C" w:rsidRPr="00446928">
        <w:rPr>
          <w:rFonts w:ascii="Arial" w:eastAsia="Times New Roman" w:hAnsi="Arial" w:cs="Arial"/>
        </w:rPr>
        <w:t>,</w:t>
      </w:r>
      <w:r w:rsidRPr="00446928">
        <w:rPr>
          <w:rFonts w:ascii="Arial" w:eastAsia="Times New Roman" w:hAnsi="Arial" w:cs="Arial"/>
        </w:rPr>
        <w:t xml:space="preserve"> intersex people from 16 Council of Europe member states published the Vienna Statement</w:t>
      </w:r>
      <w:r w:rsidR="00562F6C" w:rsidRPr="00446928">
        <w:rPr>
          <w:rFonts w:ascii="Arial" w:eastAsia="Times New Roman" w:hAnsi="Arial" w:cs="Arial"/>
        </w:rPr>
        <w:t>;</w:t>
      </w:r>
      <w:r w:rsidR="00E5374C">
        <w:rPr>
          <w:rStyle w:val="EndnoteReference"/>
          <w:rFonts w:eastAsia="Times New Roman" w:cs="Arial"/>
        </w:rPr>
        <w:endnoteReference w:id="88"/>
      </w:r>
      <w:r w:rsidRPr="00446928">
        <w:rPr>
          <w:rFonts w:ascii="Arial" w:eastAsia="Times New Roman" w:hAnsi="Arial" w:cs="Arial"/>
        </w:rPr>
        <w:t xml:space="preserve"> and in November</w:t>
      </w:r>
      <w:r w:rsidR="00562F6C" w:rsidRPr="00446928">
        <w:rPr>
          <w:rFonts w:ascii="Arial" w:eastAsia="Times New Roman" w:hAnsi="Arial" w:cs="Arial"/>
        </w:rPr>
        <w:t>,</w:t>
      </w:r>
      <w:r w:rsidRPr="00446928">
        <w:rPr>
          <w:rFonts w:ascii="Arial" w:eastAsia="Times New Roman" w:hAnsi="Arial" w:cs="Arial"/>
        </w:rPr>
        <w:t xml:space="preserve"> intersex people from </w:t>
      </w:r>
      <w:r w:rsidR="00562F6C" w:rsidRPr="00446928">
        <w:rPr>
          <w:rFonts w:ascii="Arial" w:eastAsia="Times New Roman" w:hAnsi="Arial" w:cs="Arial"/>
        </w:rPr>
        <w:t>seven</w:t>
      </w:r>
      <w:r w:rsidRPr="00446928">
        <w:rPr>
          <w:rFonts w:ascii="Arial" w:eastAsia="Times New Roman" w:hAnsi="Arial" w:cs="Arial"/>
        </w:rPr>
        <w:t xml:space="preserve"> African countries published the Public Statement by the African Intersex Movement.</w:t>
      </w:r>
      <w:r w:rsidR="00E5374C" w:rsidRPr="00030F1B">
        <w:rPr>
          <w:rFonts w:ascii="Arial" w:eastAsia="Times New Roman" w:hAnsi="Arial" w:cs="Arial"/>
          <w:sz w:val="20"/>
          <w:vertAlign w:val="superscript"/>
        </w:rPr>
        <w:endnoteReference w:id="89"/>
      </w:r>
      <w:r w:rsidR="003D159A">
        <w:rPr>
          <w:rFonts w:ascii="Arial" w:eastAsia="Times New Roman" w:hAnsi="Arial" w:cs="Arial"/>
        </w:rPr>
        <w:t xml:space="preserve"> In early 2018, </w:t>
      </w:r>
      <w:r w:rsidR="00A35790">
        <w:rPr>
          <w:rFonts w:ascii="Arial" w:eastAsia="Times New Roman" w:hAnsi="Arial" w:cs="Arial"/>
        </w:rPr>
        <w:t>the Asian Intersex Movement</w:t>
      </w:r>
      <w:r w:rsidR="003D159A">
        <w:rPr>
          <w:rFonts w:ascii="Arial" w:eastAsia="Times New Roman" w:hAnsi="Arial" w:cs="Arial"/>
        </w:rPr>
        <w:t xml:space="preserve"> also published a </w:t>
      </w:r>
      <w:r w:rsidR="00A35790">
        <w:rPr>
          <w:rFonts w:ascii="Arial" w:eastAsia="Times New Roman" w:hAnsi="Arial" w:cs="Arial"/>
        </w:rPr>
        <w:t>Public</w:t>
      </w:r>
      <w:r w:rsidR="003D159A">
        <w:rPr>
          <w:rFonts w:ascii="Arial" w:eastAsia="Times New Roman" w:hAnsi="Arial" w:cs="Arial"/>
        </w:rPr>
        <w:t xml:space="preserve"> </w:t>
      </w:r>
      <w:r w:rsidR="00A35790">
        <w:rPr>
          <w:rFonts w:ascii="Arial" w:eastAsia="Times New Roman" w:hAnsi="Arial" w:cs="Arial"/>
        </w:rPr>
        <w:t>S</w:t>
      </w:r>
      <w:r w:rsidR="003D159A">
        <w:rPr>
          <w:rFonts w:ascii="Arial" w:eastAsia="Times New Roman" w:hAnsi="Arial" w:cs="Arial"/>
        </w:rPr>
        <w:t>tatement</w:t>
      </w:r>
      <w:r w:rsidR="000B6BF4">
        <w:rPr>
          <w:rFonts w:ascii="Arial" w:eastAsia="Times New Roman" w:hAnsi="Arial" w:cs="Arial"/>
        </w:rPr>
        <w:t>.</w:t>
      </w:r>
      <w:r w:rsidR="00A35790">
        <w:rPr>
          <w:rStyle w:val="EndnoteReference"/>
          <w:rFonts w:eastAsia="Times New Roman" w:cs="Arial"/>
        </w:rPr>
        <w:endnoteReference w:id="90"/>
      </w:r>
      <w:r w:rsidR="003D159A">
        <w:rPr>
          <w:rFonts w:ascii="Arial" w:eastAsia="Times New Roman" w:hAnsi="Arial" w:cs="Arial"/>
        </w:rPr>
        <w:t xml:space="preserve"> </w:t>
      </w:r>
    </w:p>
    <w:p w14:paraId="5996E3AC" w14:textId="07CBDD12" w:rsidR="001E7638" w:rsidRPr="00446928" w:rsidRDefault="001E7638" w:rsidP="001E7638">
      <w:pPr>
        <w:keepNext/>
        <w:keepLines/>
        <w:numPr>
          <w:ilvl w:val="0"/>
          <w:numId w:val="1"/>
        </w:numPr>
        <w:spacing w:before="360" w:after="240" w:line="240" w:lineRule="auto"/>
        <w:outlineLvl w:val="0"/>
        <w:rPr>
          <w:rFonts w:ascii="Arial" w:hAnsi="Arial" w:cs="Arial"/>
          <w:b/>
          <w:bCs/>
          <w:sz w:val="28"/>
          <w:szCs w:val="28"/>
        </w:rPr>
      </w:pPr>
      <w:bookmarkStart w:id="45" w:name="_Toc507585868"/>
      <w:bookmarkStart w:id="46" w:name="_Toc518984798"/>
      <w:r w:rsidRPr="00446928">
        <w:rPr>
          <w:rFonts w:ascii="Arial" w:hAnsi="Arial" w:cs="Arial"/>
          <w:b/>
          <w:bCs/>
          <w:sz w:val="28"/>
          <w:szCs w:val="28"/>
        </w:rPr>
        <w:t>Consultation</w:t>
      </w:r>
      <w:bookmarkEnd w:id="45"/>
      <w:bookmarkEnd w:id="46"/>
    </w:p>
    <w:p w14:paraId="0CA917A0"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47" w:name="_Toc507585869"/>
      <w:bookmarkStart w:id="48" w:name="_Toc518984799"/>
      <w:r w:rsidRPr="00446928">
        <w:rPr>
          <w:rFonts w:ascii="Arial" w:hAnsi="Arial" w:cs="Arial"/>
          <w:b/>
          <w:i/>
          <w:color w:val="000000"/>
        </w:rPr>
        <w:t>What does the Commission want to know?</w:t>
      </w:r>
      <w:bookmarkEnd w:id="47"/>
      <w:bookmarkEnd w:id="48"/>
    </w:p>
    <w:p w14:paraId="4DFC1C4E" w14:textId="14607E93" w:rsidR="001E7638" w:rsidRPr="00446928" w:rsidRDefault="001E7638" w:rsidP="00A215D5">
      <w:pPr>
        <w:keepNext/>
        <w:numPr>
          <w:ilvl w:val="0"/>
          <w:numId w:val="15"/>
        </w:numPr>
        <w:spacing w:before="240" w:after="240" w:line="240" w:lineRule="auto"/>
        <w:ind w:left="363" w:hanging="720"/>
        <w:rPr>
          <w:rFonts w:ascii="Arial" w:eastAsia="Times New Roman" w:hAnsi="Arial" w:cs="Arial"/>
          <w:lang w:val="en-US"/>
        </w:rPr>
      </w:pPr>
      <w:bookmarkStart w:id="49" w:name="_Ref487027018"/>
      <w:r w:rsidRPr="00446928">
        <w:rPr>
          <w:rFonts w:ascii="Arial" w:eastAsia="Times New Roman" w:hAnsi="Arial" w:cs="Arial"/>
          <w:lang w:val="en-US"/>
        </w:rPr>
        <w:t xml:space="preserve">The Commission is broadly interested in two key </w:t>
      </w:r>
      <w:r w:rsidR="009C47EB">
        <w:rPr>
          <w:rFonts w:ascii="Arial" w:eastAsia="Times New Roman" w:hAnsi="Arial" w:cs="Arial"/>
          <w:lang w:val="en-US"/>
        </w:rPr>
        <w:t>thematic areas</w:t>
      </w:r>
      <w:r w:rsidRPr="00446928">
        <w:rPr>
          <w:rFonts w:ascii="Arial" w:eastAsia="Times New Roman" w:hAnsi="Arial" w:cs="Arial"/>
          <w:lang w:val="en-US"/>
        </w:rPr>
        <w:t>:</w:t>
      </w:r>
      <w:bookmarkEnd w:id="49"/>
    </w:p>
    <w:p w14:paraId="5BD6CB9A" w14:textId="6A21C3CD" w:rsidR="001E7638" w:rsidRPr="00446928" w:rsidRDefault="009C47EB" w:rsidP="001E7638">
      <w:pPr>
        <w:numPr>
          <w:ilvl w:val="0"/>
          <w:numId w:val="17"/>
        </w:numPr>
        <w:spacing w:before="240" w:after="240" w:line="240" w:lineRule="auto"/>
        <w:ind w:left="1080"/>
        <w:contextualSpacing/>
        <w:rPr>
          <w:rFonts w:ascii="Arial" w:eastAsia="Times New Roman" w:hAnsi="Arial" w:cs="Arial"/>
          <w:lang w:val="en-US"/>
        </w:rPr>
      </w:pPr>
      <w:r>
        <w:rPr>
          <w:rFonts w:ascii="Arial" w:eastAsia="Times New Roman" w:hAnsi="Arial" w:cs="Arial"/>
          <w:lang w:val="en-US"/>
        </w:rPr>
        <w:t>T</w:t>
      </w:r>
      <w:r w:rsidR="001E7638" w:rsidRPr="00446928">
        <w:rPr>
          <w:rFonts w:ascii="Arial" w:eastAsia="Times New Roman" w:hAnsi="Arial" w:cs="Arial"/>
          <w:lang w:val="en-US"/>
        </w:rPr>
        <w:t xml:space="preserve">he existing approaches to and experiences of medical interventions involving </w:t>
      </w:r>
      <w:r w:rsidR="00241C46">
        <w:rPr>
          <w:rFonts w:ascii="Arial" w:eastAsia="Times New Roman" w:hAnsi="Arial" w:cs="Arial"/>
          <w:lang w:val="en-US"/>
        </w:rPr>
        <w:t>people born with</w:t>
      </w:r>
      <w:r w:rsidR="001E7638" w:rsidRPr="00446928">
        <w:rPr>
          <w:rFonts w:ascii="Arial" w:eastAsia="Times New Roman" w:hAnsi="Arial" w:cs="Arial"/>
        </w:rPr>
        <w:t xml:space="preserve"> variations in sex characteristics </w:t>
      </w:r>
      <w:r w:rsidR="001E7638" w:rsidRPr="00446928">
        <w:rPr>
          <w:rFonts w:ascii="Arial" w:eastAsia="Times New Roman" w:hAnsi="Arial" w:cs="Arial"/>
          <w:lang w:val="en-US"/>
        </w:rPr>
        <w:t>in Australia and overseas</w:t>
      </w:r>
      <w:r w:rsidR="00BD50C5">
        <w:rPr>
          <w:rFonts w:ascii="Arial" w:eastAsia="Times New Roman" w:hAnsi="Arial" w:cs="Arial"/>
          <w:lang w:val="en-US"/>
        </w:rPr>
        <w:t>.</w:t>
      </w:r>
    </w:p>
    <w:p w14:paraId="5A4DC908" w14:textId="77777777" w:rsidR="001E7638" w:rsidRPr="00446928" w:rsidRDefault="001E7638" w:rsidP="001E7638">
      <w:pPr>
        <w:ind w:left="1080"/>
        <w:contextualSpacing/>
        <w:rPr>
          <w:rFonts w:ascii="Arial" w:eastAsia="Times New Roman" w:hAnsi="Arial" w:cs="Arial"/>
          <w:lang w:val="en-US"/>
        </w:rPr>
      </w:pPr>
    </w:p>
    <w:p w14:paraId="75261BEF" w14:textId="2C617B4C" w:rsidR="001E7638" w:rsidRPr="00446928" w:rsidRDefault="003D4AEF" w:rsidP="001E7638">
      <w:pPr>
        <w:numPr>
          <w:ilvl w:val="0"/>
          <w:numId w:val="17"/>
        </w:numPr>
        <w:spacing w:before="240" w:after="240" w:line="240" w:lineRule="auto"/>
        <w:ind w:left="1080"/>
        <w:contextualSpacing/>
        <w:rPr>
          <w:rFonts w:ascii="Arial" w:eastAsia="Times New Roman" w:hAnsi="Arial" w:cs="Arial"/>
          <w:lang w:val="en-US"/>
        </w:rPr>
      </w:pPr>
      <w:r>
        <w:rPr>
          <w:rFonts w:ascii="Arial" w:eastAsia="Times New Roman" w:hAnsi="Arial" w:cs="Arial"/>
          <w:lang w:val="en-US"/>
        </w:rPr>
        <w:t>The i</w:t>
      </w:r>
      <w:r w:rsidR="009C47EB">
        <w:rPr>
          <w:rFonts w:ascii="Arial" w:eastAsia="Times New Roman" w:hAnsi="Arial" w:cs="Arial"/>
          <w:lang w:val="en-US"/>
        </w:rPr>
        <w:t xml:space="preserve">dentification of </w:t>
      </w:r>
      <w:r w:rsidR="001E7638" w:rsidRPr="00446928">
        <w:rPr>
          <w:rFonts w:ascii="Arial" w:eastAsia="Times New Roman" w:hAnsi="Arial" w:cs="Arial"/>
          <w:lang w:val="en-US"/>
        </w:rPr>
        <w:t xml:space="preserve">changes to existing approaches to medical interventions to better respect and protect the human rights of </w:t>
      </w:r>
      <w:r w:rsidR="00241C46">
        <w:rPr>
          <w:rFonts w:ascii="Arial" w:eastAsia="Times New Roman" w:hAnsi="Arial" w:cs="Arial"/>
          <w:lang w:val="en-US"/>
        </w:rPr>
        <w:t>people born with</w:t>
      </w:r>
      <w:r w:rsidR="00BD50C5">
        <w:rPr>
          <w:rFonts w:ascii="Arial" w:eastAsia="Times New Roman" w:hAnsi="Arial" w:cs="Arial"/>
          <w:lang w:val="en-US"/>
        </w:rPr>
        <w:t xml:space="preserve"> variations in sex characteristics.</w:t>
      </w:r>
    </w:p>
    <w:p w14:paraId="520A8C78" w14:textId="77777777" w:rsidR="001E7638" w:rsidRPr="00446928" w:rsidRDefault="001E7638" w:rsidP="001E7638">
      <w:pPr>
        <w:contextualSpacing/>
        <w:rPr>
          <w:rFonts w:ascii="Arial" w:eastAsia="Times New Roman" w:hAnsi="Arial" w:cs="Arial"/>
          <w:lang w:val="en-US"/>
        </w:rPr>
      </w:pPr>
    </w:p>
    <w:p w14:paraId="79BBC01E" w14:textId="3CD97134" w:rsidR="001E763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lang w:val="en-US"/>
        </w:rPr>
        <w:lastRenderedPageBreak/>
        <w:t>Past</w:t>
      </w:r>
      <w:r w:rsidRPr="00446928">
        <w:rPr>
          <w:rFonts w:ascii="Arial" w:eastAsia="Times New Roman" w:hAnsi="Arial" w:cs="Arial"/>
        </w:rPr>
        <w:t xml:space="preserve"> Australian projects have focused on surgical interventions involving infants or medical interventions resulting in sterilisation. In this project</w:t>
      </w:r>
      <w:r w:rsidR="006E215A" w:rsidRPr="00446928">
        <w:rPr>
          <w:rFonts w:ascii="Arial" w:eastAsia="Times New Roman" w:hAnsi="Arial" w:cs="Arial"/>
        </w:rPr>
        <w:t>,</w:t>
      </w:r>
      <w:r w:rsidRPr="00446928">
        <w:rPr>
          <w:rFonts w:ascii="Arial" w:eastAsia="Times New Roman" w:hAnsi="Arial" w:cs="Arial"/>
        </w:rPr>
        <w:t xml:space="preserve"> the Commission is interested in approaches to and experiences of surgical and non-surgical interventions involving children and adults </w:t>
      </w:r>
      <w:r w:rsidR="0048516D">
        <w:rPr>
          <w:rFonts w:ascii="Arial" w:eastAsia="Times New Roman" w:hAnsi="Arial" w:cs="Arial"/>
        </w:rPr>
        <w:t>born with</w:t>
      </w:r>
      <w:r w:rsidRPr="00446928">
        <w:rPr>
          <w:rFonts w:ascii="Arial" w:eastAsia="Times New Roman" w:hAnsi="Arial" w:cs="Arial"/>
        </w:rPr>
        <w:t xml:space="preserve"> variations in sex characteristics. This includes hormone treatment and surgical interventions that do not result in sterilisation. </w:t>
      </w:r>
    </w:p>
    <w:p w14:paraId="2132B321" w14:textId="58639908" w:rsidR="001E4990" w:rsidRDefault="001E4990"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The Commission acknowledges that clinical practices have changed over </w:t>
      </w:r>
      <w:r w:rsidR="003A5876">
        <w:rPr>
          <w:rFonts w:ascii="Arial" w:eastAsia="Times New Roman" w:hAnsi="Arial" w:cs="Arial"/>
        </w:rPr>
        <w:t xml:space="preserve">time in response to research outcomes, </w:t>
      </w:r>
      <w:r w:rsidR="00D951FE">
        <w:rPr>
          <w:rFonts w:ascii="Arial" w:eastAsia="Times New Roman" w:hAnsi="Arial" w:cs="Arial"/>
        </w:rPr>
        <w:t xml:space="preserve">feedback from </w:t>
      </w:r>
      <w:r w:rsidR="003A5876">
        <w:rPr>
          <w:rFonts w:ascii="Arial" w:eastAsia="Times New Roman" w:hAnsi="Arial" w:cs="Arial"/>
        </w:rPr>
        <w:t>individuals born with variations in sex characteristics and advocacy groups. The</w:t>
      </w:r>
      <w:r w:rsidR="00CE3C10">
        <w:rPr>
          <w:rFonts w:ascii="Arial" w:eastAsia="Times New Roman" w:hAnsi="Arial" w:cs="Arial"/>
        </w:rPr>
        <w:t xml:space="preserve"> Commission is seeking to determine the</w:t>
      </w:r>
      <w:r w:rsidR="003A5876">
        <w:rPr>
          <w:rFonts w:ascii="Arial" w:eastAsia="Times New Roman" w:hAnsi="Arial" w:cs="Arial"/>
        </w:rPr>
        <w:t xml:space="preserve"> current state of </w:t>
      </w:r>
      <w:proofErr w:type="gramStart"/>
      <w:r w:rsidR="003A5876">
        <w:rPr>
          <w:rFonts w:ascii="Arial" w:eastAsia="Times New Roman" w:hAnsi="Arial" w:cs="Arial"/>
        </w:rPr>
        <w:t>practice and how this affects individuals</w:t>
      </w:r>
      <w:r w:rsidR="00F87239">
        <w:rPr>
          <w:rFonts w:ascii="Arial" w:eastAsia="Times New Roman" w:hAnsi="Arial" w:cs="Arial"/>
        </w:rPr>
        <w:t>’</w:t>
      </w:r>
      <w:r w:rsidR="003A5876">
        <w:rPr>
          <w:rFonts w:ascii="Arial" w:eastAsia="Times New Roman" w:hAnsi="Arial" w:cs="Arial"/>
        </w:rPr>
        <w:t xml:space="preserve"> human rights</w:t>
      </w:r>
      <w:proofErr w:type="gramEnd"/>
      <w:r w:rsidR="003A5876">
        <w:rPr>
          <w:rFonts w:ascii="Arial" w:eastAsia="Times New Roman" w:hAnsi="Arial" w:cs="Arial"/>
        </w:rPr>
        <w:t xml:space="preserve">. </w:t>
      </w:r>
      <w:r w:rsidR="00450D8A">
        <w:rPr>
          <w:rFonts w:ascii="Arial" w:eastAsia="Times New Roman" w:hAnsi="Arial" w:cs="Arial"/>
        </w:rPr>
        <w:t>Given its focus on</w:t>
      </w:r>
      <w:r w:rsidR="003A5876">
        <w:rPr>
          <w:rFonts w:ascii="Arial" w:eastAsia="Times New Roman" w:hAnsi="Arial" w:cs="Arial"/>
        </w:rPr>
        <w:t xml:space="preserve"> protecting the human rights of </w:t>
      </w:r>
      <w:proofErr w:type="gramStart"/>
      <w:r w:rsidR="003A5876">
        <w:rPr>
          <w:rFonts w:ascii="Arial" w:eastAsia="Times New Roman" w:hAnsi="Arial" w:cs="Arial"/>
        </w:rPr>
        <w:t>individuals born with variations in sex characteristics, this project will also consider</w:t>
      </w:r>
      <w:r>
        <w:rPr>
          <w:rFonts w:ascii="Arial" w:eastAsia="Times New Roman" w:hAnsi="Arial" w:cs="Arial"/>
        </w:rPr>
        <w:t xml:space="preserve"> the consequences that flow</w:t>
      </w:r>
      <w:r w:rsidR="003A5876">
        <w:rPr>
          <w:rFonts w:ascii="Arial" w:eastAsia="Times New Roman" w:hAnsi="Arial" w:cs="Arial"/>
        </w:rPr>
        <w:t xml:space="preserve"> from past practices</w:t>
      </w:r>
      <w:r>
        <w:rPr>
          <w:rFonts w:ascii="Arial" w:eastAsia="Times New Roman" w:hAnsi="Arial" w:cs="Arial"/>
        </w:rPr>
        <w:t xml:space="preserve"> and how</w:t>
      </w:r>
      <w:proofErr w:type="gramEnd"/>
      <w:r>
        <w:rPr>
          <w:rFonts w:ascii="Arial" w:eastAsia="Times New Roman" w:hAnsi="Arial" w:cs="Arial"/>
        </w:rPr>
        <w:t xml:space="preserve"> best to support individuals now and </w:t>
      </w:r>
      <w:r w:rsidR="003A5876">
        <w:rPr>
          <w:rFonts w:ascii="Arial" w:eastAsia="Times New Roman" w:hAnsi="Arial" w:cs="Arial"/>
        </w:rPr>
        <w:t>into the future.</w:t>
      </w:r>
    </w:p>
    <w:p w14:paraId="32C627A6" w14:textId="5751D87F"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50" w:name="_Toc507585870"/>
      <w:bookmarkStart w:id="51" w:name="_Toc518984800"/>
      <w:r w:rsidRPr="00446928">
        <w:rPr>
          <w:rFonts w:ascii="Arial" w:hAnsi="Arial" w:cs="Arial"/>
          <w:b/>
          <w:i/>
          <w:color w:val="000000"/>
        </w:rPr>
        <w:t>Key themes and issues</w:t>
      </w:r>
      <w:bookmarkEnd w:id="50"/>
      <w:bookmarkEnd w:id="51"/>
    </w:p>
    <w:p w14:paraId="76EBE2BE" w14:textId="621E7ACD"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key questions identified in </w:t>
      </w:r>
      <w:r w:rsidRPr="003D4AEF">
        <w:rPr>
          <w:rFonts w:ascii="Arial" w:eastAsia="Times New Roman" w:hAnsi="Arial" w:cs="Arial"/>
        </w:rPr>
        <w:t>paragraph [</w:t>
      </w:r>
      <w:r w:rsidRPr="003D4AEF">
        <w:rPr>
          <w:rFonts w:ascii="Arial" w:eastAsia="Times New Roman" w:hAnsi="Arial" w:cs="Arial"/>
        </w:rPr>
        <w:fldChar w:fldCharType="begin"/>
      </w:r>
      <w:r w:rsidRPr="003D4AEF">
        <w:rPr>
          <w:rFonts w:ascii="Arial" w:eastAsia="Times New Roman" w:hAnsi="Arial" w:cs="Arial"/>
        </w:rPr>
        <w:instrText xml:space="preserve"> REF  _Ref487027018 \h \r  \* MERGEFORMAT </w:instrText>
      </w:r>
      <w:r w:rsidRPr="003D4AEF">
        <w:rPr>
          <w:rFonts w:ascii="Arial" w:eastAsia="Times New Roman" w:hAnsi="Arial" w:cs="Arial"/>
        </w:rPr>
      </w:r>
      <w:r w:rsidRPr="003D4AEF">
        <w:rPr>
          <w:rFonts w:ascii="Arial" w:eastAsia="Times New Roman" w:hAnsi="Arial" w:cs="Arial"/>
        </w:rPr>
        <w:fldChar w:fldCharType="separate"/>
      </w:r>
      <w:r w:rsidR="0075464F">
        <w:rPr>
          <w:rFonts w:ascii="Arial" w:eastAsia="Times New Roman" w:hAnsi="Arial" w:cs="Arial"/>
        </w:rPr>
        <w:t>61</w:t>
      </w:r>
      <w:r w:rsidRPr="003D4AEF">
        <w:rPr>
          <w:rFonts w:ascii="Arial" w:eastAsia="Times New Roman" w:hAnsi="Arial" w:cs="Arial"/>
        </w:rPr>
        <w:fldChar w:fldCharType="end"/>
      </w:r>
      <w:r w:rsidRPr="003D4AEF">
        <w:rPr>
          <w:rFonts w:ascii="Arial" w:eastAsia="Times New Roman" w:hAnsi="Arial" w:cs="Arial"/>
        </w:rPr>
        <w:t>]</w:t>
      </w:r>
      <w:r w:rsidRPr="00446928">
        <w:rPr>
          <w:rFonts w:ascii="Arial" w:eastAsia="Times New Roman" w:hAnsi="Arial" w:cs="Arial"/>
        </w:rPr>
        <w:t xml:space="preserve"> raise a number of interrelated themes and issues. </w:t>
      </w:r>
      <w:r w:rsidR="00A622AB">
        <w:rPr>
          <w:rFonts w:ascii="Arial" w:eastAsia="Times New Roman" w:hAnsi="Arial" w:cs="Arial"/>
        </w:rPr>
        <w:t>The Commission</w:t>
      </w:r>
      <w:r w:rsidR="00F87239">
        <w:rPr>
          <w:rFonts w:ascii="Arial" w:eastAsia="Times New Roman" w:hAnsi="Arial" w:cs="Arial"/>
        </w:rPr>
        <w:t>’</w:t>
      </w:r>
      <w:r w:rsidR="00A622AB">
        <w:rPr>
          <w:rFonts w:ascii="Arial" w:eastAsia="Times New Roman" w:hAnsi="Arial" w:cs="Arial"/>
        </w:rPr>
        <w:t xml:space="preserve">s consultation will focus on the following issues although </w:t>
      </w:r>
      <w:r w:rsidR="003F4DC7">
        <w:rPr>
          <w:rFonts w:ascii="Arial" w:eastAsia="Times New Roman" w:hAnsi="Arial" w:cs="Arial"/>
        </w:rPr>
        <w:t xml:space="preserve">it </w:t>
      </w:r>
      <w:proofErr w:type="gramStart"/>
      <w:r w:rsidR="003F4DC7">
        <w:rPr>
          <w:rFonts w:ascii="Arial" w:eastAsia="Times New Roman" w:hAnsi="Arial" w:cs="Arial"/>
        </w:rPr>
        <w:t>is not intended</w:t>
      </w:r>
      <w:proofErr w:type="gramEnd"/>
      <w:r w:rsidR="003F4DC7">
        <w:rPr>
          <w:rFonts w:ascii="Arial" w:eastAsia="Times New Roman" w:hAnsi="Arial" w:cs="Arial"/>
        </w:rPr>
        <w:t xml:space="preserve"> to be limited to these areas. </w:t>
      </w:r>
    </w:p>
    <w:p w14:paraId="52669240" w14:textId="69B5A79F"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52" w:name="_Toc507585871"/>
      <w:bookmarkStart w:id="53" w:name="_Toc518984801"/>
      <w:r w:rsidRPr="00446928">
        <w:rPr>
          <w:rFonts w:ascii="Arial" w:hAnsi="Arial" w:cs="Arial"/>
          <w:bCs/>
          <w:i/>
          <w:szCs w:val="26"/>
        </w:rPr>
        <w:t>Understanding lived experiences</w:t>
      </w:r>
      <w:bookmarkEnd w:id="52"/>
      <w:bookmarkEnd w:id="53"/>
    </w:p>
    <w:p w14:paraId="44058B93" w14:textId="4ABCE866"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Central to protecting the human rights of </w:t>
      </w:r>
      <w:r w:rsidR="00241C46">
        <w:rPr>
          <w:rFonts w:ascii="Arial" w:eastAsia="Times New Roman" w:hAnsi="Arial" w:cs="Arial"/>
        </w:rPr>
        <w:t>people born with</w:t>
      </w:r>
      <w:r w:rsidRPr="00446928">
        <w:rPr>
          <w:rFonts w:ascii="Arial" w:eastAsia="Times New Roman" w:hAnsi="Arial" w:cs="Arial"/>
        </w:rPr>
        <w:t xml:space="preserve"> variations in sex characteristics is an understanding of their lived experiences. The needs and challenges of </w:t>
      </w:r>
      <w:r w:rsidR="00241C46">
        <w:rPr>
          <w:rFonts w:ascii="Arial" w:eastAsia="Times New Roman" w:hAnsi="Arial" w:cs="Arial"/>
        </w:rPr>
        <w:t>people born with</w:t>
      </w:r>
      <w:r w:rsidRPr="00446928">
        <w:rPr>
          <w:rFonts w:ascii="Arial" w:eastAsia="Times New Roman" w:hAnsi="Arial" w:cs="Arial"/>
        </w:rPr>
        <w:t xml:space="preserve"> variations in sex characteristics in the context of medical settings </w:t>
      </w:r>
      <w:proofErr w:type="gramStart"/>
      <w:r w:rsidRPr="00446928">
        <w:rPr>
          <w:rFonts w:ascii="Arial" w:eastAsia="Times New Roman" w:hAnsi="Arial" w:cs="Arial"/>
        </w:rPr>
        <w:t>must be considered</w:t>
      </w:r>
      <w:proofErr w:type="gramEnd"/>
      <w:r w:rsidRPr="00446928">
        <w:rPr>
          <w:rFonts w:ascii="Arial" w:eastAsia="Times New Roman" w:hAnsi="Arial" w:cs="Arial"/>
        </w:rPr>
        <w:t xml:space="preserve"> for any change to be targeted and meaningful.</w:t>
      </w:r>
    </w:p>
    <w:p w14:paraId="23C85694" w14:textId="4C2C6978"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Senate Committee report identified a lack of education and understanding about the needs and experiences of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405960" w:rsidRPr="00030F1B">
        <w:rPr>
          <w:rFonts w:ascii="Arial" w:hAnsi="Arial" w:cs="Arial"/>
          <w:sz w:val="20"/>
          <w:vertAlign w:val="superscript"/>
        </w:rPr>
        <w:endnoteReference w:id="91"/>
      </w:r>
      <w:r w:rsidR="00405960" w:rsidRPr="00030F1B">
        <w:rPr>
          <w:rFonts w:ascii="Arial" w:eastAsia="Times New Roman" w:hAnsi="Arial" w:cs="Arial"/>
        </w:rPr>
        <w:t xml:space="preserve"> </w:t>
      </w:r>
      <w:proofErr w:type="gramStart"/>
      <w:r w:rsidRPr="00446928">
        <w:rPr>
          <w:rFonts w:ascii="Arial" w:eastAsia="Times New Roman" w:hAnsi="Arial" w:cs="Arial"/>
        </w:rPr>
        <w:t>This issue has also been raised by intersex and human rights advocates and medical practitioners</w:t>
      </w:r>
      <w:proofErr w:type="gramEnd"/>
      <w:r w:rsidRPr="00446928">
        <w:rPr>
          <w:rFonts w:ascii="Arial" w:eastAsia="Times New Roman" w:hAnsi="Arial" w:cs="Arial"/>
        </w:rPr>
        <w:t>.</w:t>
      </w:r>
      <w:r w:rsidR="00405960" w:rsidRPr="00030F1B">
        <w:rPr>
          <w:rStyle w:val="EndnoteReference"/>
          <w:rFonts w:eastAsia="Times New Roman" w:cs="Arial"/>
        </w:rPr>
        <w:endnoteReference w:id="92"/>
      </w:r>
    </w:p>
    <w:p w14:paraId="57AE2CE1" w14:textId="2A7A86F5" w:rsidR="001E7638" w:rsidRPr="00D20A6A" w:rsidRDefault="001E7638" w:rsidP="001E7638">
      <w:pPr>
        <w:numPr>
          <w:ilvl w:val="0"/>
          <w:numId w:val="15"/>
        </w:numPr>
        <w:spacing w:before="240" w:after="240" w:line="240" w:lineRule="auto"/>
        <w:ind w:hanging="720"/>
        <w:rPr>
          <w:rFonts w:ascii="Arial" w:hAnsi="Arial" w:cs="Arial"/>
          <w:bCs/>
          <w:i/>
          <w:szCs w:val="26"/>
        </w:rPr>
      </w:pPr>
      <w:r w:rsidRPr="00446928">
        <w:rPr>
          <w:rFonts w:ascii="Arial" w:eastAsia="Times New Roman" w:hAnsi="Arial" w:cs="Arial"/>
        </w:rPr>
        <w:t>At the international level, a number of UN tre</w:t>
      </w:r>
      <w:r w:rsidR="0003782A">
        <w:rPr>
          <w:rFonts w:ascii="Arial" w:eastAsia="Times New Roman" w:hAnsi="Arial" w:cs="Arial"/>
        </w:rPr>
        <w:t>aty bodies have called on State</w:t>
      </w:r>
      <w:r w:rsidRPr="00446928">
        <w:rPr>
          <w:rFonts w:ascii="Arial" w:eastAsia="Times New Roman" w:hAnsi="Arial" w:cs="Arial"/>
        </w:rPr>
        <w:t xml:space="preserve"> Parties to facilitate education and </w:t>
      </w:r>
      <w:r w:rsidR="001B1C16" w:rsidRPr="00446928">
        <w:rPr>
          <w:rFonts w:ascii="Arial" w:eastAsia="Times New Roman" w:hAnsi="Arial" w:cs="Arial"/>
        </w:rPr>
        <w:t>awareness raising</w:t>
      </w:r>
      <w:r w:rsidRPr="00446928">
        <w:rPr>
          <w:rFonts w:ascii="Arial" w:eastAsia="Times New Roman" w:hAnsi="Arial" w:cs="Arial"/>
        </w:rPr>
        <w:t xml:space="preserve"> about the unique needs and experiences of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405960" w:rsidRPr="00030F1B">
        <w:rPr>
          <w:rFonts w:ascii="Arial" w:hAnsi="Arial" w:cs="Arial"/>
          <w:sz w:val="20"/>
          <w:vertAlign w:val="superscript"/>
        </w:rPr>
        <w:endnoteReference w:id="93"/>
      </w:r>
    </w:p>
    <w:p w14:paraId="4DBB2FCB" w14:textId="17E18378" w:rsidR="003F1031" w:rsidRPr="00446928" w:rsidRDefault="003F1031" w:rsidP="001E7638">
      <w:pPr>
        <w:numPr>
          <w:ilvl w:val="0"/>
          <w:numId w:val="15"/>
        </w:numPr>
        <w:spacing w:before="240" w:after="240" w:line="240" w:lineRule="auto"/>
        <w:ind w:hanging="720"/>
        <w:rPr>
          <w:rFonts w:ascii="Arial" w:hAnsi="Arial" w:cs="Arial"/>
          <w:bCs/>
          <w:i/>
          <w:szCs w:val="26"/>
        </w:rPr>
      </w:pPr>
      <w:r>
        <w:rPr>
          <w:rFonts w:ascii="Arial" w:eastAsia="Times New Roman" w:hAnsi="Arial" w:cs="Arial"/>
        </w:rPr>
        <w:t>Different variations have different needs. The Commission is interested in hearing about the different experiences for individuals and the particular concerns that have arisen for them.</w:t>
      </w:r>
      <w:r w:rsidR="00254A6C">
        <w:rPr>
          <w:rFonts w:ascii="Arial" w:eastAsia="Times New Roman" w:hAnsi="Arial" w:cs="Arial"/>
        </w:rPr>
        <w:t xml:space="preserve"> Some interventions may lead to poor outcomes for some people, but the same interventions may be beneficial for others.</w:t>
      </w:r>
      <w:r>
        <w:rPr>
          <w:rFonts w:ascii="Arial" w:eastAsia="Times New Roman" w:hAnsi="Arial" w:cs="Arial"/>
        </w:rPr>
        <w:t xml:space="preserve"> We are interested in hearing about both positive and negative experiences</w:t>
      </w:r>
      <w:r w:rsidR="00B0094C">
        <w:rPr>
          <w:rFonts w:ascii="Arial" w:eastAsia="Times New Roman" w:hAnsi="Arial" w:cs="Arial"/>
        </w:rPr>
        <w:t xml:space="preserve"> and what made it that for you. </w:t>
      </w:r>
    </w:p>
    <w:tbl>
      <w:tblPr>
        <w:tblStyle w:val="TableGrid"/>
        <w:tblW w:w="9634" w:type="dxa"/>
        <w:tblLook w:val="04A0" w:firstRow="1" w:lastRow="0" w:firstColumn="1" w:lastColumn="0" w:noHBand="0" w:noVBand="1"/>
      </w:tblPr>
      <w:tblGrid>
        <w:gridCol w:w="9634"/>
      </w:tblGrid>
      <w:tr w:rsidR="001E7638" w:rsidRPr="00446928" w14:paraId="28A46122" w14:textId="77777777" w:rsidTr="00E02F5D">
        <w:tc>
          <w:tcPr>
            <w:tcW w:w="9634" w:type="dxa"/>
          </w:tcPr>
          <w:p w14:paraId="4FFC87A8" w14:textId="77777777" w:rsidR="001E7638" w:rsidRPr="00446928" w:rsidRDefault="001E7638" w:rsidP="00E02F5D">
            <w:pPr>
              <w:rPr>
                <w:rFonts w:ascii="Arial" w:hAnsi="Arial" w:cs="Arial"/>
                <w:b/>
              </w:rPr>
            </w:pPr>
            <w:r w:rsidRPr="00446928">
              <w:rPr>
                <w:rFonts w:ascii="Arial" w:hAnsi="Arial" w:cs="Arial"/>
                <w:b/>
              </w:rPr>
              <w:t>Key questions:</w:t>
            </w:r>
          </w:p>
          <w:p w14:paraId="77F9D2DE" w14:textId="42CB99C0" w:rsidR="001D7436" w:rsidRDefault="007A5079" w:rsidP="00B33560">
            <w:pPr>
              <w:spacing w:after="240" w:line="240" w:lineRule="auto"/>
              <w:ind w:left="360"/>
              <w:contextualSpacing/>
              <w:rPr>
                <w:rFonts w:ascii="Arial" w:hAnsi="Arial" w:cs="Arial"/>
              </w:rPr>
            </w:pPr>
            <w:r>
              <w:rPr>
                <w:rFonts w:ascii="Arial" w:hAnsi="Arial" w:cs="Arial"/>
              </w:rPr>
              <w:t xml:space="preserve">2. </w:t>
            </w:r>
            <w:r w:rsidR="002F6F18">
              <w:rPr>
                <w:rFonts w:ascii="Arial" w:hAnsi="Arial" w:cs="Arial"/>
              </w:rPr>
              <w:t>Broadly, how would you describe</w:t>
            </w:r>
            <w:r w:rsidR="001D7436">
              <w:rPr>
                <w:rFonts w:ascii="Arial" w:hAnsi="Arial" w:cs="Arial"/>
              </w:rPr>
              <w:t xml:space="preserve"> your experience</w:t>
            </w:r>
            <w:r w:rsidR="00E5597B">
              <w:rPr>
                <w:rFonts w:ascii="Arial" w:hAnsi="Arial" w:cs="Arial"/>
              </w:rPr>
              <w:t>s</w:t>
            </w:r>
            <w:r w:rsidR="001D7436">
              <w:rPr>
                <w:rFonts w:ascii="Arial" w:hAnsi="Arial" w:cs="Arial"/>
              </w:rPr>
              <w:t xml:space="preserve"> in the context of medical interventions? </w:t>
            </w:r>
          </w:p>
          <w:p w14:paraId="05CFFB4B" w14:textId="77777777" w:rsidR="00B33560" w:rsidRDefault="00B33560" w:rsidP="00B33560">
            <w:pPr>
              <w:spacing w:after="240" w:line="240" w:lineRule="auto"/>
              <w:ind w:left="360"/>
              <w:contextualSpacing/>
              <w:rPr>
                <w:rFonts w:ascii="Arial" w:hAnsi="Arial" w:cs="Arial"/>
              </w:rPr>
            </w:pPr>
          </w:p>
          <w:p w14:paraId="373378B4" w14:textId="17D6309F" w:rsidR="00B33560" w:rsidRDefault="00B33560" w:rsidP="00B33560">
            <w:pPr>
              <w:spacing w:after="240" w:line="240" w:lineRule="auto"/>
              <w:ind w:left="360"/>
              <w:contextualSpacing/>
              <w:rPr>
                <w:rFonts w:ascii="Arial" w:hAnsi="Arial" w:cs="Arial"/>
              </w:rPr>
            </w:pPr>
            <w:r>
              <w:rPr>
                <w:rFonts w:ascii="Arial" w:hAnsi="Arial" w:cs="Arial"/>
              </w:rPr>
              <w:t xml:space="preserve">3. </w:t>
            </w:r>
            <w:r w:rsidR="001E7638" w:rsidRPr="00446928">
              <w:rPr>
                <w:rFonts w:ascii="Arial" w:hAnsi="Arial" w:cs="Arial"/>
              </w:rPr>
              <w:t>What are the current Australian sources of information</w:t>
            </w:r>
            <w:r w:rsidR="00F61474">
              <w:rPr>
                <w:rFonts w:ascii="Arial" w:hAnsi="Arial" w:cs="Arial"/>
              </w:rPr>
              <w:t xml:space="preserve"> and education</w:t>
            </w:r>
            <w:r w:rsidR="001E7638" w:rsidRPr="00446928">
              <w:rPr>
                <w:rFonts w:ascii="Arial" w:hAnsi="Arial" w:cs="Arial"/>
              </w:rPr>
              <w:t xml:space="preserve"> about the experiences of </w:t>
            </w:r>
            <w:r w:rsidR="00241C46">
              <w:rPr>
                <w:rFonts w:ascii="Arial" w:hAnsi="Arial" w:cs="Arial"/>
              </w:rPr>
              <w:t>people born with</w:t>
            </w:r>
            <w:r w:rsidR="001E7638" w:rsidRPr="00446928">
              <w:rPr>
                <w:rFonts w:ascii="Arial" w:hAnsi="Arial" w:cs="Arial"/>
              </w:rPr>
              <w:t xml:space="preserve"> var</w:t>
            </w:r>
            <w:r>
              <w:rPr>
                <w:rFonts w:ascii="Arial" w:hAnsi="Arial" w:cs="Arial"/>
              </w:rPr>
              <w:t>iations in sex characteristics?</w:t>
            </w:r>
          </w:p>
          <w:p w14:paraId="4F79FAD4" w14:textId="77777777" w:rsidR="00B33560" w:rsidRDefault="00B33560" w:rsidP="00B33560">
            <w:pPr>
              <w:spacing w:after="240" w:line="240" w:lineRule="auto"/>
              <w:ind w:left="360"/>
              <w:contextualSpacing/>
              <w:rPr>
                <w:rFonts w:ascii="Arial" w:hAnsi="Arial" w:cs="Arial"/>
              </w:rPr>
            </w:pPr>
          </w:p>
          <w:p w14:paraId="62072B61" w14:textId="0F13FD63" w:rsidR="00B33560" w:rsidRDefault="00B33560" w:rsidP="00B33560">
            <w:pPr>
              <w:spacing w:after="240" w:line="240" w:lineRule="auto"/>
              <w:ind w:left="360"/>
              <w:contextualSpacing/>
              <w:rPr>
                <w:rFonts w:ascii="Arial" w:hAnsi="Arial" w:cs="Arial"/>
              </w:rPr>
            </w:pPr>
            <w:r>
              <w:rPr>
                <w:rFonts w:ascii="Arial" w:hAnsi="Arial" w:cs="Arial"/>
              </w:rPr>
              <w:t xml:space="preserve">4. </w:t>
            </w:r>
            <w:r w:rsidR="00F61474">
              <w:rPr>
                <w:rFonts w:ascii="Arial" w:hAnsi="Arial" w:cs="Arial"/>
              </w:rPr>
              <w:t>Are</w:t>
            </w:r>
            <w:r w:rsidR="00405960">
              <w:rPr>
                <w:rFonts w:ascii="Arial" w:hAnsi="Arial" w:cs="Arial"/>
              </w:rPr>
              <w:t xml:space="preserve"> the</w:t>
            </w:r>
            <w:r w:rsidR="00F61474">
              <w:rPr>
                <w:rFonts w:ascii="Arial" w:hAnsi="Arial" w:cs="Arial"/>
              </w:rPr>
              <w:t>re</w:t>
            </w:r>
            <w:r w:rsidR="00405960">
              <w:rPr>
                <w:rFonts w:ascii="Arial" w:hAnsi="Arial" w:cs="Arial"/>
              </w:rPr>
              <w:t xml:space="preserve"> gaps and/o</w:t>
            </w:r>
            <w:r w:rsidR="001E7638" w:rsidRPr="00446928">
              <w:rPr>
                <w:rFonts w:ascii="Arial" w:hAnsi="Arial" w:cs="Arial"/>
              </w:rPr>
              <w:t>r inconsistencies in sources of information</w:t>
            </w:r>
            <w:r w:rsidR="00F61474">
              <w:rPr>
                <w:rFonts w:ascii="Arial" w:hAnsi="Arial" w:cs="Arial"/>
              </w:rPr>
              <w:t xml:space="preserve"> and education that are available</w:t>
            </w:r>
            <w:r w:rsidR="001E7638" w:rsidRPr="00446928">
              <w:rPr>
                <w:rFonts w:ascii="Arial" w:hAnsi="Arial" w:cs="Arial"/>
              </w:rPr>
              <w:t xml:space="preserve"> about the experiences of </w:t>
            </w:r>
            <w:r w:rsidR="00241C46">
              <w:rPr>
                <w:rFonts w:ascii="Arial" w:hAnsi="Arial" w:cs="Arial"/>
              </w:rPr>
              <w:t>people born with</w:t>
            </w:r>
            <w:r w:rsidR="001E7638" w:rsidRPr="00446928">
              <w:rPr>
                <w:rFonts w:ascii="Arial" w:hAnsi="Arial" w:cs="Arial"/>
              </w:rPr>
              <w:t xml:space="preserve"> variations in sex characteristics</w:t>
            </w:r>
            <w:r w:rsidR="00A55253">
              <w:rPr>
                <w:rFonts w:ascii="Arial" w:hAnsi="Arial" w:cs="Arial"/>
              </w:rPr>
              <w:t>?</w:t>
            </w:r>
            <w:r w:rsidR="00F61474">
              <w:rPr>
                <w:rFonts w:ascii="Arial" w:hAnsi="Arial" w:cs="Arial"/>
              </w:rPr>
              <w:t xml:space="preserve"> </w:t>
            </w:r>
            <w:r w:rsidR="00A55253">
              <w:rPr>
                <w:rFonts w:ascii="Arial" w:hAnsi="Arial" w:cs="Arial"/>
              </w:rPr>
              <w:t>I</w:t>
            </w:r>
            <w:r w:rsidR="00F61474">
              <w:rPr>
                <w:rFonts w:ascii="Arial" w:hAnsi="Arial" w:cs="Arial"/>
              </w:rPr>
              <w:t xml:space="preserve">f so, </w:t>
            </w:r>
            <w:r w:rsidR="009735F4">
              <w:rPr>
                <w:rFonts w:ascii="Arial" w:hAnsi="Arial" w:cs="Arial"/>
              </w:rPr>
              <w:t>what is the impact of this</w:t>
            </w:r>
            <w:r w:rsidR="001E7638" w:rsidRPr="00446928">
              <w:rPr>
                <w:rFonts w:ascii="Arial" w:hAnsi="Arial" w:cs="Arial"/>
              </w:rPr>
              <w:t>?</w:t>
            </w:r>
            <w:r w:rsidR="00F61474">
              <w:rPr>
                <w:rFonts w:ascii="Arial" w:hAnsi="Arial" w:cs="Arial"/>
              </w:rPr>
              <w:t xml:space="preserve"> </w:t>
            </w:r>
          </w:p>
          <w:p w14:paraId="58073C62" w14:textId="2107BD06" w:rsidR="001E7638" w:rsidRPr="00446928" w:rsidRDefault="001E7638" w:rsidP="00A55253">
            <w:pPr>
              <w:spacing w:after="240" w:line="240" w:lineRule="auto"/>
              <w:contextualSpacing/>
              <w:rPr>
                <w:rFonts w:ascii="Arial" w:hAnsi="Arial" w:cs="Arial"/>
              </w:rPr>
            </w:pPr>
          </w:p>
        </w:tc>
      </w:tr>
    </w:tbl>
    <w:p w14:paraId="452F0D8C" w14:textId="77777777" w:rsidR="001E7638" w:rsidRPr="00446928" w:rsidRDefault="001E7638" w:rsidP="001E7638">
      <w:pPr>
        <w:rPr>
          <w:rFonts w:ascii="Arial" w:hAnsi="Arial" w:cs="Arial"/>
        </w:rPr>
      </w:pPr>
    </w:p>
    <w:p w14:paraId="3927968A"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54" w:name="_Toc507585872"/>
      <w:bookmarkStart w:id="55" w:name="_Toc518984802"/>
      <w:r w:rsidRPr="00446928">
        <w:rPr>
          <w:rFonts w:ascii="Arial" w:hAnsi="Arial" w:cs="Arial"/>
          <w:bCs/>
          <w:i/>
          <w:szCs w:val="26"/>
        </w:rPr>
        <w:lastRenderedPageBreak/>
        <w:t>Consent</w:t>
      </w:r>
      <w:bookmarkEnd w:id="54"/>
      <w:bookmarkEnd w:id="55"/>
    </w:p>
    <w:p w14:paraId="3EC70E70"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r w:rsidRPr="00446928">
        <w:rPr>
          <w:rFonts w:ascii="Arial" w:hAnsi="Arial" w:cs="Arial"/>
          <w:iCs/>
          <w:szCs w:val="26"/>
        </w:rPr>
        <w:t>Overview</w:t>
      </w:r>
    </w:p>
    <w:p w14:paraId="7581C483" w14:textId="76C444DC" w:rsidR="001E7638" w:rsidRPr="00446928" w:rsidRDefault="001E7638" w:rsidP="001E7638">
      <w:pPr>
        <w:numPr>
          <w:ilvl w:val="0"/>
          <w:numId w:val="15"/>
        </w:numPr>
        <w:spacing w:before="240" w:after="240" w:line="240" w:lineRule="auto"/>
        <w:ind w:hanging="720"/>
        <w:rPr>
          <w:rFonts w:ascii="Arial" w:eastAsia="Times New Roman" w:hAnsi="Arial" w:cs="Arial"/>
        </w:rPr>
      </w:pPr>
      <w:proofErr w:type="gramStart"/>
      <w:r w:rsidRPr="00446928">
        <w:rPr>
          <w:rFonts w:ascii="Arial" w:eastAsia="Times New Roman" w:hAnsi="Arial" w:cs="Arial"/>
        </w:rPr>
        <w:t>The capacity to provide full and informed consent to medical interventions is fundamental to the enjoyment of bodily autonomy and integrity and to achiev</w:t>
      </w:r>
      <w:r w:rsidR="00A727B8" w:rsidRPr="00446928">
        <w:rPr>
          <w:rFonts w:ascii="Arial" w:eastAsia="Times New Roman" w:hAnsi="Arial" w:cs="Arial"/>
        </w:rPr>
        <w:t>ing</w:t>
      </w:r>
      <w:r w:rsidRPr="00446928">
        <w:rPr>
          <w:rFonts w:ascii="Arial" w:eastAsia="Times New Roman" w:hAnsi="Arial" w:cs="Arial"/>
        </w:rPr>
        <w:t xml:space="preserve"> the highest attainable standard of h</w:t>
      </w:r>
      <w:r w:rsidR="0003782A">
        <w:rPr>
          <w:rFonts w:ascii="Arial" w:eastAsia="Times New Roman" w:hAnsi="Arial" w:cs="Arial"/>
        </w:rPr>
        <w:t>ealth, as discussed in</w:t>
      </w:r>
      <w:r w:rsidR="00DE1735">
        <w:rPr>
          <w:rFonts w:ascii="Arial" w:eastAsia="Times New Roman" w:hAnsi="Arial" w:cs="Arial"/>
        </w:rPr>
        <w:t xml:space="preserve"> sections 1(a) and (d) of</w:t>
      </w:r>
      <w:r w:rsidR="0003782A">
        <w:rPr>
          <w:rFonts w:ascii="Arial" w:eastAsia="Times New Roman" w:hAnsi="Arial" w:cs="Arial"/>
        </w:rPr>
        <w:t xml:space="preserve"> </w:t>
      </w:r>
      <w:r w:rsidR="0003782A">
        <w:rPr>
          <w:rFonts w:ascii="Arial" w:eastAsia="Times New Roman" w:hAnsi="Arial" w:cs="Arial"/>
        </w:rPr>
        <w:fldChar w:fldCharType="begin"/>
      </w:r>
      <w:r w:rsidR="0003782A">
        <w:rPr>
          <w:rFonts w:ascii="Arial" w:eastAsia="Times New Roman" w:hAnsi="Arial" w:cs="Arial"/>
        </w:rPr>
        <w:instrText xml:space="preserve"> REF _Ref504384101 \h </w:instrText>
      </w:r>
      <w:r w:rsidR="0003782A">
        <w:rPr>
          <w:rFonts w:ascii="Arial" w:eastAsia="Times New Roman" w:hAnsi="Arial" w:cs="Arial"/>
        </w:rPr>
      </w:r>
      <w:r w:rsidR="0003782A">
        <w:rPr>
          <w:rFonts w:ascii="Arial" w:eastAsia="Times New Roman" w:hAnsi="Arial" w:cs="Arial"/>
        </w:rPr>
        <w:fldChar w:fldCharType="separate"/>
      </w:r>
      <w:r w:rsidR="0075464F" w:rsidRPr="00E218FF">
        <w:rPr>
          <w:rFonts w:ascii="Arial" w:hAnsi="Arial" w:cs="Arial"/>
        </w:rPr>
        <w:t xml:space="preserve">Appendix B: Human rights </w:t>
      </w:r>
      <w:proofErr w:type="spellStart"/>
      <w:r w:rsidR="0075464F" w:rsidRPr="00E218FF">
        <w:rPr>
          <w:rFonts w:ascii="Arial" w:hAnsi="Arial" w:cs="Arial"/>
        </w:rPr>
        <w:t>framework</w:t>
      </w:r>
      <w:r w:rsidR="0003782A">
        <w:rPr>
          <w:rFonts w:ascii="Arial" w:eastAsia="Times New Roman" w:hAnsi="Arial" w:cs="Arial"/>
        </w:rPr>
        <w:fldChar w:fldCharType="end"/>
      </w:r>
      <w:r w:rsidR="001179FA">
        <w:rPr>
          <w:rFonts w:ascii="Arial" w:eastAsia="Times New Roman" w:hAnsi="Arial" w:cs="Arial"/>
        </w:rPr>
        <w:t>The</w:t>
      </w:r>
      <w:proofErr w:type="spellEnd"/>
      <w:r w:rsidR="001179FA">
        <w:rPr>
          <w:rFonts w:ascii="Arial" w:eastAsia="Times New Roman" w:hAnsi="Arial" w:cs="Arial"/>
        </w:rPr>
        <w:t xml:space="preserve"> role of</w:t>
      </w:r>
      <w:r w:rsidR="00EF1479">
        <w:rPr>
          <w:rFonts w:ascii="Arial" w:eastAsia="Times New Roman" w:hAnsi="Arial" w:cs="Arial"/>
        </w:rPr>
        <w:t xml:space="preserve"> the parent in</w:t>
      </w:r>
      <w:r w:rsidR="001179FA">
        <w:rPr>
          <w:rFonts w:ascii="Arial" w:eastAsia="Times New Roman" w:hAnsi="Arial" w:cs="Arial"/>
        </w:rPr>
        <w:t xml:space="preserve"> providing this consent on behalf of their child is considered in </w:t>
      </w:r>
      <w:r w:rsidR="00867FC6">
        <w:rPr>
          <w:rFonts w:ascii="Arial" w:eastAsia="Times New Roman" w:hAnsi="Arial" w:cs="Arial"/>
        </w:rPr>
        <w:t xml:space="preserve">section </w:t>
      </w:r>
      <w:r w:rsidR="001179FA">
        <w:rPr>
          <w:rFonts w:ascii="Arial" w:eastAsia="Times New Roman" w:hAnsi="Arial" w:cs="Arial"/>
        </w:rPr>
        <w:t>6.2(b)</w:t>
      </w:r>
      <w:r w:rsidR="001179FA">
        <w:rPr>
          <w:rFonts w:ascii="Arial" w:eastAsia="Times New Roman" w:hAnsi="Arial" w:cs="Arial"/>
        </w:rPr>
        <w:fldChar w:fldCharType="begin"/>
      </w:r>
      <w:r w:rsidR="001179FA">
        <w:rPr>
          <w:rFonts w:ascii="Arial" w:eastAsia="Times New Roman" w:hAnsi="Arial" w:cs="Arial"/>
        </w:rPr>
        <w:instrText xml:space="preserve"> REF _Ref510081158 \r \h </w:instrText>
      </w:r>
      <w:r w:rsidR="001179FA">
        <w:rPr>
          <w:rFonts w:ascii="Arial" w:eastAsia="Times New Roman" w:hAnsi="Arial" w:cs="Arial"/>
        </w:rPr>
      </w:r>
      <w:r w:rsidR="001179FA">
        <w:rPr>
          <w:rFonts w:ascii="Arial" w:eastAsia="Times New Roman" w:hAnsi="Arial" w:cs="Arial"/>
        </w:rPr>
        <w:fldChar w:fldCharType="separate"/>
      </w:r>
      <w:r w:rsidR="0075464F">
        <w:rPr>
          <w:rFonts w:ascii="Arial" w:eastAsia="Times New Roman" w:hAnsi="Arial" w:cs="Arial"/>
        </w:rPr>
        <w:t>(ii)</w:t>
      </w:r>
      <w:r w:rsidR="001179FA">
        <w:rPr>
          <w:rFonts w:ascii="Arial" w:eastAsia="Times New Roman" w:hAnsi="Arial" w:cs="Arial"/>
        </w:rPr>
        <w:fldChar w:fldCharType="end"/>
      </w:r>
      <w:r w:rsidR="001179FA">
        <w:rPr>
          <w:rFonts w:ascii="Arial" w:eastAsia="Times New Roman" w:hAnsi="Arial" w:cs="Arial"/>
        </w:rPr>
        <w:t xml:space="preserve"> below.</w:t>
      </w:r>
      <w:proofErr w:type="gramEnd"/>
    </w:p>
    <w:p w14:paraId="0E5CD007" w14:textId="17C10201"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Various UN instruments, treaty bodies, agencies and special rapporteurs have emphasised the importance of full and informed consent in relation to medical interventions.</w:t>
      </w:r>
      <w:r w:rsidR="00405960" w:rsidRPr="00030F1B">
        <w:rPr>
          <w:rFonts w:ascii="Arial" w:hAnsi="Arial" w:cs="Arial"/>
          <w:sz w:val="20"/>
          <w:vertAlign w:val="superscript"/>
        </w:rPr>
        <w:endnoteReference w:id="94"/>
      </w:r>
      <w:r w:rsidRPr="00446928">
        <w:rPr>
          <w:rFonts w:ascii="Arial" w:eastAsia="Times New Roman" w:hAnsi="Arial" w:cs="Arial"/>
        </w:rPr>
        <w:t xml:space="preserve"> As the UN Special Rapporteur on Health observed in</w:t>
      </w:r>
      <w:r w:rsidR="00405960">
        <w:rPr>
          <w:rFonts w:ascii="Arial" w:eastAsia="Times New Roman" w:hAnsi="Arial" w:cs="Arial"/>
        </w:rPr>
        <w:t xml:space="preserve"> 2009</w:t>
      </w:r>
      <w:r w:rsidRPr="00446928">
        <w:rPr>
          <w:rFonts w:ascii="Arial" w:eastAsia="Times New Roman" w:hAnsi="Arial" w:cs="Arial"/>
        </w:rPr>
        <w:t xml:space="preserve">, </w:t>
      </w:r>
      <w:r w:rsidR="00F87239">
        <w:rPr>
          <w:rFonts w:ascii="Arial" w:eastAsia="Times New Roman" w:hAnsi="Arial" w:cs="Arial"/>
        </w:rPr>
        <w:t>‘</w:t>
      </w:r>
      <w:r w:rsidRPr="00446928">
        <w:rPr>
          <w:rFonts w:ascii="Arial" w:eastAsia="Times New Roman" w:hAnsi="Arial" w:cs="Arial"/>
        </w:rPr>
        <w:t>informed consent</w:t>
      </w:r>
      <w:r w:rsidR="00F87239">
        <w:rPr>
          <w:rFonts w:ascii="Arial" w:eastAsia="Times New Roman" w:hAnsi="Arial" w:cs="Arial"/>
        </w:rPr>
        <w:t>’</w:t>
      </w:r>
      <w:r w:rsidRPr="00446928">
        <w:rPr>
          <w:rFonts w:ascii="Arial" w:eastAsia="Times New Roman" w:hAnsi="Arial" w:cs="Arial"/>
        </w:rPr>
        <w:t xml:space="preserve"> extends </w:t>
      </w:r>
      <w:r w:rsidR="00F87239">
        <w:rPr>
          <w:rFonts w:ascii="Arial" w:eastAsia="Times New Roman" w:hAnsi="Arial" w:cs="Arial"/>
        </w:rPr>
        <w:t>‘</w:t>
      </w:r>
      <w:r w:rsidRPr="00446928">
        <w:rPr>
          <w:rFonts w:ascii="Arial" w:eastAsia="Times New Roman" w:hAnsi="Arial" w:cs="Arial"/>
        </w:rPr>
        <w:t>beyond mere acceptance of a medical intervention</w:t>
      </w:r>
      <w:r w:rsidR="00F87239">
        <w:rPr>
          <w:rFonts w:ascii="Arial" w:eastAsia="Times New Roman" w:hAnsi="Arial" w:cs="Arial"/>
        </w:rPr>
        <w:t>’</w:t>
      </w:r>
      <w:r w:rsidRPr="00446928">
        <w:rPr>
          <w:rFonts w:ascii="Arial" w:eastAsia="Times New Roman" w:hAnsi="Arial" w:cs="Arial"/>
        </w:rPr>
        <w:t>. It also requires:</w:t>
      </w:r>
    </w:p>
    <w:p w14:paraId="19A54887" w14:textId="26731709" w:rsidR="001E7638" w:rsidRPr="00446928" w:rsidRDefault="001E7638" w:rsidP="00235BF1">
      <w:pPr>
        <w:ind w:left="1440"/>
        <w:rPr>
          <w:rFonts w:ascii="Arial" w:eastAsia="Times New Roman" w:hAnsi="Arial" w:cs="Arial"/>
        </w:rPr>
      </w:pPr>
      <w:r w:rsidRPr="00446928">
        <w:rPr>
          <w:rFonts w:ascii="Arial" w:eastAsia="Times New Roman" w:hAnsi="Arial" w:cs="Arial"/>
        </w:rPr>
        <w:t>A voluntary and sufficiently informed decision, protecting the right of the patient to be involved in medical decision-making, and assigning associated duties and obligations to health-care providers. Its ethical and legal normative justifications stem from its promotion of patient autonomy, self-determination, bodily integrity and wellbeing.</w:t>
      </w:r>
      <w:r w:rsidR="00235BF1">
        <w:rPr>
          <w:rStyle w:val="EndnoteReference"/>
          <w:rFonts w:eastAsia="Times New Roman" w:cs="Arial"/>
        </w:rPr>
        <w:endnoteReference w:id="95"/>
      </w:r>
    </w:p>
    <w:p w14:paraId="74DC2E6B" w14:textId="44790BD9"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Under international law, medical interventions administered without the free and informed consent of the person to whom they are administered may constitute torture or inhumane treatment</w:t>
      </w:r>
      <w:r w:rsidR="00D84162" w:rsidRPr="00446928">
        <w:rPr>
          <w:rFonts w:ascii="Arial" w:eastAsia="Times New Roman" w:hAnsi="Arial" w:cs="Arial"/>
        </w:rPr>
        <w:t>,</w:t>
      </w:r>
      <w:r w:rsidRPr="00446928">
        <w:rPr>
          <w:rFonts w:ascii="Arial" w:eastAsia="Times New Roman" w:hAnsi="Arial" w:cs="Arial"/>
        </w:rPr>
        <w:t xml:space="preserve"> as discussed in section </w:t>
      </w:r>
      <w:r w:rsidR="00DE1735">
        <w:rPr>
          <w:rFonts w:ascii="Arial" w:eastAsia="Times New Roman" w:hAnsi="Arial" w:cs="Arial"/>
        </w:rPr>
        <w:t>1(c)</w:t>
      </w:r>
      <w:r w:rsidR="00867FC6">
        <w:rPr>
          <w:rFonts w:ascii="Arial" w:eastAsia="Times New Roman" w:hAnsi="Arial" w:cs="Arial"/>
        </w:rPr>
        <w:t xml:space="preserve"> o</w:t>
      </w:r>
      <w:r w:rsidR="00DE1735">
        <w:rPr>
          <w:rFonts w:ascii="Arial" w:eastAsia="Times New Roman" w:hAnsi="Arial" w:cs="Arial"/>
        </w:rPr>
        <w:t xml:space="preserve">f </w:t>
      </w:r>
      <w:r w:rsidR="00DE1735">
        <w:rPr>
          <w:rFonts w:ascii="Arial" w:eastAsia="Times New Roman" w:hAnsi="Arial" w:cs="Arial"/>
        </w:rPr>
        <w:fldChar w:fldCharType="begin"/>
      </w:r>
      <w:r w:rsidR="00DE1735">
        <w:rPr>
          <w:rFonts w:ascii="Arial" w:eastAsia="Times New Roman" w:hAnsi="Arial" w:cs="Arial"/>
        </w:rPr>
        <w:instrText xml:space="preserve"> REF _Ref504384101 \h </w:instrText>
      </w:r>
      <w:r w:rsidR="00DE1735">
        <w:rPr>
          <w:rFonts w:ascii="Arial" w:eastAsia="Times New Roman" w:hAnsi="Arial" w:cs="Arial"/>
        </w:rPr>
      </w:r>
      <w:r w:rsidR="00DE1735">
        <w:rPr>
          <w:rFonts w:ascii="Arial" w:eastAsia="Times New Roman" w:hAnsi="Arial" w:cs="Arial"/>
        </w:rPr>
        <w:fldChar w:fldCharType="separate"/>
      </w:r>
      <w:r w:rsidR="0075464F" w:rsidRPr="00E218FF">
        <w:rPr>
          <w:rFonts w:ascii="Arial" w:hAnsi="Arial" w:cs="Arial"/>
        </w:rPr>
        <w:t>Appendix B: Human rights framework</w:t>
      </w:r>
      <w:r w:rsidR="00DE1735">
        <w:rPr>
          <w:rFonts w:ascii="Arial" w:eastAsia="Times New Roman" w:hAnsi="Arial" w:cs="Arial"/>
        </w:rPr>
        <w:fldChar w:fldCharType="end"/>
      </w:r>
      <w:r w:rsidR="00405960" w:rsidRPr="00030F1B">
        <w:rPr>
          <w:rFonts w:ascii="Arial" w:hAnsi="Arial" w:cs="Arial"/>
          <w:sz w:val="20"/>
          <w:vertAlign w:val="superscript"/>
        </w:rPr>
        <w:endnoteReference w:id="96"/>
      </w:r>
    </w:p>
    <w:p w14:paraId="3DEDB4BC" w14:textId="615F8B4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 Australia, the Victorian </w:t>
      </w:r>
      <w:r w:rsidRPr="00AE749E">
        <w:rPr>
          <w:rFonts w:ascii="Arial" w:eastAsia="Times New Roman" w:hAnsi="Arial" w:cs="Arial"/>
          <w:i/>
        </w:rPr>
        <w:t>Charter of Human Rights and Responsibilities</w:t>
      </w:r>
      <w:r w:rsidR="00867FC6" w:rsidRPr="00AE749E">
        <w:rPr>
          <w:rFonts w:ascii="Arial" w:eastAsia="Times New Roman" w:hAnsi="Arial" w:cs="Arial"/>
          <w:i/>
        </w:rPr>
        <w:t xml:space="preserve"> Act 2006</w:t>
      </w:r>
      <w:r w:rsidRPr="00446928">
        <w:rPr>
          <w:rFonts w:ascii="Arial" w:eastAsia="Times New Roman" w:hAnsi="Arial" w:cs="Arial"/>
        </w:rPr>
        <w:t xml:space="preserve"> states that a person </w:t>
      </w:r>
      <w:r w:rsidR="00F87239">
        <w:rPr>
          <w:rFonts w:ascii="Arial" w:eastAsia="Times New Roman" w:hAnsi="Arial" w:cs="Arial"/>
        </w:rPr>
        <w:t>‘</w:t>
      </w:r>
      <w:r w:rsidRPr="00446928">
        <w:rPr>
          <w:rFonts w:ascii="Arial" w:eastAsia="Times New Roman" w:hAnsi="Arial" w:cs="Arial"/>
        </w:rPr>
        <w:t>must not be subjected to medical</w:t>
      </w:r>
      <w:r w:rsidR="00E51760" w:rsidRPr="00446928">
        <w:rPr>
          <w:rFonts w:ascii="Arial" w:eastAsia="Times New Roman" w:hAnsi="Arial" w:cs="Arial"/>
        </w:rPr>
        <w:t xml:space="preserve"> </w:t>
      </w:r>
      <w:r w:rsidRPr="00446928">
        <w:rPr>
          <w:rFonts w:ascii="Arial" w:eastAsia="Times New Roman" w:hAnsi="Arial" w:cs="Arial"/>
        </w:rPr>
        <w:t>… treatment without his or her full, free and informed consent</w:t>
      </w:r>
      <w:r w:rsidR="00F87239">
        <w:rPr>
          <w:rFonts w:ascii="Arial" w:eastAsia="Times New Roman" w:hAnsi="Arial" w:cs="Arial"/>
        </w:rPr>
        <w:t>’</w:t>
      </w:r>
      <w:r w:rsidRPr="00446928">
        <w:rPr>
          <w:rFonts w:ascii="Arial" w:eastAsia="Times New Roman" w:hAnsi="Arial" w:cs="Arial"/>
        </w:rPr>
        <w:t>.</w:t>
      </w:r>
      <w:r w:rsidR="00405960" w:rsidRPr="00030F1B">
        <w:rPr>
          <w:rFonts w:ascii="Arial" w:hAnsi="Arial" w:cs="Arial"/>
          <w:sz w:val="20"/>
          <w:vertAlign w:val="superscript"/>
        </w:rPr>
        <w:endnoteReference w:id="97"/>
      </w:r>
    </w:p>
    <w:p w14:paraId="633B5F7F" w14:textId="7B26645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Under </w:t>
      </w:r>
      <w:r w:rsidR="000C5DCF">
        <w:rPr>
          <w:rFonts w:ascii="Arial" w:eastAsia="Times New Roman" w:hAnsi="Arial" w:cs="Arial"/>
        </w:rPr>
        <w:t>s</w:t>
      </w:r>
      <w:r w:rsidRPr="00446928">
        <w:rPr>
          <w:rFonts w:ascii="Arial" w:eastAsia="Times New Roman" w:hAnsi="Arial" w:cs="Arial"/>
        </w:rPr>
        <w:t xml:space="preserve">tate and </w:t>
      </w:r>
      <w:r w:rsidR="000C5DCF">
        <w:rPr>
          <w:rFonts w:ascii="Arial" w:eastAsia="Times New Roman" w:hAnsi="Arial" w:cs="Arial"/>
        </w:rPr>
        <w:t>t</w:t>
      </w:r>
      <w:r w:rsidRPr="00446928">
        <w:rPr>
          <w:rFonts w:ascii="Arial" w:eastAsia="Times New Roman" w:hAnsi="Arial" w:cs="Arial"/>
        </w:rPr>
        <w:t xml:space="preserve">erritory </w:t>
      </w:r>
      <w:r w:rsidR="00842079">
        <w:rPr>
          <w:rFonts w:ascii="Arial" w:eastAsia="Times New Roman" w:hAnsi="Arial" w:cs="Arial"/>
        </w:rPr>
        <w:t>law</w:t>
      </w:r>
      <w:r w:rsidRPr="00446928">
        <w:rPr>
          <w:rFonts w:ascii="Arial" w:eastAsia="Times New Roman" w:hAnsi="Arial" w:cs="Arial"/>
        </w:rPr>
        <w:t xml:space="preserve">, </w:t>
      </w:r>
      <w:r w:rsidR="004F26B4" w:rsidRPr="00446928">
        <w:rPr>
          <w:rFonts w:ascii="Arial" w:eastAsia="Times New Roman" w:hAnsi="Arial" w:cs="Arial"/>
        </w:rPr>
        <w:t>individuals</w:t>
      </w:r>
      <w:r w:rsidRPr="00446928">
        <w:rPr>
          <w:rFonts w:ascii="Arial" w:eastAsia="Times New Roman" w:hAnsi="Arial" w:cs="Arial"/>
        </w:rPr>
        <w:t xml:space="preserve"> over the age of 18, or in some states 16 years old, can provide consent to refuse or undergo medical treatment</w:t>
      </w:r>
      <w:r w:rsidR="004F26B4" w:rsidRPr="00446928">
        <w:rPr>
          <w:rFonts w:ascii="Arial" w:eastAsia="Times New Roman" w:hAnsi="Arial" w:cs="Arial"/>
        </w:rPr>
        <w:t xml:space="preserve"> if they have capacity</w:t>
      </w:r>
      <w:r w:rsidRPr="00446928">
        <w:rPr>
          <w:rFonts w:ascii="Arial" w:eastAsia="Times New Roman" w:hAnsi="Arial" w:cs="Arial"/>
        </w:rPr>
        <w:t>.</w:t>
      </w:r>
      <w:r w:rsidR="00266332" w:rsidRPr="00030F1B">
        <w:rPr>
          <w:rFonts w:ascii="Arial" w:hAnsi="Arial" w:cs="Arial"/>
          <w:sz w:val="20"/>
          <w:vertAlign w:val="superscript"/>
        </w:rPr>
        <w:endnoteReference w:id="98"/>
      </w:r>
      <w:r w:rsidR="004F26B4" w:rsidRPr="00446928">
        <w:rPr>
          <w:rFonts w:ascii="Arial" w:eastAsia="Times New Roman" w:hAnsi="Arial" w:cs="Arial"/>
        </w:rPr>
        <w:t xml:space="preserve"> </w:t>
      </w:r>
      <w:r w:rsidRPr="00446928">
        <w:rPr>
          <w:rFonts w:ascii="Arial" w:eastAsia="Times New Roman" w:hAnsi="Arial" w:cs="Arial"/>
        </w:rPr>
        <w:t>This means that the individual can understand the doctor</w:t>
      </w:r>
      <w:r w:rsidR="00F87239">
        <w:rPr>
          <w:rFonts w:ascii="Arial" w:eastAsia="Times New Roman" w:hAnsi="Arial" w:cs="Arial"/>
        </w:rPr>
        <w:t>’</w:t>
      </w:r>
      <w:r w:rsidRPr="00446928">
        <w:rPr>
          <w:rFonts w:ascii="Arial" w:eastAsia="Times New Roman" w:hAnsi="Arial" w:cs="Arial"/>
        </w:rPr>
        <w:t>s information about the treatment and</w:t>
      </w:r>
      <w:r w:rsidR="00D84162" w:rsidRPr="00446928">
        <w:rPr>
          <w:rFonts w:ascii="Arial" w:eastAsia="Times New Roman" w:hAnsi="Arial" w:cs="Arial"/>
        </w:rPr>
        <w:t>,</w:t>
      </w:r>
      <w:r w:rsidRPr="00446928">
        <w:rPr>
          <w:rFonts w:ascii="Arial" w:eastAsia="Times New Roman" w:hAnsi="Arial" w:cs="Arial"/>
        </w:rPr>
        <w:t xml:space="preserve"> based on this information, can make a reasonable choice. </w:t>
      </w:r>
    </w:p>
    <w:p w14:paraId="77CB64BF" w14:textId="4045D6D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Under Australian law, medical interventions conducted without the consent of the person to whom they are administered</w:t>
      </w:r>
      <w:r w:rsidR="00E51760" w:rsidRPr="00446928">
        <w:rPr>
          <w:rFonts w:ascii="Arial" w:eastAsia="Times New Roman" w:hAnsi="Arial" w:cs="Arial"/>
        </w:rPr>
        <w:t>, in circumstances where there is no other lawful justification,</w:t>
      </w:r>
      <w:r w:rsidRPr="00446928">
        <w:rPr>
          <w:rFonts w:ascii="Arial" w:eastAsia="Times New Roman" w:hAnsi="Arial" w:cs="Arial"/>
        </w:rPr>
        <w:t xml:space="preserve"> </w:t>
      </w:r>
      <w:proofErr w:type="gramStart"/>
      <w:r w:rsidRPr="00446928">
        <w:rPr>
          <w:rFonts w:ascii="Arial" w:eastAsia="Times New Roman" w:hAnsi="Arial" w:cs="Arial"/>
        </w:rPr>
        <w:t>may</w:t>
      </w:r>
      <w:proofErr w:type="gramEnd"/>
      <w:r w:rsidRPr="00446928">
        <w:rPr>
          <w:rFonts w:ascii="Arial" w:eastAsia="Times New Roman" w:hAnsi="Arial" w:cs="Arial"/>
        </w:rPr>
        <w:t xml:space="preserve"> constitute </w:t>
      </w:r>
      <w:r w:rsidR="00996260">
        <w:rPr>
          <w:rFonts w:ascii="Arial" w:eastAsia="Times New Roman" w:hAnsi="Arial" w:cs="Arial"/>
        </w:rPr>
        <w:t>trespass. W</w:t>
      </w:r>
      <w:r w:rsidR="00D9420F">
        <w:rPr>
          <w:rFonts w:ascii="Arial" w:eastAsia="Times New Roman" w:hAnsi="Arial" w:cs="Arial"/>
        </w:rPr>
        <w:t xml:space="preserve">here the broad terms of the procedure to </w:t>
      </w:r>
      <w:proofErr w:type="gramStart"/>
      <w:r w:rsidR="00D9420F">
        <w:rPr>
          <w:rFonts w:ascii="Arial" w:eastAsia="Times New Roman" w:hAnsi="Arial" w:cs="Arial"/>
        </w:rPr>
        <w:t>be performed</w:t>
      </w:r>
      <w:proofErr w:type="gramEnd"/>
      <w:r w:rsidR="00D9420F">
        <w:rPr>
          <w:rFonts w:ascii="Arial" w:eastAsia="Times New Roman" w:hAnsi="Arial" w:cs="Arial"/>
        </w:rPr>
        <w:t xml:space="preserve"> </w:t>
      </w:r>
      <w:r w:rsidR="00996260">
        <w:rPr>
          <w:rFonts w:ascii="Arial" w:eastAsia="Times New Roman" w:hAnsi="Arial" w:cs="Arial"/>
        </w:rPr>
        <w:t>are explained</w:t>
      </w:r>
      <w:r w:rsidR="00D9420F">
        <w:rPr>
          <w:rFonts w:ascii="Arial" w:eastAsia="Times New Roman" w:hAnsi="Arial" w:cs="Arial"/>
        </w:rPr>
        <w:t xml:space="preserve"> but not the risks inherent in the procedure, this may constitute negligence</w:t>
      </w:r>
      <w:r w:rsidRPr="00446928">
        <w:rPr>
          <w:rFonts w:ascii="Arial" w:eastAsia="Times New Roman" w:hAnsi="Arial" w:cs="Arial"/>
        </w:rPr>
        <w:t>.</w:t>
      </w:r>
      <w:r w:rsidR="00266332" w:rsidRPr="00030F1B">
        <w:rPr>
          <w:rFonts w:ascii="Arial" w:hAnsi="Arial" w:cs="Arial"/>
          <w:sz w:val="20"/>
          <w:vertAlign w:val="superscript"/>
        </w:rPr>
        <w:endnoteReference w:id="99"/>
      </w:r>
    </w:p>
    <w:p w14:paraId="50E4FCE1" w14:textId="77570531" w:rsidR="00713A33" w:rsidRPr="00446928" w:rsidRDefault="00713A33"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While international and domestic law recognise</w:t>
      </w:r>
      <w:r w:rsidR="00964DDB" w:rsidRPr="00446928">
        <w:rPr>
          <w:rFonts w:ascii="Arial" w:eastAsia="Times New Roman" w:hAnsi="Arial" w:cs="Arial"/>
        </w:rPr>
        <w:t>s</w:t>
      </w:r>
      <w:r w:rsidRPr="00446928">
        <w:rPr>
          <w:rFonts w:ascii="Arial" w:eastAsia="Times New Roman" w:hAnsi="Arial" w:cs="Arial"/>
        </w:rPr>
        <w:t xml:space="preserve"> the necessity of </w:t>
      </w:r>
      <w:r w:rsidR="00F87239">
        <w:rPr>
          <w:rFonts w:ascii="Arial" w:eastAsia="Times New Roman" w:hAnsi="Arial" w:cs="Arial"/>
        </w:rPr>
        <w:t>‘</w:t>
      </w:r>
      <w:r w:rsidRPr="00446928">
        <w:rPr>
          <w:rFonts w:ascii="Arial" w:eastAsia="Times New Roman" w:hAnsi="Arial" w:cs="Arial"/>
        </w:rPr>
        <w:t>informed consent</w:t>
      </w:r>
      <w:r w:rsidR="00F87239">
        <w:rPr>
          <w:rFonts w:ascii="Arial" w:eastAsia="Times New Roman" w:hAnsi="Arial" w:cs="Arial"/>
        </w:rPr>
        <w:t>’</w:t>
      </w:r>
      <w:r w:rsidR="00964DDB" w:rsidRPr="00446928">
        <w:rPr>
          <w:rFonts w:ascii="Arial" w:eastAsia="Times New Roman" w:hAnsi="Arial" w:cs="Arial"/>
        </w:rPr>
        <w:t xml:space="preserve"> in medical decision-making</w:t>
      </w:r>
      <w:r w:rsidRPr="00446928">
        <w:rPr>
          <w:rFonts w:ascii="Arial" w:eastAsia="Times New Roman" w:hAnsi="Arial" w:cs="Arial"/>
        </w:rPr>
        <w:t xml:space="preserve">, what this concept means in practice for different individuals and over time can </w:t>
      </w:r>
      <w:r w:rsidR="00964DDB" w:rsidRPr="00446928">
        <w:rPr>
          <w:rFonts w:ascii="Arial" w:eastAsia="Times New Roman" w:hAnsi="Arial" w:cs="Arial"/>
        </w:rPr>
        <w:t>change</w:t>
      </w:r>
      <w:r w:rsidRPr="00446928">
        <w:rPr>
          <w:rFonts w:ascii="Arial" w:eastAsia="Times New Roman" w:hAnsi="Arial" w:cs="Arial"/>
        </w:rPr>
        <w:t xml:space="preserve">. </w:t>
      </w:r>
      <w:proofErr w:type="gramStart"/>
      <w:r w:rsidR="00BF6D73">
        <w:rPr>
          <w:rFonts w:ascii="Arial" w:eastAsia="Times New Roman" w:hAnsi="Arial" w:cs="Arial"/>
        </w:rPr>
        <w:t>As a consequence</w:t>
      </w:r>
      <w:proofErr w:type="gramEnd"/>
      <w:r w:rsidR="00BF6D73">
        <w:rPr>
          <w:rFonts w:ascii="Arial" w:eastAsia="Times New Roman" w:hAnsi="Arial" w:cs="Arial"/>
        </w:rPr>
        <w:t xml:space="preserve">, it is important to gauge how informed individuals felt and how satisfied they were with the information they were given over a longer period of time. </w:t>
      </w:r>
    </w:p>
    <w:tbl>
      <w:tblPr>
        <w:tblStyle w:val="TableGrid"/>
        <w:tblW w:w="0" w:type="auto"/>
        <w:tblLook w:val="04A0" w:firstRow="1" w:lastRow="0" w:firstColumn="1" w:lastColumn="0" w:noHBand="0" w:noVBand="1"/>
      </w:tblPr>
      <w:tblGrid>
        <w:gridCol w:w="9628"/>
      </w:tblGrid>
      <w:tr w:rsidR="001E7638" w:rsidRPr="00446928" w14:paraId="1BABA15F" w14:textId="77777777" w:rsidTr="00E02F5D">
        <w:tc>
          <w:tcPr>
            <w:tcW w:w="9628" w:type="dxa"/>
          </w:tcPr>
          <w:p w14:paraId="29A638BC" w14:textId="5314E6DC" w:rsidR="001E7638" w:rsidRPr="003D1610" w:rsidRDefault="00E01916" w:rsidP="00BC0E21">
            <w:pPr>
              <w:keepNext/>
              <w:rPr>
                <w:rFonts w:ascii="Arial" w:hAnsi="Arial" w:cs="Arial"/>
                <w:b/>
              </w:rPr>
            </w:pPr>
            <w:r>
              <w:rPr>
                <w:rFonts w:ascii="Arial" w:hAnsi="Arial" w:cs="Arial"/>
                <w:b/>
              </w:rPr>
              <w:lastRenderedPageBreak/>
              <w:t>Key questions:</w:t>
            </w:r>
          </w:p>
          <w:p w14:paraId="6BA3CD29" w14:textId="0E867435" w:rsidR="007F1726" w:rsidRDefault="00F026A8"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 xml:space="preserve">5. </w:t>
            </w:r>
            <w:r w:rsidR="00C555D9" w:rsidRPr="007F1726">
              <w:rPr>
                <w:rFonts w:ascii="Arial" w:hAnsi="Arial" w:cs="Arial"/>
              </w:rPr>
              <w:t xml:space="preserve">How is the consent of a person </w:t>
            </w:r>
            <w:r w:rsidR="001179FA">
              <w:rPr>
                <w:rFonts w:ascii="Arial" w:hAnsi="Arial" w:cs="Arial"/>
              </w:rPr>
              <w:t>born with a</w:t>
            </w:r>
            <w:r w:rsidR="00C555D9" w:rsidRPr="007F1726">
              <w:rPr>
                <w:rFonts w:ascii="Arial" w:hAnsi="Arial" w:cs="Arial"/>
              </w:rPr>
              <w:t xml:space="preserve"> variation in sex characteristics currently sought prior to a medical intervention?</w:t>
            </w:r>
            <w:r w:rsidR="007F1726">
              <w:rPr>
                <w:rFonts w:ascii="Arial" w:hAnsi="Arial" w:cs="Arial"/>
              </w:rPr>
              <w:br/>
            </w:r>
          </w:p>
          <w:p w14:paraId="69C3AB7F" w14:textId="5724E055" w:rsidR="007F1726" w:rsidRDefault="00F026A8"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 xml:space="preserve">6. </w:t>
            </w:r>
            <w:r w:rsidR="00EF18F8" w:rsidRPr="007F1726">
              <w:rPr>
                <w:rFonts w:ascii="Arial" w:hAnsi="Arial" w:cs="Arial"/>
              </w:rPr>
              <w:t xml:space="preserve">How do current guidelines or protocols relating to the medical management of </w:t>
            </w:r>
            <w:r w:rsidR="00241C46">
              <w:rPr>
                <w:rFonts w:ascii="Arial" w:hAnsi="Arial" w:cs="Arial"/>
              </w:rPr>
              <w:t>people born with</w:t>
            </w:r>
            <w:r w:rsidR="00EF18F8" w:rsidRPr="007F1726">
              <w:rPr>
                <w:rFonts w:ascii="Arial" w:hAnsi="Arial" w:cs="Arial"/>
              </w:rPr>
              <w:t xml:space="preserve"> variations in sex characteristics deal with the issue of consent, including the ability to withdraw any consent given at any time?</w:t>
            </w:r>
            <w:r w:rsidR="007F1726">
              <w:rPr>
                <w:rFonts w:ascii="Arial" w:hAnsi="Arial" w:cs="Arial"/>
              </w:rPr>
              <w:br/>
            </w:r>
          </w:p>
          <w:p w14:paraId="77ED57F9" w14:textId="3D055A86" w:rsidR="007F1726" w:rsidRDefault="00F026A8"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 xml:space="preserve">7. </w:t>
            </w:r>
            <w:r w:rsidR="001E7638" w:rsidRPr="007F1726">
              <w:rPr>
                <w:rFonts w:ascii="Arial" w:hAnsi="Arial" w:cs="Arial"/>
              </w:rPr>
              <w:t>What practices/safeguards are in place to ensure any consent obtained remains in</w:t>
            </w:r>
            <w:r w:rsidR="007F1726">
              <w:rPr>
                <w:rFonts w:ascii="Arial" w:hAnsi="Arial" w:cs="Arial"/>
              </w:rPr>
              <w:t>formed?</w:t>
            </w:r>
            <w:r w:rsidR="007F1726">
              <w:rPr>
                <w:rFonts w:ascii="Arial" w:hAnsi="Arial" w:cs="Arial"/>
              </w:rPr>
              <w:br/>
            </w:r>
          </w:p>
          <w:p w14:paraId="238AB76D" w14:textId="3CBEF6DE" w:rsidR="001E7638" w:rsidRPr="007F1726" w:rsidRDefault="00F026A8" w:rsidP="00F026A8">
            <w:pPr>
              <w:pStyle w:val="SubmissionNormal"/>
              <w:numPr>
                <w:ilvl w:val="0"/>
                <w:numId w:val="0"/>
              </w:numPr>
              <w:spacing w:after="240" w:line="240" w:lineRule="auto"/>
              <w:ind w:left="360"/>
              <w:contextualSpacing/>
              <w:rPr>
                <w:rFonts w:ascii="Arial" w:hAnsi="Arial" w:cs="Arial"/>
              </w:rPr>
            </w:pPr>
            <w:r>
              <w:rPr>
                <w:rFonts w:ascii="Arial" w:hAnsi="Arial" w:cs="Arial"/>
              </w:rPr>
              <w:t xml:space="preserve">8. </w:t>
            </w:r>
            <w:r w:rsidR="001E7638" w:rsidRPr="007F1726">
              <w:rPr>
                <w:rFonts w:ascii="Arial" w:hAnsi="Arial" w:cs="Arial"/>
              </w:rPr>
              <w:t xml:space="preserve">What could enhance the capacity of </w:t>
            </w:r>
            <w:r w:rsidR="00241C46">
              <w:rPr>
                <w:rFonts w:ascii="Arial" w:hAnsi="Arial" w:cs="Arial"/>
              </w:rPr>
              <w:t>people born with</w:t>
            </w:r>
            <w:r w:rsidR="001E7638" w:rsidRPr="007F1726">
              <w:rPr>
                <w:rFonts w:ascii="Arial" w:hAnsi="Arial" w:cs="Arial"/>
              </w:rPr>
              <w:t xml:space="preserve"> variations in sex characteristics or their caregivers to provide full and informed consent?</w:t>
            </w:r>
          </w:p>
        </w:tc>
      </w:tr>
    </w:tbl>
    <w:p w14:paraId="225A8C03"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bookmarkStart w:id="56" w:name="_Ref510081158"/>
      <w:r w:rsidRPr="00446928">
        <w:rPr>
          <w:rFonts w:ascii="Arial" w:hAnsi="Arial" w:cs="Arial"/>
          <w:iCs/>
          <w:szCs w:val="26"/>
        </w:rPr>
        <w:t>Consent in the absence of legal capacity</w:t>
      </w:r>
      <w:bookmarkEnd w:id="56"/>
    </w:p>
    <w:p w14:paraId="07FFB533" w14:textId="77777777" w:rsidR="00D20A6A" w:rsidRPr="00D20A6A" w:rsidRDefault="001E7638" w:rsidP="006757E1">
      <w:pPr>
        <w:numPr>
          <w:ilvl w:val="0"/>
          <w:numId w:val="15"/>
        </w:numPr>
        <w:spacing w:before="240" w:after="240" w:line="240" w:lineRule="auto"/>
        <w:ind w:hanging="720"/>
        <w:rPr>
          <w:rFonts w:ascii="Arial" w:hAnsi="Arial" w:cs="Arial"/>
          <w:i/>
          <w:iCs/>
          <w:sz w:val="15"/>
          <w:szCs w:val="15"/>
        </w:rPr>
      </w:pPr>
      <w:r w:rsidRPr="00446928">
        <w:rPr>
          <w:rFonts w:ascii="Arial" w:eastAsia="Times New Roman" w:hAnsi="Arial" w:cs="Arial"/>
        </w:rPr>
        <w:t xml:space="preserve">Intersex advocates, human rights advocates, UN treaty bodies and special rapporteurs have expressed particular concerns about the human rights violations that can occur in relation to medical interventions involving children </w:t>
      </w:r>
      <w:r w:rsidR="006757E1">
        <w:rPr>
          <w:rFonts w:ascii="Arial" w:eastAsia="Times New Roman" w:hAnsi="Arial" w:cs="Arial"/>
        </w:rPr>
        <w:t>born with</w:t>
      </w:r>
      <w:r w:rsidRPr="00446928">
        <w:rPr>
          <w:rFonts w:ascii="Arial" w:eastAsia="Times New Roman" w:hAnsi="Arial" w:cs="Arial"/>
        </w:rPr>
        <w:t xml:space="preserve"> variations in sex characteristics where the child is not capable of providing full and informed consent.</w:t>
      </w:r>
      <w:r w:rsidR="00266332" w:rsidRPr="00030F1B">
        <w:rPr>
          <w:rFonts w:ascii="Arial" w:hAnsi="Arial" w:cs="Arial"/>
          <w:sz w:val="20"/>
          <w:vertAlign w:val="superscript"/>
        </w:rPr>
        <w:endnoteReference w:id="100"/>
      </w:r>
    </w:p>
    <w:p w14:paraId="3ABA6338" w14:textId="32CF9578" w:rsidR="00712B6D" w:rsidRPr="006757E1" w:rsidRDefault="001E7638" w:rsidP="006757E1">
      <w:pPr>
        <w:numPr>
          <w:ilvl w:val="0"/>
          <w:numId w:val="15"/>
        </w:numPr>
        <w:spacing w:before="240" w:after="240" w:line="240" w:lineRule="auto"/>
        <w:ind w:hanging="720"/>
        <w:rPr>
          <w:rFonts w:ascii="Arial" w:hAnsi="Arial" w:cs="Arial"/>
          <w:i/>
          <w:iCs/>
          <w:sz w:val="15"/>
          <w:szCs w:val="15"/>
        </w:rPr>
      </w:pPr>
      <w:r w:rsidRPr="00712B6D">
        <w:rPr>
          <w:rFonts w:ascii="Arial" w:eastAsia="Times New Roman" w:hAnsi="Arial" w:cs="Arial"/>
        </w:rPr>
        <w:t xml:space="preserve">In Australia, </w:t>
      </w:r>
      <w:r w:rsidR="00712B6D" w:rsidRPr="00712B6D">
        <w:rPr>
          <w:rFonts w:ascii="Arial" w:eastAsia="Times New Roman" w:hAnsi="Arial" w:cs="Arial"/>
        </w:rPr>
        <w:t xml:space="preserve">generally </w:t>
      </w:r>
      <w:r w:rsidRPr="00712B6D">
        <w:rPr>
          <w:rFonts w:ascii="Arial" w:eastAsia="Times New Roman" w:hAnsi="Arial" w:cs="Arial"/>
        </w:rPr>
        <w:t xml:space="preserve">a child under the age of 18 may consent to a medical procedure if </w:t>
      </w:r>
      <w:r w:rsidR="0069384C" w:rsidRPr="00712B6D">
        <w:rPr>
          <w:rFonts w:ascii="Arial" w:eastAsia="Times New Roman" w:hAnsi="Arial" w:cs="Arial"/>
        </w:rPr>
        <w:t xml:space="preserve">medical professionals have </w:t>
      </w:r>
      <w:r w:rsidRPr="00712B6D">
        <w:rPr>
          <w:rFonts w:ascii="Arial" w:eastAsia="Times New Roman" w:hAnsi="Arial" w:cs="Arial"/>
        </w:rPr>
        <w:t xml:space="preserve">formed the view that </w:t>
      </w:r>
      <w:r w:rsidR="0069384C" w:rsidRPr="00712B6D">
        <w:rPr>
          <w:rFonts w:ascii="Arial" w:eastAsia="Times New Roman" w:hAnsi="Arial" w:cs="Arial"/>
        </w:rPr>
        <w:t>the child has</w:t>
      </w:r>
      <w:r w:rsidRPr="00712B6D">
        <w:rPr>
          <w:rFonts w:ascii="Arial" w:eastAsia="Times New Roman" w:hAnsi="Arial" w:cs="Arial"/>
        </w:rPr>
        <w:t xml:space="preserve"> sufficient maturity and understanding to give valid consent to the procedure</w:t>
      </w:r>
      <w:r w:rsidR="0069384C" w:rsidRPr="00712B6D">
        <w:rPr>
          <w:rFonts w:ascii="Arial" w:eastAsia="Times New Roman" w:hAnsi="Arial" w:cs="Arial"/>
        </w:rPr>
        <w:t xml:space="preserve"> </w:t>
      </w:r>
      <w:r w:rsidRPr="00712B6D">
        <w:rPr>
          <w:rFonts w:ascii="Arial" w:eastAsia="Times New Roman" w:hAnsi="Arial" w:cs="Arial"/>
        </w:rPr>
        <w:t xml:space="preserve">(this is known as </w:t>
      </w:r>
      <w:r w:rsidR="00F87239">
        <w:rPr>
          <w:rFonts w:ascii="Arial" w:eastAsia="Times New Roman" w:hAnsi="Arial" w:cs="Arial"/>
        </w:rPr>
        <w:t>‘</w:t>
      </w:r>
      <w:proofErr w:type="spellStart"/>
      <w:r w:rsidRPr="00712B6D">
        <w:rPr>
          <w:rFonts w:ascii="Arial" w:eastAsia="Times New Roman" w:hAnsi="Arial" w:cs="Arial"/>
          <w:i/>
        </w:rPr>
        <w:t>Gillick</w:t>
      </w:r>
      <w:proofErr w:type="spellEnd"/>
      <w:r w:rsidRPr="00712B6D">
        <w:rPr>
          <w:rFonts w:ascii="Arial" w:eastAsia="Times New Roman" w:hAnsi="Arial" w:cs="Arial"/>
        </w:rPr>
        <w:t xml:space="preserve"> competency</w:t>
      </w:r>
      <w:r w:rsidR="00F87239">
        <w:rPr>
          <w:rFonts w:ascii="Arial" w:eastAsia="Times New Roman" w:hAnsi="Arial" w:cs="Arial"/>
        </w:rPr>
        <w:t>’</w:t>
      </w:r>
      <w:r w:rsidRPr="00712B6D">
        <w:rPr>
          <w:rFonts w:ascii="Arial" w:eastAsia="Times New Roman" w:hAnsi="Arial" w:cs="Arial"/>
        </w:rPr>
        <w:t>).</w:t>
      </w:r>
      <w:r w:rsidR="00266332" w:rsidRPr="00030F1B">
        <w:rPr>
          <w:rFonts w:ascii="Arial" w:hAnsi="Arial" w:cs="Arial"/>
          <w:sz w:val="20"/>
          <w:vertAlign w:val="superscript"/>
        </w:rPr>
        <w:endnoteReference w:id="101"/>
      </w:r>
      <w:r w:rsidR="00CB43E5">
        <w:rPr>
          <w:rFonts w:ascii="Arial" w:eastAsia="Times New Roman" w:hAnsi="Arial" w:cs="Arial"/>
        </w:rPr>
        <w:t xml:space="preserve"> </w:t>
      </w:r>
      <w:r w:rsidRPr="00712B6D">
        <w:rPr>
          <w:rFonts w:ascii="Arial" w:eastAsia="Times New Roman" w:hAnsi="Arial" w:cs="Arial"/>
        </w:rPr>
        <w:t xml:space="preserve">If the child is not </w:t>
      </w:r>
      <w:proofErr w:type="spellStart"/>
      <w:r w:rsidRPr="00712B6D">
        <w:rPr>
          <w:rFonts w:ascii="Arial" w:eastAsia="Times New Roman" w:hAnsi="Arial" w:cs="Arial"/>
          <w:i/>
        </w:rPr>
        <w:t>Gillick</w:t>
      </w:r>
      <w:proofErr w:type="spellEnd"/>
      <w:r w:rsidRPr="00712B6D">
        <w:rPr>
          <w:rFonts w:ascii="Arial" w:eastAsia="Times New Roman" w:hAnsi="Arial" w:cs="Arial"/>
        </w:rPr>
        <w:t xml:space="preserve"> competent, decision-making responsibility about medical treatment typically vests in the parents or guardians.</w:t>
      </w:r>
      <w:r w:rsidR="00266332" w:rsidRPr="00030F1B">
        <w:rPr>
          <w:rFonts w:ascii="Arial" w:hAnsi="Arial" w:cs="Arial"/>
          <w:sz w:val="20"/>
          <w:vertAlign w:val="superscript"/>
        </w:rPr>
        <w:endnoteReference w:id="102"/>
      </w:r>
      <w:r w:rsidRPr="00712B6D">
        <w:rPr>
          <w:rFonts w:ascii="Arial" w:eastAsia="Times New Roman" w:hAnsi="Arial" w:cs="Arial"/>
        </w:rPr>
        <w:t xml:space="preserve"> </w:t>
      </w:r>
    </w:p>
    <w:p w14:paraId="27BF4E58" w14:textId="19D7B2B8" w:rsidR="003B5410" w:rsidRPr="006757E1" w:rsidRDefault="003B5410" w:rsidP="006757E1">
      <w:pPr>
        <w:numPr>
          <w:ilvl w:val="0"/>
          <w:numId w:val="15"/>
        </w:numPr>
        <w:spacing w:before="240" w:after="240" w:line="240" w:lineRule="auto"/>
        <w:ind w:hanging="720"/>
        <w:rPr>
          <w:rFonts w:ascii="Arial" w:hAnsi="Arial" w:cs="Arial"/>
          <w:i/>
          <w:iCs/>
          <w:sz w:val="15"/>
          <w:szCs w:val="15"/>
        </w:rPr>
      </w:pPr>
      <w:r>
        <w:rPr>
          <w:rFonts w:ascii="Arial" w:eastAsia="Times New Roman" w:hAnsi="Arial" w:cs="Arial"/>
        </w:rPr>
        <w:t xml:space="preserve">Parents and carers play an important role in making decisions for their child. </w:t>
      </w:r>
      <w:r w:rsidR="00284CFA">
        <w:rPr>
          <w:rFonts w:ascii="Arial" w:eastAsia="Times New Roman" w:hAnsi="Arial" w:cs="Arial"/>
        </w:rPr>
        <w:t xml:space="preserve">A human rights </w:t>
      </w:r>
      <w:r w:rsidR="006757E1">
        <w:rPr>
          <w:rFonts w:ascii="Arial" w:eastAsia="Times New Roman" w:hAnsi="Arial" w:cs="Arial"/>
        </w:rPr>
        <w:t xml:space="preserve">based </w:t>
      </w:r>
      <w:r w:rsidR="00284CFA">
        <w:rPr>
          <w:rFonts w:ascii="Arial" w:eastAsia="Times New Roman" w:hAnsi="Arial" w:cs="Arial"/>
        </w:rPr>
        <w:t>approach to d</w:t>
      </w:r>
      <w:r>
        <w:rPr>
          <w:rFonts w:ascii="Arial" w:eastAsia="Times New Roman" w:hAnsi="Arial" w:cs="Arial"/>
        </w:rPr>
        <w:t xml:space="preserve">ecision making on behalf of </w:t>
      </w:r>
      <w:r w:rsidR="00162238">
        <w:rPr>
          <w:rFonts w:ascii="Arial" w:eastAsia="Times New Roman" w:hAnsi="Arial" w:cs="Arial"/>
        </w:rPr>
        <w:t>children</w:t>
      </w:r>
      <w:r>
        <w:rPr>
          <w:rFonts w:ascii="Arial" w:eastAsia="Times New Roman" w:hAnsi="Arial" w:cs="Arial"/>
        </w:rPr>
        <w:t xml:space="preserve"> requires the decision maker to </w:t>
      </w:r>
      <w:r w:rsidR="00284CFA">
        <w:rPr>
          <w:rFonts w:ascii="Arial" w:eastAsia="Times New Roman" w:hAnsi="Arial" w:cs="Arial"/>
        </w:rPr>
        <w:t>make decisions that are in</w:t>
      </w:r>
      <w:r w:rsidR="00466AAD">
        <w:rPr>
          <w:rFonts w:ascii="Arial" w:eastAsia="Times New Roman" w:hAnsi="Arial" w:cs="Arial"/>
        </w:rPr>
        <w:t xml:space="preserve"> the </w:t>
      </w:r>
      <w:r w:rsidR="00F87239">
        <w:rPr>
          <w:rFonts w:ascii="Arial" w:eastAsia="Times New Roman" w:hAnsi="Arial" w:cs="Arial"/>
        </w:rPr>
        <w:t>‘</w:t>
      </w:r>
      <w:r w:rsidR="00466AAD">
        <w:rPr>
          <w:rFonts w:ascii="Arial" w:eastAsia="Times New Roman" w:hAnsi="Arial" w:cs="Arial"/>
        </w:rPr>
        <w:t>best interests</w:t>
      </w:r>
      <w:r w:rsidR="00F87239">
        <w:rPr>
          <w:rFonts w:ascii="Arial" w:eastAsia="Times New Roman" w:hAnsi="Arial" w:cs="Arial"/>
        </w:rPr>
        <w:t>’</w:t>
      </w:r>
      <w:r w:rsidR="00466AAD">
        <w:rPr>
          <w:rFonts w:ascii="Arial" w:eastAsia="Times New Roman" w:hAnsi="Arial" w:cs="Arial"/>
        </w:rPr>
        <w:t xml:space="preserve"> of the </w:t>
      </w:r>
      <w:r w:rsidR="00284CFA">
        <w:rPr>
          <w:rFonts w:ascii="Arial" w:eastAsia="Times New Roman" w:hAnsi="Arial" w:cs="Arial"/>
        </w:rPr>
        <w:t>child</w:t>
      </w:r>
      <w:r w:rsidR="00466AAD">
        <w:rPr>
          <w:rFonts w:ascii="Arial" w:eastAsia="Times New Roman" w:hAnsi="Arial" w:cs="Arial"/>
        </w:rPr>
        <w:t xml:space="preserve">. </w:t>
      </w:r>
      <w:r w:rsidR="000F08F5">
        <w:rPr>
          <w:rFonts w:ascii="Arial" w:eastAsia="Times New Roman" w:hAnsi="Arial" w:cs="Arial"/>
        </w:rPr>
        <w:t>It also requires a consideration of the growing capacity of their child to be increasingly involved in decision-making.</w:t>
      </w:r>
      <w:r w:rsidR="00193EB2">
        <w:rPr>
          <w:rStyle w:val="EndnoteReference"/>
          <w:rFonts w:eastAsia="Times New Roman" w:cs="Arial"/>
        </w:rPr>
        <w:endnoteReference w:id="103"/>
      </w:r>
      <w:r w:rsidR="00284CFA">
        <w:rPr>
          <w:rFonts w:ascii="Arial" w:eastAsia="Times New Roman" w:hAnsi="Arial" w:cs="Arial"/>
        </w:rPr>
        <w:t xml:space="preserve"> </w:t>
      </w:r>
    </w:p>
    <w:p w14:paraId="2D07B87D" w14:textId="45E9938C" w:rsidR="001E7638" w:rsidRPr="00712B6D" w:rsidRDefault="001E7638" w:rsidP="00712B6D">
      <w:pPr>
        <w:numPr>
          <w:ilvl w:val="0"/>
          <w:numId w:val="15"/>
        </w:numPr>
        <w:spacing w:before="240" w:after="240" w:line="240" w:lineRule="auto"/>
        <w:ind w:hanging="720"/>
        <w:rPr>
          <w:rFonts w:ascii="Arial" w:hAnsi="Arial" w:cs="Arial"/>
          <w:i/>
          <w:iCs/>
          <w:sz w:val="15"/>
          <w:szCs w:val="15"/>
        </w:rPr>
      </w:pPr>
      <w:r w:rsidRPr="00712B6D">
        <w:rPr>
          <w:rFonts w:ascii="Arial" w:eastAsia="Times New Roman" w:hAnsi="Arial" w:cs="Arial"/>
        </w:rPr>
        <w:t>In some circumstances, however,</w:t>
      </w:r>
      <w:r w:rsidR="00712B6D" w:rsidRPr="00712B6D">
        <w:rPr>
          <w:rFonts w:ascii="Arial" w:eastAsia="Times New Roman" w:hAnsi="Arial" w:cs="Arial"/>
        </w:rPr>
        <w:t xml:space="preserve"> regardless of whether the child is </w:t>
      </w:r>
      <w:proofErr w:type="spellStart"/>
      <w:r w:rsidR="00712B6D" w:rsidRPr="00CB43E5">
        <w:rPr>
          <w:rFonts w:ascii="Arial" w:eastAsia="Times New Roman" w:hAnsi="Arial" w:cs="Arial"/>
          <w:i/>
        </w:rPr>
        <w:t>Gillick</w:t>
      </w:r>
      <w:proofErr w:type="spellEnd"/>
      <w:r w:rsidR="00712B6D" w:rsidRPr="00712B6D">
        <w:rPr>
          <w:rFonts w:ascii="Arial" w:eastAsia="Times New Roman" w:hAnsi="Arial" w:cs="Arial"/>
        </w:rPr>
        <w:t xml:space="preserve"> competent or whether the </w:t>
      </w:r>
      <w:proofErr w:type="spellStart"/>
      <w:r w:rsidR="00712B6D" w:rsidRPr="00712B6D">
        <w:rPr>
          <w:rFonts w:ascii="Arial" w:eastAsia="Times New Roman" w:hAnsi="Arial" w:cs="Arial"/>
        </w:rPr>
        <w:t>parents</w:t>
      </w:r>
      <w:proofErr w:type="spellEnd"/>
      <w:r w:rsidR="00712B6D" w:rsidRPr="00712B6D">
        <w:rPr>
          <w:rFonts w:ascii="Arial" w:eastAsia="Times New Roman" w:hAnsi="Arial" w:cs="Arial"/>
        </w:rPr>
        <w:t xml:space="preserve"> </w:t>
      </w:r>
      <w:r w:rsidR="00712B6D">
        <w:rPr>
          <w:rFonts w:ascii="Arial" w:eastAsia="Times New Roman" w:hAnsi="Arial" w:cs="Arial"/>
        </w:rPr>
        <w:t>consent,</w:t>
      </w:r>
      <w:r w:rsidRPr="00712B6D">
        <w:rPr>
          <w:rFonts w:ascii="Arial" w:eastAsia="Times New Roman" w:hAnsi="Arial" w:cs="Arial"/>
        </w:rPr>
        <w:t xml:space="preserve"> court authorisation of the decision will be required.</w:t>
      </w:r>
      <w:r w:rsidR="00266332" w:rsidRPr="00030F1B">
        <w:rPr>
          <w:rFonts w:ascii="Arial" w:hAnsi="Arial" w:cs="Arial"/>
          <w:sz w:val="20"/>
          <w:vertAlign w:val="superscript"/>
        </w:rPr>
        <w:endnoteReference w:id="104"/>
      </w:r>
      <w:r w:rsidRPr="00712B6D">
        <w:rPr>
          <w:rFonts w:ascii="Arial" w:eastAsia="Times New Roman" w:hAnsi="Arial" w:cs="Arial"/>
        </w:rPr>
        <w:t xml:space="preserve"> These cases </w:t>
      </w:r>
      <w:proofErr w:type="gramStart"/>
      <w:r w:rsidRPr="00712B6D">
        <w:rPr>
          <w:rFonts w:ascii="Arial" w:eastAsia="Times New Roman" w:hAnsi="Arial" w:cs="Arial"/>
        </w:rPr>
        <w:t>are known</w:t>
      </w:r>
      <w:proofErr w:type="gramEnd"/>
      <w:r w:rsidRPr="00712B6D">
        <w:rPr>
          <w:rFonts w:ascii="Arial" w:eastAsia="Times New Roman" w:hAnsi="Arial" w:cs="Arial"/>
        </w:rPr>
        <w:t xml:space="preserve"> as </w:t>
      </w:r>
      <w:r w:rsidR="00F87239">
        <w:rPr>
          <w:rFonts w:ascii="Arial" w:eastAsia="Times New Roman" w:hAnsi="Arial" w:cs="Arial"/>
        </w:rPr>
        <w:t>‘</w:t>
      </w:r>
      <w:r w:rsidRPr="00712B6D">
        <w:rPr>
          <w:rFonts w:ascii="Arial" w:eastAsia="Times New Roman" w:hAnsi="Arial" w:cs="Arial"/>
        </w:rPr>
        <w:t>special medical procedures</w:t>
      </w:r>
      <w:r w:rsidR="00F87239">
        <w:rPr>
          <w:rFonts w:ascii="Arial" w:eastAsia="Times New Roman" w:hAnsi="Arial" w:cs="Arial"/>
        </w:rPr>
        <w:t>’</w:t>
      </w:r>
      <w:r w:rsidRPr="00712B6D">
        <w:rPr>
          <w:rFonts w:ascii="Arial" w:eastAsia="Times New Roman" w:hAnsi="Arial" w:cs="Arial"/>
        </w:rPr>
        <w:t xml:space="preserve">. There is no fixed definition of </w:t>
      </w:r>
      <w:r w:rsidR="00F87239">
        <w:rPr>
          <w:rFonts w:ascii="Arial" w:eastAsia="Times New Roman" w:hAnsi="Arial" w:cs="Arial"/>
        </w:rPr>
        <w:t>‘</w:t>
      </w:r>
      <w:r w:rsidRPr="00712B6D">
        <w:rPr>
          <w:rFonts w:ascii="Arial" w:eastAsia="Times New Roman" w:hAnsi="Arial" w:cs="Arial"/>
        </w:rPr>
        <w:t>special medical procedures</w:t>
      </w:r>
      <w:r w:rsidR="00F87239">
        <w:rPr>
          <w:rFonts w:ascii="Arial" w:eastAsia="Times New Roman" w:hAnsi="Arial" w:cs="Arial"/>
        </w:rPr>
        <w:t>’</w:t>
      </w:r>
      <w:r w:rsidRPr="00712B6D">
        <w:rPr>
          <w:rFonts w:ascii="Arial" w:eastAsia="Times New Roman" w:hAnsi="Arial" w:cs="Arial"/>
        </w:rPr>
        <w:t>.</w:t>
      </w:r>
      <w:r w:rsidR="00266332" w:rsidRPr="00030F1B">
        <w:rPr>
          <w:rFonts w:ascii="Arial" w:hAnsi="Arial" w:cs="Arial"/>
          <w:sz w:val="20"/>
          <w:vertAlign w:val="superscript"/>
        </w:rPr>
        <w:endnoteReference w:id="105"/>
      </w:r>
      <w:r w:rsidRPr="00712B6D">
        <w:rPr>
          <w:rFonts w:ascii="Arial" w:eastAsia="Times New Roman" w:hAnsi="Arial" w:cs="Arial"/>
        </w:rPr>
        <w:t xml:space="preserve"> </w:t>
      </w:r>
      <w:proofErr w:type="gramStart"/>
      <w:r w:rsidRPr="00712B6D">
        <w:rPr>
          <w:rFonts w:ascii="Arial" w:eastAsia="Times New Roman" w:hAnsi="Arial" w:cs="Arial"/>
        </w:rPr>
        <w:t>Following the High Court</w:t>
      </w:r>
      <w:r w:rsidR="00F87239">
        <w:rPr>
          <w:rFonts w:ascii="Arial" w:eastAsia="Times New Roman" w:hAnsi="Arial" w:cs="Arial"/>
        </w:rPr>
        <w:t>’</w:t>
      </w:r>
      <w:r w:rsidRPr="00712B6D">
        <w:rPr>
          <w:rFonts w:ascii="Arial" w:eastAsia="Times New Roman" w:hAnsi="Arial" w:cs="Arial"/>
        </w:rPr>
        <w:t xml:space="preserve">s decision in </w:t>
      </w:r>
      <w:r w:rsidRPr="00712B6D">
        <w:rPr>
          <w:rFonts w:ascii="Arial" w:eastAsia="Times New Roman" w:hAnsi="Arial" w:cs="Arial"/>
          <w:i/>
        </w:rPr>
        <w:t>Secretary, Department of Health and Community Services v JWB</w:t>
      </w:r>
      <w:r w:rsidRPr="00712B6D">
        <w:rPr>
          <w:rFonts w:ascii="Arial" w:eastAsia="Times New Roman" w:hAnsi="Arial" w:cs="Arial"/>
        </w:rPr>
        <w:t xml:space="preserve"> (1992) 175 CLR 218 (</w:t>
      </w:r>
      <w:r w:rsidR="00F87239">
        <w:rPr>
          <w:rFonts w:ascii="Arial" w:eastAsia="Times New Roman" w:hAnsi="Arial" w:cs="Arial"/>
          <w:i/>
        </w:rPr>
        <w:t>‘</w:t>
      </w:r>
      <w:r w:rsidRPr="00712B6D">
        <w:rPr>
          <w:rFonts w:ascii="Arial" w:eastAsia="Times New Roman" w:hAnsi="Arial" w:cs="Arial"/>
          <w:i/>
        </w:rPr>
        <w:t>Marion</w:t>
      </w:r>
      <w:r w:rsidR="00F87239">
        <w:rPr>
          <w:rFonts w:ascii="Arial" w:eastAsia="Times New Roman" w:hAnsi="Arial" w:cs="Arial"/>
          <w:i/>
        </w:rPr>
        <w:t>’</w:t>
      </w:r>
      <w:r w:rsidRPr="00712B6D">
        <w:rPr>
          <w:rFonts w:ascii="Arial" w:eastAsia="Times New Roman" w:hAnsi="Arial" w:cs="Arial"/>
          <w:i/>
        </w:rPr>
        <w:t>s case</w:t>
      </w:r>
      <w:r w:rsidR="00F87239">
        <w:rPr>
          <w:rFonts w:ascii="Arial" w:eastAsia="Times New Roman" w:hAnsi="Arial" w:cs="Arial"/>
          <w:i/>
        </w:rPr>
        <w:t>’</w:t>
      </w:r>
      <w:r w:rsidRPr="00712B6D">
        <w:rPr>
          <w:rFonts w:ascii="Arial" w:eastAsia="Times New Roman" w:hAnsi="Arial" w:cs="Arial"/>
        </w:rPr>
        <w:t xml:space="preserve">), </w:t>
      </w:r>
      <w:r w:rsidR="005C6277" w:rsidRPr="00712B6D">
        <w:rPr>
          <w:rFonts w:ascii="Arial" w:eastAsia="Times New Roman" w:hAnsi="Arial" w:cs="Arial"/>
        </w:rPr>
        <w:t>c</w:t>
      </w:r>
      <w:r w:rsidRPr="00712B6D">
        <w:rPr>
          <w:rFonts w:ascii="Arial" w:eastAsia="Times New Roman" w:hAnsi="Arial" w:cs="Arial"/>
        </w:rPr>
        <w:t xml:space="preserve">ourt authorisation is required where the proposed treatment is </w:t>
      </w:r>
      <w:r w:rsidR="00F87239">
        <w:rPr>
          <w:rFonts w:ascii="Arial" w:eastAsia="Times New Roman" w:hAnsi="Arial" w:cs="Arial"/>
        </w:rPr>
        <w:t>‘</w:t>
      </w:r>
      <w:r w:rsidRPr="00712B6D">
        <w:rPr>
          <w:rFonts w:ascii="Arial" w:eastAsia="Times New Roman" w:hAnsi="Arial" w:cs="Arial"/>
        </w:rPr>
        <w:t>non-therapeutic</w:t>
      </w:r>
      <w:r w:rsidR="00F87239">
        <w:rPr>
          <w:rFonts w:ascii="Arial" w:eastAsia="Times New Roman" w:hAnsi="Arial" w:cs="Arial"/>
        </w:rPr>
        <w:t>’</w:t>
      </w:r>
      <w:r w:rsidRPr="00712B6D">
        <w:rPr>
          <w:rFonts w:ascii="Arial" w:eastAsia="Times New Roman" w:hAnsi="Arial" w:cs="Arial"/>
        </w:rPr>
        <w:t>;</w:t>
      </w:r>
      <w:r w:rsidR="00782626" w:rsidRPr="00712B6D">
        <w:rPr>
          <w:rFonts w:ascii="Arial" w:eastAsia="Times New Roman" w:hAnsi="Arial" w:cs="Arial"/>
        </w:rPr>
        <w:t xml:space="preserve"> it is</w:t>
      </w:r>
      <w:r w:rsidRPr="00712B6D">
        <w:rPr>
          <w:rFonts w:ascii="Arial" w:eastAsia="Times New Roman" w:hAnsi="Arial" w:cs="Arial"/>
        </w:rPr>
        <w:t xml:space="preserve"> invasive, irreversible and considered major treatment</w:t>
      </w:r>
      <w:r w:rsidR="00782626" w:rsidRPr="00712B6D">
        <w:rPr>
          <w:rFonts w:ascii="Arial" w:eastAsia="Times New Roman" w:hAnsi="Arial" w:cs="Arial"/>
        </w:rPr>
        <w:t>; where</w:t>
      </w:r>
      <w:r w:rsidRPr="00712B6D">
        <w:rPr>
          <w:rFonts w:ascii="Arial" w:eastAsia="Times New Roman" w:hAnsi="Arial" w:cs="Arial"/>
        </w:rPr>
        <w:t xml:space="preserve"> there is a significant risk of making the wrong decision about </w:t>
      </w:r>
      <w:r w:rsidR="00782626" w:rsidRPr="00712B6D">
        <w:rPr>
          <w:rFonts w:ascii="Arial" w:eastAsia="Times New Roman" w:hAnsi="Arial" w:cs="Arial"/>
        </w:rPr>
        <w:t>the best interests of the child;</w:t>
      </w:r>
      <w:r w:rsidRPr="00712B6D">
        <w:rPr>
          <w:rFonts w:ascii="Arial" w:eastAsia="Times New Roman" w:hAnsi="Arial" w:cs="Arial"/>
        </w:rPr>
        <w:t xml:space="preserve"> and where the consequences of a wrong decision are particularly grave.</w:t>
      </w:r>
      <w:r w:rsidR="00266332" w:rsidRPr="00030F1B">
        <w:rPr>
          <w:rFonts w:ascii="Arial" w:eastAsia="Times New Roman" w:hAnsi="Arial" w:cs="Arial"/>
          <w:sz w:val="20"/>
          <w:vertAlign w:val="superscript"/>
        </w:rPr>
        <w:endnoteReference w:id="106"/>
      </w:r>
      <w:proofErr w:type="gramEnd"/>
    </w:p>
    <w:p w14:paraId="1C3D5F04" w14:textId="4FCDE13E" w:rsidR="001E7638" w:rsidRPr="00446928" w:rsidRDefault="001E7638" w:rsidP="00266332">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w:t>
      </w:r>
      <w:r w:rsidR="00274535" w:rsidRPr="00446928">
        <w:rPr>
          <w:rFonts w:ascii="Arial" w:eastAsia="Times New Roman" w:hAnsi="Arial" w:cs="Arial"/>
        </w:rPr>
        <w:t xml:space="preserve">hospitals and </w:t>
      </w:r>
      <w:r w:rsidRPr="00446928">
        <w:rPr>
          <w:rFonts w:ascii="Arial" w:eastAsia="Times New Roman" w:hAnsi="Arial" w:cs="Arial"/>
        </w:rPr>
        <w:t xml:space="preserve">parents of children </w:t>
      </w:r>
      <w:r w:rsidR="003B5410">
        <w:rPr>
          <w:rFonts w:ascii="Arial" w:eastAsia="Times New Roman" w:hAnsi="Arial" w:cs="Arial"/>
        </w:rPr>
        <w:t>born with variations</w:t>
      </w:r>
      <w:r w:rsidRPr="00446928">
        <w:rPr>
          <w:rFonts w:ascii="Arial" w:eastAsia="Times New Roman" w:hAnsi="Arial" w:cs="Arial"/>
        </w:rPr>
        <w:t xml:space="preserve"> in sex characteristics have applied to the Family Court of Australia to seek court authorisation for a particular intervention or series of interventions. </w:t>
      </w:r>
      <w:r w:rsidR="00795FED" w:rsidRPr="00446928">
        <w:rPr>
          <w:rFonts w:ascii="Arial" w:eastAsia="Times New Roman" w:hAnsi="Arial" w:cs="Arial"/>
        </w:rPr>
        <w:t>Even in cases where the Court has found that</w:t>
      </w:r>
      <w:r w:rsidRPr="00446928">
        <w:rPr>
          <w:rFonts w:ascii="Arial" w:eastAsia="Times New Roman" w:hAnsi="Arial" w:cs="Arial"/>
        </w:rPr>
        <w:t xml:space="preserve"> these decisions fall within the scope of parental authority and do not require court authorisation, the Court</w:t>
      </w:r>
      <w:r w:rsidR="00795FED" w:rsidRPr="00446928">
        <w:rPr>
          <w:rFonts w:ascii="Arial" w:eastAsia="Times New Roman" w:hAnsi="Arial" w:cs="Arial"/>
        </w:rPr>
        <w:t xml:space="preserve"> has held it is able to provide such authorisation</w:t>
      </w:r>
      <w:r w:rsidRPr="00446928">
        <w:rPr>
          <w:rFonts w:ascii="Arial" w:eastAsia="Times New Roman" w:hAnsi="Arial" w:cs="Arial"/>
        </w:rPr>
        <w:t xml:space="preserve"> under its </w:t>
      </w:r>
      <w:r w:rsidR="00F87239">
        <w:rPr>
          <w:rFonts w:ascii="Arial" w:eastAsia="Times New Roman" w:hAnsi="Arial" w:cs="Arial"/>
        </w:rPr>
        <w:t>‘</w:t>
      </w:r>
      <w:r w:rsidRPr="00446928">
        <w:rPr>
          <w:rFonts w:ascii="Arial" w:eastAsia="Times New Roman" w:hAnsi="Arial" w:cs="Arial"/>
        </w:rPr>
        <w:t>welfare jurisdiction</w:t>
      </w:r>
      <w:r w:rsidR="00F87239">
        <w:rPr>
          <w:rFonts w:ascii="Arial" w:eastAsia="Times New Roman" w:hAnsi="Arial" w:cs="Arial"/>
        </w:rPr>
        <w:t>’</w:t>
      </w:r>
      <w:r w:rsidR="00266332" w:rsidRPr="00030F1B">
        <w:rPr>
          <w:rFonts w:ascii="Arial" w:eastAsia="Times New Roman" w:hAnsi="Arial" w:cs="Arial"/>
          <w:sz w:val="20"/>
          <w:vertAlign w:val="superscript"/>
        </w:rPr>
        <w:endnoteReference w:id="107"/>
      </w:r>
      <w:r w:rsidR="00266332" w:rsidRPr="00030F1B">
        <w:rPr>
          <w:rFonts w:ascii="Arial" w:eastAsia="Times New Roman" w:hAnsi="Arial" w:cs="Arial"/>
        </w:rPr>
        <w:t xml:space="preserve"> </w:t>
      </w:r>
      <w:r w:rsidRPr="00446928">
        <w:rPr>
          <w:rFonts w:ascii="Arial" w:eastAsia="Times New Roman" w:hAnsi="Arial" w:cs="Arial"/>
        </w:rPr>
        <w:t>(</w:t>
      </w:r>
      <w:r w:rsidR="00B21C11" w:rsidRPr="00446928">
        <w:rPr>
          <w:rFonts w:ascii="Arial" w:eastAsia="Times New Roman" w:hAnsi="Arial" w:cs="Arial"/>
        </w:rPr>
        <w:t>see the</w:t>
      </w:r>
      <w:r w:rsidRPr="00446928">
        <w:rPr>
          <w:rFonts w:ascii="Arial" w:eastAsia="Times New Roman" w:hAnsi="Arial" w:cs="Arial"/>
        </w:rPr>
        <w:t xml:space="preserve"> Case Study below).</w:t>
      </w:r>
      <w:r w:rsidR="00795FED" w:rsidRPr="00446928">
        <w:rPr>
          <w:rFonts w:ascii="Arial" w:eastAsia="Times New Roman" w:hAnsi="Arial" w:cs="Arial"/>
          <w:sz w:val="20"/>
          <w:vertAlign w:val="superscript"/>
        </w:rPr>
        <w:t xml:space="preserve"> </w:t>
      </w:r>
      <w:r w:rsidRPr="00446928">
        <w:rPr>
          <w:rFonts w:ascii="Arial" w:eastAsia="Times New Roman" w:hAnsi="Arial" w:cs="Arial"/>
        </w:rPr>
        <w:t xml:space="preserve">In providing court authorisation, the Family Court will consider </w:t>
      </w:r>
      <w:r w:rsidR="004F4016" w:rsidRPr="00446928">
        <w:rPr>
          <w:rFonts w:ascii="Arial" w:eastAsia="Times New Roman" w:hAnsi="Arial" w:cs="Arial"/>
        </w:rPr>
        <w:t xml:space="preserve">whether </w:t>
      </w:r>
      <w:r w:rsidRPr="00446928">
        <w:rPr>
          <w:rFonts w:ascii="Arial" w:eastAsia="Times New Roman" w:hAnsi="Arial" w:cs="Arial"/>
        </w:rPr>
        <w:t xml:space="preserve">the medical procedure is in the </w:t>
      </w:r>
      <w:r w:rsidR="00F87239">
        <w:rPr>
          <w:rFonts w:ascii="Arial" w:eastAsia="Times New Roman" w:hAnsi="Arial" w:cs="Arial"/>
        </w:rPr>
        <w:t>‘</w:t>
      </w:r>
      <w:r w:rsidRPr="00446928">
        <w:rPr>
          <w:rFonts w:ascii="Arial" w:eastAsia="Times New Roman" w:hAnsi="Arial" w:cs="Arial"/>
        </w:rPr>
        <w:t>best interests</w:t>
      </w:r>
      <w:r w:rsidR="00F87239">
        <w:rPr>
          <w:rFonts w:ascii="Arial" w:eastAsia="Times New Roman" w:hAnsi="Arial" w:cs="Arial"/>
        </w:rPr>
        <w:t>’</w:t>
      </w:r>
      <w:r w:rsidRPr="00446928">
        <w:rPr>
          <w:rFonts w:ascii="Arial" w:eastAsia="Times New Roman" w:hAnsi="Arial" w:cs="Arial"/>
        </w:rPr>
        <w:t xml:space="preserve"> of the child.</w:t>
      </w:r>
      <w:r w:rsidR="00266332" w:rsidRPr="00030F1B">
        <w:rPr>
          <w:rFonts w:ascii="Arial" w:hAnsi="Arial" w:cs="Arial"/>
          <w:sz w:val="20"/>
          <w:vertAlign w:val="superscript"/>
        </w:rPr>
        <w:endnoteReference w:id="108"/>
      </w:r>
    </w:p>
    <w:p w14:paraId="4BC09D5D" w14:textId="316391DC" w:rsidR="00B35A15" w:rsidRPr="00AC78F1" w:rsidRDefault="001E7638" w:rsidP="00FA7ACC">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What constitutes the </w:t>
      </w:r>
      <w:r w:rsidR="00F87239">
        <w:rPr>
          <w:rFonts w:ascii="Arial" w:eastAsia="Times New Roman" w:hAnsi="Arial" w:cs="Arial"/>
        </w:rPr>
        <w:t>‘</w:t>
      </w:r>
      <w:r w:rsidRPr="00446928">
        <w:rPr>
          <w:rFonts w:ascii="Arial" w:eastAsia="Times New Roman" w:hAnsi="Arial" w:cs="Arial"/>
        </w:rPr>
        <w:t>best interests</w:t>
      </w:r>
      <w:r w:rsidR="00F87239">
        <w:rPr>
          <w:rFonts w:ascii="Arial" w:eastAsia="Times New Roman" w:hAnsi="Arial" w:cs="Arial"/>
        </w:rPr>
        <w:t>’</w:t>
      </w:r>
      <w:r w:rsidRPr="00446928">
        <w:rPr>
          <w:rFonts w:ascii="Arial" w:eastAsia="Times New Roman" w:hAnsi="Arial" w:cs="Arial"/>
        </w:rPr>
        <w:t xml:space="preserve"> of the child can be difficult to ascertain. </w:t>
      </w:r>
      <w:r w:rsidRPr="00317274">
        <w:rPr>
          <w:rFonts w:ascii="Arial" w:eastAsia="Times New Roman" w:hAnsi="Arial" w:cs="Arial"/>
        </w:rPr>
        <w:t>The UN Committee on the Rights of the Child</w:t>
      </w:r>
      <w:r w:rsidR="00B35A15">
        <w:rPr>
          <w:rFonts w:ascii="Arial" w:eastAsia="Times New Roman" w:hAnsi="Arial" w:cs="Arial"/>
        </w:rPr>
        <w:t xml:space="preserve"> </w:t>
      </w:r>
      <w:r w:rsidRPr="00317274">
        <w:rPr>
          <w:rFonts w:ascii="Arial" w:eastAsia="Times New Roman" w:hAnsi="Arial" w:cs="Arial"/>
        </w:rPr>
        <w:t>noted that the concept</w:t>
      </w:r>
      <w:r w:rsidR="00DD6CAF">
        <w:rPr>
          <w:rFonts w:ascii="Arial" w:eastAsia="Times New Roman" w:hAnsi="Arial" w:cs="Arial"/>
        </w:rPr>
        <w:t xml:space="preserve"> </w:t>
      </w:r>
      <w:r w:rsidR="004F4016" w:rsidRPr="00317274">
        <w:rPr>
          <w:rFonts w:ascii="Arial" w:eastAsia="Times New Roman" w:hAnsi="Arial" w:cs="Arial"/>
        </w:rPr>
        <w:t>should be</w:t>
      </w:r>
      <w:r w:rsidRPr="00317274">
        <w:rPr>
          <w:rFonts w:ascii="Arial" w:eastAsia="Times New Roman" w:hAnsi="Arial" w:cs="Arial"/>
        </w:rPr>
        <w:t xml:space="preserve"> </w:t>
      </w:r>
      <w:r w:rsidR="00F87239">
        <w:rPr>
          <w:rFonts w:ascii="Arial" w:eastAsia="Times New Roman" w:hAnsi="Arial" w:cs="Arial"/>
        </w:rPr>
        <w:t>‘</w:t>
      </w:r>
      <w:r w:rsidRPr="00317274">
        <w:rPr>
          <w:rFonts w:ascii="Arial" w:eastAsia="Times New Roman" w:hAnsi="Arial" w:cs="Arial"/>
        </w:rPr>
        <w:t>responsive to the situation of individual children</w:t>
      </w:r>
      <w:r w:rsidR="00F87239">
        <w:rPr>
          <w:rFonts w:ascii="Arial" w:eastAsia="Times New Roman" w:hAnsi="Arial" w:cs="Arial"/>
        </w:rPr>
        <w:t>’</w:t>
      </w:r>
      <w:r w:rsidRPr="00317274">
        <w:rPr>
          <w:rFonts w:ascii="Arial" w:eastAsia="Times New Roman" w:hAnsi="Arial" w:cs="Arial"/>
        </w:rPr>
        <w:t xml:space="preserve"> but </w:t>
      </w:r>
      <w:r w:rsidR="00F87239">
        <w:rPr>
          <w:rFonts w:ascii="Arial" w:eastAsia="Times New Roman" w:hAnsi="Arial" w:cs="Arial"/>
        </w:rPr>
        <w:t>‘</w:t>
      </w:r>
      <w:r w:rsidRPr="00317274">
        <w:rPr>
          <w:rFonts w:ascii="Arial" w:eastAsia="Times New Roman" w:hAnsi="Arial" w:cs="Arial"/>
        </w:rPr>
        <w:t>may also leave room for manipulation</w:t>
      </w:r>
      <w:r w:rsidR="00F87239">
        <w:rPr>
          <w:rFonts w:ascii="Arial" w:eastAsia="Times New Roman" w:hAnsi="Arial" w:cs="Arial"/>
        </w:rPr>
        <w:t>’</w:t>
      </w:r>
      <w:r w:rsidRPr="00317274">
        <w:rPr>
          <w:rFonts w:ascii="Arial" w:eastAsia="Times New Roman" w:hAnsi="Arial" w:cs="Arial"/>
        </w:rPr>
        <w:t>.</w:t>
      </w:r>
      <w:r w:rsidR="00B42525" w:rsidRPr="00030F1B">
        <w:rPr>
          <w:rFonts w:ascii="Arial" w:eastAsia="Times New Roman" w:hAnsi="Arial" w:cs="Arial"/>
          <w:sz w:val="20"/>
          <w:vertAlign w:val="superscript"/>
        </w:rPr>
        <w:endnoteReference w:id="109"/>
      </w:r>
      <w:r w:rsidR="00F31373" w:rsidRPr="00317274">
        <w:rPr>
          <w:rFonts w:ascii="Arial" w:eastAsia="Times New Roman" w:hAnsi="Arial" w:cs="Arial"/>
        </w:rPr>
        <w:t xml:space="preserve"> </w:t>
      </w:r>
      <w:r w:rsidRPr="00317274">
        <w:rPr>
          <w:rFonts w:ascii="Arial" w:eastAsia="Times New Roman" w:hAnsi="Arial" w:cs="Arial"/>
        </w:rPr>
        <w:t xml:space="preserve">The potential for manipulation </w:t>
      </w:r>
      <w:r w:rsidRPr="00317274">
        <w:rPr>
          <w:rFonts w:ascii="Arial" w:eastAsia="Times New Roman" w:hAnsi="Arial" w:cs="Arial"/>
        </w:rPr>
        <w:lastRenderedPageBreak/>
        <w:t xml:space="preserve">has also been explicitly noted in the </w:t>
      </w:r>
      <w:r w:rsidRPr="00AE749E">
        <w:rPr>
          <w:rFonts w:ascii="Arial" w:eastAsia="Times New Roman" w:hAnsi="Arial" w:cs="Arial"/>
          <w:i/>
        </w:rPr>
        <w:t xml:space="preserve">Yogyakarta Principles </w:t>
      </w:r>
      <w:proofErr w:type="gramStart"/>
      <w:r w:rsidRPr="00AE749E">
        <w:rPr>
          <w:rFonts w:ascii="Arial" w:eastAsia="Times New Roman" w:hAnsi="Arial" w:cs="Arial"/>
          <w:i/>
        </w:rPr>
        <w:t>plus</w:t>
      </w:r>
      <w:proofErr w:type="gramEnd"/>
      <w:r w:rsidRPr="00AE749E">
        <w:rPr>
          <w:rFonts w:ascii="Arial" w:eastAsia="Times New Roman" w:hAnsi="Arial" w:cs="Arial"/>
          <w:i/>
        </w:rPr>
        <w:t xml:space="preserve"> 10</w:t>
      </w:r>
      <w:r w:rsidRPr="00317274">
        <w:rPr>
          <w:rFonts w:ascii="Arial" w:eastAsia="Times New Roman" w:hAnsi="Arial" w:cs="Arial"/>
        </w:rPr>
        <w:t xml:space="preserve"> </w:t>
      </w:r>
      <w:r w:rsidR="00A72DE4" w:rsidRPr="00317274">
        <w:rPr>
          <w:rFonts w:ascii="Arial" w:eastAsia="Times New Roman" w:hAnsi="Arial" w:cs="Arial"/>
        </w:rPr>
        <w:t xml:space="preserve">which </w:t>
      </w:r>
      <w:r w:rsidR="00722774" w:rsidRPr="00317274">
        <w:rPr>
          <w:rFonts w:ascii="Arial" w:eastAsia="Times New Roman" w:hAnsi="Arial" w:cs="Arial"/>
        </w:rPr>
        <w:t>states</w:t>
      </w:r>
      <w:r w:rsidR="00A72DE4" w:rsidRPr="00317274">
        <w:rPr>
          <w:rFonts w:ascii="Arial" w:eastAsia="Times New Roman" w:hAnsi="Arial" w:cs="Arial"/>
        </w:rPr>
        <w:t xml:space="preserve"> that </w:t>
      </w:r>
      <w:r w:rsidR="00317274">
        <w:rPr>
          <w:rFonts w:ascii="Arial" w:eastAsia="Times New Roman" w:hAnsi="Arial" w:cs="Arial"/>
        </w:rPr>
        <w:t>S</w:t>
      </w:r>
      <w:r w:rsidR="00A72DE4" w:rsidRPr="00317274">
        <w:rPr>
          <w:rFonts w:ascii="Arial" w:eastAsia="Times New Roman" w:hAnsi="Arial" w:cs="Arial"/>
        </w:rPr>
        <w:t xml:space="preserve">tates </w:t>
      </w:r>
      <w:r w:rsidR="00722774" w:rsidRPr="00317274">
        <w:rPr>
          <w:rFonts w:ascii="Arial" w:eastAsia="Times New Roman" w:hAnsi="Arial" w:cs="Arial"/>
        </w:rPr>
        <w:t>shall</w:t>
      </w:r>
      <w:r w:rsidR="00A72DE4" w:rsidRPr="00317274">
        <w:rPr>
          <w:rFonts w:ascii="Arial" w:eastAsia="Times New Roman" w:hAnsi="Arial" w:cs="Arial"/>
        </w:rPr>
        <w:t xml:space="preserve"> not manipulate the concept of the best interest of the child </w:t>
      </w:r>
      <w:r w:rsidR="00F87239">
        <w:rPr>
          <w:rFonts w:ascii="Arial" w:eastAsia="Times New Roman" w:hAnsi="Arial" w:cs="Arial"/>
        </w:rPr>
        <w:t>‘</w:t>
      </w:r>
      <w:r w:rsidR="00A72DE4" w:rsidRPr="00317274">
        <w:rPr>
          <w:rFonts w:ascii="Arial" w:eastAsia="Times New Roman" w:hAnsi="Arial" w:cs="Arial"/>
        </w:rPr>
        <w:t>to justify practices that conflict with the child</w:t>
      </w:r>
      <w:r w:rsidR="00F87239">
        <w:rPr>
          <w:rFonts w:ascii="Arial" w:eastAsia="Times New Roman" w:hAnsi="Arial" w:cs="Arial"/>
        </w:rPr>
        <w:t>’</w:t>
      </w:r>
      <w:r w:rsidR="00A72DE4" w:rsidRPr="00317274">
        <w:rPr>
          <w:rFonts w:ascii="Arial" w:eastAsia="Times New Roman" w:hAnsi="Arial" w:cs="Arial"/>
        </w:rPr>
        <w:t>s right to bodily integrity</w:t>
      </w:r>
      <w:r w:rsidR="00F87239">
        <w:rPr>
          <w:rFonts w:ascii="Arial" w:eastAsia="Times New Roman" w:hAnsi="Arial" w:cs="Arial"/>
        </w:rPr>
        <w:t>’</w:t>
      </w:r>
      <w:r w:rsidRPr="00DD6CAF">
        <w:rPr>
          <w:rFonts w:ascii="Arial" w:eastAsia="Times New Roman" w:hAnsi="Arial" w:cs="Arial"/>
        </w:rPr>
        <w:t>.</w:t>
      </w:r>
      <w:r w:rsidR="00B42525" w:rsidRPr="00030F1B">
        <w:rPr>
          <w:rFonts w:ascii="Arial" w:eastAsia="Times New Roman" w:hAnsi="Arial" w:cs="Arial"/>
          <w:sz w:val="20"/>
          <w:vertAlign w:val="superscript"/>
        </w:rPr>
        <w:endnoteReference w:id="110"/>
      </w:r>
      <w:r w:rsidRPr="00317274">
        <w:rPr>
          <w:rFonts w:ascii="Arial" w:eastAsia="Times New Roman" w:hAnsi="Arial" w:cs="Arial"/>
        </w:rPr>
        <w:t xml:space="preserve"> </w:t>
      </w:r>
      <w:r w:rsidR="00FF7032" w:rsidRPr="00317274">
        <w:rPr>
          <w:rFonts w:ascii="Arial" w:eastAsia="Times New Roman" w:hAnsi="Arial" w:cs="Arial"/>
        </w:rPr>
        <w:t xml:space="preserve">Similarly, some </w:t>
      </w:r>
      <w:r w:rsidRPr="00317274">
        <w:rPr>
          <w:rFonts w:ascii="Arial" w:eastAsia="Times New Roman" w:hAnsi="Arial" w:cs="Arial"/>
        </w:rPr>
        <w:t>Family Court</w:t>
      </w:r>
      <w:r w:rsidR="008A7BD9" w:rsidRPr="00317274">
        <w:rPr>
          <w:rFonts w:ascii="Arial" w:eastAsia="Times New Roman" w:hAnsi="Arial" w:cs="Arial"/>
        </w:rPr>
        <w:t xml:space="preserve"> </w:t>
      </w:r>
      <w:r w:rsidR="00FF7032" w:rsidRPr="00317274">
        <w:rPr>
          <w:rFonts w:ascii="Arial" w:eastAsia="Times New Roman" w:hAnsi="Arial" w:cs="Arial"/>
        </w:rPr>
        <w:t xml:space="preserve">judges </w:t>
      </w:r>
      <w:r w:rsidR="008A7BD9" w:rsidRPr="00317274">
        <w:rPr>
          <w:rFonts w:ascii="Arial" w:eastAsia="Times New Roman" w:hAnsi="Arial" w:cs="Arial"/>
        </w:rPr>
        <w:t xml:space="preserve">have </w:t>
      </w:r>
      <w:r w:rsidR="00FF7032" w:rsidRPr="00317274">
        <w:rPr>
          <w:rFonts w:ascii="Arial" w:eastAsia="Times New Roman" w:hAnsi="Arial" w:cs="Arial"/>
        </w:rPr>
        <w:t xml:space="preserve">observed </w:t>
      </w:r>
      <w:r w:rsidR="008A7BD9" w:rsidRPr="00317274">
        <w:rPr>
          <w:rFonts w:ascii="Arial" w:eastAsia="Times New Roman" w:hAnsi="Arial" w:cs="Arial"/>
        </w:rPr>
        <w:t xml:space="preserve">that the </w:t>
      </w:r>
      <w:r w:rsidRPr="00317274">
        <w:rPr>
          <w:rFonts w:ascii="Arial" w:eastAsia="Times New Roman" w:hAnsi="Arial" w:cs="Arial"/>
        </w:rPr>
        <w:t xml:space="preserve">concept of </w:t>
      </w:r>
      <w:r w:rsidR="00F87239">
        <w:rPr>
          <w:rFonts w:ascii="Arial" w:eastAsia="Times New Roman" w:hAnsi="Arial" w:cs="Arial"/>
        </w:rPr>
        <w:t>‘</w:t>
      </w:r>
      <w:r w:rsidRPr="00317274">
        <w:rPr>
          <w:rFonts w:ascii="Arial" w:eastAsia="Times New Roman" w:hAnsi="Arial" w:cs="Arial"/>
        </w:rPr>
        <w:t>best interests</w:t>
      </w:r>
      <w:r w:rsidR="00F87239">
        <w:rPr>
          <w:rFonts w:ascii="Arial" w:eastAsia="Times New Roman" w:hAnsi="Arial" w:cs="Arial"/>
        </w:rPr>
        <w:t>’</w:t>
      </w:r>
      <w:r w:rsidRPr="00317274">
        <w:rPr>
          <w:rFonts w:ascii="Arial" w:eastAsia="Times New Roman" w:hAnsi="Arial" w:cs="Arial"/>
        </w:rPr>
        <w:t xml:space="preserve"> could conflict with other rights like a child</w:t>
      </w:r>
      <w:r w:rsidR="00F87239">
        <w:rPr>
          <w:rFonts w:ascii="Arial" w:eastAsia="Times New Roman" w:hAnsi="Arial" w:cs="Arial"/>
        </w:rPr>
        <w:t>’</w:t>
      </w:r>
      <w:r w:rsidRPr="00317274">
        <w:rPr>
          <w:rFonts w:ascii="Arial" w:eastAsia="Times New Roman" w:hAnsi="Arial" w:cs="Arial"/>
        </w:rPr>
        <w:t>s right to privacy, autonomy, self-determination and freedom of expression.</w:t>
      </w:r>
      <w:r w:rsidR="00B42525" w:rsidRPr="00030F1B">
        <w:rPr>
          <w:rFonts w:ascii="Arial" w:eastAsia="Times New Roman" w:hAnsi="Arial" w:cs="Arial"/>
          <w:sz w:val="20"/>
          <w:vertAlign w:val="superscript"/>
        </w:rPr>
        <w:endnoteReference w:id="111"/>
      </w:r>
      <w:r w:rsidR="00722774" w:rsidRPr="00317274">
        <w:rPr>
          <w:rFonts w:ascii="Arial" w:eastAsia="Times New Roman" w:hAnsi="Arial" w:cs="Arial"/>
        </w:rPr>
        <w:t xml:space="preserve"> </w:t>
      </w:r>
      <w:r w:rsidR="00B35A15">
        <w:rPr>
          <w:rFonts w:ascii="Arial" w:eastAsia="Times New Roman" w:hAnsi="Arial" w:cs="Arial"/>
        </w:rPr>
        <w:t>However</w:t>
      </w:r>
      <w:r w:rsidR="008D3FC9">
        <w:rPr>
          <w:rFonts w:ascii="Arial" w:eastAsia="Times New Roman" w:hAnsi="Arial" w:cs="Arial"/>
        </w:rPr>
        <w:t>,</w:t>
      </w:r>
      <w:r w:rsidR="00B35A15">
        <w:rPr>
          <w:rFonts w:ascii="Arial" w:eastAsia="Times New Roman" w:hAnsi="Arial" w:cs="Arial"/>
        </w:rPr>
        <w:t xml:space="preserve"> </w:t>
      </w:r>
      <w:r w:rsidR="00722774" w:rsidRPr="00317274">
        <w:rPr>
          <w:rFonts w:ascii="Arial" w:eastAsia="Times New Roman" w:hAnsi="Arial" w:cs="Arial"/>
        </w:rPr>
        <w:t>the Committee</w:t>
      </w:r>
      <w:r w:rsidR="00B35A15">
        <w:rPr>
          <w:rFonts w:ascii="Arial" w:eastAsia="Times New Roman" w:hAnsi="Arial" w:cs="Arial"/>
        </w:rPr>
        <w:t xml:space="preserve"> on the Rights of the Child has</w:t>
      </w:r>
      <w:r w:rsidR="00722774" w:rsidRPr="00317274">
        <w:rPr>
          <w:rFonts w:ascii="Arial" w:eastAsia="Times New Roman" w:hAnsi="Arial" w:cs="Arial"/>
        </w:rPr>
        <w:t xml:space="preserve"> </w:t>
      </w:r>
      <w:r w:rsidR="00D4058A" w:rsidRPr="00317274">
        <w:rPr>
          <w:rFonts w:ascii="Arial" w:eastAsia="Times New Roman" w:hAnsi="Arial" w:cs="Arial"/>
        </w:rPr>
        <w:t xml:space="preserve">noted that </w:t>
      </w:r>
      <w:r w:rsidR="00F87239">
        <w:rPr>
          <w:rFonts w:ascii="Arial" w:eastAsia="Times New Roman" w:hAnsi="Arial" w:cs="Arial"/>
        </w:rPr>
        <w:t>‘</w:t>
      </w:r>
      <w:r w:rsidR="00922AD6">
        <w:rPr>
          <w:rFonts w:ascii="Arial" w:eastAsia="Times New Roman" w:hAnsi="Arial" w:cs="Arial"/>
        </w:rPr>
        <w:t>[t]</w:t>
      </w:r>
      <w:r w:rsidR="00D4058A" w:rsidRPr="00317274">
        <w:rPr>
          <w:rFonts w:ascii="Arial" w:eastAsia="Times New Roman" w:hAnsi="Arial" w:cs="Arial"/>
        </w:rPr>
        <w:t xml:space="preserve">he concept of the best interests of the child is aimed at ensuring both the full and effective </w:t>
      </w:r>
      <w:r w:rsidR="00D4058A" w:rsidRPr="00DD6CAF">
        <w:rPr>
          <w:rFonts w:ascii="Arial" w:eastAsia="Times New Roman" w:hAnsi="Arial" w:cs="Arial"/>
        </w:rPr>
        <w:t>enjoyment of all the rights</w:t>
      </w:r>
      <w:r w:rsidR="00B35A15">
        <w:rPr>
          <w:rFonts w:ascii="Arial" w:eastAsia="Times New Roman" w:hAnsi="Arial" w:cs="Arial"/>
        </w:rPr>
        <w:t xml:space="preserve"> recognized in the Convention</w:t>
      </w:r>
      <w:r w:rsidR="00F87239">
        <w:rPr>
          <w:rFonts w:ascii="Arial" w:eastAsia="Times New Roman" w:hAnsi="Arial" w:cs="Arial"/>
        </w:rPr>
        <w:t>’</w:t>
      </w:r>
      <w:r w:rsidR="008D3FC9">
        <w:rPr>
          <w:rFonts w:ascii="Arial" w:eastAsia="Times New Roman" w:hAnsi="Arial" w:cs="Arial"/>
        </w:rPr>
        <w:t>.</w:t>
      </w:r>
      <w:r w:rsidR="008D3FC9">
        <w:rPr>
          <w:rStyle w:val="EndnoteReference"/>
          <w:rFonts w:eastAsia="Times New Roman" w:cs="Arial"/>
        </w:rPr>
        <w:endnoteReference w:id="112"/>
      </w:r>
      <w:r w:rsidR="008D3FC9">
        <w:rPr>
          <w:rFonts w:ascii="Arial" w:eastAsia="Times New Roman" w:hAnsi="Arial" w:cs="Arial"/>
        </w:rPr>
        <w:t xml:space="preserve"> It has stated that </w:t>
      </w:r>
      <w:r w:rsidR="00F87239">
        <w:rPr>
          <w:rFonts w:ascii="Arial" w:eastAsia="Times New Roman" w:hAnsi="Arial" w:cs="Arial"/>
        </w:rPr>
        <w:t>‘</w:t>
      </w:r>
      <w:r w:rsidR="00B35A15">
        <w:rPr>
          <w:rFonts w:ascii="Arial" w:eastAsia="Times New Roman" w:hAnsi="Arial" w:cs="Arial"/>
        </w:rPr>
        <w:t>t</w:t>
      </w:r>
      <w:r w:rsidR="00D4058A" w:rsidRPr="00DD6CAF">
        <w:rPr>
          <w:rFonts w:ascii="Arial" w:eastAsia="Times New Roman" w:hAnsi="Arial" w:cs="Arial"/>
        </w:rPr>
        <w:t>here is no hierarchy of rights</w:t>
      </w:r>
      <w:r w:rsidR="004D3F0D">
        <w:rPr>
          <w:rFonts w:ascii="Arial" w:eastAsia="Times New Roman" w:hAnsi="Arial" w:cs="Arial"/>
        </w:rPr>
        <w:t xml:space="preserve"> in the Convention;</w:t>
      </w:r>
      <w:r w:rsidR="00D4058A" w:rsidRPr="00DD6CAF">
        <w:rPr>
          <w:rFonts w:ascii="Arial" w:eastAsia="Times New Roman" w:hAnsi="Arial" w:cs="Arial"/>
        </w:rPr>
        <w:t xml:space="preserve"> all the rights </w:t>
      </w:r>
      <w:r w:rsidR="004D3F0D">
        <w:rPr>
          <w:rFonts w:ascii="Arial" w:eastAsia="Times New Roman" w:hAnsi="Arial" w:cs="Arial"/>
        </w:rPr>
        <w:t>provided for therein are</w:t>
      </w:r>
      <w:r w:rsidR="00D4058A" w:rsidRPr="00DD6CAF">
        <w:rPr>
          <w:rFonts w:ascii="Arial" w:eastAsia="Times New Roman" w:hAnsi="Arial" w:cs="Arial"/>
        </w:rPr>
        <w:t xml:space="preserve"> in the </w:t>
      </w:r>
      <w:r w:rsidR="00F87239">
        <w:rPr>
          <w:rFonts w:ascii="Arial" w:eastAsia="Times New Roman" w:hAnsi="Arial" w:cs="Arial"/>
        </w:rPr>
        <w:t>“</w:t>
      </w:r>
      <w:r w:rsidR="00D4058A" w:rsidRPr="00DD6CAF">
        <w:rPr>
          <w:rFonts w:ascii="Arial" w:eastAsia="Times New Roman" w:hAnsi="Arial" w:cs="Arial"/>
        </w:rPr>
        <w:t>child</w:t>
      </w:r>
      <w:r w:rsidR="00F87239">
        <w:rPr>
          <w:rFonts w:ascii="Arial" w:eastAsia="Times New Roman" w:hAnsi="Arial" w:cs="Arial"/>
        </w:rPr>
        <w:t>’</w:t>
      </w:r>
      <w:r w:rsidR="00D4058A" w:rsidRPr="00DD6CAF">
        <w:rPr>
          <w:rFonts w:ascii="Arial" w:eastAsia="Times New Roman" w:hAnsi="Arial" w:cs="Arial"/>
        </w:rPr>
        <w:t>s best interests</w:t>
      </w:r>
      <w:r w:rsidR="00F87239">
        <w:rPr>
          <w:rFonts w:ascii="Arial" w:eastAsia="Times New Roman" w:hAnsi="Arial" w:cs="Arial"/>
        </w:rPr>
        <w:t>”</w:t>
      </w:r>
      <w:r w:rsidR="00D4058A" w:rsidRPr="00DD6CAF">
        <w:rPr>
          <w:rFonts w:ascii="Arial" w:eastAsia="Times New Roman" w:hAnsi="Arial" w:cs="Arial"/>
        </w:rPr>
        <w:t xml:space="preserve"> and no right should be compromised by a negative interpretation of the child</w:t>
      </w:r>
      <w:r w:rsidR="00F87239">
        <w:rPr>
          <w:rFonts w:ascii="Arial" w:eastAsia="Times New Roman" w:hAnsi="Arial" w:cs="Arial"/>
        </w:rPr>
        <w:t>’</w:t>
      </w:r>
      <w:r w:rsidR="00D4058A" w:rsidRPr="00DD6CAF">
        <w:rPr>
          <w:rFonts w:ascii="Arial" w:eastAsia="Times New Roman" w:hAnsi="Arial" w:cs="Arial"/>
        </w:rPr>
        <w:t>s best interests.</w:t>
      </w:r>
      <w:r w:rsidR="00F87239">
        <w:rPr>
          <w:rFonts w:ascii="Arial" w:eastAsia="Times New Roman" w:hAnsi="Arial" w:cs="Arial"/>
        </w:rPr>
        <w:t>’</w:t>
      </w:r>
      <w:r w:rsidR="008D3FC9">
        <w:rPr>
          <w:rStyle w:val="EndnoteReference"/>
          <w:rFonts w:eastAsia="Times New Roman" w:cs="Arial"/>
        </w:rPr>
        <w:endnoteReference w:id="113"/>
      </w:r>
      <w:r w:rsidR="00D4058A" w:rsidRPr="00DD6CAF">
        <w:rPr>
          <w:rFonts w:ascii="Arial" w:eastAsia="Times New Roman" w:hAnsi="Arial" w:cs="Arial"/>
        </w:rPr>
        <w:t xml:space="preserve"> </w:t>
      </w:r>
      <w:r w:rsidR="00AD2ACF">
        <w:rPr>
          <w:rFonts w:ascii="Arial" w:eastAsia="Times New Roman" w:hAnsi="Arial" w:cs="Arial"/>
        </w:rPr>
        <w:t>T</w:t>
      </w:r>
      <w:r w:rsidR="00B35A15">
        <w:rPr>
          <w:rFonts w:ascii="Arial" w:eastAsia="Times New Roman" w:hAnsi="Arial" w:cs="Arial"/>
        </w:rPr>
        <w:t>he child</w:t>
      </w:r>
      <w:r w:rsidR="00F87239">
        <w:rPr>
          <w:rFonts w:ascii="Arial" w:eastAsia="Times New Roman" w:hAnsi="Arial" w:cs="Arial"/>
        </w:rPr>
        <w:t>’</w:t>
      </w:r>
      <w:r w:rsidR="00B35A15">
        <w:rPr>
          <w:rFonts w:ascii="Arial" w:eastAsia="Times New Roman" w:hAnsi="Arial" w:cs="Arial"/>
        </w:rPr>
        <w:t>s right to health is</w:t>
      </w:r>
      <w:r w:rsidR="00AD2ACF">
        <w:rPr>
          <w:rFonts w:ascii="Arial" w:eastAsia="Times New Roman" w:hAnsi="Arial" w:cs="Arial"/>
        </w:rPr>
        <w:t xml:space="preserve"> </w:t>
      </w:r>
      <w:r w:rsidR="008D3FC9">
        <w:rPr>
          <w:rFonts w:ascii="Arial" w:eastAsia="Times New Roman" w:hAnsi="Arial" w:cs="Arial"/>
        </w:rPr>
        <w:t xml:space="preserve">therefore </w:t>
      </w:r>
      <w:r w:rsidR="00B35A15">
        <w:rPr>
          <w:rFonts w:ascii="Arial" w:eastAsia="Times New Roman" w:hAnsi="Arial" w:cs="Arial"/>
        </w:rPr>
        <w:t xml:space="preserve">central to assessing their best interest and the </w:t>
      </w:r>
      <w:r w:rsidR="00F87239">
        <w:rPr>
          <w:rFonts w:ascii="Arial" w:eastAsia="Times New Roman" w:hAnsi="Arial" w:cs="Arial"/>
        </w:rPr>
        <w:t>‘</w:t>
      </w:r>
      <w:r w:rsidR="00B35A15">
        <w:rPr>
          <w:rFonts w:ascii="Arial" w:eastAsia="Times New Roman" w:hAnsi="Arial" w:cs="Arial"/>
        </w:rPr>
        <w:t>views of the child must also be given due weight based on his or her age and maturity</w:t>
      </w:r>
      <w:r w:rsidR="00AC78F1">
        <w:rPr>
          <w:rFonts w:ascii="Arial" w:eastAsia="Times New Roman" w:hAnsi="Arial" w:cs="Arial"/>
        </w:rPr>
        <w:t>…</w:t>
      </w:r>
      <w:r w:rsidR="00B35A15" w:rsidRPr="00AC78F1">
        <w:rPr>
          <w:rFonts w:ascii="Arial" w:eastAsia="Times New Roman" w:hAnsi="Arial" w:cs="Arial"/>
        </w:rPr>
        <w:t xml:space="preserve"> and be allowed, when possible, to give their consent in an informed manner</w:t>
      </w:r>
      <w:r w:rsidR="00F87239">
        <w:rPr>
          <w:rFonts w:ascii="Arial" w:eastAsia="Times New Roman" w:hAnsi="Arial" w:cs="Arial"/>
        </w:rPr>
        <w:t>’</w:t>
      </w:r>
      <w:r w:rsidR="00AC78F1">
        <w:rPr>
          <w:rFonts w:ascii="Arial" w:eastAsia="Times New Roman" w:hAnsi="Arial" w:cs="Arial"/>
        </w:rPr>
        <w:t>.</w:t>
      </w:r>
      <w:r w:rsidR="00AC78F1">
        <w:rPr>
          <w:rStyle w:val="EndnoteReference"/>
          <w:rFonts w:eastAsia="Times New Roman" w:cs="Arial"/>
        </w:rPr>
        <w:endnoteReference w:id="114"/>
      </w:r>
    </w:p>
    <w:p w14:paraId="4634FCE6" w14:textId="6B377B6B" w:rsidR="001E7638" w:rsidRPr="00446928" w:rsidRDefault="00FF7032"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 Senate Committee considered w</w:t>
      </w:r>
      <w:r w:rsidR="001E7638" w:rsidRPr="00446928">
        <w:rPr>
          <w:rFonts w:ascii="Arial" w:eastAsia="Times New Roman" w:hAnsi="Arial" w:cs="Arial"/>
        </w:rPr>
        <w:t xml:space="preserve">hether authorisation for these procedures should come under the jurisdiction of the Family Court. </w:t>
      </w:r>
      <w:r w:rsidRPr="00446928">
        <w:rPr>
          <w:rFonts w:ascii="Arial" w:eastAsia="Times New Roman" w:hAnsi="Arial" w:cs="Arial"/>
        </w:rPr>
        <w:t xml:space="preserve">It </w:t>
      </w:r>
      <w:r w:rsidR="001E7638" w:rsidRPr="00446928">
        <w:rPr>
          <w:rFonts w:ascii="Arial" w:eastAsia="Times New Roman" w:hAnsi="Arial" w:cs="Arial"/>
        </w:rPr>
        <w:t xml:space="preserve">was persuaded that tribunals would be a more accessible and cost-effective option to hear such cases; however, it was reluctant to close off the </w:t>
      </w:r>
      <w:r w:rsidR="00F87239">
        <w:rPr>
          <w:rFonts w:ascii="Arial" w:eastAsia="Times New Roman" w:hAnsi="Arial" w:cs="Arial"/>
        </w:rPr>
        <w:t>‘</w:t>
      </w:r>
      <w:r w:rsidR="001E7638" w:rsidRPr="00446928">
        <w:rPr>
          <w:rFonts w:ascii="Arial" w:eastAsia="Times New Roman" w:hAnsi="Arial" w:cs="Arial"/>
        </w:rPr>
        <w:t>avenue of expertise</w:t>
      </w:r>
      <w:r w:rsidR="00F87239">
        <w:rPr>
          <w:rFonts w:ascii="Arial" w:eastAsia="Times New Roman" w:hAnsi="Arial" w:cs="Arial"/>
        </w:rPr>
        <w:t>’</w:t>
      </w:r>
      <w:r w:rsidR="001E7638" w:rsidRPr="00446928">
        <w:rPr>
          <w:rFonts w:ascii="Arial" w:eastAsia="Times New Roman" w:hAnsi="Arial" w:cs="Arial"/>
        </w:rPr>
        <w:t xml:space="preserve"> offered by the Family Court in cases of </w:t>
      </w:r>
      <w:r w:rsidR="00F87239">
        <w:rPr>
          <w:rFonts w:ascii="Arial" w:eastAsia="Times New Roman" w:hAnsi="Arial" w:cs="Arial"/>
        </w:rPr>
        <w:t>‘</w:t>
      </w:r>
      <w:r w:rsidR="001E7638" w:rsidRPr="00446928">
        <w:rPr>
          <w:rFonts w:ascii="Arial" w:eastAsia="Times New Roman" w:hAnsi="Arial" w:cs="Arial"/>
        </w:rPr>
        <w:t>particular legal complexity</w:t>
      </w:r>
      <w:r w:rsidR="00F87239">
        <w:rPr>
          <w:rFonts w:ascii="Arial" w:eastAsia="Times New Roman" w:hAnsi="Arial" w:cs="Arial"/>
        </w:rPr>
        <w:t>’</w:t>
      </w:r>
      <w:r w:rsidR="001E7638" w:rsidRPr="00446928">
        <w:rPr>
          <w:rFonts w:ascii="Arial" w:eastAsia="Times New Roman" w:hAnsi="Arial" w:cs="Arial"/>
        </w:rPr>
        <w:t>.</w:t>
      </w:r>
      <w:r w:rsidR="00B42525" w:rsidRPr="00030F1B">
        <w:rPr>
          <w:rFonts w:ascii="Arial" w:hAnsi="Arial" w:cs="Arial"/>
          <w:sz w:val="20"/>
          <w:vertAlign w:val="superscript"/>
        </w:rPr>
        <w:endnoteReference w:id="115"/>
      </w:r>
      <w:r w:rsidR="001E7638" w:rsidRPr="00446928">
        <w:rPr>
          <w:rFonts w:ascii="Arial" w:eastAsia="Times New Roman" w:hAnsi="Arial" w:cs="Arial"/>
        </w:rPr>
        <w:t xml:space="preserve"> Accordingly, the Committee recommended that </w:t>
      </w:r>
      <w:r w:rsidR="00F87239">
        <w:rPr>
          <w:rFonts w:ascii="Arial" w:eastAsia="Times New Roman" w:hAnsi="Arial" w:cs="Arial"/>
        </w:rPr>
        <w:t>‘</w:t>
      </w:r>
      <w:r w:rsidR="001E7638" w:rsidRPr="00446928">
        <w:rPr>
          <w:rFonts w:ascii="Arial" w:eastAsia="Times New Roman" w:hAnsi="Arial" w:cs="Arial"/>
        </w:rPr>
        <w:t>all proposed intersex medical interventions for children and adults without the capacity of consent require authorisation from a civil and administrative tribunal or the Family Court</w:t>
      </w:r>
      <w:r w:rsidR="00F87239">
        <w:rPr>
          <w:rFonts w:ascii="Arial" w:eastAsia="Times New Roman" w:hAnsi="Arial" w:cs="Arial"/>
        </w:rPr>
        <w:t>’</w:t>
      </w:r>
      <w:r w:rsidR="001E7638" w:rsidRPr="00446928">
        <w:rPr>
          <w:rFonts w:ascii="Arial" w:eastAsia="Times New Roman" w:hAnsi="Arial" w:cs="Arial"/>
        </w:rPr>
        <w:t>.</w:t>
      </w:r>
      <w:r w:rsidR="00B42525" w:rsidRPr="00030F1B">
        <w:rPr>
          <w:rFonts w:ascii="Arial" w:hAnsi="Arial" w:cs="Arial"/>
          <w:sz w:val="20"/>
          <w:vertAlign w:val="superscript"/>
        </w:rPr>
        <w:endnoteReference w:id="116"/>
      </w:r>
    </w:p>
    <w:p w14:paraId="79D6D765" w14:textId="21CAED10" w:rsidR="00E73644"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Other organisations have suggested different approaches. For example</w:t>
      </w:r>
      <w:r w:rsidR="00E73644" w:rsidRPr="00446928">
        <w:rPr>
          <w:rFonts w:ascii="Arial" w:eastAsia="Times New Roman" w:hAnsi="Arial" w:cs="Arial"/>
        </w:rPr>
        <w:t>:</w:t>
      </w:r>
      <w:r w:rsidRPr="00446928">
        <w:rPr>
          <w:rFonts w:ascii="Arial" w:eastAsia="Times New Roman" w:hAnsi="Arial" w:cs="Arial"/>
        </w:rPr>
        <w:t xml:space="preserve"> </w:t>
      </w:r>
    </w:p>
    <w:p w14:paraId="421247B6" w14:textId="64832F19" w:rsidR="00E73644" w:rsidRPr="00446928" w:rsidRDefault="001E7638" w:rsidP="00B42525">
      <w:pPr>
        <w:pStyle w:val="ListParagraph"/>
        <w:numPr>
          <w:ilvl w:val="1"/>
          <w:numId w:val="15"/>
        </w:numPr>
        <w:spacing w:before="240" w:after="240" w:line="240" w:lineRule="auto"/>
        <w:rPr>
          <w:rFonts w:ascii="Arial" w:hAnsi="Arial" w:cs="Arial"/>
        </w:rPr>
      </w:pPr>
      <w:r w:rsidRPr="00446928">
        <w:rPr>
          <w:rFonts w:ascii="Arial" w:hAnsi="Arial" w:cs="Arial"/>
        </w:rPr>
        <w:t>the National LGBTI Health Alliance proposed the creation of a national statutory body in the form of an expert tribunal that includes intersex people and intersex-led community organisations to replace the Family Court in decision-making about medical interventions involving children with congenital variations in sex characteristics</w:t>
      </w:r>
      <w:r w:rsidR="00E73644" w:rsidRPr="00446928">
        <w:rPr>
          <w:rFonts w:ascii="Arial" w:hAnsi="Arial" w:cs="Arial"/>
        </w:rPr>
        <w:t>;</w:t>
      </w:r>
      <w:r w:rsidR="00B42525" w:rsidRPr="00030F1B">
        <w:rPr>
          <w:rFonts w:ascii="Arial" w:hAnsi="Arial" w:cs="Arial"/>
          <w:sz w:val="20"/>
          <w:vertAlign w:val="superscript"/>
        </w:rPr>
        <w:endnoteReference w:id="117"/>
      </w:r>
    </w:p>
    <w:p w14:paraId="5255DB12" w14:textId="10D12A58" w:rsidR="00E73644" w:rsidRPr="00446928" w:rsidRDefault="001E7638" w:rsidP="00B42525">
      <w:pPr>
        <w:pStyle w:val="ListParagraph"/>
        <w:numPr>
          <w:ilvl w:val="1"/>
          <w:numId w:val="15"/>
        </w:numPr>
        <w:spacing w:before="240" w:after="240" w:line="240" w:lineRule="auto"/>
        <w:rPr>
          <w:rFonts w:ascii="Arial" w:hAnsi="Arial" w:cs="Arial"/>
        </w:rPr>
      </w:pPr>
      <w:r w:rsidRPr="00446928">
        <w:rPr>
          <w:rFonts w:ascii="Arial" w:hAnsi="Arial" w:cs="Arial"/>
        </w:rPr>
        <w:t>Organisation Intersex International Australia</w:t>
      </w:r>
      <w:r w:rsidR="00D8404A">
        <w:rPr>
          <w:rFonts w:ascii="Arial" w:hAnsi="Arial" w:cs="Arial"/>
        </w:rPr>
        <w:t xml:space="preserve"> (now Intersex Human Rights Australia)</w:t>
      </w:r>
      <w:r w:rsidRPr="00446928">
        <w:rPr>
          <w:rFonts w:ascii="Arial" w:hAnsi="Arial" w:cs="Arial"/>
        </w:rPr>
        <w:t xml:space="preserve"> recommended the creation of an expert tribunal</w:t>
      </w:r>
      <w:r w:rsidR="00E73644" w:rsidRPr="00446928">
        <w:rPr>
          <w:rFonts w:ascii="Arial" w:hAnsi="Arial" w:cs="Arial"/>
        </w:rPr>
        <w:t>;</w:t>
      </w:r>
      <w:r w:rsidR="00B42525" w:rsidRPr="00B42525">
        <w:rPr>
          <w:rFonts w:ascii="Arial" w:hAnsi="Arial" w:cs="Arial"/>
          <w:sz w:val="20"/>
          <w:vertAlign w:val="superscript"/>
        </w:rPr>
        <w:t xml:space="preserve"> </w:t>
      </w:r>
      <w:r w:rsidR="00B42525" w:rsidRPr="00030F1B">
        <w:rPr>
          <w:rFonts w:ascii="Arial" w:hAnsi="Arial" w:cs="Arial"/>
          <w:sz w:val="20"/>
          <w:vertAlign w:val="superscript"/>
        </w:rPr>
        <w:endnoteReference w:id="118"/>
      </w:r>
    </w:p>
    <w:p w14:paraId="42C22618" w14:textId="50E2DE14" w:rsidR="001E7638" w:rsidRDefault="001E7638" w:rsidP="00B42525">
      <w:pPr>
        <w:pStyle w:val="ListParagraph"/>
        <w:numPr>
          <w:ilvl w:val="1"/>
          <w:numId w:val="15"/>
        </w:numPr>
        <w:spacing w:before="240" w:after="240" w:line="240" w:lineRule="auto"/>
        <w:rPr>
          <w:rFonts w:ascii="Arial" w:hAnsi="Arial" w:cs="Arial"/>
        </w:rPr>
      </w:pPr>
      <w:proofErr w:type="gramStart"/>
      <w:r w:rsidRPr="00446928">
        <w:rPr>
          <w:rFonts w:ascii="Arial" w:hAnsi="Arial" w:cs="Arial"/>
        </w:rPr>
        <w:t>the</w:t>
      </w:r>
      <w:proofErr w:type="gramEnd"/>
      <w:r w:rsidRPr="00446928">
        <w:rPr>
          <w:rFonts w:ascii="Arial" w:hAnsi="Arial" w:cs="Arial"/>
        </w:rPr>
        <w:t xml:space="preserve"> Australian Paediatric Endocrine Group </w:t>
      </w:r>
      <w:r w:rsidR="00CB43E5">
        <w:rPr>
          <w:rFonts w:ascii="Arial" w:hAnsi="Arial" w:cs="Arial"/>
        </w:rPr>
        <w:t xml:space="preserve">(APEG) </w:t>
      </w:r>
      <w:r w:rsidRPr="00446928">
        <w:rPr>
          <w:rFonts w:ascii="Arial" w:hAnsi="Arial" w:cs="Arial"/>
        </w:rPr>
        <w:t xml:space="preserve">suggested </w:t>
      </w:r>
      <w:r w:rsidR="00420E59">
        <w:rPr>
          <w:rFonts w:ascii="Arial" w:hAnsi="Arial" w:cs="Arial"/>
        </w:rPr>
        <w:t>the funding of</w:t>
      </w:r>
      <w:r w:rsidR="00420E59" w:rsidRPr="00446928">
        <w:rPr>
          <w:rFonts w:ascii="Arial" w:hAnsi="Arial" w:cs="Arial"/>
        </w:rPr>
        <w:t xml:space="preserve"> </w:t>
      </w:r>
      <w:r w:rsidRPr="00446928">
        <w:rPr>
          <w:rFonts w:ascii="Arial" w:hAnsi="Arial" w:cs="Arial"/>
        </w:rPr>
        <w:t>expert multidisciplinary management team</w:t>
      </w:r>
      <w:r w:rsidR="00420E59">
        <w:rPr>
          <w:rFonts w:ascii="Arial" w:hAnsi="Arial" w:cs="Arial"/>
        </w:rPr>
        <w:t>s</w:t>
      </w:r>
      <w:r w:rsidRPr="00446928">
        <w:rPr>
          <w:rFonts w:ascii="Arial" w:hAnsi="Arial" w:cs="Arial"/>
        </w:rPr>
        <w:t xml:space="preserve"> </w:t>
      </w:r>
      <w:r w:rsidR="00420E59">
        <w:rPr>
          <w:rFonts w:ascii="Arial" w:hAnsi="Arial" w:cs="Arial"/>
        </w:rPr>
        <w:t>and the creation of formal processes requiring children with DSD to be</w:t>
      </w:r>
      <w:r w:rsidR="00CB43E5">
        <w:rPr>
          <w:rFonts w:ascii="Arial" w:hAnsi="Arial" w:cs="Arial"/>
        </w:rPr>
        <w:t xml:space="preserve"> reviewed by one of these teams</w:t>
      </w:r>
      <w:r w:rsidRPr="00446928">
        <w:rPr>
          <w:rFonts w:ascii="Arial" w:hAnsi="Arial" w:cs="Arial"/>
        </w:rPr>
        <w:t>.</w:t>
      </w:r>
      <w:r w:rsidR="00B42525" w:rsidRPr="00030F1B">
        <w:rPr>
          <w:rFonts w:ascii="Arial" w:hAnsi="Arial" w:cs="Arial"/>
          <w:sz w:val="20"/>
          <w:vertAlign w:val="superscript"/>
        </w:rPr>
        <w:endnoteReference w:id="119"/>
      </w:r>
      <w:r w:rsidRPr="00446928">
        <w:rPr>
          <w:rFonts w:ascii="Arial" w:hAnsi="Arial" w:cs="Arial"/>
        </w:rPr>
        <w:t xml:space="preserve"> </w:t>
      </w:r>
      <w:r w:rsidR="005A677F">
        <w:rPr>
          <w:rFonts w:ascii="Arial" w:hAnsi="Arial" w:cs="Arial"/>
        </w:rPr>
        <w:t xml:space="preserve"> </w:t>
      </w:r>
    </w:p>
    <w:p w14:paraId="7701FCE4" w14:textId="04DAF56C" w:rsidR="00A70EBD" w:rsidRDefault="00CB43E5" w:rsidP="00B42525">
      <w:pPr>
        <w:pStyle w:val="ListParagraph"/>
        <w:numPr>
          <w:ilvl w:val="1"/>
          <w:numId w:val="15"/>
        </w:numPr>
        <w:spacing w:before="240" w:after="240" w:line="240" w:lineRule="auto"/>
        <w:rPr>
          <w:rFonts w:ascii="Arial" w:hAnsi="Arial" w:cs="Arial"/>
        </w:rPr>
      </w:pPr>
      <w:proofErr w:type="gramStart"/>
      <w:r>
        <w:rPr>
          <w:rFonts w:ascii="Arial" w:hAnsi="Arial" w:cs="Arial"/>
        </w:rPr>
        <w:t>t</w:t>
      </w:r>
      <w:r w:rsidR="00A70EBD">
        <w:rPr>
          <w:rFonts w:ascii="Arial" w:hAnsi="Arial" w:cs="Arial"/>
        </w:rPr>
        <w:t>he</w:t>
      </w:r>
      <w:proofErr w:type="gramEnd"/>
      <w:r w:rsidR="00A70EBD">
        <w:rPr>
          <w:rFonts w:ascii="Arial" w:hAnsi="Arial" w:cs="Arial"/>
        </w:rPr>
        <w:t xml:space="preserve"> Melbourne Royal Children</w:t>
      </w:r>
      <w:r w:rsidR="00F87239">
        <w:rPr>
          <w:rFonts w:ascii="Arial" w:hAnsi="Arial" w:cs="Arial"/>
        </w:rPr>
        <w:t>’</w:t>
      </w:r>
      <w:r w:rsidR="00A70EBD">
        <w:rPr>
          <w:rFonts w:ascii="Arial" w:hAnsi="Arial" w:cs="Arial"/>
        </w:rPr>
        <w:t>s Hospital also note</w:t>
      </w:r>
      <w:r w:rsidR="00D8404A">
        <w:rPr>
          <w:rFonts w:ascii="Arial" w:hAnsi="Arial" w:cs="Arial"/>
        </w:rPr>
        <w:t>d</w:t>
      </w:r>
      <w:r w:rsidR="00A70EBD">
        <w:rPr>
          <w:rFonts w:ascii="Arial" w:hAnsi="Arial" w:cs="Arial"/>
        </w:rPr>
        <w:t xml:space="preserve"> that the care of someone with a DSD requires a multidisciplinary team to provide support and care for them and </w:t>
      </w:r>
      <w:r w:rsidR="00D56C47">
        <w:rPr>
          <w:rFonts w:ascii="Arial" w:hAnsi="Arial" w:cs="Arial"/>
        </w:rPr>
        <w:t>their</w:t>
      </w:r>
      <w:r w:rsidR="00A70EBD">
        <w:rPr>
          <w:rFonts w:ascii="Arial" w:hAnsi="Arial" w:cs="Arial"/>
        </w:rPr>
        <w:t xml:space="preserve"> family.</w:t>
      </w:r>
      <w:r w:rsidR="00A70EBD">
        <w:rPr>
          <w:rStyle w:val="EndnoteReference"/>
          <w:rFonts w:cs="Arial"/>
        </w:rPr>
        <w:endnoteReference w:id="120"/>
      </w:r>
      <w:r w:rsidR="00A70EBD" w:rsidRPr="00A70EBD">
        <w:rPr>
          <w:rFonts w:ascii="Arial" w:hAnsi="Arial" w:cs="Arial"/>
        </w:rPr>
        <w:t xml:space="preserve"> </w:t>
      </w:r>
      <w:r w:rsidR="00A70EBD">
        <w:rPr>
          <w:rFonts w:ascii="Arial" w:hAnsi="Arial" w:cs="Arial"/>
        </w:rPr>
        <w:t xml:space="preserve">In 2015, a DSD clinical coordinator </w:t>
      </w:r>
      <w:proofErr w:type="gramStart"/>
      <w:r w:rsidR="00A70EBD">
        <w:rPr>
          <w:rFonts w:ascii="Arial" w:hAnsi="Arial" w:cs="Arial"/>
        </w:rPr>
        <w:t>was appointed</w:t>
      </w:r>
      <w:proofErr w:type="gramEnd"/>
      <w:r w:rsidR="00A70EBD">
        <w:rPr>
          <w:rFonts w:ascii="Arial" w:hAnsi="Arial" w:cs="Arial"/>
        </w:rPr>
        <w:t xml:space="preserve"> at the Royal Children</w:t>
      </w:r>
      <w:r w:rsidR="00F87239">
        <w:rPr>
          <w:rFonts w:ascii="Arial" w:hAnsi="Arial" w:cs="Arial"/>
        </w:rPr>
        <w:t>’</w:t>
      </w:r>
      <w:r w:rsidR="00A70EBD">
        <w:rPr>
          <w:rFonts w:ascii="Arial" w:hAnsi="Arial" w:cs="Arial"/>
        </w:rPr>
        <w:t>s Hospital in Melbourne to manage the provision of care by the multidisciplinary team.</w:t>
      </w:r>
      <w:r w:rsidR="00A70EBD">
        <w:rPr>
          <w:rStyle w:val="EndnoteReference"/>
          <w:rFonts w:cs="Arial"/>
        </w:rPr>
        <w:endnoteReference w:id="121"/>
      </w:r>
      <w:r w:rsidR="00A70EBD">
        <w:rPr>
          <w:rFonts w:ascii="Arial" w:hAnsi="Arial" w:cs="Arial"/>
        </w:rPr>
        <w:t xml:space="preserve">  </w:t>
      </w:r>
    </w:p>
    <w:p w14:paraId="1F802213" w14:textId="710864C4" w:rsidR="008231A8" w:rsidRDefault="00CB43E5" w:rsidP="00B42525">
      <w:pPr>
        <w:pStyle w:val="ListParagraph"/>
        <w:numPr>
          <w:ilvl w:val="1"/>
          <w:numId w:val="15"/>
        </w:numPr>
        <w:spacing w:before="240" w:after="240" w:line="240" w:lineRule="auto"/>
        <w:rPr>
          <w:rFonts w:ascii="Arial" w:hAnsi="Arial" w:cs="Arial"/>
        </w:rPr>
      </w:pPr>
      <w:proofErr w:type="gramStart"/>
      <w:r>
        <w:rPr>
          <w:rFonts w:ascii="Arial" w:hAnsi="Arial" w:cs="Arial"/>
        </w:rPr>
        <w:t>t</w:t>
      </w:r>
      <w:r w:rsidR="008231A8">
        <w:rPr>
          <w:rFonts w:ascii="Arial" w:hAnsi="Arial" w:cs="Arial"/>
        </w:rPr>
        <w:t>he</w:t>
      </w:r>
      <w:proofErr w:type="gramEnd"/>
      <w:r w:rsidR="008231A8">
        <w:rPr>
          <w:rFonts w:ascii="Arial" w:hAnsi="Arial" w:cs="Arial"/>
        </w:rPr>
        <w:t xml:space="preserve"> Victorian decision-making principles</w:t>
      </w:r>
      <w:r w:rsidR="000A71DB">
        <w:rPr>
          <w:rFonts w:ascii="Arial" w:hAnsi="Arial" w:cs="Arial"/>
        </w:rPr>
        <w:t xml:space="preserve"> suggest balancing medical principles, human rights principles, ethical principles and legal principles in a robust, transparent and consistent way</w:t>
      </w:r>
      <w:r w:rsidR="00B27C89">
        <w:rPr>
          <w:rFonts w:ascii="Arial" w:hAnsi="Arial" w:cs="Arial"/>
        </w:rPr>
        <w:t>.</w:t>
      </w:r>
      <w:r w:rsidR="009613B4">
        <w:rPr>
          <w:rStyle w:val="EndnoteReference"/>
          <w:rFonts w:cs="Arial"/>
        </w:rPr>
        <w:endnoteReference w:id="122"/>
      </w:r>
    </w:p>
    <w:p w14:paraId="206BD8B4" w14:textId="52F727F0" w:rsidR="005A677F" w:rsidRDefault="005A677F" w:rsidP="005A677F">
      <w:pPr>
        <w:numPr>
          <w:ilvl w:val="0"/>
          <w:numId w:val="15"/>
        </w:numPr>
        <w:spacing w:before="240" w:after="240" w:line="240" w:lineRule="auto"/>
        <w:ind w:hanging="720"/>
        <w:rPr>
          <w:rFonts w:ascii="Arial" w:eastAsia="Times New Roman" w:hAnsi="Arial" w:cs="Arial"/>
        </w:rPr>
      </w:pPr>
      <w:r>
        <w:rPr>
          <w:rFonts w:ascii="Arial" w:hAnsi="Arial" w:cs="Arial"/>
        </w:rPr>
        <w:t xml:space="preserve">APEG </w:t>
      </w:r>
      <w:r w:rsidR="00D56C47">
        <w:rPr>
          <w:rFonts w:ascii="Arial" w:hAnsi="Arial" w:cs="Arial"/>
        </w:rPr>
        <w:t>suggests</w:t>
      </w:r>
      <w:r>
        <w:rPr>
          <w:rFonts w:ascii="Arial" w:hAnsi="Arial" w:cs="Arial"/>
        </w:rPr>
        <w:t xml:space="preserve"> that multidisciplinary m</w:t>
      </w:r>
      <w:r w:rsidR="00B27C89">
        <w:rPr>
          <w:rFonts w:ascii="Arial" w:hAnsi="Arial" w:cs="Arial"/>
        </w:rPr>
        <w:t xml:space="preserve">anagement teams may comprise </w:t>
      </w:r>
      <w:r>
        <w:rPr>
          <w:rFonts w:ascii="Arial" w:hAnsi="Arial" w:cs="Arial"/>
        </w:rPr>
        <w:t xml:space="preserve">endocrinologists, urologists, gynaecologists, psychologists, geneticists, biochemists, and bioethicists. Intersex advocates have also suggested the inclusion of human rights specialists, child advocates and independent intersex community representatives </w:t>
      </w:r>
      <w:r w:rsidR="00AB2D77">
        <w:rPr>
          <w:rFonts w:ascii="Arial" w:hAnsi="Arial" w:cs="Arial"/>
        </w:rPr>
        <w:t>with</w:t>
      </w:r>
      <w:r>
        <w:rPr>
          <w:rFonts w:ascii="Arial" w:hAnsi="Arial" w:cs="Arial"/>
        </w:rPr>
        <w:t>in these teams.</w:t>
      </w:r>
      <w:r>
        <w:rPr>
          <w:rStyle w:val="EndnoteReference"/>
          <w:rFonts w:cs="Arial"/>
        </w:rPr>
        <w:endnoteReference w:id="123"/>
      </w:r>
      <w:r w:rsidR="00343A2F">
        <w:rPr>
          <w:rFonts w:ascii="Arial" w:hAnsi="Arial" w:cs="Arial"/>
        </w:rPr>
        <w:t xml:space="preserve"> </w:t>
      </w:r>
      <w:r w:rsidR="00D56C47">
        <w:rPr>
          <w:rFonts w:ascii="Arial" w:hAnsi="Arial" w:cs="Arial"/>
        </w:rPr>
        <w:t xml:space="preserve">Collaboration with </w:t>
      </w:r>
      <w:r w:rsidR="002D6BD6">
        <w:rPr>
          <w:rFonts w:ascii="Arial" w:hAnsi="Arial" w:cs="Arial"/>
        </w:rPr>
        <w:t xml:space="preserve">peer support groups </w:t>
      </w:r>
      <w:proofErr w:type="gramStart"/>
      <w:r w:rsidR="002D6BD6">
        <w:rPr>
          <w:rFonts w:ascii="Arial" w:hAnsi="Arial" w:cs="Arial"/>
        </w:rPr>
        <w:t>was also noted</w:t>
      </w:r>
      <w:proofErr w:type="gramEnd"/>
      <w:r w:rsidR="002D6BD6">
        <w:rPr>
          <w:rFonts w:ascii="Arial" w:hAnsi="Arial" w:cs="Arial"/>
        </w:rPr>
        <w:t xml:space="preserve"> as crucial in the 2016 Consensus Statement update.</w:t>
      </w:r>
      <w:r w:rsidR="002D6BD6">
        <w:rPr>
          <w:rStyle w:val="EndnoteReference"/>
          <w:rFonts w:cs="Arial"/>
        </w:rPr>
        <w:endnoteReference w:id="124"/>
      </w:r>
      <w:r w:rsidR="002D6BD6">
        <w:rPr>
          <w:rFonts w:ascii="Arial" w:hAnsi="Arial" w:cs="Arial"/>
        </w:rPr>
        <w:t xml:space="preserve"> </w:t>
      </w:r>
    </w:p>
    <w:p w14:paraId="7A26CF65" w14:textId="3041ECF5" w:rsidR="001E763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 the recent Darlington Statement, intersex advocates declared that the Family Court system has </w:t>
      </w:r>
      <w:r w:rsidR="00F87239">
        <w:rPr>
          <w:rFonts w:ascii="Arial" w:eastAsia="Times New Roman" w:hAnsi="Arial" w:cs="Arial"/>
        </w:rPr>
        <w:t>‘</w:t>
      </w:r>
      <w:r w:rsidRPr="00446928">
        <w:rPr>
          <w:rFonts w:ascii="Arial" w:eastAsia="Times New Roman" w:hAnsi="Arial" w:cs="Arial"/>
        </w:rPr>
        <w:t>failed to adequately consider the human rights and autonomy of children born with variations of sex characteristics, and the repercussions of medical interventions on individuals and their families</w:t>
      </w:r>
      <w:r w:rsidR="00F87239">
        <w:rPr>
          <w:rFonts w:ascii="Arial" w:eastAsia="Times New Roman" w:hAnsi="Arial" w:cs="Arial"/>
        </w:rPr>
        <w:t>’</w:t>
      </w:r>
      <w:r w:rsidRPr="00446928">
        <w:rPr>
          <w:rFonts w:ascii="Arial" w:eastAsia="Times New Roman" w:hAnsi="Arial" w:cs="Arial"/>
        </w:rPr>
        <w:t>.</w:t>
      </w:r>
      <w:r w:rsidR="00237B58" w:rsidRPr="00030F1B">
        <w:rPr>
          <w:rFonts w:ascii="Arial" w:eastAsia="Times New Roman" w:hAnsi="Arial" w:cs="Arial"/>
          <w:sz w:val="20"/>
          <w:vertAlign w:val="superscript"/>
        </w:rPr>
        <w:endnoteReference w:id="125"/>
      </w:r>
      <w:r w:rsidRPr="00446928">
        <w:rPr>
          <w:rFonts w:ascii="Arial" w:eastAsia="Times New Roman" w:hAnsi="Arial" w:cs="Arial"/>
        </w:rPr>
        <w:t xml:space="preserve"> In place of the Court, the authors called for an </w:t>
      </w:r>
      <w:r w:rsidR="00F87239">
        <w:rPr>
          <w:rFonts w:ascii="Arial" w:eastAsia="Times New Roman" w:hAnsi="Arial" w:cs="Arial"/>
        </w:rPr>
        <w:t>‘</w:t>
      </w:r>
      <w:r w:rsidRPr="00446928">
        <w:rPr>
          <w:rFonts w:ascii="Arial" w:eastAsia="Times New Roman" w:hAnsi="Arial" w:cs="Arial"/>
        </w:rPr>
        <w:t>alternative, independent effective human rights-based oversight mechanism/s to determine individual cases involving persons born with intersex variations who are unable to consent to treatment</w:t>
      </w:r>
      <w:r w:rsidR="00F87239">
        <w:rPr>
          <w:rFonts w:ascii="Arial" w:eastAsia="Times New Roman" w:hAnsi="Arial" w:cs="Arial"/>
        </w:rPr>
        <w:t>’</w:t>
      </w:r>
      <w:r w:rsidRPr="00446928">
        <w:rPr>
          <w:rFonts w:ascii="Arial" w:eastAsia="Times New Roman" w:hAnsi="Arial" w:cs="Arial"/>
        </w:rPr>
        <w:t xml:space="preserve">, consisting of </w:t>
      </w:r>
      <w:r w:rsidR="00F87239">
        <w:rPr>
          <w:rFonts w:ascii="Arial" w:eastAsia="Times New Roman" w:hAnsi="Arial" w:cs="Arial"/>
        </w:rPr>
        <w:t>‘</w:t>
      </w:r>
      <w:r w:rsidRPr="00446928">
        <w:rPr>
          <w:rFonts w:ascii="Arial" w:eastAsia="Times New Roman" w:hAnsi="Arial" w:cs="Arial"/>
        </w:rPr>
        <w:t>human rights experts, clinicians and intersex-led community organisations</w:t>
      </w:r>
      <w:r w:rsidR="00F87239">
        <w:rPr>
          <w:rFonts w:ascii="Arial" w:eastAsia="Times New Roman" w:hAnsi="Arial" w:cs="Arial"/>
        </w:rPr>
        <w:t>’</w:t>
      </w:r>
      <w:r w:rsidRPr="00446928">
        <w:rPr>
          <w:rFonts w:ascii="Arial" w:eastAsia="Times New Roman" w:hAnsi="Arial" w:cs="Arial"/>
        </w:rPr>
        <w:t>.</w:t>
      </w:r>
      <w:r w:rsidR="00237B58" w:rsidRPr="00030F1B">
        <w:rPr>
          <w:rFonts w:ascii="Arial" w:hAnsi="Arial" w:cs="Arial"/>
          <w:sz w:val="20"/>
          <w:vertAlign w:val="superscript"/>
        </w:rPr>
        <w:endnoteReference w:id="126"/>
      </w:r>
      <w:r w:rsidRPr="00446928">
        <w:rPr>
          <w:rFonts w:ascii="Arial" w:eastAsia="Times New Roman" w:hAnsi="Arial" w:cs="Arial"/>
        </w:rPr>
        <w:t xml:space="preserve"> </w:t>
      </w:r>
    </w:p>
    <w:p w14:paraId="040786DB" w14:textId="23B9B426" w:rsidR="000D35FD" w:rsidRPr="005A5E8F" w:rsidRDefault="000D35FD" w:rsidP="005A5E8F">
      <w:pPr>
        <w:numPr>
          <w:ilvl w:val="0"/>
          <w:numId w:val="15"/>
        </w:numPr>
        <w:spacing w:before="240" w:after="240" w:line="240" w:lineRule="auto"/>
        <w:ind w:hanging="720"/>
        <w:rPr>
          <w:rFonts w:ascii="Arial" w:eastAsia="Times New Roman" w:hAnsi="Arial" w:cs="Arial"/>
        </w:rPr>
      </w:pPr>
      <w:r>
        <w:rPr>
          <w:rFonts w:ascii="Arial" w:eastAsia="Times New Roman" w:hAnsi="Arial" w:cs="Arial"/>
        </w:rPr>
        <w:lastRenderedPageBreak/>
        <w:t>Regardless of whether</w:t>
      </w:r>
      <w:r w:rsidR="00AB2D77">
        <w:rPr>
          <w:rFonts w:ascii="Arial" w:eastAsia="Times New Roman" w:hAnsi="Arial" w:cs="Arial"/>
        </w:rPr>
        <w:t xml:space="preserve"> decisions made on behalf of a child </w:t>
      </w:r>
      <w:proofErr w:type="gramStart"/>
      <w:r w:rsidR="00AB2D77">
        <w:rPr>
          <w:rFonts w:ascii="Arial" w:eastAsia="Times New Roman" w:hAnsi="Arial" w:cs="Arial"/>
        </w:rPr>
        <w:t>are made</w:t>
      </w:r>
      <w:proofErr w:type="gramEnd"/>
      <w:r w:rsidR="00AB2D77">
        <w:rPr>
          <w:rFonts w:ascii="Arial" w:eastAsia="Times New Roman" w:hAnsi="Arial" w:cs="Arial"/>
        </w:rPr>
        <w:t xml:space="preserve"> by parents or carers,</w:t>
      </w:r>
      <w:r>
        <w:rPr>
          <w:rFonts w:ascii="Arial" w:eastAsia="Times New Roman" w:hAnsi="Arial" w:cs="Arial"/>
        </w:rPr>
        <w:t xml:space="preserve"> the Family Court</w:t>
      </w:r>
      <w:r w:rsidR="00327C65">
        <w:rPr>
          <w:rFonts w:ascii="Arial" w:eastAsia="Times New Roman" w:hAnsi="Arial" w:cs="Arial"/>
        </w:rPr>
        <w:t>,</w:t>
      </w:r>
      <w:r>
        <w:rPr>
          <w:rFonts w:ascii="Arial" w:eastAsia="Times New Roman" w:hAnsi="Arial" w:cs="Arial"/>
        </w:rPr>
        <w:t xml:space="preserve"> or another </w:t>
      </w:r>
      <w:r w:rsidR="00AB2D77">
        <w:rPr>
          <w:rFonts w:ascii="Arial" w:eastAsia="Times New Roman" w:hAnsi="Arial" w:cs="Arial"/>
        </w:rPr>
        <w:t>body</w:t>
      </w:r>
      <w:r>
        <w:rPr>
          <w:rFonts w:ascii="Arial" w:eastAsia="Times New Roman" w:hAnsi="Arial" w:cs="Arial"/>
        </w:rPr>
        <w:t xml:space="preserve">, consideration must be given to </w:t>
      </w:r>
      <w:r w:rsidR="00327C65">
        <w:rPr>
          <w:rFonts w:ascii="Arial" w:eastAsia="Times New Roman" w:hAnsi="Arial" w:cs="Arial"/>
        </w:rPr>
        <w:t>the growing c</w:t>
      </w:r>
      <w:r w:rsidR="005A5E8F">
        <w:rPr>
          <w:rFonts w:ascii="Arial" w:eastAsia="Times New Roman" w:hAnsi="Arial" w:cs="Arial"/>
        </w:rPr>
        <w:t xml:space="preserve">apacity of the child to consent. A fundamental question is whether change </w:t>
      </w:r>
      <w:proofErr w:type="gramStart"/>
      <w:r w:rsidR="005A5E8F">
        <w:rPr>
          <w:rFonts w:ascii="Arial" w:eastAsia="Times New Roman" w:hAnsi="Arial" w:cs="Arial"/>
        </w:rPr>
        <w:t>is needed</w:t>
      </w:r>
      <w:proofErr w:type="gramEnd"/>
      <w:r w:rsidR="005A5E8F">
        <w:rPr>
          <w:rFonts w:ascii="Arial" w:eastAsia="Times New Roman" w:hAnsi="Arial" w:cs="Arial"/>
        </w:rPr>
        <w:t xml:space="preserve"> to enable individuals to exercise a greater degree of autonomy in decisions that affect their own bodies. </w:t>
      </w:r>
    </w:p>
    <w:tbl>
      <w:tblPr>
        <w:tblStyle w:val="TableGrid"/>
        <w:tblW w:w="0" w:type="auto"/>
        <w:tblLook w:val="04A0" w:firstRow="1" w:lastRow="0" w:firstColumn="1" w:lastColumn="0" w:noHBand="0" w:noVBand="1"/>
      </w:tblPr>
      <w:tblGrid>
        <w:gridCol w:w="9628"/>
      </w:tblGrid>
      <w:tr w:rsidR="001E7638" w:rsidRPr="00446928" w14:paraId="177608E4" w14:textId="77777777" w:rsidTr="00E02F5D">
        <w:tc>
          <w:tcPr>
            <w:tcW w:w="9628" w:type="dxa"/>
          </w:tcPr>
          <w:p w14:paraId="3DEF597E" w14:textId="77777777" w:rsidR="001E7638" w:rsidRPr="00446928" w:rsidRDefault="001E7638" w:rsidP="00E02F5D">
            <w:pPr>
              <w:rPr>
                <w:rFonts w:ascii="Arial" w:hAnsi="Arial" w:cs="Arial"/>
                <w:b/>
                <w:i/>
              </w:rPr>
            </w:pPr>
            <w:r w:rsidRPr="00446928">
              <w:rPr>
                <w:rFonts w:ascii="Arial" w:hAnsi="Arial" w:cs="Arial"/>
                <w:b/>
              </w:rPr>
              <w:t xml:space="preserve">Case study: </w:t>
            </w:r>
            <w:r w:rsidRPr="00446928">
              <w:rPr>
                <w:rFonts w:ascii="Arial" w:hAnsi="Arial" w:cs="Arial"/>
                <w:b/>
                <w:i/>
              </w:rPr>
              <w:t>Re: Carla</w:t>
            </w:r>
          </w:p>
          <w:p w14:paraId="1F9BB9A0" w14:textId="43522585" w:rsidR="00237B58" w:rsidRPr="00030F1B" w:rsidRDefault="00237B58" w:rsidP="00237B58">
            <w:pPr>
              <w:ind w:left="360"/>
              <w:rPr>
                <w:rFonts w:ascii="Arial" w:hAnsi="Arial" w:cs="Arial"/>
              </w:rPr>
            </w:pPr>
            <w:r w:rsidRPr="00030F1B">
              <w:rPr>
                <w:rFonts w:ascii="Arial" w:hAnsi="Arial" w:cs="Arial"/>
              </w:rPr>
              <w:t xml:space="preserve">In the 2016 Family Court case of </w:t>
            </w:r>
            <w:r w:rsidRPr="00030F1B">
              <w:rPr>
                <w:rFonts w:ascii="Arial" w:hAnsi="Arial" w:cs="Arial"/>
                <w:i/>
              </w:rPr>
              <w:t xml:space="preserve">Re: Carla (Medical Procedure) </w:t>
            </w:r>
            <w:r w:rsidRPr="00030F1B">
              <w:rPr>
                <w:rFonts w:ascii="Arial" w:hAnsi="Arial" w:cs="Arial"/>
              </w:rPr>
              <w:t xml:space="preserve">[2016] </w:t>
            </w:r>
            <w:proofErr w:type="spellStart"/>
            <w:r w:rsidRPr="00030F1B">
              <w:rPr>
                <w:rFonts w:ascii="Arial" w:hAnsi="Arial" w:cs="Arial"/>
              </w:rPr>
              <w:t>FamCA</w:t>
            </w:r>
            <w:proofErr w:type="spellEnd"/>
            <w:r w:rsidRPr="00030F1B">
              <w:rPr>
                <w:rFonts w:ascii="Arial" w:hAnsi="Arial" w:cs="Arial"/>
              </w:rPr>
              <w:t xml:space="preserve"> 7,</w:t>
            </w:r>
            <w:r w:rsidRPr="00030F1B">
              <w:rPr>
                <w:rFonts w:ascii="Arial" w:hAnsi="Arial" w:cs="Arial"/>
                <w:vertAlign w:val="superscript"/>
              </w:rPr>
              <w:endnoteReference w:id="127"/>
            </w:r>
            <w:r w:rsidRPr="00030F1B">
              <w:rPr>
                <w:rFonts w:ascii="Arial" w:hAnsi="Arial" w:cs="Arial"/>
              </w:rPr>
              <w:t xml:space="preserve"> Forrest J found that the </w:t>
            </w:r>
            <w:r w:rsidR="000B3D99">
              <w:rPr>
                <w:rFonts w:ascii="Arial" w:hAnsi="Arial" w:cs="Arial"/>
              </w:rPr>
              <w:t>surgical</w:t>
            </w:r>
            <w:r w:rsidR="000B3D99" w:rsidRPr="00030F1B">
              <w:rPr>
                <w:rFonts w:ascii="Arial" w:hAnsi="Arial" w:cs="Arial"/>
              </w:rPr>
              <w:t xml:space="preserve"> </w:t>
            </w:r>
            <w:r w:rsidRPr="00030F1B">
              <w:rPr>
                <w:rFonts w:ascii="Arial" w:hAnsi="Arial" w:cs="Arial"/>
              </w:rPr>
              <w:t>treatment proposed</w:t>
            </w:r>
            <w:r w:rsidR="006E6E1E">
              <w:rPr>
                <w:rFonts w:ascii="Arial" w:hAnsi="Arial" w:cs="Arial"/>
              </w:rPr>
              <w:t xml:space="preserve"> by a multidisciplinary team</w:t>
            </w:r>
            <w:r w:rsidRPr="00030F1B">
              <w:rPr>
                <w:rFonts w:ascii="Arial" w:hAnsi="Arial" w:cs="Arial"/>
              </w:rPr>
              <w:t xml:space="preserve"> for </w:t>
            </w:r>
            <w:r>
              <w:rPr>
                <w:rFonts w:ascii="Arial" w:hAnsi="Arial" w:cs="Arial"/>
              </w:rPr>
              <w:t xml:space="preserve">five-year old </w:t>
            </w:r>
            <w:r w:rsidRPr="00030F1B">
              <w:rPr>
                <w:rFonts w:ascii="Arial" w:hAnsi="Arial" w:cs="Arial"/>
              </w:rPr>
              <w:t xml:space="preserve">Carla, a </w:t>
            </w:r>
            <w:proofErr w:type="spellStart"/>
            <w:r w:rsidRPr="00030F1B">
              <w:rPr>
                <w:rFonts w:ascii="Arial" w:hAnsi="Arial" w:cs="Arial"/>
              </w:rPr>
              <w:t>gonadectomy</w:t>
            </w:r>
            <w:proofErr w:type="spellEnd"/>
            <w:r w:rsidRPr="00030F1B">
              <w:rPr>
                <w:rFonts w:ascii="Arial" w:hAnsi="Arial" w:cs="Arial"/>
              </w:rPr>
              <w:t xml:space="preserve">, was </w:t>
            </w:r>
            <w:r w:rsidR="00F87239">
              <w:rPr>
                <w:rFonts w:ascii="Arial" w:hAnsi="Arial" w:cs="Arial"/>
              </w:rPr>
              <w:t>‘</w:t>
            </w:r>
            <w:r w:rsidRPr="00030F1B">
              <w:rPr>
                <w:rFonts w:ascii="Arial" w:hAnsi="Arial" w:cs="Arial"/>
              </w:rPr>
              <w:t>therapeutic</w:t>
            </w:r>
            <w:r w:rsidR="00F87239">
              <w:rPr>
                <w:rFonts w:ascii="Arial" w:hAnsi="Arial" w:cs="Arial"/>
              </w:rPr>
              <w:t>’</w:t>
            </w:r>
            <w:r w:rsidRPr="00030F1B">
              <w:rPr>
                <w:rFonts w:ascii="Arial" w:hAnsi="Arial" w:cs="Arial"/>
              </w:rPr>
              <w:t xml:space="preserve"> within the meaning of the term used by the majority in </w:t>
            </w:r>
            <w:r w:rsidRPr="00030F1B">
              <w:rPr>
                <w:rFonts w:ascii="Arial" w:hAnsi="Arial" w:cs="Arial"/>
                <w:i/>
              </w:rPr>
              <w:t>Marion</w:t>
            </w:r>
            <w:r w:rsidR="00F87239">
              <w:rPr>
                <w:rFonts w:ascii="Arial" w:hAnsi="Arial" w:cs="Arial"/>
                <w:i/>
              </w:rPr>
              <w:t>’</w:t>
            </w:r>
            <w:r w:rsidRPr="00030F1B">
              <w:rPr>
                <w:rFonts w:ascii="Arial" w:hAnsi="Arial" w:cs="Arial"/>
                <w:i/>
              </w:rPr>
              <w:t>s case</w:t>
            </w:r>
            <w:r w:rsidRPr="00030F1B">
              <w:rPr>
                <w:rFonts w:ascii="Arial" w:hAnsi="Arial" w:cs="Arial"/>
              </w:rPr>
              <w:t>. On this basis, the Court concluded that the treatment fell within the bounds of permissible parental authority and did not require Court authorisation.</w:t>
            </w:r>
            <w:r w:rsidRPr="00030F1B">
              <w:rPr>
                <w:rFonts w:ascii="Arial" w:hAnsi="Arial" w:cs="Arial"/>
                <w:vertAlign w:val="superscript"/>
              </w:rPr>
              <w:endnoteReference w:id="128"/>
            </w:r>
            <w:r w:rsidRPr="00030F1B">
              <w:rPr>
                <w:rFonts w:ascii="Arial" w:hAnsi="Arial" w:cs="Arial"/>
              </w:rPr>
              <w:t xml:space="preserve"> The Court reached a similar conclusion in the 2014 case of </w:t>
            </w:r>
            <w:r w:rsidRPr="00030F1B">
              <w:rPr>
                <w:rFonts w:ascii="Arial" w:hAnsi="Arial" w:cs="Arial"/>
                <w:i/>
              </w:rPr>
              <w:t>Re: Sarah</w:t>
            </w:r>
            <w:r w:rsidRPr="00654A6D">
              <w:rPr>
                <w:rStyle w:val="EndnoteReference"/>
                <w:rFonts w:cs="Arial"/>
              </w:rPr>
              <w:endnoteReference w:id="129"/>
            </w:r>
            <w:r w:rsidRPr="00030F1B">
              <w:rPr>
                <w:rFonts w:ascii="Arial" w:hAnsi="Arial" w:cs="Arial"/>
                <w:i/>
              </w:rPr>
              <w:t xml:space="preserve"> </w:t>
            </w:r>
            <w:r w:rsidRPr="00030F1B">
              <w:rPr>
                <w:rFonts w:ascii="Arial" w:hAnsi="Arial" w:cs="Arial"/>
              </w:rPr>
              <w:t xml:space="preserve">and the 2010 case of </w:t>
            </w:r>
            <w:r w:rsidRPr="00030F1B">
              <w:rPr>
                <w:rFonts w:ascii="Arial" w:hAnsi="Arial" w:cs="Arial"/>
                <w:i/>
              </w:rPr>
              <w:t>Re</w:t>
            </w:r>
            <w:r w:rsidR="00C33692" w:rsidRPr="00030F1B">
              <w:rPr>
                <w:rFonts w:ascii="Arial" w:hAnsi="Arial" w:cs="Arial"/>
                <w:i/>
              </w:rPr>
              <w:t>:</w:t>
            </w:r>
            <w:r w:rsidR="00C33692">
              <w:rPr>
                <w:rFonts w:ascii="Arial" w:hAnsi="Arial" w:cs="Arial"/>
                <w:i/>
              </w:rPr>
              <w:t> </w:t>
            </w:r>
            <w:r w:rsidRPr="00030F1B">
              <w:rPr>
                <w:rFonts w:ascii="Arial" w:hAnsi="Arial" w:cs="Arial"/>
                <w:i/>
              </w:rPr>
              <w:t>Sean and Russe</w:t>
            </w:r>
            <w:r>
              <w:rPr>
                <w:rFonts w:ascii="Arial" w:hAnsi="Arial" w:cs="Arial"/>
                <w:i/>
              </w:rPr>
              <w:t>ll (Special Medical Procedures)</w:t>
            </w:r>
            <w:r w:rsidRPr="00030F1B">
              <w:rPr>
                <w:rFonts w:ascii="Arial" w:hAnsi="Arial" w:cs="Arial"/>
              </w:rPr>
              <w:t>.</w:t>
            </w:r>
            <w:r>
              <w:rPr>
                <w:rStyle w:val="EndnoteReference"/>
                <w:rFonts w:cs="Arial"/>
              </w:rPr>
              <w:endnoteReference w:id="130"/>
            </w:r>
            <w:r w:rsidRPr="00030F1B">
              <w:rPr>
                <w:rFonts w:ascii="Arial" w:hAnsi="Arial" w:cs="Arial"/>
              </w:rPr>
              <w:t xml:space="preserve"> </w:t>
            </w:r>
          </w:p>
          <w:p w14:paraId="342CED8B" w14:textId="13A7F709" w:rsidR="00237B58" w:rsidRPr="00030F1B" w:rsidRDefault="00237B58" w:rsidP="00237B58">
            <w:pPr>
              <w:ind w:left="360"/>
              <w:rPr>
                <w:rFonts w:ascii="Arial" w:hAnsi="Arial" w:cs="Arial"/>
              </w:rPr>
            </w:pPr>
            <w:r w:rsidRPr="00030F1B">
              <w:rPr>
                <w:rFonts w:ascii="Arial" w:hAnsi="Arial" w:cs="Arial"/>
              </w:rPr>
              <w:t xml:space="preserve">In recounting the facts, Forrest J noted that Carla had previously undergone surgery that had </w:t>
            </w:r>
            <w:r w:rsidR="00F87239">
              <w:rPr>
                <w:rFonts w:ascii="Arial" w:hAnsi="Arial" w:cs="Arial"/>
              </w:rPr>
              <w:t>‘</w:t>
            </w:r>
            <w:r w:rsidRPr="00030F1B">
              <w:rPr>
                <w:rFonts w:ascii="Arial" w:hAnsi="Arial" w:cs="Arial"/>
              </w:rPr>
              <w:t>enhanced the appearance of her female genitalia</w:t>
            </w:r>
            <w:r w:rsidR="00F87239">
              <w:rPr>
                <w:rFonts w:ascii="Arial" w:hAnsi="Arial" w:cs="Arial"/>
              </w:rPr>
              <w:t>’</w:t>
            </w:r>
            <w:r w:rsidRPr="00030F1B">
              <w:rPr>
                <w:rFonts w:ascii="Arial" w:hAnsi="Arial" w:cs="Arial"/>
              </w:rPr>
              <w:t>,</w:t>
            </w:r>
            <w:r w:rsidRPr="00030F1B">
              <w:rPr>
                <w:rFonts w:ascii="Arial" w:hAnsi="Arial" w:cs="Arial"/>
                <w:vertAlign w:val="superscript"/>
              </w:rPr>
              <w:endnoteReference w:id="131"/>
            </w:r>
            <w:r w:rsidRPr="00030F1B">
              <w:rPr>
                <w:rFonts w:ascii="Arial" w:hAnsi="Arial" w:cs="Arial"/>
              </w:rPr>
              <w:t xml:space="preserve"> including a clitoral recession and </w:t>
            </w:r>
            <w:proofErr w:type="spellStart"/>
            <w:r w:rsidRPr="00030F1B">
              <w:rPr>
                <w:rFonts w:ascii="Arial" w:hAnsi="Arial" w:cs="Arial"/>
              </w:rPr>
              <w:t>labioplasty</w:t>
            </w:r>
            <w:proofErr w:type="spellEnd"/>
            <w:r w:rsidRPr="00030F1B">
              <w:rPr>
                <w:rFonts w:ascii="Arial" w:hAnsi="Arial" w:cs="Arial"/>
              </w:rPr>
              <w:t>.</w:t>
            </w:r>
            <w:r w:rsidRPr="00030F1B">
              <w:rPr>
                <w:rFonts w:ascii="Arial" w:hAnsi="Arial" w:cs="Arial"/>
                <w:vertAlign w:val="superscript"/>
              </w:rPr>
              <w:endnoteReference w:id="132"/>
            </w:r>
            <w:r w:rsidRPr="00030F1B">
              <w:rPr>
                <w:rFonts w:ascii="Arial" w:hAnsi="Arial" w:cs="Arial"/>
              </w:rPr>
              <w:t xml:space="preserve"> These procedures </w:t>
            </w:r>
            <w:proofErr w:type="gramStart"/>
            <w:r w:rsidRPr="00030F1B">
              <w:rPr>
                <w:rFonts w:ascii="Arial" w:hAnsi="Arial" w:cs="Arial"/>
              </w:rPr>
              <w:t>were conducted</w:t>
            </w:r>
            <w:proofErr w:type="gramEnd"/>
            <w:r w:rsidRPr="00030F1B">
              <w:rPr>
                <w:rFonts w:ascii="Arial" w:hAnsi="Arial" w:cs="Arial"/>
              </w:rPr>
              <w:t xml:space="preserve"> without an application for court authorisation. </w:t>
            </w:r>
          </w:p>
          <w:p w14:paraId="3AA1ACBC" w14:textId="34B7B5E4" w:rsidR="00237B58" w:rsidRPr="00030F1B" w:rsidRDefault="00237B58" w:rsidP="00237B58">
            <w:pPr>
              <w:ind w:left="360"/>
              <w:rPr>
                <w:rFonts w:ascii="Arial" w:hAnsi="Arial" w:cs="Arial"/>
              </w:rPr>
            </w:pPr>
            <w:r w:rsidRPr="00030F1B">
              <w:rPr>
                <w:rFonts w:ascii="Arial" w:hAnsi="Arial" w:cs="Arial"/>
              </w:rPr>
              <w:t xml:space="preserve">Despite finding that court authorisation was not required for the proposed </w:t>
            </w:r>
            <w:proofErr w:type="spellStart"/>
            <w:r w:rsidRPr="00030F1B">
              <w:rPr>
                <w:rFonts w:ascii="Arial" w:hAnsi="Arial" w:cs="Arial"/>
              </w:rPr>
              <w:t>gonadectomy</w:t>
            </w:r>
            <w:proofErr w:type="spellEnd"/>
            <w:r w:rsidRPr="00030F1B">
              <w:rPr>
                <w:rFonts w:ascii="Arial" w:hAnsi="Arial" w:cs="Arial"/>
              </w:rPr>
              <w:t xml:space="preserve">, Forrest J noted that the bringing of an application by a parent or health authority for court authorisation </w:t>
            </w:r>
            <w:r w:rsidR="00F87239">
              <w:rPr>
                <w:rFonts w:ascii="Arial" w:hAnsi="Arial" w:cs="Arial"/>
              </w:rPr>
              <w:t>‘</w:t>
            </w:r>
            <w:r w:rsidRPr="00030F1B">
              <w:rPr>
                <w:rFonts w:ascii="Arial" w:hAnsi="Arial" w:cs="Arial"/>
              </w:rPr>
              <w:t xml:space="preserve">can, in many circumstances, be understandably considered </w:t>
            </w:r>
            <w:r w:rsidR="00F87239">
              <w:rPr>
                <w:rFonts w:ascii="Arial" w:hAnsi="Arial" w:cs="Arial"/>
              </w:rPr>
              <w:t>“</w:t>
            </w:r>
            <w:r w:rsidRPr="00030F1B">
              <w:rPr>
                <w:rFonts w:ascii="Arial" w:hAnsi="Arial" w:cs="Arial"/>
              </w:rPr>
              <w:t>as a prudent step</w:t>
            </w:r>
            <w:r w:rsidR="00F87239">
              <w:rPr>
                <w:rFonts w:ascii="Arial" w:hAnsi="Arial" w:cs="Arial"/>
              </w:rPr>
              <w:t>”‘</w:t>
            </w:r>
            <w:r w:rsidRPr="00030F1B">
              <w:rPr>
                <w:rFonts w:ascii="Arial" w:hAnsi="Arial" w:cs="Arial"/>
              </w:rPr>
              <w:t>.</w:t>
            </w:r>
            <w:r>
              <w:rPr>
                <w:rStyle w:val="EndnoteReference"/>
                <w:rFonts w:cs="Arial"/>
              </w:rPr>
              <w:endnoteReference w:id="133"/>
            </w:r>
            <w:r w:rsidRPr="00030F1B">
              <w:rPr>
                <w:rFonts w:ascii="Arial" w:hAnsi="Arial" w:cs="Arial"/>
              </w:rPr>
              <w:t xml:space="preserve"> His Honour declined to set out the conditions that would make the reasons for seeking court authorisation compelling.</w:t>
            </w:r>
          </w:p>
          <w:p w14:paraId="64DD4391" w14:textId="2F768C24" w:rsidR="001E7638" w:rsidRPr="00446928" w:rsidRDefault="00237B58" w:rsidP="00237B58">
            <w:pPr>
              <w:ind w:left="360"/>
              <w:rPr>
                <w:rFonts w:ascii="Arial" w:hAnsi="Arial" w:cs="Arial"/>
              </w:rPr>
            </w:pPr>
            <w:r w:rsidRPr="00030F1B">
              <w:rPr>
                <w:rFonts w:ascii="Arial" w:hAnsi="Arial" w:cs="Arial"/>
              </w:rPr>
              <w:t>Forrest J</w:t>
            </w:r>
            <w:r w:rsidR="00F87239">
              <w:rPr>
                <w:rFonts w:ascii="Arial" w:hAnsi="Arial" w:cs="Arial"/>
              </w:rPr>
              <w:t>’</w:t>
            </w:r>
            <w:r w:rsidRPr="00030F1B">
              <w:rPr>
                <w:rFonts w:ascii="Arial" w:hAnsi="Arial" w:cs="Arial"/>
              </w:rPr>
              <w:t xml:space="preserve">s decision in </w:t>
            </w:r>
            <w:r w:rsidRPr="00030F1B">
              <w:rPr>
                <w:rFonts w:ascii="Arial" w:hAnsi="Arial" w:cs="Arial"/>
                <w:i/>
              </w:rPr>
              <w:t xml:space="preserve">Re: Carla </w:t>
            </w:r>
            <w:r w:rsidRPr="00030F1B">
              <w:rPr>
                <w:rFonts w:ascii="Arial" w:hAnsi="Arial" w:cs="Arial"/>
              </w:rPr>
              <w:t>departed from Barry J</w:t>
            </w:r>
            <w:r w:rsidR="00F87239">
              <w:rPr>
                <w:rFonts w:ascii="Arial" w:hAnsi="Arial" w:cs="Arial"/>
              </w:rPr>
              <w:t>’</w:t>
            </w:r>
            <w:r w:rsidRPr="00030F1B">
              <w:rPr>
                <w:rFonts w:ascii="Arial" w:hAnsi="Arial" w:cs="Arial"/>
              </w:rPr>
              <w:t xml:space="preserve">s decision in </w:t>
            </w:r>
            <w:r w:rsidRPr="00030F1B">
              <w:rPr>
                <w:rFonts w:ascii="Arial" w:hAnsi="Arial" w:cs="Arial"/>
                <w:i/>
              </w:rPr>
              <w:t>Re: Lesley</w:t>
            </w:r>
            <w:r w:rsidRPr="00030F1B">
              <w:rPr>
                <w:rFonts w:ascii="Arial" w:hAnsi="Arial" w:cs="Arial"/>
              </w:rPr>
              <w:t xml:space="preserve">, in which his Honour found that the same procedure proposed in </w:t>
            </w:r>
            <w:proofErr w:type="gramStart"/>
            <w:r w:rsidRPr="00030F1B">
              <w:rPr>
                <w:rFonts w:ascii="Arial" w:hAnsi="Arial" w:cs="Arial"/>
                <w:i/>
              </w:rPr>
              <w:t>Re</w:t>
            </w:r>
            <w:proofErr w:type="gramEnd"/>
            <w:r w:rsidRPr="00030F1B">
              <w:rPr>
                <w:rFonts w:ascii="Arial" w:hAnsi="Arial" w:cs="Arial"/>
                <w:i/>
              </w:rPr>
              <w:t xml:space="preserve">: Carla, </w:t>
            </w:r>
            <w:r w:rsidRPr="00030F1B">
              <w:rPr>
                <w:rFonts w:ascii="Arial" w:hAnsi="Arial" w:cs="Arial"/>
              </w:rPr>
              <w:t xml:space="preserve">a </w:t>
            </w:r>
            <w:proofErr w:type="spellStart"/>
            <w:r w:rsidRPr="00030F1B">
              <w:rPr>
                <w:rFonts w:ascii="Arial" w:hAnsi="Arial" w:cs="Arial"/>
              </w:rPr>
              <w:t>gonadectomy</w:t>
            </w:r>
            <w:proofErr w:type="spellEnd"/>
            <w:r w:rsidRPr="00030F1B">
              <w:rPr>
                <w:rFonts w:ascii="Arial" w:hAnsi="Arial" w:cs="Arial"/>
              </w:rPr>
              <w:t>,</w:t>
            </w:r>
            <w:r w:rsidRPr="00030F1B">
              <w:rPr>
                <w:rFonts w:ascii="Arial" w:hAnsi="Arial" w:cs="Arial"/>
                <w:i/>
              </w:rPr>
              <w:t xml:space="preserve"> </w:t>
            </w:r>
            <w:r w:rsidRPr="00030F1B">
              <w:rPr>
                <w:rFonts w:ascii="Arial" w:hAnsi="Arial" w:cs="Arial"/>
              </w:rPr>
              <w:t>did require the sanction of the Court.</w:t>
            </w:r>
            <w:r w:rsidRPr="00030F1B">
              <w:rPr>
                <w:rFonts w:ascii="Arial" w:hAnsi="Arial" w:cs="Arial"/>
                <w:vertAlign w:val="superscript"/>
              </w:rPr>
              <w:endnoteReference w:id="134"/>
            </w:r>
          </w:p>
        </w:tc>
      </w:tr>
    </w:tbl>
    <w:p w14:paraId="263FC5EE" w14:textId="77777777" w:rsidR="001E7638" w:rsidRPr="00446928" w:rsidRDefault="001E7638" w:rsidP="001E7638">
      <w:pPr>
        <w:rPr>
          <w:rFonts w:ascii="Arial" w:hAnsi="Arial" w:cs="Arial"/>
        </w:rPr>
      </w:pPr>
    </w:p>
    <w:tbl>
      <w:tblPr>
        <w:tblStyle w:val="TableGrid"/>
        <w:tblW w:w="0" w:type="auto"/>
        <w:tblLook w:val="04A0" w:firstRow="1" w:lastRow="0" w:firstColumn="1" w:lastColumn="0" w:noHBand="0" w:noVBand="1"/>
      </w:tblPr>
      <w:tblGrid>
        <w:gridCol w:w="9628"/>
      </w:tblGrid>
      <w:tr w:rsidR="001E7638" w:rsidRPr="00446928" w14:paraId="490C84D5" w14:textId="77777777" w:rsidTr="00E02F5D">
        <w:tc>
          <w:tcPr>
            <w:tcW w:w="9628" w:type="dxa"/>
          </w:tcPr>
          <w:p w14:paraId="779910A7" w14:textId="4E0C4A14" w:rsidR="001E7638" w:rsidRPr="00446928" w:rsidRDefault="00A31F80" w:rsidP="00E02F5D">
            <w:pPr>
              <w:rPr>
                <w:rFonts w:ascii="Arial" w:hAnsi="Arial" w:cs="Arial"/>
                <w:b/>
              </w:rPr>
            </w:pPr>
            <w:bookmarkStart w:id="57" w:name="_Hlk503081463"/>
            <w:r>
              <w:rPr>
                <w:rFonts w:ascii="Arial" w:hAnsi="Arial" w:cs="Arial"/>
                <w:b/>
              </w:rPr>
              <w:t>Key question</w:t>
            </w:r>
            <w:r w:rsidR="00AA6ACB">
              <w:rPr>
                <w:rFonts w:ascii="Arial" w:hAnsi="Arial" w:cs="Arial"/>
                <w:b/>
              </w:rPr>
              <w:t>s</w:t>
            </w:r>
            <w:r w:rsidR="001E7638" w:rsidRPr="00446928">
              <w:rPr>
                <w:rFonts w:ascii="Arial" w:hAnsi="Arial" w:cs="Arial"/>
                <w:b/>
              </w:rPr>
              <w:t>:</w:t>
            </w:r>
          </w:p>
          <w:p w14:paraId="6667D24C" w14:textId="0221ED3D" w:rsidR="00160D3F" w:rsidRDefault="00F026A8" w:rsidP="006C31B6">
            <w:pPr>
              <w:pStyle w:val="SubmissionNormal"/>
              <w:numPr>
                <w:ilvl w:val="0"/>
                <w:numId w:val="0"/>
              </w:numPr>
              <w:spacing w:after="240" w:line="240" w:lineRule="auto"/>
              <w:ind w:left="360"/>
              <w:contextualSpacing/>
              <w:rPr>
                <w:rFonts w:ascii="Arial" w:hAnsi="Arial" w:cs="Arial"/>
              </w:rPr>
            </w:pPr>
            <w:r>
              <w:rPr>
                <w:rFonts w:ascii="Arial" w:hAnsi="Arial" w:cs="Arial"/>
              </w:rPr>
              <w:t xml:space="preserve">9. </w:t>
            </w:r>
            <w:r w:rsidR="00160D3F">
              <w:rPr>
                <w:rFonts w:ascii="Arial" w:hAnsi="Arial" w:cs="Arial"/>
              </w:rPr>
              <w:t xml:space="preserve">To what extent should parents and carers be involved in making decisions on behalf of their child? How </w:t>
            </w:r>
            <w:proofErr w:type="gramStart"/>
            <w:r w:rsidR="00160D3F">
              <w:rPr>
                <w:rFonts w:ascii="Arial" w:hAnsi="Arial" w:cs="Arial"/>
              </w:rPr>
              <w:t>can parents and carers be best supported</w:t>
            </w:r>
            <w:proofErr w:type="gramEnd"/>
            <w:r w:rsidR="00160D3F">
              <w:rPr>
                <w:rFonts w:ascii="Arial" w:hAnsi="Arial" w:cs="Arial"/>
              </w:rPr>
              <w:t xml:space="preserve"> to make these decisions? </w:t>
            </w:r>
          </w:p>
          <w:p w14:paraId="0956295B" w14:textId="77777777" w:rsidR="00160D3F" w:rsidRDefault="00160D3F" w:rsidP="006C31B6">
            <w:pPr>
              <w:pStyle w:val="SubmissionNormal"/>
              <w:numPr>
                <w:ilvl w:val="0"/>
                <w:numId w:val="0"/>
              </w:numPr>
              <w:spacing w:after="240" w:line="240" w:lineRule="auto"/>
              <w:ind w:left="360"/>
              <w:contextualSpacing/>
              <w:rPr>
                <w:rFonts w:ascii="Arial" w:hAnsi="Arial" w:cs="Arial"/>
              </w:rPr>
            </w:pPr>
          </w:p>
          <w:p w14:paraId="17532D16" w14:textId="77777777" w:rsidR="00AA6ACB" w:rsidRDefault="00160D3F" w:rsidP="00AA6ACB">
            <w:pPr>
              <w:pStyle w:val="SubmissionNormal"/>
              <w:numPr>
                <w:ilvl w:val="0"/>
                <w:numId w:val="0"/>
              </w:numPr>
              <w:spacing w:after="240" w:line="240" w:lineRule="auto"/>
              <w:ind w:left="360"/>
              <w:contextualSpacing/>
              <w:rPr>
                <w:rFonts w:ascii="Arial" w:hAnsi="Arial" w:cs="Arial"/>
              </w:rPr>
            </w:pPr>
            <w:r>
              <w:rPr>
                <w:rFonts w:ascii="Arial" w:hAnsi="Arial" w:cs="Arial"/>
              </w:rPr>
              <w:t xml:space="preserve">10. </w:t>
            </w:r>
            <w:r w:rsidR="001E7638" w:rsidRPr="00446928">
              <w:rPr>
                <w:rFonts w:ascii="Arial" w:hAnsi="Arial" w:cs="Arial"/>
              </w:rPr>
              <w:t>Wh</w:t>
            </w:r>
            <w:r w:rsidR="00AD6770" w:rsidRPr="00446928">
              <w:rPr>
                <w:rFonts w:ascii="Arial" w:hAnsi="Arial" w:cs="Arial"/>
              </w:rPr>
              <w:t>at</w:t>
            </w:r>
            <w:r w:rsidR="00A31F80">
              <w:rPr>
                <w:rFonts w:ascii="Arial" w:hAnsi="Arial" w:cs="Arial"/>
              </w:rPr>
              <w:t>, if any,</w:t>
            </w:r>
            <w:r w:rsidR="00AD6770" w:rsidRPr="00446928">
              <w:rPr>
                <w:rFonts w:ascii="Arial" w:hAnsi="Arial" w:cs="Arial"/>
              </w:rPr>
              <w:t xml:space="preserve"> </w:t>
            </w:r>
            <w:r w:rsidR="00A31F80" w:rsidRPr="00446928">
              <w:rPr>
                <w:rFonts w:ascii="Arial" w:hAnsi="Arial" w:cs="Arial"/>
              </w:rPr>
              <w:t xml:space="preserve">legal oversight mechanism(s) should be in place to guide decision-making </w:t>
            </w:r>
            <w:r w:rsidR="00A31F80">
              <w:rPr>
                <w:rFonts w:ascii="Arial" w:hAnsi="Arial" w:cs="Arial"/>
              </w:rPr>
              <w:t>about</w:t>
            </w:r>
            <w:r w:rsidR="001E7638" w:rsidRPr="00446928">
              <w:rPr>
                <w:rFonts w:ascii="Arial" w:hAnsi="Arial" w:cs="Arial"/>
              </w:rPr>
              <w:t xml:space="preserve"> medical intervention</w:t>
            </w:r>
            <w:r w:rsidR="00A31F80">
              <w:rPr>
                <w:rFonts w:ascii="Arial" w:hAnsi="Arial" w:cs="Arial"/>
              </w:rPr>
              <w:t>s</w:t>
            </w:r>
            <w:r w:rsidR="001E7638" w:rsidRPr="00446928">
              <w:rPr>
                <w:rFonts w:ascii="Arial" w:hAnsi="Arial" w:cs="Arial"/>
              </w:rPr>
              <w:t xml:space="preserve"> involving a person </w:t>
            </w:r>
            <w:r w:rsidR="006C31B6">
              <w:rPr>
                <w:rFonts w:ascii="Arial" w:hAnsi="Arial" w:cs="Arial"/>
              </w:rPr>
              <w:t>born with a</w:t>
            </w:r>
            <w:r w:rsidR="001E7638" w:rsidRPr="00446928">
              <w:rPr>
                <w:rFonts w:ascii="Arial" w:hAnsi="Arial" w:cs="Arial"/>
              </w:rPr>
              <w:t xml:space="preserve"> variation in sex characteristics where the person does not have the legal capacity to provide consent?</w:t>
            </w:r>
            <w:r w:rsidR="00486B79">
              <w:rPr>
                <w:rFonts w:ascii="Arial" w:hAnsi="Arial" w:cs="Arial"/>
              </w:rPr>
              <w:t xml:space="preserve"> </w:t>
            </w:r>
          </w:p>
          <w:p w14:paraId="39C366D9" w14:textId="77777777" w:rsidR="00AA6ACB" w:rsidRDefault="00AA6ACB" w:rsidP="00AA6ACB">
            <w:pPr>
              <w:pStyle w:val="SubmissionNormal"/>
              <w:numPr>
                <w:ilvl w:val="0"/>
                <w:numId w:val="0"/>
              </w:numPr>
              <w:spacing w:after="240" w:line="240" w:lineRule="auto"/>
              <w:ind w:left="360"/>
              <w:contextualSpacing/>
              <w:rPr>
                <w:rFonts w:ascii="Arial" w:hAnsi="Arial" w:cs="Arial"/>
              </w:rPr>
            </w:pPr>
          </w:p>
          <w:p w14:paraId="3CEC03BD" w14:textId="5645A534" w:rsidR="00864266" w:rsidRDefault="00864266" w:rsidP="00864266">
            <w:pPr>
              <w:pStyle w:val="SubmissionNormal"/>
              <w:numPr>
                <w:ilvl w:val="0"/>
                <w:numId w:val="0"/>
              </w:numPr>
              <w:spacing w:after="240" w:line="240" w:lineRule="auto"/>
              <w:ind w:left="360"/>
              <w:contextualSpacing/>
              <w:rPr>
                <w:rFonts w:ascii="Arial" w:hAnsi="Arial" w:cs="Arial"/>
              </w:rPr>
            </w:pPr>
            <w:r>
              <w:rPr>
                <w:rFonts w:ascii="Arial" w:hAnsi="Arial" w:cs="Arial"/>
              </w:rPr>
              <w:t xml:space="preserve">11. </w:t>
            </w:r>
            <w:r w:rsidR="00B24210">
              <w:rPr>
                <w:rFonts w:ascii="Arial" w:hAnsi="Arial" w:cs="Arial"/>
              </w:rPr>
              <w:t>If such a mechanism existed,</w:t>
            </w:r>
          </w:p>
          <w:p w14:paraId="1AD0EBF3" w14:textId="23F5A04C" w:rsidR="004671B3" w:rsidRDefault="004671B3" w:rsidP="00864266">
            <w:pPr>
              <w:numPr>
                <w:ilvl w:val="1"/>
                <w:numId w:val="23"/>
              </w:numPr>
              <w:spacing w:after="240" w:line="240" w:lineRule="auto"/>
              <w:rPr>
                <w:rFonts w:ascii="Arial" w:hAnsi="Arial" w:cs="Arial"/>
              </w:rPr>
            </w:pPr>
            <w:proofErr w:type="gramStart"/>
            <w:r>
              <w:rPr>
                <w:rFonts w:ascii="Arial" w:hAnsi="Arial" w:cs="Arial"/>
              </w:rPr>
              <w:t>h</w:t>
            </w:r>
            <w:r w:rsidR="00E15F4B">
              <w:rPr>
                <w:rFonts w:ascii="Arial" w:hAnsi="Arial" w:cs="Arial"/>
              </w:rPr>
              <w:t>ow</w:t>
            </w:r>
            <w:proofErr w:type="gramEnd"/>
            <w:r w:rsidR="00E15F4B">
              <w:rPr>
                <w:rFonts w:ascii="Arial" w:hAnsi="Arial" w:cs="Arial"/>
              </w:rPr>
              <w:t xml:space="preserve"> </w:t>
            </w:r>
            <w:r>
              <w:rPr>
                <w:rFonts w:ascii="Arial" w:hAnsi="Arial" w:cs="Arial"/>
              </w:rPr>
              <w:t>could this</w:t>
            </w:r>
            <w:r w:rsidR="00E15F4B">
              <w:rPr>
                <w:rFonts w:ascii="Arial" w:hAnsi="Arial" w:cs="Arial"/>
              </w:rPr>
              <w:t xml:space="preserve"> mechanism adequately address </w:t>
            </w:r>
            <w:r>
              <w:rPr>
                <w:rFonts w:ascii="Arial" w:hAnsi="Arial" w:cs="Arial"/>
              </w:rPr>
              <w:t>different</w:t>
            </w:r>
            <w:r w:rsidR="00E15F4B">
              <w:rPr>
                <w:rFonts w:ascii="Arial" w:hAnsi="Arial" w:cs="Arial"/>
              </w:rPr>
              <w:t xml:space="preserve"> interventions and different variations? </w:t>
            </w:r>
          </w:p>
          <w:p w14:paraId="211347DF" w14:textId="2D198243" w:rsidR="004671B3" w:rsidRPr="004671B3" w:rsidRDefault="004671B3" w:rsidP="00864266">
            <w:pPr>
              <w:numPr>
                <w:ilvl w:val="1"/>
                <w:numId w:val="23"/>
              </w:numPr>
              <w:spacing w:after="240" w:line="240" w:lineRule="auto"/>
              <w:rPr>
                <w:rFonts w:ascii="Arial" w:hAnsi="Arial" w:cs="Arial"/>
              </w:rPr>
            </w:pPr>
            <w:proofErr w:type="gramStart"/>
            <w:r>
              <w:rPr>
                <w:rFonts w:ascii="Arial" w:hAnsi="Arial" w:cs="Arial"/>
              </w:rPr>
              <w:t>h</w:t>
            </w:r>
            <w:r w:rsidRPr="004671B3">
              <w:rPr>
                <w:rFonts w:ascii="Arial" w:hAnsi="Arial" w:cs="Arial"/>
              </w:rPr>
              <w:t>ow</w:t>
            </w:r>
            <w:proofErr w:type="gramEnd"/>
            <w:r w:rsidRPr="004671B3">
              <w:rPr>
                <w:rFonts w:ascii="Arial" w:hAnsi="Arial" w:cs="Arial"/>
              </w:rPr>
              <w:t xml:space="preserve"> can </w:t>
            </w:r>
            <w:r>
              <w:rPr>
                <w:rFonts w:ascii="Arial" w:hAnsi="Arial" w:cs="Arial"/>
              </w:rPr>
              <w:t>it</w:t>
            </w:r>
            <w:r w:rsidRPr="004671B3">
              <w:rPr>
                <w:rFonts w:ascii="Arial" w:hAnsi="Arial" w:cs="Arial"/>
              </w:rPr>
              <w:t xml:space="preserve"> best respect the future capacity of a child to consent?</w:t>
            </w:r>
          </w:p>
          <w:p w14:paraId="22CA6189" w14:textId="78274FB5" w:rsidR="006C31B6" w:rsidRPr="00864266" w:rsidRDefault="004671B3" w:rsidP="00864266">
            <w:pPr>
              <w:numPr>
                <w:ilvl w:val="1"/>
                <w:numId w:val="23"/>
              </w:numPr>
              <w:spacing w:after="240" w:line="240" w:lineRule="auto"/>
              <w:rPr>
                <w:rFonts w:ascii="Arial" w:hAnsi="Arial" w:cs="Arial"/>
              </w:rPr>
            </w:pPr>
            <w:proofErr w:type="gramStart"/>
            <w:r>
              <w:rPr>
                <w:rFonts w:ascii="Arial" w:hAnsi="Arial" w:cs="Arial"/>
              </w:rPr>
              <w:t>s</w:t>
            </w:r>
            <w:r w:rsidR="00486B79">
              <w:rPr>
                <w:rFonts w:ascii="Arial" w:hAnsi="Arial" w:cs="Arial"/>
              </w:rPr>
              <w:t>hould</w:t>
            </w:r>
            <w:proofErr w:type="gramEnd"/>
            <w:r w:rsidR="00486B79">
              <w:rPr>
                <w:rFonts w:ascii="Arial" w:hAnsi="Arial" w:cs="Arial"/>
              </w:rPr>
              <w:t xml:space="preserve"> there be distinct processes for children with parents</w:t>
            </w:r>
            <w:r>
              <w:rPr>
                <w:rFonts w:ascii="Arial" w:hAnsi="Arial" w:cs="Arial"/>
              </w:rPr>
              <w:t xml:space="preserve"> </w:t>
            </w:r>
            <w:r w:rsidR="00486B79">
              <w:rPr>
                <w:rFonts w:ascii="Arial" w:hAnsi="Arial" w:cs="Arial"/>
              </w:rPr>
              <w:t>and</w:t>
            </w:r>
            <w:r>
              <w:rPr>
                <w:rFonts w:ascii="Arial" w:hAnsi="Arial" w:cs="Arial"/>
              </w:rPr>
              <w:t xml:space="preserve"> for</w:t>
            </w:r>
            <w:r w:rsidR="00486B79">
              <w:rPr>
                <w:rFonts w:ascii="Arial" w:hAnsi="Arial" w:cs="Arial"/>
              </w:rPr>
              <w:t xml:space="preserve"> adults </w:t>
            </w:r>
            <w:r>
              <w:rPr>
                <w:rFonts w:ascii="Arial" w:hAnsi="Arial" w:cs="Arial"/>
              </w:rPr>
              <w:t>who lack</w:t>
            </w:r>
            <w:r w:rsidR="00486B79">
              <w:rPr>
                <w:rFonts w:ascii="Arial" w:hAnsi="Arial" w:cs="Arial"/>
              </w:rPr>
              <w:t xml:space="preserve"> </w:t>
            </w:r>
            <w:r w:rsidR="0090718B">
              <w:rPr>
                <w:rFonts w:ascii="Arial" w:hAnsi="Arial" w:cs="Arial"/>
              </w:rPr>
              <w:t xml:space="preserve">legal </w:t>
            </w:r>
            <w:r w:rsidR="00486B79">
              <w:rPr>
                <w:rFonts w:ascii="Arial" w:hAnsi="Arial" w:cs="Arial"/>
              </w:rPr>
              <w:t xml:space="preserve">capacity? </w:t>
            </w:r>
          </w:p>
        </w:tc>
      </w:tr>
    </w:tbl>
    <w:p w14:paraId="0050C4D6" w14:textId="44B477CB"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58" w:name="_Ref503363233"/>
      <w:bookmarkStart w:id="59" w:name="_Ref503363261"/>
      <w:bookmarkStart w:id="60" w:name="_Ref503363266"/>
      <w:bookmarkStart w:id="61" w:name="_Toc507585873"/>
      <w:bookmarkStart w:id="62" w:name="_Toc518984803"/>
      <w:bookmarkEnd w:id="57"/>
      <w:r w:rsidRPr="00446928">
        <w:rPr>
          <w:rFonts w:ascii="Arial" w:hAnsi="Arial" w:cs="Arial"/>
          <w:bCs/>
          <w:i/>
          <w:szCs w:val="26"/>
        </w:rPr>
        <w:lastRenderedPageBreak/>
        <w:t>Medical necessity</w:t>
      </w:r>
      <w:bookmarkEnd w:id="58"/>
      <w:bookmarkEnd w:id="59"/>
      <w:bookmarkEnd w:id="60"/>
      <w:bookmarkEnd w:id="61"/>
      <w:bookmarkEnd w:id="62"/>
    </w:p>
    <w:p w14:paraId="359BF6F9" w14:textId="77777777" w:rsidR="001E7638" w:rsidRPr="00446928" w:rsidRDefault="001E7638" w:rsidP="001E7638">
      <w:pPr>
        <w:keepNext/>
        <w:keepLines/>
        <w:numPr>
          <w:ilvl w:val="3"/>
          <w:numId w:val="1"/>
        </w:numPr>
        <w:spacing w:before="360" w:after="240" w:line="240" w:lineRule="auto"/>
        <w:outlineLvl w:val="3"/>
        <w:rPr>
          <w:rFonts w:ascii="Arial" w:hAnsi="Arial" w:cs="Arial"/>
        </w:rPr>
      </w:pPr>
      <w:r w:rsidRPr="00446928">
        <w:rPr>
          <w:rFonts w:ascii="Arial" w:hAnsi="Arial" w:cs="Arial"/>
        </w:rPr>
        <w:t>Overview</w:t>
      </w:r>
    </w:p>
    <w:p w14:paraId="26B8C0F5" w14:textId="656AA009" w:rsidR="005A5E8F" w:rsidRDefault="001E7638" w:rsidP="001E7638">
      <w:pPr>
        <w:numPr>
          <w:ilvl w:val="0"/>
          <w:numId w:val="15"/>
        </w:numPr>
        <w:spacing w:before="240" w:after="240" w:line="240" w:lineRule="auto"/>
        <w:ind w:hanging="720"/>
        <w:rPr>
          <w:rFonts w:ascii="Arial" w:hAnsi="Arial" w:cs="Arial"/>
        </w:rPr>
      </w:pPr>
      <w:r w:rsidRPr="00446928">
        <w:rPr>
          <w:rFonts w:ascii="Arial" w:hAnsi="Arial" w:cs="Arial"/>
          <w:i/>
        </w:rPr>
        <w:t>Marion</w:t>
      </w:r>
      <w:r w:rsidR="00F87239">
        <w:rPr>
          <w:rFonts w:ascii="Arial" w:hAnsi="Arial" w:cs="Arial"/>
          <w:i/>
        </w:rPr>
        <w:t>’</w:t>
      </w:r>
      <w:r w:rsidRPr="00446928">
        <w:rPr>
          <w:rFonts w:ascii="Arial" w:hAnsi="Arial" w:cs="Arial"/>
          <w:i/>
        </w:rPr>
        <w:t>s case</w:t>
      </w:r>
      <w:r w:rsidRPr="00446928">
        <w:rPr>
          <w:rFonts w:ascii="Arial" w:hAnsi="Arial" w:cs="Arial"/>
        </w:rPr>
        <w:t xml:space="preserve"> held that court authorisation was not required for cases where there is a </w:t>
      </w:r>
      <w:r w:rsidR="00F87239">
        <w:rPr>
          <w:rFonts w:ascii="Arial" w:hAnsi="Arial" w:cs="Arial"/>
        </w:rPr>
        <w:t>‘</w:t>
      </w:r>
      <w:r w:rsidRPr="00446928">
        <w:rPr>
          <w:rFonts w:ascii="Arial" w:hAnsi="Arial" w:cs="Arial"/>
        </w:rPr>
        <w:t>therapeutic</w:t>
      </w:r>
      <w:r w:rsidR="00F87239">
        <w:rPr>
          <w:rFonts w:ascii="Arial" w:hAnsi="Arial" w:cs="Arial"/>
        </w:rPr>
        <w:t>’</w:t>
      </w:r>
      <w:r w:rsidRPr="00446928">
        <w:rPr>
          <w:rFonts w:ascii="Arial" w:hAnsi="Arial" w:cs="Arial"/>
        </w:rPr>
        <w:t xml:space="preserve"> need, meaning where the intervention is necessary for the health of the individual.</w:t>
      </w:r>
      <w:r w:rsidR="00237B58" w:rsidRPr="00030F1B">
        <w:rPr>
          <w:rFonts w:ascii="Arial" w:eastAsia="Times New Roman" w:hAnsi="Arial" w:cs="Arial"/>
          <w:sz w:val="20"/>
          <w:vertAlign w:val="superscript"/>
        </w:rPr>
        <w:endnoteReference w:id="135"/>
      </w:r>
      <w:r w:rsidRPr="00446928">
        <w:rPr>
          <w:rFonts w:ascii="Arial" w:hAnsi="Arial" w:cs="Arial"/>
        </w:rPr>
        <w:t xml:space="preserve"> </w:t>
      </w:r>
      <w:r w:rsidR="002942BF">
        <w:rPr>
          <w:rFonts w:ascii="Arial" w:hAnsi="Arial" w:cs="Arial"/>
        </w:rPr>
        <w:t xml:space="preserve">The Court also stated however that there is no clear dividing line between what is </w:t>
      </w:r>
      <w:r w:rsidR="00F87239">
        <w:rPr>
          <w:rFonts w:ascii="Arial" w:hAnsi="Arial" w:cs="Arial"/>
        </w:rPr>
        <w:t>‘</w:t>
      </w:r>
      <w:r w:rsidR="002942BF">
        <w:rPr>
          <w:rFonts w:ascii="Arial" w:hAnsi="Arial" w:cs="Arial"/>
        </w:rPr>
        <w:t>therapeutic</w:t>
      </w:r>
      <w:r w:rsidR="00F87239">
        <w:rPr>
          <w:rFonts w:ascii="Arial" w:hAnsi="Arial" w:cs="Arial"/>
        </w:rPr>
        <w:t>’</w:t>
      </w:r>
      <w:r w:rsidR="002942BF">
        <w:rPr>
          <w:rFonts w:ascii="Arial" w:hAnsi="Arial" w:cs="Arial"/>
        </w:rPr>
        <w:t xml:space="preserve"> and </w:t>
      </w:r>
      <w:r w:rsidR="00F87239">
        <w:rPr>
          <w:rFonts w:ascii="Arial" w:hAnsi="Arial" w:cs="Arial"/>
        </w:rPr>
        <w:t>‘</w:t>
      </w:r>
      <w:r w:rsidR="002942BF">
        <w:rPr>
          <w:rFonts w:ascii="Arial" w:hAnsi="Arial" w:cs="Arial"/>
        </w:rPr>
        <w:t>non-therapeutic</w:t>
      </w:r>
      <w:r w:rsidR="00F87239">
        <w:rPr>
          <w:rFonts w:ascii="Arial" w:hAnsi="Arial" w:cs="Arial"/>
        </w:rPr>
        <w:t>’</w:t>
      </w:r>
      <w:r w:rsidR="002942BF">
        <w:rPr>
          <w:rFonts w:ascii="Arial" w:hAnsi="Arial" w:cs="Arial"/>
        </w:rPr>
        <w:t>.</w:t>
      </w:r>
      <w:r w:rsidR="002942BF">
        <w:rPr>
          <w:rStyle w:val="EndnoteReference"/>
          <w:rFonts w:cs="Arial"/>
        </w:rPr>
        <w:endnoteReference w:id="136"/>
      </w:r>
      <w:r w:rsidR="002942BF">
        <w:rPr>
          <w:rFonts w:ascii="Arial" w:hAnsi="Arial" w:cs="Arial"/>
        </w:rPr>
        <w:t xml:space="preserve"> </w:t>
      </w:r>
      <w:r w:rsidRPr="00446928">
        <w:rPr>
          <w:rFonts w:ascii="Arial" w:hAnsi="Arial" w:cs="Arial"/>
        </w:rPr>
        <w:t>While interventions may need to be performed for medically necessary reasons, what constitutes medical necessity can be contentious</w:t>
      </w:r>
      <w:r w:rsidR="00621792" w:rsidRPr="00446928">
        <w:rPr>
          <w:rFonts w:ascii="Arial" w:hAnsi="Arial" w:cs="Arial"/>
        </w:rPr>
        <w:t>,</w:t>
      </w:r>
      <w:r w:rsidRPr="00446928">
        <w:rPr>
          <w:rFonts w:ascii="Arial" w:hAnsi="Arial" w:cs="Arial"/>
        </w:rPr>
        <w:t xml:space="preserve"> particularly where </w:t>
      </w:r>
      <w:proofErr w:type="gramStart"/>
      <w:r w:rsidRPr="00446928">
        <w:rPr>
          <w:rFonts w:ascii="Arial" w:hAnsi="Arial" w:cs="Arial"/>
        </w:rPr>
        <w:t>psycho-social</w:t>
      </w:r>
      <w:proofErr w:type="gramEnd"/>
      <w:r w:rsidRPr="00446928">
        <w:rPr>
          <w:rFonts w:ascii="Arial" w:hAnsi="Arial" w:cs="Arial"/>
        </w:rPr>
        <w:t xml:space="preserve"> rationales for interventions are considered. </w:t>
      </w:r>
      <w:proofErr w:type="gramStart"/>
      <w:r w:rsidRPr="00446928">
        <w:rPr>
          <w:rFonts w:ascii="Arial" w:hAnsi="Arial" w:cs="Arial"/>
        </w:rPr>
        <w:t>Psycho-social</w:t>
      </w:r>
      <w:proofErr w:type="gramEnd"/>
      <w:r w:rsidRPr="00446928">
        <w:rPr>
          <w:rFonts w:ascii="Arial" w:hAnsi="Arial" w:cs="Arial"/>
        </w:rPr>
        <w:t xml:space="preserve"> rationales </w:t>
      </w:r>
      <w:r w:rsidR="00621792" w:rsidRPr="00446928">
        <w:rPr>
          <w:rFonts w:ascii="Arial" w:hAnsi="Arial" w:cs="Arial"/>
        </w:rPr>
        <w:t>take into account</w:t>
      </w:r>
      <w:r w:rsidRPr="00446928">
        <w:rPr>
          <w:rFonts w:ascii="Arial" w:hAnsi="Arial" w:cs="Arial"/>
        </w:rPr>
        <w:t xml:space="preserve"> social and cultural factors</w:t>
      </w:r>
      <w:r w:rsidR="00621792" w:rsidRPr="00446928">
        <w:rPr>
          <w:rFonts w:ascii="Arial" w:hAnsi="Arial" w:cs="Arial"/>
        </w:rPr>
        <w:t>;</w:t>
      </w:r>
      <w:r w:rsidRPr="00446928">
        <w:rPr>
          <w:rFonts w:ascii="Arial" w:hAnsi="Arial" w:cs="Arial"/>
        </w:rPr>
        <w:t xml:space="preserve"> </w:t>
      </w:r>
      <w:r w:rsidR="001F3AF7" w:rsidRPr="00446928">
        <w:rPr>
          <w:rFonts w:ascii="Arial" w:hAnsi="Arial" w:cs="Arial"/>
        </w:rPr>
        <w:t>for example</w:t>
      </w:r>
      <w:r w:rsidR="00621792" w:rsidRPr="00446928">
        <w:rPr>
          <w:rFonts w:ascii="Arial" w:hAnsi="Arial" w:cs="Arial"/>
        </w:rPr>
        <w:t>,</w:t>
      </w:r>
      <w:r w:rsidRPr="00446928">
        <w:rPr>
          <w:rFonts w:ascii="Arial" w:hAnsi="Arial" w:cs="Arial"/>
        </w:rPr>
        <w:t xml:space="preserve"> understandings of what male and female bodies </w:t>
      </w:r>
      <w:r w:rsidRPr="00446928">
        <w:rPr>
          <w:rFonts w:ascii="Arial" w:hAnsi="Arial" w:cs="Arial"/>
          <w:i/>
        </w:rPr>
        <w:t>should</w:t>
      </w:r>
      <w:r w:rsidRPr="00446928">
        <w:rPr>
          <w:rFonts w:ascii="Arial" w:hAnsi="Arial" w:cs="Arial"/>
        </w:rPr>
        <w:t xml:space="preserve"> look like or the functions that men and women </w:t>
      </w:r>
      <w:r w:rsidRPr="00446928">
        <w:rPr>
          <w:rFonts w:ascii="Arial" w:hAnsi="Arial" w:cs="Arial"/>
          <w:i/>
        </w:rPr>
        <w:t>should</w:t>
      </w:r>
      <w:r w:rsidRPr="00446928">
        <w:rPr>
          <w:rFonts w:ascii="Arial" w:hAnsi="Arial" w:cs="Arial"/>
        </w:rPr>
        <w:t xml:space="preserve"> be able to have.</w:t>
      </w:r>
    </w:p>
    <w:p w14:paraId="30D13783" w14:textId="446C61CA" w:rsidR="001E7638" w:rsidRDefault="001E7638" w:rsidP="001E7638">
      <w:pPr>
        <w:numPr>
          <w:ilvl w:val="0"/>
          <w:numId w:val="15"/>
        </w:numPr>
        <w:spacing w:before="240" w:after="240" w:line="240" w:lineRule="auto"/>
        <w:ind w:hanging="720"/>
        <w:rPr>
          <w:rFonts w:ascii="Arial" w:hAnsi="Arial" w:cs="Arial"/>
        </w:rPr>
      </w:pPr>
      <w:r w:rsidRPr="00446928">
        <w:rPr>
          <w:rFonts w:ascii="Arial" w:hAnsi="Arial" w:cs="Arial"/>
        </w:rPr>
        <w:t xml:space="preserve">Justifications for medical interventions are varied. Where multiple interventions </w:t>
      </w:r>
      <w:proofErr w:type="gramStart"/>
      <w:r w:rsidRPr="00446928">
        <w:rPr>
          <w:rFonts w:ascii="Arial" w:hAnsi="Arial" w:cs="Arial"/>
        </w:rPr>
        <w:t>are being considered</w:t>
      </w:r>
      <w:proofErr w:type="gramEnd"/>
      <w:r w:rsidRPr="00446928">
        <w:rPr>
          <w:rFonts w:ascii="Arial" w:hAnsi="Arial" w:cs="Arial"/>
        </w:rPr>
        <w:t xml:space="preserve">, there may not always be a thorough delineation of which interventions are medically necessary and which are not. A consideration of the rationales behind decision-making helps to inform which human rights </w:t>
      </w:r>
      <w:proofErr w:type="gramStart"/>
      <w:r w:rsidRPr="00446928">
        <w:rPr>
          <w:rFonts w:ascii="Arial" w:hAnsi="Arial" w:cs="Arial"/>
        </w:rPr>
        <w:t>are being protected and prioritised,</w:t>
      </w:r>
      <w:proofErr w:type="gramEnd"/>
      <w:r w:rsidRPr="00446928">
        <w:rPr>
          <w:rFonts w:ascii="Arial" w:hAnsi="Arial" w:cs="Arial"/>
        </w:rPr>
        <w:t xml:space="preserve"> and, where </w:t>
      </w:r>
      <w:r w:rsidR="00621792" w:rsidRPr="00446928">
        <w:rPr>
          <w:rFonts w:ascii="Arial" w:hAnsi="Arial" w:cs="Arial"/>
        </w:rPr>
        <w:t xml:space="preserve">an intervention is being considered </w:t>
      </w:r>
      <w:r w:rsidRPr="00446928">
        <w:rPr>
          <w:rFonts w:ascii="Arial" w:hAnsi="Arial" w:cs="Arial"/>
        </w:rPr>
        <w:t xml:space="preserve">in the absence of </w:t>
      </w:r>
      <w:r w:rsidR="00621792" w:rsidRPr="00446928">
        <w:rPr>
          <w:rFonts w:ascii="Arial" w:hAnsi="Arial" w:cs="Arial"/>
        </w:rPr>
        <w:t>a child</w:t>
      </w:r>
      <w:r w:rsidR="00F87239">
        <w:rPr>
          <w:rFonts w:ascii="Arial" w:hAnsi="Arial" w:cs="Arial"/>
        </w:rPr>
        <w:t>’</w:t>
      </w:r>
      <w:r w:rsidR="00621792" w:rsidRPr="00446928">
        <w:rPr>
          <w:rFonts w:ascii="Arial" w:hAnsi="Arial" w:cs="Arial"/>
        </w:rPr>
        <w:t xml:space="preserve">s </w:t>
      </w:r>
      <w:r w:rsidRPr="00446928">
        <w:rPr>
          <w:rFonts w:ascii="Arial" w:hAnsi="Arial" w:cs="Arial"/>
        </w:rPr>
        <w:t>capacity</w:t>
      </w:r>
      <w:r w:rsidR="00621792" w:rsidRPr="00446928">
        <w:rPr>
          <w:rFonts w:ascii="Arial" w:hAnsi="Arial" w:cs="Arial"/>
        </w:rPr>
        <w:t xml:space="preserve"> for consent</w:t>
      </w:r>
      <w:r w:rsidRPr="00446928">
        <w:rPr>
          <w:rFonts w:ascii="Arial" w:hAnsi="Arial" w:cs="Arial"/>
        </w:rPr>
        <w:t xml:space="preserve">, how the best interests of the child are being considered. </w:t>
      </w:r>
    </w:p>
    <w:p w14:paraId="4C1F833B" w14:textId="2FE2C053" w:rsidR="00D94936" w:rsidRPr="004E2FD7" w:rsidRDefault="00D94936" w:rsidP="004E2FD7">
      <w:pPr>
        <w:numPr>
          <w:ilvl w:val="0"/>
          <w:numId w:val="15"/>
        </w:numPr>
        <w:spacing w:before="240" w:after="240" w:line="240" w:lineRule="auto"/>
        <w:ind w:hanging="720"/>
        <w:rPr>
          <w:rFonts w:ascii="Arial" w:hAnsi="Arial" w:cs="Arial"/>
        </w:rPr>
      </w:pPr>
      <w:r>
        <w:rPr>
          <w:rFonts w:ascii="Arial" w:hAnsi="Arial" w:cs="Arial"/>
        </w:rPr>
        <w:t xml:space="preserve">All justifications for intervention also ought to consider the possibility of consequential interventions, either due to complications or </w:t>
      </w:r>
      <w:r w:rsidR="00422BE9">
        <w:rPr>
          <w:rFonts w:ascii="Arial" w:hAnsi="Arial" w:cs="Arial"/>
        </w:rPr>
        <w:t>because of the</w:t>
      </w:r>
      <w:r w:rsidR="00096171">
        <w:rPr>
          <w:rFonts w:ascii="Arial" w:hAnsi="Arial" w:cs="Arial"/>
        </w:rPr>
        <w:t xml:space="preserve"> very</w:t>
      </w:r>
      <w:r>
        <w:rPr>
          <w:rFonts w:ascii="Arial" w:hAnsi="Arial" w:cs="Arial"/>
        </w:rPr>
        <w:t xml:space="preserve"> nature of the procedure. For example, the decision </w:t>
      </w:r>
      <w:proofErr w:type="gramStart"/>
      <w:r>
        <w:rPr>
          <w:rFonts w:ascii="Arial" w:hAnsi="Arial" w:cs="Arial"/>
        </w:rPr>
        <w:t>to surgically remove</w:t>
      </w:r>
      <w:proofErr w:type="gramEnd"/>
      <w:r>
        <w:rPr>
          <w:rFonts w:ascii="Arial" w:hAnsi="Arial" w:cs="Arial"/>
        </w:rPr>
        <w:t xml:space="preserve"> gonads (</w:t>
      </w:r>
      <w:proofErr w:type="spellStart"/>
      <w:r>
        <w:rPr>
          <w:rFonts w:ascii="Arial" w:hAnsi="Arial" w:cs="Arial"/>
        </w:rPr>
        <w:t>gonadectomy</w:t>
      </w:r>
      <w:proofErr w:type="spellEnd"/>
      <w:r>
        <w:rPr>
          <w:rFonts w:ascii="Arial" w:hAnsi="Arial" w:cs="Arial"/>
        </w:rPr>
        <w:t>) will require life-long hormone replacement therapy, while the decision not to remove them may require the use of puberty blockers. Similarly, the surgical creation of a vagina (</w:t>
      </w:r>
      <w:proofErr w:type="spellStart"/>
      <w:r>
        <w:rPr>
          <w:rFonts w:ascii="Arial" w:hAnsi="Arial" w:cs="Arial"/>
        </w:rPr>
        <w:t>vaginoplasty</w:t>
      </w:r>
      <w:proofErr w:type="spellEnd"/>
      <w:r>
        <w:rPr>
          <w:rFonts w:ascii="Arial" w:hAnsi="Arial" w:cs="Arial"/>
        </w:rPr>
        <w:t xml:space="preserve">) may require dilation </w:t>
      </w:r>
      <w:r w:rsidR="005A5E8F">
        <w:rPr>
          <w:rFonts w:ascii="Arial" w:hAnsi="Arial" w:cs="Arial"/>
        </w:rPr>
        <w:t xml:space="preserve">to </w:t>
      </w:r>
      <w:r w:rsidR="00422BE9">
        <w:rPr>
          <w:rFonts w:ascii="Arial" w:hAnsi="Arial" w:cs="Arial"/>
        </w:rPr>
        <w:t>maintain</w:t>
      </w:r>
      <w:r>
        <w:rPr>
          <w:rFonts w:ascii="Arial" w:hAnsi="Arial" w:cs="Arial"/>
        </w:rPr>
        <w:t xml:space="preserve"> length. Interventions are, therefore, not </w:t>
      </w:r>
      <w:r w:rsidR="005A5E8F">
        <w:rPr>
          <w:rFonts w:ascii="Arial" w:hAnsi="Arial" w:cs="Arial"/>
        </w:rPr>
        <w:t>necessarily</w:t>
      </w:r>
      <w:r>
        <w:rPr>
          <w:rFonts w:ascii="Arial" w:hAnsi="Arial" w:cs="Arial"/>
        </w:rPr>
        <w:t xml:space="preserve"> single</w:t>
      </w:r>
      <w:r w:rsidR="005A5E8F">
        <w:rPr>
          <w:rFonts w:ascii="Arial" w:hAnsi="Arial" w:cs="Arial"/>
        </w:rPr>
        <w:t>, discrete</w:t>
      </w:r>
      <w:r>
        <w:rPr>
          <w:rFonts w:ascii="Arial" w:hAnsi="Arial" w:cs="Arial"/>
        </w:rPr>
        <w:t xml:space="preserve"> events and may require ongoing management and further interventions in the future. </w:t>
      </w:r>
    </w:p>
    <w:p w14:paraId="654B5AC7" w14:textId="77777777" w:rsidR="001E7638" w:rsidRPr="00446928" w:rsidRDefault="001E7638" w:rsidP="001E7638">
      <w:pPr>
        <w:keepNext/>
        <w:keepLines/>
        <w:numPr>
          <w:ilvl w:val="3"/>
          <w:numId w:val="1"/>
        </w:numPr>
        <w:spacing w:before="360" w:after="240" w:line="240" w:lineRule="auto"/>
        <w:outlineLvl w:val="3"/>
        <w:rPr>
          <w:rFonts w:ascii="Arial" w:hAnsi="Arial" w:cs="Arial"/>
        </w:rPr>
      </w:pPr>
      <w:r w:rsidRPr="00446928">
        <w:rPr>
          <w:rFonts w:ascii="Arial" w:hAnsi="Arial" w:cs="Arial"/>
        </w:rPr>
        <w:t>Psycho-social rationales for intervention</w:t>
      </w:r>
    </w:p>
    <w:p w14:paraId="16E67B5B" w14:textId="7EC0A956" w:rsidR="00CF4143" w:rsidRPr="00446928" w:rsidRDefault="00E01FC4" w:rsidP="00AA42CE">
      <w:pPr>
        <w:numPr>
          <w:ilvl w:val="0"/>
          <w:numId w:val="15"/>
        </w:numPr>
        <w:spacing w:before="240" w:after="240" w:line="240" w:lineRule="auto"/>
        <w:ind w:hanging="720"/>
        <w:rPr>
          <w:rFonts w:ascii="Arial" w:hAnsi="Arial" w:cs="Arial"/>
        </w:rPr>
      </w:pPr>
      <w:r w:rsidRPr="00446928">
        <w:rPr>
          <w:rFonts w:ascii="Arial" w:hAnsi="Arial" w:cs="Arial"/>
        </w:rPr>
        <w:t xml:space="preserve">Interventions </w:t>
      </w:r>
      <w:proofErr w:type="gramStart"/>
      <w:r w:rsidRPr="00446928">
        <w:rPr>
          <w:rFonts w:ascii="Arial" w:hAnsi="Arial" w:cs="Arial"/>
        </w:rPr>
        <w:t>are often undertaken</w:t>
      </w:r>
      <w:proofErr w:type="gramEnd"/>
      <w:r w:rsidRPr="00446928">
        <w:rPr>
          <w:rFonts w:ascii="Arial" w:hAnsi="Arial" w:cs="Arial"/>
        </w:rPr>
        <w:t xml:space="preserve"> in an attempt to make bodies loo</w:t>
      </w:r>
      <w:r w:rsidR="00CF4143" w:rsidRPr="00446928">
        <w:rPr>
          <w:rFonts w:ascii="Arial" w:hAnsi="Arial" w:cs="Arial"/>
        </w:rPr>
        <w:t>k more typically male or female.</w:t>
      </w:r>
      <w:r w:rsidR="00AA42CE" w:rsidRPr="00446928">
        <w:rPr>
          <w:rFonts w:ascii="Arial" w:hAnsi="Arial" w:cs="Arial"/>
        </w:rPr>
        <w:t xml:space="preserve"> </w:t>
      </w:r>
      <w:r w:rsidR="00055AD9" w:rsidRPr="00446928">
        <w:rPr>
          <w:rFonts w:ascii="Arial" w:hAnsi="Arial" w:cs="Arial"/>
        </w:rPr>
        <w:t>These rationales often reflect a presumption that an individual</w:t>
      </w:r>
      <w:r w:rsidR="00F87239">
        <w:rPr>
          <w:rFonts w:ascii="Arial" w:hAnsi="Arial" w:cs="Arial"/>
        </w:rPr>
        <w:t>’</w:t>
      </w:r>
      <w:r w:rsidR="00055AD9" w:rsidRPr="00446928">
        <w:rPr>
          <w:rFonts w:ascii="Arial" w:hAnsi="Arial" w:cs="Arial"/>
        </w:rPr>
        <w:t xml:space="preserve">s womanhood or manhood </w:t>
      </w:r>
      <w:proofErr w:type="gramStart"/>
      <w:r w:rsidR="00055AD9" w:rsidRPr="00446928">
        <w:rPr>
          <w:rFonts w:ascii="Arial" w:hAnsi="Arial" w:cs="Arial"/>
        </w:rPr>
        <w:t>is challenged</w:t>
      </w:r>
      <w:proofErr w:type="gramEnd"/>
      <w:r w:rsidR="00055AD9" w:rsidRPr="00446928">
        <w:rPr>
          <w:rFonts w:ascii="Arial" w:hAnsi="Arial" w:cs="Arial"/>
        </w:rPr>
        <w:t xml:space="preserve"> by having genitalia that </w:t>
      </w:r>
      <w:r w:rsidR="00B97974" w:rsidRPr="00446928">
        <w:rPr>
          <w:rFonts w:ascii="Arial" w:hAnsi="Arial" w:cs="Arial"/>
        </w:rPr>
        <w:t>do</w:t>
      </w:r>
      <w:r w:rsidR="00055AD9" w:rsidRPr="00446928">
        <w:rPr>
          <w:rFonts w:ascii="Arial" w:hAnsi="Arial" w:cs="Arial"/>
        </w:rPr>
        <w:t xml:space="preserve"> not match what is expected of that sex.</w:t>
      </w:r>
    </w:p>
    <w:p w14:paraId="48D6E0ED" w14:textId="77777777" w:rsidR="00966758" w:rsidRPr="00446928" w:rsidRDefault="00527235" w:rsidP="00966758">
      <w:pPr>
        <w:numPr>
          <w:ilvl w:val="0"/>
          <w:numId w:val="15"/>
        </w:numPr>
        <w:spacing w:before="240" w:after="240" w:line="240" w:lineRule="auto"/>
        <w:ind w:hanging="720"/>
        <w:rPr>
          <w:rFonts w:ascii="Arial" w:hAnsi="Arial" w:cs="Arial"/>
        </w:rPr>
      </w:pPr>
      <w:r w:rsidRPr="00446928">
        <w:rPr>
          <w:rFonts w:ascii="Arial" w:hAnsi="Arial" w:cs="Arial"/>
        </w:rPr>
        <w:t>P</w:t>
      </w:r>
      <w:r w:rsidR="00677717" w:rsidRPr="00446928">
        <w:rPr>
          <w:rFonts w:ascii="Arial" w:hAnsi="Arial" w:cs="Arial"/>
        </w:rPr>
        <w:t xml:space="preserve">sycho-social </w:t>
      </w:r>
      <w:r w:rsidR="00966758" w:rsidRPr="00446928">
        <w:rPr>
          <w:rFonts w:ascii="Arial" w:hAnsi="Arial" w:cs="Arial"/>
        </w:rPr>
        <w:t>rationales</w:t>
      </w:r>
      <w:r w:rsidR="00621792" w:rsidRPr="00446928">
        <w:rPr>
          <w:rFonts w:ascii="Arial" w:hAnsi="Arial" w:cs="Arial"/>
        </w:rPr>
        <w:t xml:space="preserve"> that have been advanced in favour of medical intervention in this context</w:t>
      </w:r>
      <w:r w:rsidR="00966758" w:rsidRPr="00446928">
        <w:rPr>
          <w:rFonts w:ascii="Arial" w:hAnsi="Arial" w:cs="Arial"/>
        </w:rPr>
        <w:t xml:space="preserve"> include:</w:t>
      </w:r>
    </w:p>
    <w:p w14:paraId="767FD157" w14:textId="7867E95F" w:rsidR="00966758" w:rsidRPr="00446928" w:rsidRDefault="001B552B" w:rsidP="00070154">
      <w:pPr>
        <w:numPr>
          <w:ilvl w:val="1"/>
          <w:numId w:val="15"/>
        </w:numPr>
        <w:spacing w:before="240" w:after="240" w:line="240" w:lineRule="auto"/>
        <w:rPr>
          <w:rFonts w:ascii="Arial" w:hAnsi="Arial" w:cs="Arial"/>
        </w:rPr>
      </w:pPr>
      <w:r w:rsidRPr="00446928">
        <w:rPr>
          <w:rFonts w:ascii="Arial" w:hAnsi="Arial" w:cs="Arial"/>
        </w:rPr>
        <w:t>Stigma, e</w:t>
      </w:r>
      <w:r w:rsidR="00D3020D" w:rsidRPr="00446928">
        <w:rPr>
          <w:rFonts w:ascii="Arial" w:hAnsi="Arial" w:cs="Arial"/>
        </w:rPr>
        <w:t>mbarrassment</w:t>
      </w:r>
      <w:r w:rsidRPr="00446928">
        <w:rPr>
          <w:rFonts w:ascii="Arial" w:hAnsi="Arial" w:cs="Arial"/>
        </w:rPr>
        <w:t xml:space="preserve"> and</w:t>
      </w:r>
      <w:r w:rsidR="00677717" w:rsidRPr="00446928">
        <w:rPr>
          <w:rFonts w:ascii="Arial" w:hAnsi="Arial" w:cs="Arial"/>
        </w:rPr>
        <w:t xml:space="preserve"> distress </w:t>
      </w:r>
      <w:r w:rsidR="00D3020D" w:rsidRPr="00446928">
        <w:rPr>
          <w:rFonts w:ascii="Arial" w:hAnsi="Arial" w:cs="Arial"/>
        </w:rPr>
        <w:t xml:space="preserve">of having a body </w:t>
      </w:r>
      <w:r w:rsidR="00986427" w:rsidRPr="00446928">
        <w:rPr>
          <w:rFonts w:ascii="Arial" w:hAnsi="Arial" w:cs="Arial"/>
        </w:rPr>
        <w:t>that does not match</w:t>
      </w:r>
      <w:r w:rsidR="00D3020D" w:rsidRPr="00446928">
        <w:rPr>
          <w:rFonts w:ascii="Arial" w:hAnsi="Arial" w:cs="Arial"/>
        </w:rPr>
        <w:t xml:space="preserve"> the sex of rearing</w:t>
      </w:r>
      <w:r w:rsidR="004846A1" w:rsidRPr="00446928">
        <w:rPr>
          <w:rFonts w:ascii="Arial" w:hAnsi="Arial" w:cs="Arial"/>
        </w:rPr>
        <w:t>;</w:t>
      </w:r>
      <w:r w:rsidR="002F0F3D" w:rsidRPr="00030F1B">
        <w:rPr>
          <w:rStyle w:val="EndnoteReference"/>
          <w:rFonts w:cs="Arial"/>
        </w:rPr>
        <w:endnoteReference w:id="137"/>
      </w:r>
      <w:r w:rsidR="00070154" w:rsidRPr="00446928">
        <w:rPr>
          <w:rFonts w:ascii="Arial" w:hAnsi="Arial" w:cs="Arial"/>
        </w:rPr>
        <w:t xml:space="preserve"> </w:t>
      </w:r>
    </w:p>
    <w:p w14:paraId="208EF05E" w14:textId="65B3F2E9" w:rsidR="00C62CEF" w:rsidRPr="00446928" w:rsidRDefault="00C62CEF" w:rsidP="00070154">
      <w:pPr>
        <w:numPr>
          <w:ilvl w:val="1"/>
          <w:numId w:val="15"/>
        </w:numPr>
        <w:spacing w:before="240" w:after="240" w:line="240" w:lineRule="auto"/>
        <w:rPr>
          <w:rFonts w:ascii="Arial" w:hAnsi="Arial" w:cs="Arial"/>
        </w:rPr>
      </w:pPr>
      <w:r w:rsidRPr="00446928">
        <w:rPr>
          <w:rFonts w:ascii="Arial" w:hAnsi="Arial" w:cs="Arial"/>
        </w:rPr>
        <w:t>Mitigating the risk of gender-identity confusion</w:t>
      </w:r>
      <w:r w:rsidR="00457E45" w:rsidRPr="00446928">
        <w:rPr>
          <w:rFonts w:ascii="Arial" w:hAnsi="Arial" w:cs="Arial"/>
        </w:rPr>
        <w:t>;</w:t>
      </w:r>
      <w:r w:rsidR="002F0F3D" w:rsidRPr="00030F1B">
        <w:rPr>
          <w:rStyle w:val="EndnoteReference"/>
          <w:rFonts w:cs="Arial"/>
        </w:rPr>
        <w:endnoteReference w:id="138"/>
      </w:r>
    </w:p>
    <w:p w14:paraId="26A80012" w14:textId="2F77A35C" w:rsidR="00D3020D" w:rsidRPr="00446928" w:rsidRDefault="00D3020D" w:rsidP="00966758">
      <w:pPr>
        <w:numPr>
          <w:ilvl w:val="1"/>
          <w:numId w:val="15"/>
        </w:numPr>
        <w:spacing w:before="240" w:after="240" w:line="240" w:lineRule="auto"/>
        <w:rPr>
          <w:rFonts w:ascii="Arial" w:hAnsi="Arial" w:cs="Arial"/>
        </w:rPr>
      </w:pPr>
      <w:r w:rsidRPr="00446928">
        <w:rPr>
          <w:rFonts w:ascii="Arial" w:hAnsi="Arial" w:cs="Arial"/>
        </w:rPr>
        <w:t>Risk the child will not be accepted by the parents</w:t>
      </w:r>
      <w:r w:rsidR="00AA42CE" w:rsidRPr="00446928">
        <w:rPr>
          <w:rFonts w:ascii="Arial" w:hAnsi="Arial" w:cs="Arial"/>
        </w:rPr>
        <w:t xml:space="preserve"> </w:t>
      </w:r>
      <w:r w:rsidR="00527235" w:rsidRPr="00446928">
        <w:rPr>
          <w:rFonts w:ascii="Arial" w:hAnsi="Arial" w:cs="Arial"/>
        </w:rPr>
        <w:t>leading to impaired bonding</w:t>
      </w:r>
      <w:r w:rsidR="00AA42CE" w:rsidRPr="00446928">
        <w:rPr>
          <w:rFonts w:ascii="Arial" w:hAnsi="Arial" w:cs="Arial"/>
        </w:rPr>
        <w:t xml:space="preserve"> between parent and child</w:t>
      </w:r>
      <w:r w:rsidR="00457E45" w:rsidRPr="00446928">
        <w:rPr>
          <w:rFonts w:ascii="Arial" w:hAnsi="Arial" w:cs="Arial"/>
        </w:rPr>
        <w:t>;</w:t>
      </w:r>
      <w:r w:rsidR="002F0F3D" w:rsidRPr="00030F1B">
        <w:rPr>
          <w:rStyle w:val="EndnoteReference"/>
          <w:rFonts w:cs="Arial"/>
        </w:rPr>
        <w:endnoteReference w:id="139"/>
      </w:r>
    </w:p>
    <w:p w14:paraId="161775AD" w14:textId="7E26E063" w:rsidR="00AA42CE" w:rsidRPr="00446928" w:rsidRDefault="00AA42CE" w:rsidP="002F0F3D">
      <w:pPr>
        <w:numPr>
          <w:ilvl w:val="1"/>
          <w:numId w:val="15"/>
        </w:numPr>
        <w:spacing w:before="240" w:after="240" w:line="240" w:lineRule="auto"/>
        <w:rPr>
          <w:rFonts w:ascii="Arial" w:hAnsi="Arial" w:cs="Arial"/>
        </w:rPr>
      </w:pPr>
      <w:r w:rsidRPr="00446928">
        <w:rPr>
          <w:rFonts w:ascii="Arial" w:hAnsi="Arial" w:cs="Arial"/>
        </w:rPr>
        <w:t>Minimising family concern and distress</w:t>
      </w:r>
      <w:r w:rsidR="00457E45" w:rsidRPr="00446928">
        <w:rPr>
          <w:rFonts w:ascii="Arial" w:hAnsi="Arial" w:cs="Arial"/>
        </w:rPr>
        <w:t>;</w:t>
      </w:r>
      <w:r w:rsidR="002F0F3D" w:rsidRPr="00030F1B">
        <w:rPr>
          <w:rStyle w:val="EndnoteReference"/>
          <w:rFonts w:cs="Arial"/>
        </w:rPr>
        <w:endnoteReference w:id="140"/>
      </w:r>
    </w:p>
    <w:p w14:paraId="1D0A3E19" w14:textId="0F53EF0D" w:rsidR="00986427" w:rsidRPr="00446928" w:rsidRDefault="00986427" w:rsidP="00966758">
      <w:pPr>
        <w:numPr>
          <w:ilvl w:val="1"/>
          <w:numId w:val="15"/>
        </w:numPr>
        <w:spacing w:before="240" w:after="240" w:line="240" w:lineRule="auto"/>
        <w:rPr>
          <w:rFonts w:ascii="Arial" w:hAnsi="Arial" w:cs="Arial"/>
        </w:rPr>
      </w:pPr>
      <w:r w:rsidRPr="00446928">
        <w:rPr>
          <w:rFonts w:ascii="Arial" w:hAnsi="Arial" w:cs="Arial"/>
        </w:rPr>
        <w:t xml:space="preserve">Risk </w:t>
      </w:r>
      <w:r w:rsidR="00C93221" w:rsidRPr="00446928">
        <w:rPr>
          <w:rFonts w:ascii="Arial" w:hAnsi="Arial" w:cs="Arial"/>
        </w:rPr>
        <w:t>of difficulties in forming</w:t>
      </w:r>
      <w:r w:rsidRPr="00446928">
        <w:rPr>
          <w:rFonts w:ascii="Arial" w:hAnsi="Arial" w:cs="Arial"/>
        </w:rPr>
        <w:t xml:space="preserve"> intimate relationships</w:t>
      </w:r>
      <w:r w:rsidR="00457E45" w:rsidRPr="00446928">
        <w:rPr>
          <w:rFonts w:ascii="Arial" w:hAnsi="Arial" w:cs="Arial"/>
        </w:rPr>
        <w:t>;</w:t>
      </w:r>
      <w:r w:rsidR="002F0F3D" w:rsidRPr="00030F1B">
        <w:rPr>
          <w:rStyle w:val="EndnoteReference"/>
          <w:rFonts w:cs="Arial"/>
        </w:rPr>
        <w:endnoteReference w:id="141"/>
      </w:r>
    </w:p>
    <w:p w14:paraId="2CFD0D2A" w14:textId="6D397697" w:rsidR="00D3020D" w:rsidRPr="00446928" w:rsidRDefault="00B97974" w:rsidP="002F0F3D">
      <w:pPr>
        <w:numPr>
          <w:ilvl w:val="1"/>
          <w:numId w:val="15"/>
        </w:numPr>
        <w:spacing w:before="240" w:after="240" w:line="240" w:lineRule="auto"/>
        <w:rPr>
          <w:rFonts w:ascii="Arial" w:hAnsi="Arial" w:cs="Arial"/>
        </w:rPr>
      </w:pPr>
      <w:r w:rsidRPr="00446928">
        <w:rPr>
          <w:rFonts w:ascii="Arial" w:hAnsi="Arial" w:cs="Arial"/>
        </w:rPr>
        <w:t>Gendered understandings</w:t>
      </w:r>
      <w:r w:rsidR="00D3020D" w:rsidRPr="00446928">
        <w:rPr>
          <w:rFonts w:ascii="Arial" w:hAnsi="Arial" w:cs="Arial"/>
        </w:rPr>
        <w:t xml:space="preserve"> of </w:t>
      </w:r>
      <w:r w:rsidR="00C93221" w:rsidRPr="00446928">
        <w:rPr>
          <w:rFonts w:ascii="Arial" w:hAnsi="Arial" w:cs="Arial"/>
        </w:rPr>
        <w:t>functional ability</w:t>
      </w:r>
      <w:r w:rsidR="00621792" w:rsidRPr="00446928">
        <w:rPr>
          <w:rFonts w:ascii="Arial" w:hAnsi="Arial" w:cs="Arial"/>
        </w:rPr>
        <w:t xml:space="preserve"> –</w:t>
      </w:r>
      <w:r w:rsidR="00D3020D" w:rsidRPr="00446928">
        <w:rPr>
          <w:rFonts w:ascii="Arial" w:hAnsi="Arial" w:cs="Arial"/>
        </w:rPr>
        <w:t xml:space="preserve"> for example</w:t>
      </w:r>
      <w:r w:rsidR="00621792" w:rsidRPr="00446928">
        <w:rPr>
          <w:rFonts w:ascii="Arial" w:hAnsi="Arial" w:cs="Arial"/>
        </w:rPr>
        <w:t>,</w:t>
      </w:r>
      <w:r w:rsidR="00D3020D" w:rsidRPr="00446928">
        <w:rPr>
          <w:rFonts w:ascii="Arial" w:hAnsi="Arial" w:cs="Arial"/>
        </w:rPr>
        <w:t xml:space="preserve"> </w:t>
      </w:r>
      <w:r w:rsidR="00C93221" w:rsidRPr="00446928">
        <w:rPr>
          <w:rFonts w:ascii="Arial" w:hAnsi="Arial" w:cs="Arial"/>
        </w:rPr>
        <w:t>that</w:t>
      </w:r>
      <w:r w:rsidR="00D3020D" w:rsidRPr="00446928">
        <w:rPr>
          <w:rFonts w:ascii="Arial" w:hAnsi="Arial" w:cs="Arial"/>
        </w:rPr>
        <w:t xml:space="preserve"> a male should be able to stand </w:t>
      </w:r>
      <w:r w:rsidR="00C93221" w:rsidRPr="00446928">
        <w:rPr>
          <w:rFonts w:ascii="Arial" w:hAnsi="Arial" w:cs="Arial"/>
        </w:rPr>
        <w:t>to urinate</w:t>
      </w:r>
      <w:r w:rsidR="00457E45" w:rsidRPr="00446928">
        <w:rPr>
          <w:rFonts w:ascii="Arial" w:hAnsi="Arial" w:cs="Arial"/>
        </w:rPr>
        <w:t>;</w:t>
      </w:r>
      <w:r w:rsidR="002F0F3D" w:rsidRPr="00030F1B">
        <w:rPr>
          <w:rStyle w:val="EndnoteReference"/>
          <w:rFonts w:cs="Arial"/>
        </w:rPr>
        <w:endnoteReference w:id="142"/>
      </w:r>
    </w:p>
    <w:p w14:paraId="02EED40F" w14:textId="79E2B547" w:rsidR="00070154" w:rsidRPr="00446928" w:rsidRDefault="00B97974" w:rsidP="00070154">
      <w:pPr>
        <w:numPr>
          <w:ilvl w:val="1"/>
          <w:numId w:val="15"/>
        </w:numPr>
        <w:spacing w:before="240" w:after="240" w:line="240" w:lineRule="auto"/>
        <w:rPr>
          <w:rFonts w:ascii="Arial" w:hAnsi="Arial" w:cs="Arial"/>
        </w:rPr>
      </w:pPr>
      <w:r w:rsidRPr="00446928">
        <w:rPr>
          <w:rFonts w:ascii="Arial" w:hAnsi="Arial" w:cs="Arial"/>
        </w:rPr>
        <w:lastRenderedPageBreak/>
        <w:t>Gendered understandings</w:t>
      </w:r>
      <w:r w:rsidR="00070154" w:rsidRPr="00446928">
        <w:rPr>
          <w:rFonts w:ascii="Arial" w:hAnsi="Arial" w:cs="Arial"/>
        </w:rPr>
        <w:t xml:space="preserve"> of appropriate appearance of genitalia</w:t>
      </w:r>
      <w:r w:rsidR="00621792" w:rsidRPr="00446928">
        <w:rPr>
          <w:rFonts w:ascii="Arial" w:hAnsi="Arial" w:cs="Arial"/>
        </w:rPr>
        <w:t>;</w:t>
      </w:r>
      <w:r w:rsidR="0024357B" w:rsidRPr="00030F1B">
        <w:rPr>
          <w:rStyle w:val="EndnoteReference"/>
          <w:rFonts w:cs="Arial"/>
        </w:rPr>
        <w:endnoteReference w:id="143"/>
      </w:r>
      <w:r w:rsidR="0024357B" w:rsidRPr="00030F1B">
        <w:rPr>
          <w:rFonts w:ascii="Arial" w:hAnsi="Arial" w:cs="Arial"/>
        </w:rPr>
        <w:t xml:space="preserve"> </w:t>
      </w:r>
      <w:r w:rsidR="00175657" w:rsidRPr="00446928">
        <w:rPr>
          <w:rFonts w:ascii="Arial" w:hAnsi="Arial" w:cs="Arial"/>
        </w:rPr>
        <w:t>for example</w:t>
      </w:r>
      <w:r w:rsidR="00621792" w:rsidRPr="00446928">
        <w:rPr>
          <w:rFonts w:ascii="Arial" w:hAnsi="Arial" w:cs="Arial"/>
        </w:rPr>
        <w:t>,</w:t>
      </w:r>
      <w:r w:rsidR="00175657" w:rsidRPr="00446928">
        <w:rPr>
          <w:rFonts w:ascii="Arial" w:hAnsi="Arial" w:cs="Arial"/>
        </w:rPr>
        <w:t xml:space="preserve"> </w:t>
      </w:r>
      <w:r w:rsidR="00C93221" w:rsidRPr="00446928">
        <w:rPr>
          <w:rFonts w:ascii="Arial" w:hAnsi="Arial" w:cs="Arial"/>
        </w:rPr>
        <w:t>a clitoris that is considered too large may be reduced</w:t>
      </w:r>
      <w:r w:rsidR="00055AD9" w:rsidRPr="00446928">
        <w:rPr>
          <w:rFonts w:ascii="Arial" w:hAnsi="Arial" w:cs="Arial"/>
        </w:rPr>
        <w:t xml:space="preserve"> in size</w:t>
      </w:r>
      <w:r w:rsidR="00C605C5" w:rsidRPr="00446928">
        <w:rPr>
          <w:rFonts w:ascii="Arial" w:hAnsi="Arial" w:cs="Arial"/>
        </w:rPr>
        <w:t xml:space="preserve">, although research has shown </w:t>
      </w:r>
      <w:r w:rsidR="00621792" w:rsidRPr="00446928">
        <w:rPr>
          <w:rFonts w:ascii="Arial" w:hAnsi="Arial" w:cs="Arial"/>
        </w:rPr>
        <w:t xml:space="preserve">significant </w:t>
      </w:r>
      <w:r w:rsidR="00C605C5" w:rsidRPr="00446928">
        <w:rPr>
          <w:rFonts w:ascii="Arial" w:hAnsi="Arial" w:cs="Arial"/>
        </w:rPr>
        <w:t>variations even among people not considered to have atypical genitalia;</w:t>
      </w:r>
      <w:r w:rsidR="0024357B" w:rsidRPr="00030F1B">
        <w:rPr>
          <w:rStyle w:val="EndnoteReference"/>
          <w:rFonts w:cs="Arial"/>
        </w:rPr>
        <w:endnoteReference w:id="144"/>
      </w:r>
      <w:r w:rsidR="004846A1" w:rsidRPr="00446928">
        <w:rPr>
          <w:rFonts w:ascii="Arial" w:hAnsi="Arial" w:cs="Arial"/>
        </w:rPr>
        <w:t xml:space="preserve"> and</w:t>
      </w:r>
    </w:p>
    <w:p w14:paraId="1F4A0816" w14:textId="196819C5" w:rsidR="00B34B96" w:rsidRPr="00446928" w:rsidRDefault="00BE7FDC" w:rsidP="00070154">
      <w:pPr>
        <w:numPr>
          <w:ilvl w:val="1"/>
          <w:numId w:val="15"/>
        </w:numPr>
        <w:spacing w:before="240" w:after="240" w:line="240" w:lineRule="auto"/>
        <w:rPr>
          <w:rFonts w:ascii="Arial" w:hAnsi="Arial" w:cs="Arial"/>
        </w:rPr>
      </w:pPr>
      <w:r>
        <w:rPr>
          <w:rFonts w:ascii="Arial" w:hAnsi="Arial" w:cs="Arial"/>
        </w:rPr>
        <w:t xml:space="preserve">Gendered understandings of </w:t>
      </w:r>
      <w:r w:rsidR="008F6CB6">
        <w:rPr>
          <w:rFonts w:ascii="Arial" w:hAnsi="Arial" w:cs="Arial"/>
        </w:rPr>
        <w:t>which hormone replacements an individual requires</w:t>
      </w:r>
      <w:r w:rsidR="00457E45" w:rsidRPr="00446928">
        <w:rPr>
          <w:rFonts w:ascii="Arial" w:hAnsi="Arial" w:cs="Arial"/>
        </w:rPr>
        <w:t>.</w:t>
      </w:r>
      <w:r w:rsidR="0024357B" w:rsidRPr="00030F1B">
        <w:rPr>
          <w:rStyle w:val="EndnoteReference"/>
          <w:rFonts w:cs="Arial"/>
        </w:rPr>
        <w:endnoteReference w:id="145"/>
      </w:r>
    </w:p>
    <w:p w14:paraId="7624F627" w14:textId="2571C174" w:rsidR="004846A1" w:rsidRPr="00446928" w:rsidRDefault="004846A1" w:rsidP="005E5B45">
      <w:pPr>
        <w:numPr>
          <w:ilvl w:val="0"/>
          <w:numId w:val="15"/>
        </w:numPr>
        <w:spacing w:before="240" w:after="240" w:line="240" w:lineRule="auto"/>
        <w:ind w:hanging="720"/>
        <w:rPr>
          <w:rFonts w:ascii="Arial" w:hAnsi="Arial" w:cs="Arial"/>
        </w:rPr>
      </w:pPr>
      <w:r w:rsidRPr="00446928">
        <w:rPr>
          <w:rFonts w:ascii="Arial" w:hAnsi="Arial" w:cs="Arial"/>
        </w:rPr>
        <w:t>These rationales</w:t>
      </w:r>
      <w:r w:rsidR="00621792" w:rsidRPr="00446928">
        <w:rPr>
          <w:rFonts w:ascii="Arial" w:hAnsi="Arial" w:cs="Arial"/>
        </w:rPr>
        <w:t xml:space="preserve"> </w:t>
      </w:r>
      <w:proofErr w:type="gramStart"/>
      <w:r w:rsidR="00621792" w:rsidRPr="00446928">
        <w:rPr>
          <w:rFonts w:ascii="Arial" w:hAnsi="Arial" w:cs="Arial"/>
        </w:rPr>
        <w:t>are</w:t>
      </w:r>
      <w:r w:rsidRPr="00446928">
        <w:rPr>
          <w:rFonts w:ascii="Arial" w:hAnsi="Arial" w:cs="Arial"/>
        </w:rPr>
        <w:t xml:space="preserve"> often </w:t>
      </w:r>
      <w:r w:rsidR="00621792" w:rsidRPr="00446928">
        <w:rPr>
          <w:rFonts w:ascii="Arial" w:hAnsi="Arial" w:cs="Arial"/>
        </w:rPr>
        <w:t>influenced</w:t>
      </w:r>
      <w:proofErr w:type="gramEnd"/>
      <w:r w:rsidR="00621792" w:rsidRPr="00446928">
        <w:rPr>
          <w:rFonts w:ascii="Arial" w:hAnsi="Arial" w:cs="Arial"/>
        </w:rPr>
        <w:t xml:space="preserve"> by the individual</w:t>
      </w:r>
      <w:r w:rsidR="00F87239">
        <w:rPr>
          <w:rFonts w:ascii="Arial" w:hAnsi="Arial" w:cs="Arial"/>
        </w:rPr>
        <w:t>’</w:t>
      </w:r>
      <w:r w:rsidR="00621792" w:rsidRPr="00446928">
        <w:rPr>
          <w:rFonts w:ascii="Arial" w:hAnsi="Arial" w:cs="Arial"/>
        </w:rPr>
        <w:t>s worldview or anecdotal evidence, rather than empirical evidence</w:t>
      </w:r>
      <w:r w:rsidRPr="00446928">
        <w:rPr>
          <w:rFonts w:ascii="Arial" w:hAnsi="Arial" w:cs="Arial"/>
        </w:rPr>
        <w:t xml:space="preserve">. </w:t>
      </w:r>
      <w:proofErr w:type="gramStart"/>
      <w:r w:rsidRPr="00446928">
        <w:rPr>
          <w:rFonts w:ascii="Arial" w:hAnsi="Arial" w:cs="Arial"/>
        </w:rPr>
        <w:t xml:space="preserve">For example, there is a lack of evidence to support the idea that having a body that does not </w:t>
      </w:r>
      <w:r w:rsidR="009B73EC" w:rsidRPr="00446928">
        <w:rPr>
          <w:rFonts w:ascii="Arial" w:hAnsi="Arial" w:cs="Arial"/>
        </w:rPr>
        <w:t xml:space="preserve">typically </w:t>
      </w:r>
      <w:r w:rsidRPr="00446928">
        <w:rPr>
          <w:rFonts w:ascii="Arial" w:hAnsi="Arial" w:cs="Arial"/>
        </w:rPr>
        <w:t>match the sex of rearing will</w:t>
      </w:r>
      <w:r w:rsidR="00C605C5" w:rsidRPr="00446928">
        <w:rPr>
          <w:rFonts w:ascii="Arial" w:hAnsi="Arial" w:cs="Arial"/>
        </w:rPr>
        <w:t xml:space="preserve"> lead to psychological distress.</w:t>
      </w:r>
      <w:proofErr w:type="gramEnd"/>
      <w:r w:rsidR="0024357B" w:rsidRPr="00030F1B">
        <w:rPr>
          <w:rStyle w:val="EndnoteReference"/>
          <w:rFonts w:cs="Arial"/>
        </w:rPr>
        <w:endnoteReference w:id="146"/>
      </w:r>
      <w:r w:rsidRPr="00446928">
        <w:rPr>
          <w:rFonts w:ascii="Arial" w:hAnsi="Arial" w:cs="Arial"/>
        </w:rPr>
        <w:t xml:space="preserve"> </w:t>
      </w:r>
    </w:p>
    <w:p w14:paraId="030435ED" w14:textId="3BF02B41" w:rsidR="00070154" w:rsidRPr="00446928" w:rsidRDefault="009B73EC" w:rsidP="005E5B45">
      <w:pPr>
        <w:numPr>
          <w:ilvl w:val="0"/>
          <w:numId w:val="15"/>
        </w:numPr>
        <w:spacing w:before="240" w:after="240" w:line="240" w:lineRule="auto"/>
        <w:ind w:hanging="720"/>
        <w:rPr>
          <w:rFonts w:ascii="Arial" w:hAnsi="Arial" w:cs="Arial"/>
        </w:rPr>
      </w:pPr>
      <w:r w:rsidRPr="00446928">
        <w:rPr>
          <w:rFonts w:ascii="Arial" w:hAnsi="Arial" w:cs="Arial"/>
        </w:rPr>
        <w:t>Further, u</w:t>
      </w:r>
      <w:r w:rsidR="005E5B45" w:rsidRPr="00446928">
        <w:rPr>
          <w:rFonts w:ascii="Arial" w:hAnsi="Arial" w:cs="Arial"/>
        </w:rPr>
        <w:t xml:space="preserve">ndertaking interventions based on these rationales may not always consider that </w:t>
      </w:r>
      <w:r w:rsidRPr="00446928">
        <w:rPr>
          <w:rFonts w:ascii="Arial" w:hAnsi="Arial" w:cs="Arial"/>
        </w:rPr>
        <w:t xml:space="preserve">the </w:t>
      </w:r>
      <w:r w:rsidR="005E5B45" w:rsidRPr="00446928">
        <w:rPr>
          <w:rFonts w:ascii="Arial" w:hAnsi="Arial" w:cs="Arial"/>
        </w:rPr>
        <w:t>interventions themselves can contribute to the very issues they are trying to prevent.</w:t>
      </w:r>
      <w:r w:rsidR="0024357B" w:rsidRPr="00030F1B">
        <w:rPr>
          <w:rStyle w:val="EndnoteReference"/>
          <w:rFonts w:cs="Arial"/>
        </w:rPr>
        <w:endnoteReference w:id="147"/>
      </w:r>
      <w:r w:rsidR="0024357B" w:rsidRPr="00030F1B">
        <w:rPr>
          <w:rFonts w:ascii="Arial" w:hAnsi="Arial" w:cs="Arial"/>
        </w:rPr>
        <w:t xml:space="preserve"> </w:t>
      </w:r>
      <w:r w:rsidR="00F43B61" w:rsidRPr="00446928">
        <w:rPr>
          <w:rFonts w:ascii="Arial" w:hAnsi="Arial" w:cs="Arial"/>
        </w:rPr>
        <w:t>The C</w:t>
      </w:r>
      <w:r w:rsidR="00AA42CE" w:rsidRPr="00446928">
        <w:rPr>
          <w:rFonts w:ascii="Arial" w:hAnsi="Arial" w:cs="Arial"/>
        </w:rPr>
        <w:t xml:space="preserve">onsensus </w:t>
      </w:r>
      <w:r w:rsidR="00F43B61" w:rsidRPr="00446928">
        <w:rPr>
          <w:rFonts w:ascii="Arial" w:hAnsi="Arial" w:cs="Arial"/>
        </w:rPr>
        <w:t>S</w:t>
      </w:r>
      <w:r w:rsidR="00AA42CE" w:rsidRPr="00446928">
        <w:rPr>
          <w:rFonts w:ascii="Arial" w:hAnsi="Arial" w:cs="Arial"/>
        </w:rPr>
        <w:t xml:space="preserve">tatement </w:t>
      </w:r>
      <w:r w:rsidR="005E5B45" w:rsidRPr="00446928">
        <w:rPr>
          <w:rFonts w:ascii="Arial" w:hAnsi="Arial" w:cs="Arial"/>
        </w:rPr>
        <w:t>noted</w:t>
      </w:r>
      <w:r w:rsidR="00AA42CE" w:rsidRPr="00446928">
        <w:rPr>
          <w:rFonts w:ascii="Arial" w:hAnsi="Arial" w:cs="Arial"/>
        </w:rPr>
        <w:t xml:space="preserve"> that interventions </w:t>
      </w:r>
      <w:proofErr w:type="gramStart"/>
      <w:r w:rsidR="00AA42CE" w:rsidRPr="00446928">
        <w:rPr>
          <w:rFonts w:ascii="Arial" w:hAnsi="Arial" w:cs="Arial"/>
        </w:rPr>
        <w:t>can</w:t>
      </w:r>
      <w:proofErr w:type="gramEnd"/>
      <w:r w:rsidR="00AA42CE" w:rsidRPr="00446928">
        <w:rPr>
          <w:rFonts w:ascii="Arial" w:hAnsi="Arial" w:cs="Arial"/>
        </w:rPr>
        <w:t xml:space="preserve"> cause shame and confusion</w:t>
      </w:r>
      <w:r w:rsidR="005E5B45" w:rsidRPr="00446928">
        <w:rPr>
          <w:rFonts w:ascii="Arial" w:hAnsi="Arial" w:cs="Arial"/>
        </w:rPr>
        <w:t>.</w:t>
      </w:r>
      <w:r w:rsidR="0024357B" w:rsidRPr="00030F1B">
        <w:rPr>
          <w:rStyle w:val="EndnoteReference"/>
          <w:rFonts w:cs="Arial"/>
        </w:rPr>
        <w:endnoteReference w:id="148"/>
      </w:r>
    </w:p>
    <w:p w14:paraId="53956D09" w14:textId="77777777" w:rsidR="00ED0753" w:rsidRPr="00446928" w:rsidRDefault="00304F84" w:rsidP="001E7638">
      <w:pPr>
        <w:keepNext/>
        <w:keepLines/>
        <w:numPr>
          <w:ilvl w:val="3"/>
          <w:numId w:val="1"/>
        </w:numPr>
        <w:spacing w:before="360" w:after="240" w:line="240" w:lineRule="auto"/>
        <w:outlineLvl w:val="3"/>
        <w:rPr>
          <w:rFonts w:ascii="Arial" w:hAnsi="Arial" w:cs="Arial"/>
        </w:rPr>
      </w:pPr>
      <w:r w:rsidRPr="00446928">
        <w:rPr>
          <w:rFonts w:ascii="Arial" w:hAnsi="Arial" w:cs="Arial"/>
        </w:rPr>
        <w:t>Medical rationales</w:t>
      </w:r>
    </w:p>
    <w:p w14:paraId="2684C4FF" w14:textId="77777777" w:rsidR="00D039A5" w:rsidRPr="00446928" w:rsidRDefault="00D039A5" w:rsidP="006A67DB">
      <w:pPr>
        <w:numPr>
          <w:ilvl w:val="0"/>
          <w:numId w:val="15"/>
        </w:numPr>
        <w:spacing w:before="240" w:after="240" w:line="240" w:lineRule="auto"/>
        <w:ind w:hanging="720"/>
        <w:rPr>
          <w:rFonts w:ascii="Arial" w:hAnsi="Arial" w:cs="Arial"/>
        </w:rPr>
      </w:pPr>
      <w:r w:rsidRPr="00446928">
        <w:rPr>
          <w:rFonts w:ascii="Arial" w:hAnsi="Arial" w:cs="Arial"/>
        </w:rPr>
        <w:t>R</w:t>
      </w:r>
      <w:r w:rsidR="00791A9A" w:rsidRPr="00446928">
        <w:rPr>
          <w:rFonts w:ascii="Arial" w:hAnsi="Arial" w:cs="Arial"/>
        </w:rPr>
        <w:t xml:space="preserve">ationales based on </w:t>
      </w:r>
      <w:r w:rsidR="00E45780" w:rsidRPr="00446928">
        <w:rPr>
          <w:rFonts w:ascii="Arial" w:hAnsi="Arial" w:cs="Arial"/>
        </w:rPr>
        <w:t>physical</w:t>
      </w:r>
      <w:r w:rsidR="00791A9A" w:rsidRPr="00446928">
        <w:rPr>
          <w:rFonts w:ascii="Arial" w:hAnsi="Arial" w:cs="Arial"/>
        </w:rPr>
        <w:t xml:space="preserve"> need include</w:t>
      </w:r>
      <w:r w:rsidRPr="00446928">
        <w:rPr>
          <w:rFonts w:ascii="Arial" w:hAnsi="Arial" w:cs="Arial"/>
        </w:rPr>
        <w:t>:</w:t>
      </w:r>
    </w:p>
    <w:p w14:paraId="4E862322" w14:textId="396C7803" w:rsidR="00D039A5" w:rsidRPr="00446928" w:rsidRDefault="00E45780" w:rsidP="00D039A5">
      <w:pPr>
        <w:numPr>
          <w:ilvl w:val="1"/>
          <w:numId w:val="15"/>
        </w:numPr>
        <w:spacing w:before="240" w:after="240" w:line="240" w:lineRule="auto"/>
        <w:rPr>
          <w:rFonts w:ascii="Arial" w:hAnsi="Arial" w:cs="Arial"/>
        </w:rPr>
      </w:pPr>
      <w:r w:rsidRPr="00446928">
        <w:rPr>
          <w:rFonts w:ascii="Arial" w:hAnsi="Arial" w:cs="Arial"/>
        </w:rPr>
        <w:t>Emergency l</w:t>
      </w:r>
      <w:r w:rsidR="00D039A5" w:rsidRPr="00446928">
        <w:rPr>
          <w:rFonts w:ascii="Arial" w:hAnsi="Arial" w:cs="Arial"/>
        </w:rPr>
        <w:t>ife-saving treatment</w:t>
      </w:r>
      <w:r w:rsidR="00621792" w:rsidRPr="00446928">
        <w:rPr>
          <w:rFonts w:ascii="Arial" w:hAnsi="Arial" w:cs="Arial"/>
        </w:rPr>
        <w:t>;</w:t>
      </w:r>
      <w:r w:rsidR="00D039A5" w:rsidRPr="00446928">
        <w:rPr>
          <w:rFonts w:ascii="Arial" w:hAnsi="Arial" w:cs="Arial"/>
        </w:rPr>
        <w:t xml:space="preserve"> for example</w:t>
      </w:r>
      <w:r w:rsidR="00621792" w:rsidRPr="00446928">
        <w:rPr>
          <w:rFonts w:ascii="Arial" w:hAnsi="Arial" w:cs="Arial"/>
        </w:rPr>
        <w:t>,</w:t>
      </w:r>
      <w:r w:rsidR="00D039A5" w:rsidRPr="00446928">
        <w:rPr>
          <w:rFonts w:ascii="Arial" w:hAnsi="Arial" w:cs="Arial"/>
        </w:rPr>
        <w:t xml:space="preserve"> </w:t>
      </w:r>
      <w:r w:rsidRPr="00446928">
        <w:rPr>
          <w:rFonts w:ascii="Arial" w:hAnsi="Arial" w:cs="Arial"/>
        </w:rPr>
        <w:t>to treat salt-wasting Congenital Adrenal Hyperplasia</w:t>
      </w:r>
      <w:r w:rsidR="00457E45" w:rsidRPr="00446928">
        <w:rPr>
          <w:rFonts w:ascii="Arial" w:hAnsi="Arial" w:cs="Arial"/>
        </w:rPr>
        <w:t>;</w:t>
      </w:r>
      <w:r w:rsidR="0024357B" w:rsidRPr="00030F1B">
        <w:rPr>
          <w:rStyle w:val="EndnoteReference"/>
          <w:rFonts w:cs="Arial"/>
        </w:rPr>
        <w:endnoteReference w:id="149"/>
      </w:r>
    </w:p>
    <w:p w14:paraId="0AFEA78C" w14:textId="304CA8AA" w:rsidR="00F6233E" w:rsidRPr="00446928" w:rsidRDefault="00F6233E" w:rsidP="00F6233E">
      <w:pPr>
        <w:numPr>
          <w:ilvl w:val="1"/>
          <w:numId w:val="15"/>
        </w:numPr>
        <w:spacing w:before="240" w:after="240" w:line="240" w:lineRule="auto"/>
        <w:rPr>
          <w:rFonts w:ascii="Arial" w:hAnsi="Arial" w:cs="Arial"/>
        </w:rPr>
      </w:pPr>
      <w:r w:rsidRPr="00446928">
        <w:rPr>
          <w:rFonts w:ascii="Arial" w:hAnsi="Arial" w:cs="Arial"/>
        </w:rPr>
        <w:t>Ensuring adequate urine flow;</w:t>
      </w:r>
      <w:r w:rsidR="0024357B" w:rsidRPr="0024357B">
        <w:rPr>
          <w:rStyle w:val="EndnoteReference"/>
          <w:rFonts w:cs="Arial"/>
        </w:rPr>
        <w:t xml:space="preserve"> </w:t>
      </w:r>
      <w:r w:rsidR="0024357B" w:rsidRPr="00030F1B">
        <w:rPr>
          <w:rStyle w:val="EndnoteReference"/>
          <w:rFonts w:cs="Arial"/>
        </w:rPr>
        <w:endnoteReference w:id="150"/>
      </w:r>
      <w:r w:rsidR="0024357B">
        <w:rPr>
          <w:rStyle w:val="EndnoteReference"/>
          <w:rFonts w:cs="Arial"/>
        </w:rPr>
        <w:t xml:space="preserve"> </w:t>
      </w:r>
      <w:r w:rsidR="008018A4" w:rsidRPr="00446928">
        <w:rPr>
          <w:rFonts w:ascii="Arial" w:hAnsi="Arial" w:cs="Arial"/>
        </w:rPr>
        <w:t>and</w:t>
      </w:r>
    </w:p>
    <w:p w14:paraId="666E5151" w14:textId="23016080" w:rsidR="00D039A5" w:rsidRPr="00446928" w:rsidRDefault="00D039A5" w:rsidP="00D039A5">
      <w:pPr>
        <w:numPr>
          <w:ilvl w:val="1"/>
          <w:numId w:val="15"/>
        </w:numPr>
        <w:spacing w:before="240" w:after="240" w:line="240" w:lineRule="auto"/>
        <w:rPr>
          <w:rFonts w:ascii="Arial" w:hAnsi="Arial" w:cs="Arial"/>
        </w:rPr>
      </w:pPr>
      <w:r w:rsidRPr="00446928">
        <w:rPr>
          <w:rFonts w:ascii="Arial" w:hAnsi="Arial" w:cs="Arial"/>
        </w:rPr>
        <w:t>M</w:t>
      </w:r>
      <w:r w:rsidR="00791A9A" w:rsidRPr="00446928">
        <w:rPr>
          <w:rFonts w:ascii="Arial" w:hAnsi="Arial" w:cs="Arial"/>
        </w:rPr>
        <w:t>inimising or removing</w:t>
      </w:r>
      <w:r w:rsidR="00FE12FC" w:rsidRPr="00446928">
        <w:rPr>
          <w:rFonts w:ascii="Arial" w:hAnsi="Arial" w:cs="Arial"/>
        </w:rPr>
        <w:t xml:space="preserve"> high</w:t>
      </w:r>
      <w:r w:rsidR="00791A9A" w:rsidRPr="00446928">
        <w:rPr>
          <w:rFonts w:ascii="Arial" w:hAnsi="Arial" w:cs="Arial"/>
        </w:rPr>
        <w:t xml:space="preserve"> cancer risks</w:t>
      </w:r>
      <w:r w:rsidR="008261EC" w:rsidRPr="00446928">
        <w:rPr>
          <w:rFonts w:ascii="Arial" w:hAnsi="Arial" w:cs="Arial"/>
        </w:rPr>
        <w:t>.</w:t>
      </w:r>
      <w:r w:rsidR="0024357B" w:rsidRPr="00030F1B">
        <w:rPr>
          <w:rStyle w:val="EndnoteReference"/>
          <w:rFonts w:cs="Arial"/>
        </w:rPr>
        <w:endnoteReference w:id="151"/>
      </w:r>
      <w:r w:rsidR="0024357B" w:rsidRPr="00030F1B">
        <w:rPr>
          <w:rFonts w:ascii="Arial" w:hAnsi="Arial" w:cs="Arial"/>
        </w:rPr>
        <w:t xml:space="preserve"> </w:t>
      </w:r>
      <w:r w:rsidR="00791A9A" w:rsidRPr="00446928">
        <w:rPr>
          <w:rFonts w:ascii="Arial" w:hAnsi="Arial" w:cs="Arial"/>
        </w:rPr>
        <w:t xml:space="preserve"> </w:t>
      </w:r>
    </w:p>
    <w:p w14:paraId="2B37C418" w14:textId="3E5A750F" w:rsidR="00014D82" w:rsidRDefault="005A28DC" w:rsidP="00014D82">
      <w:pPr>
        <w:numPr>
          <w:ilvl w:val="0"/>
          <w:numId w:val="15"/>
        </w:numPr>
        <w:spacing w:before="240" w:after="240" w:line="240" w:lineRule="auto"/>
        <w:ind w:hanging="720"/>
        <w:rPr>
          <w:rFonts w:ascii="Arial" w:hAnsi="Arial" w:cs="Arial"/>
        </w:rPr>
      </w:pPr>
      <w:r w:rsidRPr="00446928">
        <w:rPr>
          <w:rFonts w:ascii="Arial" w:hAnsi="Arial" w:cs="Arial"/>
        </w:rPr>
        <w:t>As much as possible, t</w:t>
      </w:r>
      <w:r w:rsidR="006A67DB" w:rsidRPr="00446928">
        <w:rPr>
          <w:rFonts w:ascii="Arial" w:hAnsi="Arial" w:cs="Arial"/>
        </w:rPr>
        <w:t xml:space="preserve">he Victorian decision-making principles </w:t>
      </w:r>
      <w:r w:rsidRPr="00446928">
        <w:rPr>
          <w:rFonts w:ascii="Arial" w:hAnsi="Arial" w:cs="Arial"/>
        </w:rPr>
        <w:t xml:space="preserve">recommend that decision-making </w:t>
      </w:r>
      <w:proofErr w:type="gramStart"/>
      <w:r w:rsidRPr="00446928">
        <w:rPr>
          <w:rFonts w:ascii="Arial" w:hAnsi="Arial" w:cs="Arial"/>
        </w:rPr>
        <w:t>should be guided</w:t>
      </w:r>
      <w:proofErr w:type="gramEnd"/>
      <w:r w:rsidRPr="00446928">
        <w:rPr>
          <w:rFonts w:ascii="Arial" w:hAnsi="Arial" w:cs="Arial"/>
        </w:rPr>
        <w:t xml:space="preserve"> by the need to preserve the potential for fertility,</w:t>
      </w:r>
      <w:r w:rsidR="008018A4" w:rsidRPr="00446928">
        <w:rPr>
          <w:rFonts w:ascii="Arial" w:hAnsi="Arial" w:cs="Arial"/>
        </w:rPr>
        <w:t xml:space="preserve"> </w:t>
      </w:r>
      <w:r w:rsidRPr="00446928">
        <w:rPr>
          <w:rFonts w:ascii="Arial" w:hAnsi="Arial" w:cs="Arial"/>
        </w:rPr>
        <w:t>preserve or increase capacity to have satisfying sexual relations, and leave options open for the future.</w:t>
      </w:r>
      <w:r w:rsidR="00B24210">
        <w:rPr>
          <w:rStyle w:val="EndnoteReference"/>
          <w:rFonts w:cs="Arial"/>
        </w:rPr>
        <w:endnoteReference w:id="152"/>
      </w:r>
      <w:r w:rsidRPr="00446928">
        <w:rPr>
          <w:rFonts w:ascii="Arial" w:hAnsi="Arial" w:cs="Arial"/>
        </w:rPr>
        <w:t xml:space="preserve"> </w:t>
      </w:r>
      <w:proofErr w:type="gramStart"/>
      <w:r w:rsidR="00F704F4">
        <w:rPr>
          <w:rFonts w:ascii="Arial" w:hAnsi="Arial" w:cs="Arial"/>
        </w:rPr>
        <w:t>However</w:t>
      </w:r>
      <w:proofErr w:type="gramEnd"/>
      <w:r w:rsidR="00F704F4">
        <w:rPr>
          <w:rFonts w:ascii="Arial" w:hAnsi="Arial" w:cs="Arial"/>
        </w:rPr>
        <w:t xml:space="preserve"> there can still be uncertainty about what constitutes medical need or how to manage these risks. For instance, in respect of mitigating cancer risk, improving methods to effectively monitor gonads rather than removing them </w:t>
      </w:r>
      <w:r w:rsidR="0008078C">
        <w:rPr>
          <w:rFonts w:ascii="Arial" w:hAnsi="Arial" w:cs="Arial"/>
        </w:rPr>
        <w:t xml:space="preserve">could assist in collecting more </w:t>
      </w:r>
      <w:proofErr w:type="gramStart"/>
      <w:r w:rsidR="0008078C">
        <w:rPr>
          <w:rFonts w:ascii="Arial" w:hAnsi="Arial" w:cs="Arial"/>
        </w:rPr>
        <w:t>long term</w:t>
      </w:r>
      <w:proofErr w:type="gramEnd"/>
      <w:r w:rsidR="0008078C">
        <w:rPr>
          <w:rFonts w:ascii="Arial" w:hAnsi="Arial" w:cs="Arial"/>
        </w:rPr>
        <w:t xml:space="preserve"> data on risk.</w:t>
      </w:r>
      <w:r w:rsidR="00B24210">
        <w:rPr>
          <w:rStyle w:val="EndnoteReference"/>
          <w:rFonts w:cs="Arial"/>
        </w:rPr>
        <w:endnoteReference w:id="153"/>
      </w:r>
      <w:r w:rsidR="00F704F4">
        <w:rPr>
          <w:rFonts w:ascii="Arial" w:hAnsi="Arial" w:cs="Arial"/>
        </w:rPr>
        <w:t xml:space="preserve"> </w:t>
      </w:r>
    </w:p>
    <w:p w14:paraId="7828ED18" w14:textId="178A2EF2" w:rsidR="008E0191" w:rsidRPr="00446928" w:rsidRDefault="008E0191" w:rsidP="00014D82">
      <w:pPr>
        <w:keepNext/>
        <w:keepLines/>
        <w:numPr>
          <w:ilvl w:val="3"/>
          <w:numId w:val="1"/>
        </w:numPr>
        <w:spacing w:before="360" w:after="240" w:line="240" w:lineRule="auto"/>
        <w:outlineLvl w:val="3"/>
        <w:rPr>
          <w:rFonts w:ascii="Arial" w:hAnsi="Arial" w:cs="Arial"/>
        </w:rPr>
      </w:pPr>
      <w:r w:rsidRPr="00446928">
        <w:rPr>
          <w:rFonts w:ascii="Arial" w:hAnsi="Arial" w:cs="Arial"/>
        </w:rPr>
        <w:t xml:space="preserve">Rationales based on timing </w:t>
      </w:r>
    </w:p>
    <w:p w14:paraId="551CA495" w14:textId="62A460A0" w:rsidR="008018A4" w:rsidRPr="00446928" w:rsidRDefault="00CD2D6A" w:rsidP="008E0191">
      <w:pPr>
        <w:numPr>
          <w:ilvl w:val="0"/>
          <w:numId w:val="15"/>
        </w:numPr>
        <w:spacing w:before="240" w:after="240" w:line="240" w:lineRule="auto"/>
        <w:ind w:hanging="720"/>
        <w:rPr>
          <w:rFonts w:ascii="Arial" w:hAnsi="Arial" w:cs="Arial"/>
        </w:rPr>
      </w:pPr>
      <w:r w:rsidRPr="00446928">
        <w:rPr>
          <w:rFonts w:ascii="Arial" w:hAnsi="Arial" w:cs="Arial"/>
        </w:rPr>
        <w:t>Some interventions are justified on the basis that outcomes are more successful</w:t>
      </w:r>
      <w:r w:rsidR="008018A4" w:rsidRPr="00446928">
        <w:rPr>
          <w:rFonts w:ascii="Arial" w:hAnsi="Arial" w:cs="Arial"/>
        </w:rPr>
        <w:t xml:space="preserve"> if they </w:t>
      </w:r>
      <w:proofErr w:type="gramStart"/>
      <w:r w:rsidR="008018A4" w:rsidRPr="00446928">
        <w:rPr>
          <w:rFonts w:ascii="Arial" w:hAnsi="Arial" w:cs="Arial"/>
        </w:rPr>
        <w:t>are performed</w:t>
      </w:r>
      <w:proofErr w:type="gramEnd"/>
      <w:r w:rsidR="008018A4" w:rsidRPr="00446928">
        <w:rPr>
          <w:rFonts w:ascii="Arial" w:hAnsi="Arial" w:cs="Arial"/>
        </w:rPr>
        <w:t xml:space="preserve"> earlier</w:t>
      </w:r>
      <w:r w:rsidR="00EE5EDA">
        <w:rPr>
          <w:rFonts w:ascii="Arial" w:hAnsi="Arial" w:cs="Arial"/>
        </w:rPr>
        <w:t>.</w:t>
      </w:r>
      <w:r w:rsidR="00EE5EDA">
        <w:rPr>
          <w:rStyle w:val="EndnoteReference"/>
          <w:rFonts w:cs="Arial"/>
        </w:rPr>
        <w:endnoteReference w:id="154"/>
      </w:r>
    </w:p>
    <w:p w14:paraId="7A6F3F35" w14:textId="53BF3DE0" w:rsidR="006E6E1E" w:rsidRDefault="000A435E" w:rsidP="001E7638">
      <w:pPr>
        <w:numPr>
          <w:ilvl w:val="0"/>
          <w:numId w:val="15"/>
        </w:numPr>
        <w:spacing w:before="240" w:after="240" w:line="240" w:lineRule="auto"/>
        <w:ind w:hanging="720"/>
        <w:rPr>
          <w:rFonts w:ascii="Arial" w:hAnsi="Arial" w:cs="Arial"/>
        </w:rPr>
      </w:pPr>
      <w:r w:rsidRPr="00446928">
        <w:rPr>
          <w:rFonts w:ascii="Arial" w:hAnsi="Arial" w:cs="Arial"/>
        </w:rPr>
        <w:t xml:space="preserve">Other interventions are also justified on the basis that they reduce or remove the risk of trauma for children when they </w:t>
      </w:r>
      <w:proofErr w:type="gramStart"/>
      <w:r w:rsidRPr="00446928">
        <w:rPr>
          <w:rFonts w:ascii="Arial" w:hAnsi="Arial" w:cs="Arial"/>
        </w:rPr>
        <w:t>are undertaken</w:t>
      </w:r>
      <w:proofErr w:type="gramEnd"/>
      <w:r w:rsidRPr="00446928">
        <w:rPr>
          <w:rFonts w:ascii="Arial" w:hAnsi="Arial" w:cs="Arial"/>
        </w:rPr>
        <w:t xml:space="preserve"> at an age when the child will not be able to remember tha</w:t>
      </w:r>
      <w:r w:rsidR="008018A4" w:rsidRPr="00446928">
        <w:rPr>
          <w:rFonts w:ascii="Arial" w:hAnsi="Arial" w:cs="Arial"/>
        </w:rPr>
        <w:t xml:space="preserve">t the intervention </w:t>
      </w:r>
      <w:r w:rsidRPr="00446928">
        <w:rPr>
          <w:rFonts w:ascii="Arial" w:hAnsi="Arial" w:cs="Arial"/>
        </w:rPr>
        <w:t>occurred.</w:t>
      </w:r>
      <w:r w:rsidR="0017037B" w:rsidRPr="00030F1B">
        <w:rPr>
          <w:rStyle w:val="EndnoteReference"/>
          <w:rFonts w:cs="Arial"/>
        </w:rPr>
        <w:endnoteReference w:id="155"/>
      </w:r>
    </w:p>
    <w:p w14:paraId="4DDE4CFA" w14:textId="77777777" w:rsidR="006E6E1E" w:rsidRDefault="006E6E1E" w:rsidP="006B2A76">
      <w:pPr>
        <w:keepNext/>
        <w:keepLines/>
        <w:numPr>
          <w:ilvl w:val="3"/>
          <w:numId w:val="1"/>
        </w:numPr>
        <w:spacing w:before="360" w:after="240" w:line="240" w:lineRule="auto"/>
        <w:outlineLvl w:val="3"/>
        <w:rPr>
          <w:rFonts w:ascii="Arial" w:hAnsi="Arial" w:cs="Arial"/>
        </w:rPr>
      </w:pPr>
      <w:r>
        <w:rPr>
          <w:rFonts w:ascii="Arial" w:hAnsi="Arial" w:cs="Arial"/>
        </w:rPr>
        <w:t>Rationales based on technical considerations</w:t>
      </w:r>
    </w:p>
    <w:p w14:paraId="72829B3A" w14:textId="219786A2" w:rsidR="007A005B" w:rsidRPr="000B24E8" w:rsidRDefault="006E6E1E" w:rsidP="000B24E8">
      <w:pPr>
        <w:numPr>
          <w:ilvl w:val="0"/>
          <w:numId w:val="15"/>
        </w:numPr>
        <w:spacing w:before="240" w:after="240" w:line="240" w:lineRule="auto"/>
        <w:ind w:hanging="720"/>
        <w:rPr>
          <w:rFonts w:ascii="Arial" w:hAnsi="Arial" w:cs="Arial"/>
        </w:rPr>
      </w:pPr>
      <w:r>
        <w:rPr>
          <w:rFonts w:ascii="Arial" w:hAnsi="Arial" w:cs="Arial"/>
        </w:rPr>
        <w:t xml:space="preserve">Some interventions are justified </w:t>
      </w:r>
      <w:proofErr w:type="gramStart"/>
      <w:r w:rsidR="004E2FD7">
        <w:rPr>
          <w:rFonts w:ascii="Arial" w:hAnsi="Arial" w:cs="Arial"/>
        </w:rPr>
        <w:t>on the basis of</w:t>
      </w:r>
      <w:proofErr w:type="gramEnd"/>
      <w:r w:rsidR="007A005B">
        <w:rPr>
          <w:rFonts w:ascii="Arial" w:hAnsi="Arial" w:cs="Arial"/>
        </w:rPr>
        <w:t xml:space="preserve"> the expected results of the intervention and</w:t>
      </w:r>
      <w:r w:rsidR="004E2FD7">
        <w:rPr>
          <w:rFonts w:ascii="Arial" w:hAnsi="Arial" w:cs="Arial"/>
        </w:rPr>
        <w:t xml:space="preserve"> what is</w:t>
      </w:r>
      <w:r w:rsidR="007A005B">
        <w:rPr>
          <w:rFonts w:ascii="Arial" w:hAnsi="Arial" w:cs="Arial"/>
        </w:rPr>
        <w:t xml:space="preserve"> technically possible. For example</w:t>
      </w:r>
      <w:r w:rsidR="000526B3">
        <w:rPr>
          <w:rFonts w:ascii="Arial" w:hAnsi="Arial" w:cs="Arial"/>
        </w:rPr>
        <w:t>,</w:t>
      </w:r>
      <w:r w:rsidR="007A005B">
        <w:rPr>
          <w:rFonts w:ascii="Arial" w:hAnsi="Arial" w:cs="Arial"/>
        </w:rPr>
        <w:t xml:space="preserve"> </w:t>
      </w:r>
      <w:r w:rsidR="000B24E8">
        <w:rPr>
          <w:rFonts w:ascii="Arial" w:hAnsi="Arial" w:cs="Arial"/>
        </w:rPr>
        <w:t>the World Health Organization</w:t>
      </w:r>
      <w:r w:rsidR="00F87239">
        <w:rPr>
          <w:rFonts w:ascii="Arial" w:hAnsi="Arial" w:cs="Arial"/>
        </w:rPr>
        <w:t>’</w:t>
      </w:r>
      <w:r w:rsidR="000B24E8">
        <w:rPr>
          <w:rFonts w:ascii="Arial" w:hAnsi="Arial" w:cs="Arial"/>
        </w:rPr>
        <w:t xml:space="preserve">s </w:t>
      </w:r>
      <w:r w:rsidR="004B6B0D">
        <w:rPr>
          <w:rFonts w:ascii="Arial" w:hAnsi="Arial" w:cs="Arial"/>
        </w:rPr>
        <w:t xml:space="preserve">ICD-11 beta </w:t>
      </w:r>
      <w:r w:rsidR="000B24E8">
        <w:rPr>
          <w:rFonts w:ascii="Arial" w:hAnsi="Arial" w:cs="Arial"/>
        </w:rPr>
        <w:t xml:space="preserve">draft classification for </w:t>
      </w:r>
      <w:r w:rsidR="000B24E8" w:rsidRPr="000B24E8">
        <w:rPr>
          <w:rFonts w:ascii="Arial" w:hAnsi="Arial" w:cs="Arial"/>
        </w:rPr>
        <w:t>17ß-HSD3</w:t>
      </w:r>
      <w:r w:rsidR="000B24E8">
        <w:rPr>
          <w:rFonts w:ascii="Arial" w:hAnsi="Arial" w:cs="Arial"/>
        </w:rPr>
        <w:t xml:space="preserve">, the variation that Carla has in the case study above, states that </w:t>
      </w:r>
      <w:r w:rsidR="00F87239">
        <w:rPr>
          <w:rFonts w:ascii="Arial" w:hAnsi="Arial" w:cs="Arial"/>
          <w:iCs/>
        </w:rPr>
        <w:t>‘</w:t>
      </w:r>
      <w:r w:rsidR="000526B3">
        <w:rPr>
          <w:rFonts w:ascii="Arial" w:hAnsi="Arial" w:cs="Arial"/>
          <w:iCs/>
        </w:rPr>
        <w:t>[</w:t>
      </w:r>
      <w:proofErr w:type="spellStart"/>
      <w:r w:rsidR="000B24E8">
        <w:rPr>
          <w:rFonts w:ascii="Arial" w:hAnsi="Arial" w:cs="Arial"/>
          <w:iCs/>
        </w:rPr>
        <w:t>i</w:t>
      </w:r>
      <w:proofErr w:type="spellEnd"/>
      <w:r w:rsidR="000526B3">
        <w:rPr>
          <w:rFonts w:ascii="Arial" w:hAnsi="Arial" w:cs="Arial"/>
          <w:iCs/>
        </w:rPr>
        <w:t>]</w:t>
      </w:r>
      <w:r w:rsidR="007A005B" w:rsidRPr="001A1A28">
        <w:rPr>
          <w:rFonts w:ascii="Arial" w:hAnsi="Arial" w:cs="Arial"/>
          <w:iCs/>
        </w:rPr>
        <w:t>f the diagnosis is made at birth, gender assignment must be discussed,</w:t>
      </w:r>
      <w:r w:rsidR="000B24E8">
        <w:rPr>
          <w:rFonts w:ascii="Arial" w:hAnsi="Arial" w:cs="Arial"/>
          <w:iCs/>
        </w:rPr>
        <w:t xml:space="preserve"> </w:t>
      </w:r>
      <w:r w:rsidR="007A005B" w:rsidRPr="001A1A28">
        <w:rPr>
          <w:rFonts w:ascii="Arial" w:hAnsi="Arial" w:cs="Arial"/>
          <w:iCs/>
        </w:rPr>
        <w:t xml:space="preserve">depending on the expected results of masculinizing </w:t>
      </w:r>
      <w:proofErr w:type="spellStart"/>
      <w:r w:rsidR="007A005B" w:rsidRPr="001A1A28">
        <w:rPr>
          <w:rFonts w:ascii="Arial" w:hAnsi="Arial" w:cs="Arial"/>
          <w:iCs/>
        </w:rPr>
        <w:t>genitoplasty</w:t>
      </w:r>
      <w:proofErr w:type="spellEnd"/>
      <w:r w:rsidR="007A005B" w:rsidRPr="001A1A28">
        <w:rPr>
          <w:rFonts w:ascii="Arial" w:hAnsi="Arial" w:cs="Arial"/>
          <w:iCs/>
        </w:rPr>
        <w:t xml:space="preserve">. If female assignment is selected, feminizing </w:t>
      </w:r>
      <w:proofErr w:type="spellStart"/>
      <w:r w:rsidR="007A005B" w:rsidRPr="001A1A28">
        <w:rPr>
          <w:rFonts w:ascii="Arial" w:hAnsi="Arial" w:cs="Arial"/>
          <w:iCs/>
        </w:rPr>
        <w:t>genitoplasty</w:t>
      </w:r>
      <w:proofErr w:type="spellEnd"/>
      <w:r w:rsidR="007A005B" w:rsidRPr="001A1A28">
        <w:rPr>
          <w:rFonts w:ascii="Arial" w:hAnsi="Arial" w:cs="Arial"/>
          <w:iCs/>
        </w:rPr>
        <w:t xml:space="preserve"> and </w:t>
      </w:r>
      <w:proofErr w:type="spellStart"/>
      <w:r w:rsidR="007A005B" w:rsidRPr="001A1A28">
        <w:rPr>
          <w:rFonts w:ascii="Arial" w:hAnsi="Arial" w:cs="Arial"/>
          <w:iCs/>
        </w:rPr>
        <w:t>gonadectomy</w:t>
      </w:r>
      <w:proofErr w:type="spellEnd"/>
      <w:r w:rsidR="007A005B" w:rsidRPr="001A1A28">
        <w:rPr>
          <w:rFonts w:ascii="Arial" w:hAnsi="Arial" w:cs="Arial"/>
          <w:iCs/>
        </w:rPr>
        <w:t xml:space="preserve"> must be performed</w:t>
      </w:r>
      <w:r w:rsidR="00F87239">
        <w:rPr>
          <w:rFonts w:ascii="Arial" w:hAnsi="Arial" w:cs="Arial"/>
          <w:iCs/>
        </w:rPr>
        <w:t>’</w:t>
      </w:r>
      <w:r w:rsidR="007A005B" w:rsidRPr="001A1A28">
        <w:rPr>
          <w:rFonts w:ascii="Arial" w:hAnsi="Arial" w:cs="Arial"/>
          <w:iCs/>
        </w:rPr>
        <w:t>.</w:t>
      </w:r>
      <w:r w:rsidR="004B6B0D">
        <w:rPr>
          <w:rStyle w:val="EndnoteReference"/>
          <w:rFonts w:cs="Arial"/>
          <w:iCs/>
        </w:rPr>
        <w:endnoteReference w:id="156"/>
      </w:r>
      <w:r w:rsidR="000B24E8">
        <w:rPr>
          <w:rFonts w:ascii="Arial" w:hAnsi="Arial" w:cs="Arial"/>
          <w:iCs/>
        </w:rPr>
        <w:t xml:space="preserve"> </w:t>
      </w:r>
      <w:r w:rsidR="004B6B0D">
        <w:rPr>
          <w:rFonts w:ascii="Arial" w:hAnsi="Arial" w:cs="Arial"/>
          <w:iCs/>
        </w:rPr>
        <w:t xml:space="preserve">This justification </w:t>
      </w:r>
      <w:r w:rsidR="0091660C">
        <w:rPr>
          <w:rFonts w:ascii="Arial" w:hAnsi="Arial" w:cs="Arial"/>
          <w:iCs/>
        </w:rPr>
        <w:t xml:space="preserve">links sex assignment </w:t>
      </w:r>
      <w:r w:rsidR="0091660C">
        <w:rPr>
          <w:rFonts w:ascii="Arial" w:hAnsi="Arial" w:cs="Arial"/>
          <w:iCs/>
        </w:rPr>
        <w:lastRenderedPageBreak/>
        <w:t>with</w:t>
      </w:r>
      <w:r w:rsidR="00D5052C">
        <w:rPr>
          <w:rFonts w:ascii="Arial" w:hAnsi="Arial" w:cs="Arial"/>
          <w:iCs/>
        </w:rPr>
        <w:t xml:space="preserve"> </w:t>
      </w:r>
      <w:r w:rsidR="0091660C">
        <w:rPr>
          <w:rFonts w:ascii="Arial" w:hAnsi="Arial" w:cs="Arial"/>
          <w:iCs/>
        </w:rPr>
        <w:t>technical surgical outcomes</w:t>
      </w:r>
      <w:r w:rsidR="00D5052C">
        <w:rPr>
          <w:rFonts w:ascii="Arial" w:hAnsi="Arial" w:cs="Arial"/>
          <w:iCs/>
        </w:rPr>
        <w:t xml:space="preserve"> and </w:t>
      </w:r>
      <w:r w:rsidR="004B6B0D">
        <w:rPr>
          <w:rFonts w:ascii="Arial" w:hAnsi="Arial" w:cs="Arial"/>
          <w:iCs/>
        </w:rPr>
        <w:t>relies on the idea that children need sex characteristics that match their assigned sex.</w:t>
      </w:r>
      <w:r w:rsidR="0026384F">
        <w:rPr>
          <w:rStyle w:val="EndnoteReference"/>
          <w:rFonts w:cs="Arial"/>
          <w:iCs/>
        </w:rPr>
        <w:endnoteReference w:id="157"/>
      </w:r>
    </w:p>
    <w:p w14:paraId="374130D9" w14:textId="245DF61F" w:rsidR="00E40E3E" w:rsidRDefault="00E40E3E" w:rsidP="006E6E1E">
      <w:pPr>
        <w:numPr>
          <w:ilvl w:val="0"/>
          <w:numId w:val="15"/>
        </w:numPr>
        <w:spacing w:before="240" w:after="240" w:line="240" w:lineRule="auto"/>
        <w:ind w:hanging="720"/>
        <w:rPr>
          <w:rFonts w:ascii="Arial" w:hAnsi="Arial" w:cs="Arial"/>
        </w:rPr>
      </w:pPr>
      <w:r>
        <w:rPr>
          <w:rFonts w:ascii="Arial" w:hAnsi="Arial" w:cs="Arial"/>
        </w:rPr>
        <w:t>What is technically possible may also depend on other previous interventions that have been undertaken</w:t>
      </w:r>
      <w:r w:rsidR="006B2A76">
        <w:rPr>
          <w:rFonts w:ascii="Arial" w:hAnsi="Arial" w:cs="Arial"/>
        </w:rPr>
        <w:t>.</w:t>
      </w:r>
      <w:r>
        <w:rPr>
          <w:rStyle w:val="EndnoteReference"/>
          <w:rFonts w:cs="Arial"/>
        </w:rPr>
        <w:endnoteReference w:id="158"/>
      </w:r>
      <w:r>
        <w:rPr>
          <w:rFonts w:ascii="Arial" w:hAnsi="Arial" w:cs="Arial"/>
        </w:rPr>
        <w:t xml:space="preserve"> </w:t>
      </w:r>
    </w:p>
    <w:p w14:paraId="6999C513" w14:textId="77777777" w:rsidR="006E6E1E" w:rsidRDefault="006E6E1E" w:rsidP="006B2A76">
      <w:pPr>
        <w:keepNext/>
        <w:keepLines/>
        <w:numPr>
          <w:ilvl w:val="3"/>
          <w:numId w:val="1"/>
        </w:numPr>
        <w:spacing w:before="360" w:after="240" w:line="240" w:lineRule="auto"/>
        <w:outlineLvl w:val="3"/>
        <w:rPr>
          <w:rFonts w:ascii="Arial" w:hAnsi="Arial" w:cs="Arial"/>
        </w:rPr>
      </w:pPr>
      <w:r>
        <w:rPr>
          <w:rFonts w:ascii="Arial" w:hAnsi="Arial" w:cs="Arial"/>
        </w:rPr>
        <w:t>Rationales based on financial considerations</w:t>
      </w:r>
    </w:p>
    <w:p w14:paraId="46E2D380" w14:textId="4D6CD791" w:rsidR="001E7638" w:rsidRPr="00014D82" w:rsidRDefault="008D2D31" w:rsidP="00014D82">
      <w:pPr>
        <w:numPr>
          <w:ilvl w:val="0"/>
          <w:numId w:val="15"/>
        </w:numPr>
        <w:spacing w:before="240" w:after="240" w:line="240" w:lineRule="auto"/>
        <w:ind w:hanging="720"/>
        <w:rPr>
          <w:rFonts w:ascii="Arial" w:hAnsi="Arial" w:cs="Arial"/>
        </w:rPr>
      </w:pPr>
      <w:r>
        <w:rPr>
          <w:rFonts w:ascii="Arial" w:hAnsi="Arial" w:cs="Arial"/>
        </w:rPr>
        <w:t>Some clinicians have expressed concern that f</w:t>
      </w:r>
      <w:r w:rsidR="00CD7343">
        <w:rPr>
          <w:rFonts w:ascii="Arial" w:hAnsi="Arial" w:cs="Arial"/>
        </w:rPr>
        <w:t xml:space="preserve">unding models may </w:t>
      </w:r>
      <w:proofErr w:type="gramStart"/>
      <w:r w:rsidR="00CD7343">
        <w:rPr>
          <w:rFonts w:ascii="Arial" w:hAnsi="Arial" w:cs="Arial"/>
        </w:rPr>
        <w:t>impact</w:t>
      </w:r>
      <w:proofErr w:type="gramEnd"/>
      <w:r w:rsidR="00CD7343">
        <w:rPr>
          <w:rFonts w:ascii="Arial" w:hAnsi="Arial" w:cs="Arial"/>
        </w:rPr>
        <w:t xml:space="preserve"> upon whether medical interventions are undertaken. Where there is little funding for psychological support or </w:t>
      </w:r>
      <w:r w:rsidR="00E92C20">
        <w:rPr>
          <w:rFonts w:ascii="Arial" w:hAnsi="Arial" w:cs="Arial"/>
        </w:rPr>
        <w:t xml:space="preserve">peer </w:t>
      </w:r>
      <w:r w:rsidR="00CD7343">
        <w:rPr>
          <w:rFonts w:ascii="Arial" w:hAnsi="Arial" w:cs="Arial"/>
        </w:rPr>
        <w:t>support groups,</w:t>
      </w:r>
      <w:r>
        <w:rPr>
          <w:rFonts w:ascii="Arial" w:hAnsi="Arial" w:cs="Arial"/>
        </w:rPr>
        <w:t xml:space="preserve"> for both individuals and families,</w:t>
      </w:r>
      <w:r w:rsidR="00CD7343">
        <w:rPr>
          <w:rFonts w:ascii="Arial" w:hAnsi="Arial" w:cs="Arial"/>
        </w:rPr>
        <w:t xml:space="preserve"> it may seem more cost-effective to pay for discrete surgical interventions </w:t>
      </w:r>
      <w:r>
        <w:rPr>
          <w:rFonts w:ascii="Arial" w:hAnsi="Arial" w:cs="Arial"/>
        </w:rPr>
        <w:t xml:space="preserve">than to </w:t>
      </w:r>
      <w:r w:rsidR="00E92C20">
        <w:rPr>
          <w:rFonts w:ascii="Arial" w:hAnsi="Arial" w:cs="Arial"/>
        </w:rPr>
        <w:t>seek</w:t>
      </w:r>
      <w:r>
        <w:rPr>
          <w:rFonts w:ascii="Arial" w:hAnsi="Arial" w:cs="Arial"/>
        </w:rPr>
        <w:t xml:space="preserve"> ongoing support to raise a child with a variation in sex characteristics.</w:t>
      </w:r>
      <w:r w:rsidR="001A4FE2">
        <w:rPr>
          <w:rStyle w:val="EndnoteReference"/>
          <w:rFonts w:cs="Arial"/>
        </w:rPr>
        <w:endnoteReference w:id="159"/>
      </w:r>
      <w:r>
        <w:rPr>
          <w:rFonts w:ascii="Arial" w:hAnsi="Arial" w:cs="Arial"/>
        </w:rPr>
        <w:t xml:space="preserve"> </w:t>
      </w:r>
      <w:r w:rsidR="00CD7343">
        <w:rPr>
          <w:rFonts w:ascii="Arial" w:hAnsi="Arial" w:cs="Arial"/>
        </w:rPr>
        <w:t xml:space="preserve"> </w:t>
      </w:r>
      <w:r w:rsidR="00014D82">
        <w:rPr>
          <w:rFonts w:ascii="Arial" w:hAnsi="Arial" w:cs="Arial"/>
        </w:rPr>
        <w:br/>
      </w:r>
    </w:p>
    <w:tbl>
      <w:tblPr>
        <w:tblStyle w:val="TableGrid"/>
        <w:tblW w:w="0" w:type="auto"/>
        <w:tblLook w:val="04A0" w:firstRow="1" w:lastRow="0" w:firstColumn="1" w:lastColumn="0" w:noHBand="0" w:noVBand="1"/>
      </w:tblPr>
      <w:tblGrid>
        <w:gridCol w:w="9628"/>
      </w:tblGrid>
      <w:tr w:rsidR="001E7638" w:rsidRPr="00446928" w14:paraId="74B9AED4" w14:textId="77777777" w:rsidTr="00E02F5D">
        <w:tc>
          <w:tcPr>
            <w:tcW w:w="9628" w:type="dxa"/>
          </w:tcPr>
          <w:p w14:paraId="06D8BA82" w14:textId="77777777" w:rsidR="001E7638" w:rsidRPr="00446928" w:rsidRDefault="001E7638" w:rsidP="00E02F5D">
            <w:pPr>
              <w:rPr>
                <w:rFonts w:ascii="Arial" w:hAnsi="Arial" w:cs="Arial"/>
                <w:b/>
              </w:rPr>
            </w:pPr>
            <w:r w:rsidRPr="00446928">
              <w:rPr>
                <w:rFonts w:ascii="Arial" w:hAnsi="Arial" w:cs="Arial"/>
                <w:b/>
              </w:rPr>
              <w:t>Key questions:</w:t>
            </w:r>
          </w:p>
          <w:p w14:paraId="5670EA66" w14:textId="64804AC0" w:rsidR="00B027B7" w:rsidRDefault="00694EB7" w:rsidP="00BD2DC5">
            <w:pPr>
              <w:pStyle w:val="SubmissionNormal"/>
              <w:numPr>
                <w:ilvl w:val="0"/>
                <w:numId w:val="0"/>
              </w:numPr>
              <w:spacing w:after="240" w:line="240" w:lineRule="auto"/>
              <w:ind w:left="360"/>
              <w:contextualSpacing/>
              <w:rPr>
                <w:rFonts w:ascii="Arial" w:hAnsi="Arial" w:cs="Arial"/>
              </w:rPr>
            </w:pPr>
            <w:r>
              <w:rPr>
                <w:rFonts w:ascii="Arial" w:hAnsi="Arial" w:cs="Arial"/>
              </w:rPr>
              <w:t>12</w:t>
            </w:r>
            <w:r w:rsidR="00F026A8">
              <w:rPr>
                <w:rFonts w:ascii="Arial" w:hAnsi="Arial" w:cs="Arial"/>
              </w:rPr>
              <w:t xml:space="preserve">. </w:t>
            </w:r>
            <w:r w:rsidR="00A079AD" w:rsidRPr="00446928">
              <w:rPr>
                <w:rFonts w:ascii="Arial" w:hAnsi="Arial" w:cs="Arial"/>
              </w:rPr>
              <w:t xml:space="preserve">Would a legal definition of medical necessity or therapeutic treatment be helpful and, if so, what should </w:t>
            </w:r>
            <w:r w:rsidR="00E021CD" w:rsidRPr="00446928">
              <w:rPr>
                <w:rFonts w:ascii="Arial" w:hAnsi="Arial" w:cs="Arial"/>
              </w:rPr>
              <w:t>the definition be</w:t>
            </w:r>
            <w:r w:rsidR="00A079AD" w:rsidRPr="00446928">
              <w:rPr>
                <w:rFonts w:ascii="Arial" w:hAnsi="Arial" w:cs="Arial"/>
              </w:rPr>
              <w:t>?</w:t>
            </w:r>
            <w:r w:rsidR="00B027B7">
              <w:rPr>
                <w:rFonts w:ascii="Arial" w:hAnsi="Arial" w:cs="Arial"/>
              </w:rPr>
              <w:br/>
            </w:r>
          </w:p>
          <w:p w14:paraId="3C611D9C" w14:textId="26989F1F" w:rsidR="001E7638" w:rsidRPr="00B027B7" w:rsidRDefault="00F026A8" w:rsidP="00694EB7">
            <w:pPr>
              <w:pStyle w:val="SubmissionNormal"/>
              <w:numPr>
                <w:ilvl w:val="0"/>
                <w:numId w:val="0"/>
              </w:numPr>
              <w:spacing w:after="240" w:line="240" w:lineRule="auto"/>
              <w:ind w:left="360"/>
              <w:contextualSpacing/>
              <w:rPr>
                <w:rFonts w:ascii="Arial" w:hAnsi="Arial" w:cs="Arial"/>
              </w:rPr>
            </w:pPr>
            <w:r>
              <w:rPr>
                <w:rFonts w:ascii="Arial" w:hAnsi="Arial" w:cs="Arial"/>
              </w:rPr>
              <w:t>1</w:t>
            </w:r>
            <w:r w:rsidR="00694EB7">
              <w:rPr>
                <w:rFonts w:ascii="Arial" w:hAnsi="Arial" w:cs="Arial"/>
              </w:rPr>
              <w:t>3</w:t>
            </w:r>
            <w:r>
              <w:rPr>
                <w:rFonts w:ascii="Arial" w:hAnsi="Arial" w:cs="Arial"/>
              </w:rPr>
              <w:t xml:space="preserve">. </w:t>
            </w:r>
            <w:r w:rsidR="00B027B7" w:rsidRPr="00B027B7">
              <w:rPr>
                <w:rFonts w:ascii="Arial" w:hAnsi="Arial" w:cs="Arial"/>
              </w:rPr>
              <w:t xml:space="preserve">What are the permissible rationales/considerations that should be taken into account when determining </w:t>
            </w:r>
            <w:proofErr w:type="gramStart"/>
            <w:r w:rsidR="00B027B7" w:rsidRPr="00B027B7">
              <w:rPr>
                <w:rFonts w:ascii="Arial" w:hAnsi="Arial" w:cs="Arial"/>
              </w:rPr>
              <w:t>whether or not</w:t>
            </w:r>
            <w:proofErr w:type="gramEnd"/>
            <w:r w:rsidR="00B027B7" w:rsidRPr="00B027B7">
              <w:rPr>
                <w:rFonts w:ascii="Arial" w:hAnsi="Arial" w:cs="Arial"/>
              </w:rPr>
              <w:t xml:space="preserve"> to undertake a medical intervention </w:t>
            </w:r>
            <w:r w:rsidR="00A5693F">
              <w:rPr>
                <w:rFonts w:ascii="Arial" w:hAnsi="Arial" w:cs="Arial"/>
              </w:rPr>
              <w:t>on behalf of</w:t>
            </w:r>
            <w:r w:rsidR="000A7CF7">
              <w:rPr>
                <w:rFonts w:ascii="Arial" w:hAnsi="Arial" w:cs="Arial"/>
              </w:rPr>
              <w:t xml:space="preserve"> those who lack the capacity to consent</w:t>
            </w:r>
            <w:r w:rsidR="00B027B7" w:rsidRPr="00B027B7">
              <w:rPr>
                <w:rFonts w:ascii="Arial" w:hAnsi="Arial" w:cs="Arial"/>
              </w:rPr>
              <w:t>?</w:t>
            </w:r>
          </w:p>
        </w:tc>
      </w:tr>
    </w:tbl>
    <w:p w14:paraId="2AD99C0F"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63" w:name="_Toc507585874"/>
      <w:bookmarkStart w:id="64" w:name="_Toc518984804"/>
      <w:r w:rsidRPr="00446928">
        <w:rPr>
          <w:rFonts w:ascii="Arial" w:hAnsi="Arial" w:cs="Arial"/>
          <w:bCs/>
          <w:i/>
          <w:szCs w:val="26"/>
        </w:rPr>
        <w:t>Regulation</w:t>
      </w:r>
      <w:bookmarkEnd w:id="63"/>
      <w:bookmarkEnd w:id="64"/>
    </w:p>
    <w:p w14:paraId="7944ACEF" w14:textId="60986D1A" w:rsidR="001E7638" w:rsidRPr="00446928" w:rsidRDefault="00700299" w:rsidP="001E7638">
      <w:pPr>
        <w:numPr>
          <w:ilvl w:val="0"/>
          <w:numId w:val="15"/>
        </w:numPr>
        <w:spacing w:before="240" w:after="240" w:line="240" w:lineRule="auto"/>
        <w:ind w:hanging="720"/>
        <w:rPr>
          <w:rFonts w:ascii="Arial" w:hAnsi="Arial" w:cs="Arial"/>
        </w:rPr>
      </w:pPr>
      <w:r w:rsidRPr="00446928">
        <w:rPr>
          <w:rFonts w:ascii="Arial" w:eastAsia="Times New Roman" w:hAnsi="Arial" w:cs="Arial"/>
        </w:rPr>
        <w:t xml:space="preserve">Regulation in this area is difficult and </w:t>
      </w:r>
      <w:r w:rsidR="001E7638" w:rsidRPr="00446928">
        <w:rPr>
          <w:rFonts w:ascii="Arial" w:eastAsia="Times New Roman" w:hAnsi="Arial" w:cs="Arial"/>
        </w:rPr>
        <w:t xml:space="preserve">contentious. </w:t>
      </w:r>
      <w:r w:rsidRPr="00446928">
        <w:rPr>
          <w:rFonts w:ascii="Arial" w:eastAsia="Times New Roman" w:hAnsi="Arial" w:cs="Arial"/>
        </w:rPr>
        <w:t xml:space="preserve">Some see a blanket </w:t>
      </w:r>
      <w:r w:rsidR="001E7638" w:rsidRPr="00446928">
        <w:rPr>
          <w:rFonts w:ascii="Arial" w:eastAsia="Times New Roman" w:hAnsi="Arial" w:cs="Arial"/>
        </w:rPr>
        <w:t xml:space="preserve">legal prohibition on particular interventions </w:t>
      </w:r>
      <w:r w:rsidR="0047717D" w:rsidRPr="00446928">
        <w:rPr>
          <w:rFonts w:ascii="Arial" w:eastAsia="Times New Roman" w:hAnsi="Arial" w:cs="Arial"/>
        </w:rPr>
        <w:t>as overly blunt, making this option unavailable even where it is clearly of benefit to a particular individual. By contrast</w:t>
      </w:r>
      <w:r w:rsidR="001E7638" w:rsidRPr="00446928">
        <w:rPr>
          <w:rFonts w:ascii="Arial" w:eastAsia="Times New Roman" w:hAnsi="Arial" w:cs="Arial"/>
        </w:rPr>
        <w:t xml:space="preserve">, guidelines </w:t>
      </w:r>
      <w:r w:rsidR="0047717D" w:rsidRPr="00446928">
        <w:rPr>
          <w:rFonts w:ascii="Arial" w:eastAsia="Times New Roman" w:hAnsi="Arial" w:cs="Arial"/>
        </w:rPr>
        <w:t xml:space="preserve">are more flexible and adaptable, but </w:t>
      </w:r>
      <w:proofErr w:type="gramStart"/>
      <w:r w:rsidR="00E850E5">
        <w:rPr>
          <w:rFonts w:ascii="Arial" w:eastAsia="Times New Roman" w:hAnsi="Arial" w:cs="Arial"/>
        </w:rPr>
        <w:t>may not be</w:t>
      </w:r>
      <w:r w:rsidR="0047717D" w:rsidRPr="00446928">
        <w:rPr>
          <w:rFonts w:ascii="Arial" w:eastAsia="Times New Roman" w:hAnsi="Arial" w:cs="Arial"/>
        </w:rPr>
        <w:t xml:space="preserve"> followed</w:t>
      </w:r>
      <w:proofErr w:type="gramEnd"/>
      <w:r w:rsidR="001E7638" w:rsidRPr="00446928">
        <w:rPr>
          <w:rFonts w:ascii="Arial" w:eastAsia="Times New Roman" w:hAnsi="Arial" w:cs="Arial"/>
        </w:rPr>
        <w:t xml:space="preserve">. Challenges also exist in ascertaining whether practices change in line with guidelines and what enforcement options are available when guidelines </w:t>
      </w:r>
      <w:proofErr w:type="gramStart"/>
      <w:r w:rsidR="001E7638" w:rsidRPr="00446928">
        <w:rPr>
          <w:rFonts w:ascii="Arial" w:eastAsia="Times New Roman" w:hAnsi="Arial" w:cs="Arial"/>
        </w:rPr>
        <w:t>are not followed</w:t>
      </w:r>
      <w:proofErr w:type="gramEnd"/>
      <w:r w:rsidR="001E7638" w:rsidRPr="00446928">
        <w:rPr>
          <w:rFonts w:ascii="Arial" w:eastAsia="Times New Roman" w:hAnsi="Arial" w:cs="Arial"/>
        </w:rPr>
        <w:t>.</w:t>
      </w:r>
    </w:p>
    <w:p w14:paraId="5AAB4396"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r w:rsidRPr="00446928">
        <w:rPr>
          <w:rFonts w:ascii="Arial" w:hAnsi="Arial" w:cs="Arial"/>
          <w:iCs/>
          <w:szCs w:val="26"/>
        </w:rPr>
        <w:t>Legal and policy prohibitions</w:t>
      </w:r>
    </w:p>
    <w:p w14:paraId="774CA795" w14:textId="305044B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Some intersex organisations and advocates have called for the criminalisation of non-emergency </w:t>
      </w:r>
      <w:r w:rsidR="0047717D" w:rsidRPr="00446928">
        <w:rPr>
          <w:rFonts w:ascii="Arial" w:eastAsia="Times New Roman" w:hAnsi="Arial" w:cs="Arial"/>
        </w:rPr>
        <w:t>and</w:t>
      </w:r>
      <w:r w:rsidRPr="00446928">
        <w:rPr>
          <w:rFonts w:ascii="Arial" w:eastAsia="Times New Roman" w:hAnsi="Arial" w:cs="Arial"/>
        </w:rPr>
        <w:t>/</w:t>
      </w:r>
      <w:r w:rsidR="0047717D" w:rsidRPr="00446928">
        <w:rPr>
          <w:rFonts w:ascii="Arial" w:eastAsia="Times New Roman" w:hAnsi="Arial" w:cs="Arial"/>
        </w:rPr>
        <w:t>or</w:t>
      </w:r>
      <w:r w:rsidRPr="00446928">
        <w:rPr>
          <w:rFonts w:ascii="Arial" w:eastAsia="Times New Roman" w:hAnsi="Arial" w:cs="Arial"/>
        </w:rPr>
        <w:t xml:space="preserve"> deferrable medical interventions that alter a child</w:t>
      </w:r>
      <w:r w:rsidR="00F87239">
        <w:rPr>
          <w:rFonts w:ascii="Arial" w:eastAsia="Times New Roman" w:hAnsi="Arial" w:cs="Arial"/>
        </w:rPr>
        <w:t>’</w:t>
      </w:r>
      <w:r w:rsidRPr="00446928">
        <w:rPr>
          <w:rFonts w:ascii="Arial" w:eastAsia="Times New Roman" w:hAnsi="Arial" w:cs="Arial"/>
        </w:rPr>
        <w:t>s sex characteristics without their personal consent.</w:t>
      </w:r>
      <w:r w:rsidR="0017037B" w:rsidRPr="00030F1B">
        <w:rPr>
          <w:rFonts w:ascii="Arial" w:hAnsi="Arial" w:cs="Arial"/>
          <w:sz w:val="20"/>
          <w:vertAlign w:val="superscript"/>
        </w:rPr>
        <w:endnoteReference w:id="160"/>
      </w:r>
      <w:r w:rsidR="00F80C50">
        <w:rPr>
          <w:rFonts w:ascii="Arial" w:eastAsia="Times New Roman" w:hAnsi="Arial" w:cs="Arial"/>
        </w:rPr>
        <w:t xml:space="preserve"> </w:t>
      </w:r>
    </w:p>
    <w:p w14:paraId="52C5F404" w14:textId="69BBCFD2" w:rsidR="001E7638" w:rsidRPr="00446928" w:rsidRDefault="001E7638" w:rsidP="001E7638">
      <w:pPr>
        <w:numPr>
          <w:ilvl w:val="0"/>
          <w:numId w:val="15"/>
        </w:numPr>
        <w:spacing w:before="240" w:after="240" w:line="240" w:lineRule="auto"/>
        <w:ind w:hanging="720"/>
        <w:rPr>
          <w:rFonts w:ascii="Arial" w:hAnsi="Arial" w:cs="Arial"/>
        </w:rPr>
      </w:pPr>
      <w:r w:rsidRPr="00446928">
        <w:rPr>
          <w:rFonts w:ascii="Arial" w:eastAsia="Times New Roman" w:hAnsi="Arial" w:cs="Arial"/>
        </w:rPr>
        <w:t>These advocates and organisations have drawn comparisons with female genital mutilation, which is a criminal offence in all Australian states and territories.</w:t>
      </w:r>
      <w:r w:rsidR="0017037B" w:rsidRPr="00030F1B">
        <w:rPr>
          <w:rFonts w:ascii="Arial" w:hAnsi="Arial" w:cs="Arial"/>
          <w:sz w:val="20"/>
          <w:vertAlign w:val="superscript"/>
        </w:rPr>
        <w:endnoteReference w:id="161"/>
      </w:r>
      <w:r w:rsidR="0017037B" w:rsidRPr="00030F1B">
        <w:rPr>
          <w:rFonts w:ascii="Arial" w:eastAsia="Times New Roman" w:hAnsi="Arial" w:cs="Arial"/>
        </w:rPr>
        <w:t xml:space="preserve"> </w:t>
      </w:r>
      <w:r w:rsidRPr="00446928">
        <w:rPr>
          <w:rFonts w:ascii="Arial" w:eastAsia="Times New Roman" w:hAnsi="Arial" w:cs="Arial"/>
        </w:rPr>
        <w:t xml:space="preserve"> </w:t>
      </w:r>
    </w:p>
    <w:p w14:paraId="0F2F2515" w14:textId="0D1A3183"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Internationally, as discussed in section </w:t>
      </w:r>
      <w:r w:rsidRPr="00446928">
        <w:rPr>
          <w:rFonts w:ascii="Arial" w:eastAsia="Times New Roman" w:hAnsi="Arial" w:cs="Arial"/>
        </w:rPr>
        <w:fldChar w:fldCharType="begin"/>
      </w:r>
      <w:r w:rsidRPr="00446928">
        <w:rPr>
          <w:rFonts w:ascii="Arial" w:eastAsia="Times New Roman" w:hAnsi="Arial" w:cs="Arial"/>
        </w:rPr>
        <w:instrText xml:space="preserve"> REF _Ref503186040 \r \h </w:instrText>
      </w:r>
      <w:r w:rsidR="00446928">
        <w:rPr>
          <w:rFonts w:ascii="Arial" w:eastAsia="Times New Roman" w:hAnsi="Arial" w:cs="Arial"/>
        </w:rPr>
        <w:instrText xml:space="preserve"> \* MERGEFORMAT </w:instrText>
      </w:r>
      <w:r w:rsidRPr="00446928">
        <w:rPr>
          <w:rFonts w:ascii="Arial" w:eastAsia="Times New Roman" w:hAnsi="Arial" w:cs="Arial"/>
        </w:rPr>
      </w:r>
      <w:r w:rsidRPr="00446928">
        <w:rPr>
          <w:rFonts w:ascii="Arial" w:eastAsia="Times New Roman" w:hAnsi="Arial" w:cs="Arial"/>
        </w:rPr>
        <w:fldChar w:fldCharType="separate"/>
      </w:r>
      <w:r w:rsidR="0075464F">
        <w:rPr>
          <w:rFonts w:ascii="Arial" w:eastAsia="Times New Roman" w:hAnsi="Arial" w:cs="Arial"/>
        </w:rPr>
        <w:t>5.2</w:t>
      </w:r>
      <w:r w:rsidRPr="00446928">
        <w:rPr>
          <w:rFonts w:ascii="Arial" w:eastAsia="Times New Roman" w:hAnsi="Arial" w:cs="Arial"/>
        </w:rPr>
        <w:fldChar w:fldCharType="end"/>
      </w:r>
      <w:r w:rsidRPr="00446928">
        <w:rPr>
          <w:rFonts w:ascii="Arial" w:eastAsia="Times New Roman" w:hAnsi="Arial" w:cs="Arial"/>
        </w:rPr>
        <w:t xml:space="preserve">, some countries have </w:t>
      </w:r>
      <w:r w:rsidR="0047717D" w:rsidRPr="00446928">
        <w:rPr>
          <w:rFonts w:ascii="Arial" w:eastAsia="Times New Roman" w:hAnsi="Arial" w:cs="Arial"/>
        </w:rPr>
        <w:t xml:space="preserve">prohibited </w:t>
      </w:r>
      <w:r w:rsidRPr="00446928">
        <w:rPr>
          <w:rFonts w:ascii="Arial" w:eastAsia="Times New Roman" w:hAnsi="Arial" w:cs="Arial"/>
        </w:rPr>
        <w:t>surgical interventions involving children who are incapable of providing consent</w:t>
      </w:r>
      <w:r w:rsidR="00F80C50">
        <w:rPr>
          <w:rFonts w:ascii="Arial" w:eastAsia="Times New Roman" w:hAnsi="Arial" w:cs="Arial"/>
        </w:rPr>
        <w:t xml:space="preserve">, although the extent to which this </w:t>
      </w:r>
      <w:proofErr w:type="gramStart"/>
      <w:r w:rsidR="00F80C50">
        <w:rPr>
          <w:rFonts w:ascii="Arial" w:eastAsia="Times New Roman" w:hAnsi="Arial" w:cs="Arial"/>
        </w:rPr>
        <w:t>is done</w:t>
      </w:r>
      <w:proofErr w:type="gramEnd"/>
      <w:r w:rsidR="00F80C50">
        <w:rPr>
          <w:rFonts w:ascii="Arial" w:eastAsia="Times New Roman" w:hAnsi="Arial" w:cs="Arial"/>
        </w:rPr>
        <w:t xml:space="preserve"> and </w:t>
      </w:r>
      <w:r w:rsidR="00AF77F5">
        <w:rPr>
          <w:rFonts w:ascii="Arial" w:eastAsia="Times New Roman" w:hAnsi="Arial" w:cs="Arial"/>
        </w:rPr>
        <w:t>which</w:t>
      </w:r>
      <w:r w:rsidR="00F80C50">
        <w:rPr>
          <w:rFonts w:ascii="Arial" w:eastAsia="Times New Roman" w:hAnsi="Arial" w:cs="Arial"/>
        </w:rPr>
        <w:t xml:space="preserve"> other parties</w:t>
      </w:r>
      <w:r w:rsidR="00AF77F5">
        <w:rPr>
          <w:rFonts w:ascii="Arial" w:eastAsia="Times New Roman" w:hAnsi="Arial" w:cs="Arial"/>
        </w:rPr>
        <w:t xml:space="preserve"> are</w:t>
      </w:r>
      <w:r w:rsidR="00F80C50">
        <w:rPr>
          <w:rFonts w:ascii="Arial" w:eastAsia="Times New Roman" w:hAnsi="Arial" w:cs="Arial"/>
        </w:rPr>
        <w:t xml:space="preserve"> involved are mixed</w:t>
      </w:r>
      <w:r w:rsidR="00A36EE0">
        <w:rPr>
          <w:rFonts w:ascii="Arial" w:eastAsia="Times New Roman" w:hAnsi="Arial" w:cs="Arial"/>
        </w:rPr>
        <w:t>.</w:t>
      </w:r>
    </w:p>
    <w:tbl>
      <w:tblPr>
        <w:tblStyle w:val="TableGrid"/>
        <w:tblW w:w="9634" w:type="dxa"/>
        <w:tblLook w:val="04A0" w:firstRow="1" w:lastRow="0" w:firstColumn="1" w:lastColumn="0" w:noHBand="0" w:noVBand="1"/>
      </w:tblPr>
      <w:tblGrid>
        <w:gridCol w:w="9634"/>
      </w:tblGrid>
      <w:tr w:rsidR="001E7638" w:rsidRPr="00446928" w14:paraId="6A89B039" w14:textId="77777777" w:rsidTr="00E02F5D">
        <w:tc>
          <w:tcPr>
            <w:tcW w:w="9634" w:type="dxa"/>
          </w:tcPr>
          <w:p w14:paraId="1EAE5220" w14:textId="6067A107" w:rsidR="001E7638" w:rsidRPr="00446928" w:rsidRDefault="001E7638" w:rsidP="00E02F5D">
            <w:pPr>
              <w:rPr>
                <w:rFonts w:ascii="Arial" w:hAnsi="Arial" w:cs="Arial"/>
                <w:b/>
              </w:rPr>
            </w:pPr>
            <w:r w:rsidRPr="00446928">
              <w:rPr>
                <w:rFonts w:ascii="Arial" w:hAnsi="Arial" w:cs="Arial"/>
                <w:b/>
              </w:rPr>
              <w:t>Key question:</w:t>
            </w:r>
          </w:p>
          <w:p w14:paraId="52A04BD3" w14:textId="7C7B695E" w:rsidR="001E7638" w:rsidRPr="00446928" w:rsidRDefault="00BD2DC5" w:rsidP="000526B3">
            <w:pPr>
              <w:pStyle w:val="SubmissionNormal"/>
              <w:numPr>
                <w:ilvl w:val="0"/>
                <w:numId w:val="0"/>
              </w:numPr>
              <w:spacing w:after="240" w:line="240" w:lineRule="auto"/>
              <w:ind w:left="360"/>
              <w:contextualSpacing/>
              <w:rPr>
                <w:rFonts w:ascii="Arial" w:hAnsi="Arial" w:cs="Arial"/>
              </w:rPr>
            </w:pPr>
            <w:proofErr w:type="gramStart"/>
            <w:r>
              <w:rPr>
                <w:rFonts w:ascii="Arial" w:hAnsi="Arial" w:cs="Arial"/>
              </w:rPr>
              <w:t>1</w:t>
            </w:r>
            <w:r w:rsidR="000526B3">
              <w:rPr>
                <w:rFonts w:ascii="Arial" w:hAnsi="Arial" w:cs="Arial"/>
              </w:rPr>
              <w:t>4</w:t>
            </w:r>
            <w:r>
              <w:rPr>
                <w:rFonts w:ascii="Arial" w:hAnsi="Arial" w:cs="Arial"/>
              </w:rPr>
              <w:t xml:space="preserve">. </w:t>
            </w:r>
            <w:r w:rsidR="009A1917" w:rsidRPr="00446928">
              <w:rPr>
                <w:rFonts w:ascii="Arial" w:hAnsi="Arial" w:cs="Arial"/>
              </w:rPr>
              <w:t xml:space="preserve">Should </w:t>
            </w:r>
            <w:r w:rsidR="00C8145E">
              <w:rPr>
                <w:rFonts w:ascii="Arial" w:hAnsi="Arial" w:cs="Arial"/>
              </w:rPr>
              <w:t xml:space="preserve">all </w:t>
            </w:r>
            <w:r w:rsidR="009A1917" w:rsidRPr="00446928">
              <w:rPr>
                <w:rFonts w:ascii="Arial" w:hAnsi="Arial" w:cs="Arial"/>
              </w:rPr>
              <w:t xml:space="preserve">non-emergency </w:t>
            </w:r>
            <w:r w:rsidR="0047717D" w:rsidRPr="00446928">
              <w:rPr>
                <w:rFonts w:ascii="Arial" w:hAnsi="Arial" w:cs="Arial"/>
              </w:rPr>
              <w:t>and</w:t>
            </w:r>
            <w:r w:rsidR="009A1917" w:rsidRPr="00446928">
              <w:rPr>
                <w:rFonts w:ascii="Arial" w:hAnsi="Arial" w:cs="Arial"/>
              </w:rPr>
              <w:t>/</w:t>
            </w:r>
            <w:r w:rsidR="0047717D" w:rsidRPr="00446928">
              <w:rPr>
                <w:rFonts w:ascii="Arial" w:hAnsi="Arial" w:cs="Arial"/>
              </w:rPr>
              <w:t>or</w:t>
            </w:r>
            <w:r w:rsidR="009A1917" w:rsidRPr="00446928">
              <w:rPr>
                <w:rFonts w:ascii="Arial" w:hAnsi="Arial" w:cs="Arial"/>
              </w:rPr>
              <w:t xml:space="preserve"> deferrable medical interventions that alter a child</w:t>
            </w:r>
            <w:r w:rsidR="00F87239">
              <w:rPr>
                <w:rFonts w:ascii="Arial" w:hAnsi="Arial" w:cs="Arial"/>
              </w:rPr>
              <w:t>’</w:t>
            </w:r>
            <w:r w:rsidR="009A1917" w:rsidRPr="00446928">
              <w:rPr>
                <w:rFonts w:ascii="Arial" w:hAnsi="Arial" w:cs="Arial"/>
              </w:rPr>
              <w:t>s sex characteristics, where the child does not have legal capacity to consent</w:t>
            </w:r>
            <w:r w:rsidR="00A5693F">
              <w:rPr>
                <w:rFonts w:ascii="Arial" w:hAnsi="Arial" w:cs="Arial"/>
              </w:rPr>
              <w:t>,</w:t>
            </w:r>
            <w:r w:rsidR="009A1917" w:rsidRPr="00446928">
              <w:rPr>
                <w:rFonts w:ascii="Arial" w:hAnsi="Arial" w:cs="Arial"/>
              </w:rPr>
              <w:t xml:space="preserve"> be </w:t>
            </w:r>
            <w:r w:rsidR="00C8145E">
              <w:rPr>
                <w:rFonts w:ascii="Arial" w:hAnsi="Arial" w:cs="Arial"/>
              </w:rPr>
              <w:t>prohibited by law</w:t>
            </w:r>
            <w:proofErr w:type="gramEnd"/>
            <w:r w:rsidR="0047717D" w:rsidRPr="00446928">
              <w:rPr>
                <w:rFonts w:ascii="Arial" w:hAnsi="Arial" w:cs="Arial"/>
              </w:rPr>
              <w:t xml:space="preserve">? If so, should </w:t>
            </w:r>
            <w:r w:rsidR="00C8145E">
              <w:rPr>
                <w:rFonts w:ascii="Arial" w:hAnsi="Arial" w:cs="Arial"/>
              </w:rPr>
              <w:t>this prohibition be civil or criminal</w:t>
            </w:r>
            <w:r w:rsidR="00A5693F">
              <w:rPr>
                <w:rFonts w:ascii="Arial" w:hAnsi="Arial" w:cs="Arial"/>
              </w:rPr>
              <w:t>?</w:t>
            </w:r>
          </w:p>
        </w:tc>
      </w:tr>
    </w:tbl>
    <w:p w14:paraId="3F3A71FE" w14:textId="77777777" w:rsidR="001E7638" w:rsidRPr="00446928" w:rsidRDefault="001E7638" w:rsidP="001E7638">
      <w:pPr>
        <w:keepNext/>
        <w:keepLines/>
        <w:numPr>
          <w:ilvl w:val="3"/>
          <w:numId w:val="1"/>
        </w:numPr>
        <w:spacing w:before="360" w:after="240" w:line="240" w:lineRule="auto"/>
        <w:outlineLvl w:val="3"/>
        <w:rPr>
          <w:rFonts w:ascii="Arial" w:hAnsi="Arial" w:cs="Arial"/>
          <w:iCs/>
          <w:szCs w:val="26"/>
        </w:rPr>
      </w:pPr>
      <w:r w:rsidRPr="00446928">
        <w:rPr>
          <w:rFonts w:ascii="Arial" w:hAnsi="Arial" w:cs="Arial"/>
          <w:iCs/>
          <w:szCs w:val="26"/>
        </w:rPr>
        <w:lastRenderedPageBreak/>
        <w:t>Clinical guidelines</w:t>
      </w:r>
    </w:p>
    <w:p w14:paraId="5026D32B" w14:textId="2B7D5B73" w:rsidR="0000626B" w:rsidRDefault="0000626B" w:rsidP="001E7638">
      <w:pPr>
        <w:numPr>
          <w:ilvl w:val="0"/>
          <w:numId w:val="15"/>
        </w:numPr>
        <w:spacing w:before="240" w:after="240" w:line="240" w:lineRule="auto"/>
        <w:ind w:hanging="720"/>
        <w:rPr>
          <w:rFonts w:ascii="Arial" w:eastAsia="Times New Roman" w:hAnsi="Arial" w:cs="Arial"/>
        </w:rPr>
      </w:pPr>
      <w:r>
        <w:rPr>
          <w:rFonts w:ascii="Arial" w:eastAsia="Times New Roman" w:hAnsi="Arial" w:cs="Arial"/>
        </w:rPr>
        <w:t xml:space="preserve">Clinical guidelines can establish important principles for medical professionals to approach the care of people born with variations in sex characteristics. These guidelines may be for specific variations or </w:t>
      </w:r>
      <w:r w:rsidR="0018343F">
        <w:rPr>
          <w:rFonts w:ascii="Arial" w:eastAsia="Times New Roman" w:hAnsi="Arial" w:cs="Arial"/>
        </w:rPr>
        <w:t xml:space="preserve">may </w:t>
      </w:r>
      <w:r>
        <w:rPr>
          <w:rFonts w:ascii="Arial" w:eastAsia="Times New Roman" w:hAnsi="Arial" w:cs="Arial"/>
        </w:rPr>
        <w:t xml:space="preserve">more broadly cover a number of variations. </w:t>
      </w:r>
    </w:p>
    <w:p w14:paraId="2598D9D4" w14:textId="711E385D" w:rsidR="001E7638" w:rsidRPr="0000626B" w:rsidRDefault="00002CCA" w:rsidP="0000626B">
      <w:pPr>
        <w:numPr>
          <w:ilvl w:val="0"/>
          <w:numId w:val="15"/>
        </w:numPr>
        <w:spacing w:before="240" w:after="240" w:line="240" w:lineRule="auto"/>
        <w:ind w:hanging="720"/>
        <w:rPr>
          <w:rFonts w:ascii="Arial" w:eastAsia="Times New Roman" w:hAnsi="Arial" w:cs="Arial"/>
        </w:rPr>
      </w:pPr>
      <w:bookmarkStart w:id="65" w:name="_Ref487181851"/>
      <w:r w:rsidRPr="00446928">
        <w:rPr>
          <w:rFonts w:ascii="Arial" w:eastAsia="Times New Roman" w:hAnsi="Arial" w:cs="Arial"/>
        </w:rPr>
        <w:t>The</w:t>
      </w:r>
      <w:r w:rsidR="001E7638" w:rsidRPr="00446928">
        <w:rPr>
          <w:rFonts w:ascii="Arial" w:eastAsia="Times New Roman" w:hAnsi="Arial" w:cs="Arial"/>
        </w:rPr>
        <w:t xml:space="preserve"> </w:t>
      </w:r>
      <w:r w:rsidR="00F86F65" w:rsidRPr="00446928">
        <w:rPr>
          <w:rFonts w:ascii="Arial" w:eastAsia="Times New Roman" w:hAnsi="Arial" w:cs="Arial"/>
        </w:rPr>
        <w:t>Consensus Statement</w:t>
      </w:r>
      <w:r w:rsidR="001E7638" w:rsidRPr="00446928">
        <w:rPr>
          <w:rFonts w:ascii="Arial" w:eastAsia="Times New Roman" w:hAnsi="Arial" w:cs="Arial"/>
        </w:rPr>
        <w:t xml:space="preserve"> </w:t>
      </w:r>
      <w:r w:rsidR="0018343F">
        <w:rPr>
          <w:rFonts w:ascii="Arial" w:eastAsia="Times New Roman" w:hAnsi="Arial" w:cs="Arial"/>
        </w:rPr>
        <w:t>provides guidance for general approaches</w:t>
      </w:r>
      <w:r w:rsidR="00EE0444">
        <w:rPr>
          <w:rFonts w:ascii="Arial" w:eastAsia="Times New Roman" w:hAnsi="Arial" w:cs="Arial"/>
        </w:rPr>
        <w:t xml:space="preserve"> and considerations in the care of people born with variations in sex characteristics</w:t>
      </w:r>
      <w:r w:rsidR="0018343F">
        <w:rPr>
          <w:rFonts w:ascii="Arial" w:eastAsia="Times New Roman" w:hAnsi="Arial" w:cs="Arial"/>
        </w:rPr>
        <w:t xml:space="preserve">. </w:t>
      </w:r>
      <w:r w:rsidR="00CD76D3">
        <w:rPr>
          <w:rFonts w:ascii="Arial" w:eastAsia="Times New Roman" w:hAnsi="Arial" w:cs="Arial"/>
        </w:rPr>
        <w:t xml:space="preserve">The Consensus Statement, </w:t>
      </w:r>
      <w:r w:rsidR="001E7638" w:rsidRPr="00446928">
        <w:rPr>
          <w:rFonts w:ascii="Arial" w:eastAsia="Times New Roman" w:hAnsi="Arial" w:cs="Arial"/>
        </w:rPr>
        <w:t>published in 2006</w:t>
      </w:r>
      <w:r w:rsidR="00CD76D3">
        <w:rPr>
          <w:rFonts w:ascii="Arial" w:eastAsia="Times New Roman" w:hAnsi="Arial" w:cs="Arial"/>
        </w:rPr>
        <w:t>,</w:t>
      </w:r>
      <w:r w:rsidRPr="00446928">
        <w:rPr>
          <w:rFonts w:ascii="Arial" w:eastAsia="Times New Roman" w:hAnsi="Arial" w:cs="Arial"/>
        </w:rPr>
        <w:t xml:space="preserve"> was </w:t>
      </w:r>
      <w:r w:rsidR="001E7638" w:rsidRPr="00446928">
        <w:rPr>
          <w:rFonts w:ascii="Arial" w:eastAsia="Times New Roman" w:hAnsi="Arial" w:cs="Arial"/>
        </w:rPr>
        <w:t xml:space="preserve">updated in 2016 to reflect changes to </w:t>
      </w:r>
      <w:r w:rsidR="00F87239">
        <w:rPr>
          <w:rFonts w:ascii="Arial" w:eastAsia="Times New Roman" w:hAnsi="Arial" w:cs="Arial"/>
        </w:rPr>
        <w:t>‘</w:t>
      </w:r>
      <w:r w:rsidR="001E7638" w:rsidRPr="00446928">
        <w:rPr>
          <w:rFonts w:ascii="Arial" w:eastAsia="Times New Roman" w:hAnsi="Arial" w:cs="Arial"/>
        </w:rPr>
        <w:t>perceptions and the approach to the diagnosis and care of individuals with DSDs</w:t>
      </w:r>
      <w:r w:rsidR="00F87239">
        <w:rPr>
          <w:rFonts w:ascii="Arial" w:eastAsia="Times New Roman" w:hAnsi="Arial" w:cs="Arial"/>
        </w:rPr>
        <w:t>’</w:t>
      </w:r>
      <w:r w:rsidR="001E7638" w:rsidRPr="00446928">
        <w:rPr>
          <w:rFonts w:ascii="Arial" w:eastAsia="Times New Roman" w:hAnsi="Arial" w:cs="Arial"/>
        </w:rPr>
        <w:t xml:space="preserve">, as discussed in section </w:t>
      </w:r>
      <w:r w:rsidR="001E7638" w:rsidRPr="00446928">
        <w:rPr>
          <w:rFonts w:ascii="Arial" w:eastAsia="Times New Roman" w:hAnsi="Arial" w:cs="Arial"/>
        </w:rPr>
        <w:fldChar w:fldCharType="begin"/>
      </w:r>
      <w:r w:rsidR="001E7638" w:rsidRPr="00446928">
        <w:rPr>
          <w:rFonts w:ascii="Arial" w:eastAsia="Times New Roman" w:hAnsi="Arial" w:cs="Arial"/>
        </w:rPr>
        <w:instrText xml:space="preserve"> REF _Ref503186361 \r \h </w:instrText>
      </w:r>
      <w:r w:rsidR="00446928">
        <w:rPr>
          <w:rFonts w:ascii="Arial" w:eastAsia="Times New Roman" w:hAnsi="Arial" w:cs="Arial"/>
        </w:rPr>
        <w:instrText xml:space="preserve"> \* MERGEFORMAT </w:instrText>
      </w:r>
      <w:r w:rsidR="001E7638" w:rsidRPr="00446928">
        <w:rPr>
          <w:rFonts w:ascii="Arial" w:eastAsia="Times New Roman" w:hAnsi="Arial" w:cs="Arial"/>
        </w:rPr>
      </w:r>
      <w:r w:rsidR="001E7638" w:rsidRPr="00446928">
        <w:rPr>
          <w:rFonts w:ascii="Arial" w:eastAsia="Times New Roman" w:hAnsi="Arial" w:cs="Arial"/>
        </w:rPr>
        <w:fldChar w:fldCharType="separate"/>
      </w:r>
      <w:r w:rsidR="0075464F">
        <w:rPr>
          <w:rFonts w:ascii="Arial" w:eastAsia="Times New Roman" w:hAnsi="Arial" w:cs="Arial"/>
        </w:rPr>
        <w:t>5.3(b)</w:t>
      </w:r>
      <w:r w:rsidR="001E7638" w:rsidRPr="00446928">
        <w:rPr>
          <w:rFonts w:ascii="Arial" w:eastAsia="Times New Roman" w:hAnsi="Arial" w:cs="Arial"/>
        </w:rPr>
        <w:fldChar w:fldCharType="end"/>
      </w:r>
      <w:r w:rsidR="001E7638" w:rsidRPr="00446928">
        <w:rPr>
          <w:rFonts w:ascii="Arial" w:eastAsia="Times New Roman" w:hAnsi="Arial" w:cs="Arial"/>
        </w:rPr>
        <w:t>.</w:t>
      </w:r>
      <w:r w:rsidR="00CD76D3">
        <w:rPr>
          <w:rFonts w:ascii="Arial" w:eastAsia="Times New Roman" w:hAnsi="Arial" w:cs="Arial"/>
        </w:rPr>
        <w:t xml:space="preserve"> The </w:t>
      </w:r>
      <w:r w:rsidR="006C6BDA">
        <w:rPr>
          <w:rFonts w:ascii="Arial" w:eastAsia="Times New Roman" w:hAnsi="Arial" w:cs="Arial"/>
        </w:rPr>
        <w:t>Consensus Statement update</w:t>
      </w:r>
      <w:r w:rsidR="00CD76D3">
        <w:rPr>
          <w:rFonts w:ascii="Arial" w:eastAsia="Times New Roman" w:hAnsi="Arial" w:cs="Arial"/>
        </w:rPr>
        <w:t xml:space="preserve"> notes, however, that f</w:t>
      </w:r>
      <w:r w:rsidR="0000626B">
        <w:rPr>
          <w:rFonts w:ascii="Arial" w:eastAsia="Times New Roman" w:hAnsi="Arial" w:cs="Arial"/>
        </w:rPr>
        <w:t>or</w:t>
      </w:r>
      <w:r w:rsidR="0000626B" w:rsidRPr="00446928">
        <w:rPr>
          <w:rFonts w:ascii="Arial" w:eastAsia="Times New Roman" w:hAnsi="Arial" w:cs="Arial"/>
        </w:rPr>
        <w:t xml:space="preserve"> some important issues regarding the appropriate medical treatment and care of </w:t>
      </w:r>
      <w:r w:rsidR="0000626B">
        <w:rPr>
          <w:rFonts w:ascii="Arial" w:eastAsia="Times New Roman" w:hAnsi="Arial" w:cs="Arial"/>
        </w:rPr>
        <w:t>people born with</w:t>
      </w:r>
      <w:r w:rsidR="0000626B" w:rsidRPr="00446928">
        <w:rPr>
          <w:rFonts w:ascii="Arial" w:eastAsia="Times New Roman" w:hAnsi="Arial" w:cs="Arial"/>
        </w:rPr>
        <w:t xml:space="preserve"> variations in sex characteristics</w:t>
      </w:r>
      <w:r w:rsidR="00CD76D3">
        <w:rPr>
          <w:rFonts w:ascii="Arial" w:eastAsia="Times New Roman" w:hAnsi="Arial" w:cs="Arial"/>
        </w:rPr>
        <w:t>, like indications, timing, procedure and evaluation of outcome of surgery,</w:t>
      </w:r>
      <w:r w:rsidR="0000626B" w:rsidRPr="00446928">
        <w:rPr>
          <w:rFonts w:ascii="Arial" w:eastAsia="Times New Roman" w:hAnsi="Arial" w:cs="Arial"/>
        </w:rPr>
        <w:t xml:space="preserve"> there is no consensus among medical practitioners.</w:t>
      </w:r>
      <w:r w:rsidR="0000626B" w:rsidRPr="00030F1B">
        <w:rPr>
          <w:rFonts w:ascii="Arial" w:hAnsi="Arial" w:cs="Arial"/>
          <w:sz w:val="20"/>
          <w:vertAlign w:val="superscript"/>
        </w:rPr>
        <w:endnoteReference w:id="162"/>
      </w:r>
    </w:p>
    <w:bookmarkEnd w:id="65"/>
    <w:p w14:paraId="73E96205" w14:textId="4B0A206C"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There are currently no national guidelines in Australia</w:t>
      </w:r>
      <w:r w:rsidR="00E14689">
        <w:rPr>
          <w:rFonts w:ascii="Arial" w:eastAsia="Times New Roman" w:hAnsi="Arial" w:cs="Arial"/>
        </w:rPr>
        <w:t>;</w:t>
      </w:r>
      <w:r w:rsidR="006C3269">
        <w:rPr>
          <w:rFonts w:ascii="Arial" w:eastAsia="Times New Roman" w:hAnsi="Arial" w:cs="Arial"/>
        </w:rPr>
        <w:t xml:space="preserve"> however</w:t>
      </w:r>
      <w:r w:rsidR="00E14689">
        <w:rPr>
          <w:rFonts w:ascii="Arial" w:eastAsia="Times New Roman" w:hAnsi="Arial" w:cs="Arial"/>
        </w:rPr>
        <w:t>,</w:t>
      </w:r>
      <w:r w:rsidR="006C3269">
        <w:rPr>
          <w:rFonts w:ascii="Arial" w:eastAsia="Times New Roman" w:hAnsi="Arial" w:cs="Arial"/>
        </w:rPr>
        <w:t xml:space="preserve"> APEG contributed to and endorsed the 2016 Consensus Statement </w:t>
      </w:r>
      <w:r w:rsidR="00511A83">
        <w:rPr>
          <w:rFonts w:ascii="Arial" w:eastAsia="Times New Roman" w:hAnsi="Arial" w:cs="Arial"/>
        </w:rPr>
        <w:t xml:space="preserve">update. </w:t>
      </w:r>
      <w:proofErr w:type="gramStart"/>
      <w:r w:rsidR="00511A83">
        <w:rPr>
          <w:rFonts w:ascii="Arial" w:eastAsia="Times New Roman" w:hAnsi="Arial" w:cs="Arial"/>
        </w:rPr>
        <w:t xml:space="preserve">There also exist </w:t>
      </w:r>
      <w:r w:rsidR="006C3269">
        <w:rPr>
          <w:rFonts w:ascii="Arial" w:eastAsia="Times New Roman" w:hAnsi="Arial" w:cs="Arial"/>
        </w:rPr>
        <w:t xml:space="preserve">a number of international evidence-based guidelines </w:t>
      </w:r>
      <w:r w:rsidR="00511A83">
        <w:rPr>
          <w:rFonts w:ascii="Arial" w:eastAsia="Times New Roman" w:hAnsi="Arial" w:cs="Arial"/>
        </w:rPr>
        <w:t>that</w:t>
      </w:r>
      <w:r w:rsidR="006C3269">
        <w:rPr>
          <w:rFonts w:ascii="Arial" w:eastAsia="Times New Roman" w:hAnsi="Arial" w:cs="Arial"/>
        </w:rPr>
        <w:t xml:space="preserve"> Australian clinicians may follow.</w:t>
      </w:r>
      <w:proofErr w:type="gramEnd"/>
    </w:p>
    <w:p w14:paraId="5B624902" w14:textId="5E59121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Senate Committee recommended that </w:t>
      </w:r>
      <w:r w:rsidR="00F87239">
        <w:rPr>
          <w:rFonts w:ascii="Arial" w:eastAsia="Times New Roman" w:hAnsi="Arial" w:cs="Arial"/>
        </w:rPr>
        <w:t>‘</w:t>
      </w:r>
      <w:r w:rsidRPr="00446928">
        <w:rPr>
          <w:rFonts w:ascii="Arial" w:eastAsia="Times New Roman" w:hAnsi="Arial" w:cs="Arial"/>
        </w:rPr>
        <w:t>all medical treatment of intersex people take place under guidelines that ensure treatment is managed by multidisciplinary teams within a human rights framework</w:t>
      </w:r>
      <w:r w:rsidR="00F87239">
        <w:rPr>
          <w:rFonts w:ascii="Arial" w:eastAsia="Times New Roman" w:hAnsi="Arial" w:cs="Arial"/>
        </w:rPr>
        <w:t>’</w:t>
      </w:r>
      <w:r w:rsidRPr="00446928">
        <w:rPr>
          <w:rFonts w:ascii="Arial" w:eastAsia="Times New Roman" w:hAnsi="Arial" w:cs="Arial"/>
        </w:rPr>
        <w:t>.</w:t>
      </w:r>
      <w:r w:rsidR="002E467D" w:rsidRPr="00030F1B">
        <w:rPr>
          <w:rFonts w:ascii="Arial" w:hAnsi="Arial" w:cs="Arial"/>
          <w:sz w:val="20"/>
          <w:vertAlign w:val="superscript"/>
        </w:rPr>
        <w:endnoteReference w:id="163"/>
      </w:r>
      <w:r w:rsidR="002E467D" w:rsidRPr="00030F1B">
        <w:rPr>
          <w:rFonts w:ascii="Arial" w:eastAsia="Times New Roman" w:hAnsi="Arial" w:cs="Arial"/>
        </w:rPr>
        <w:t xml:space="preserve"> </w:t>
      </w:r>
      <w:r w:rsidR="0019602A" w:rsidRPr="00446928">
        <w:rPr>
          <w:rFonts w:ascii="Arial" w:eastAsia="Times New Roman" w:hAnsi="Arial" w:cs="Arial"/>
        </w:rPr>
        <w:t>In its formal response, t</w:t>
      </w:r>
      <w:r w:rsidRPr="00446928">
        <w:rPr>
          <w:rFonts w:ascii="Arial" w:eastAsia="Times New Roman" w:hAnsi="Arial" w:cs="Arial"/>
        </w:rPr>
        <w:t xml:space="preserve">he Australian </w:t>
      </w:r>
      <w:r w:rsidR="0019602A" w:rsidRPr="00446928">
        <w:rPr>
          <w:rFonts w:ascii="Arial" w:eastAsia="Times New Roman" w:hAnsi="Arial" w:cs="Arial"/>
        </w:rPr>
        <w:t>G</w:t>
      </w:r>
      <w:r w:rsidRPr="00446928">
        <w:rPr>
          <w:rFonts w:ascii="Arial" w:eastAsia="Times New Roman" w:hAnsi="Arial" w:cs="Arial"/>
        </w:rPr>
        <w:t xml:space="preserve">overnment has </w:t>
      </w:r>
      <w:r w:rsidR="0019602A" w:rsidRPr="00446928">
        <w:rPr>
          <w:rFonts w:ascii="Arial" w:eastAsia="Times New Roman" w:hAnsi="Arial" w:cs="Arial"/>
        </w:rPr>
        <w:t xml:space="preserve">noted </w:t>
      </w:r>
      <w:r w:rsidRPr="00446928">
        <w:rPr>
          <w:rFonts w:ascii="Arial" w:eastAsia="Times New Roman" w:hAnsi="Arial" w:cs="Arial"/>
        </w:rPr>
        <w:t>that this is a matter for state and territory governments.</w:t>
      </w:r>
      <w:r w:rsidR="002E467D" w:rsidRPr="00030F1B">
        <w:rPr>
          <w:rStyle w:val="EndnoteReference"/>
          <w:rFonts w:eastAsia="Times New Roman" w:cs="Arial"/>
        </w:rPr>
        <w:endnoteReference w:id="164"/>
      </w:r>
    </w:p>
    <w:p w14:paraId="6497C0D8" w14:textId="075ECC99" w:rsidR="0026730A" w:rsidRPr="00446928" w:rsidRDefault="001E7638" w:rsidP="0026730A">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2013</w:t>
      </w:r>
      <w:r w:rsidR="0019602A" w:rsidRPr="00446928">
        <w:rPr>
          <w:rFonts w:ascii="Arial" w:eastAsia="Times New Roman" w:hAnsi="Arial" w:cs="Arial"/>
        </w:rPr>
        <w:t>,</w:t>
      </w:r>
      <w:r w:rsidRPr="00446928">
        <w:rPr>
          <w:rFonts w:ascii="Arial" w:eastAsia="Times New Roman" w:hAnsi="Arial" w:cs="Arial"/>
        </w:rPr>
        <w:t xml:space="preserve"> the Victorian Department of Health issued decision-making principles for the care of infants, children and adolescents with intersex conditions. </w:t>
      </w:r>
      <w:r w:rsidR="0026730A" w:rsidRPr="00446928">
        <w:rPr>
          <w:rFonts w:ascii="Arial" w:eastAsia="Times New Roman" w:hAnsi="Arial" w:cs="Arial"/>
        </w:rPr>
        <w:t xml:space="preserve">The 2006 Consensus Statement </w:t>
      </w:r>
      <w:r w:rsidR="0011620E">
        <w:rPr>
          <w:rFonts w:ascii="Arial" w:eastAsia="Times New Roman" w:hAnsi="Arial" w:cs="Arial"/>
        </w:rPr>
        <w:t>was</w:t>
      </w:r>
      <w:r w:rsidR="0011620E" w:rsidRPr="00446928">
        <w:rPr>
          <w:rFonts w:ascii="Arial" w:eastAsia="Times New Roman" w:hAnsi="Arial" w:cs="Arial"/>
        </w:rPr>
        <w:t xml:space="preserve"> </w:t>
      </w:r>
      <w:r w:rsidR="0026730A" w:rsidRPr="00446928">
        <w:rPr>
          <w:rFonts w:ascii="Arial" w:eastAsia="Times New Roman" w:hAnsi="Arial" w:cs="Arial"/>
        </w:rPr>
        <w:t>formative in the development of these principles.</w:t>
      </w:r>
      <w:r w:rsidR="002E467D" w:rsidRPr="00030F1B">
        <w:rPr>
          <w:rStyle w:val="EndnoteReference"/>
          <w:rFonts w:eastAsia="Times New Roman" w:cs="Arial"/>
        </w:rPr>
        <w:endnoteReference w:id="165"/>
      </w:r>
    </w:p>
    <w:p w14:paraId="50985C46" w14:textId="05EECD37" w:rsidR="00511DEF" w:rsidRPr="00C96F25" w:rsidRDefault="00511DEF" w:rsidP="00511DEF">
      <w:pPr>
        <w:numPr>
          <w:ilvl w:val="0"/>
          <w:numId w:val="15"/>
        </w:numPr>
        <w:spacing w:before="240" w:after="240" w:line="240" w:lineRule="auto"/>
        <w:ind w:hanging="720"/>
        <w:rPr>
          <w:rFonts w:ascii="Arial" w:eastAsia="Times New Roman" w:hAnsi="Arial" w:cs="Arial"/>
        </w:rPr>
      </w:pPr>
      <w:r w:rsidRPr="00030F1B">
        <w:rPr>
          <w:rFonts w:ascii="Arial" w:eastAsia="Times New Roman" w:hAnsi="Arial" w:cs="Arial"/>
        </w:rPr>
        <w:t xml:space="preserve">The Victorian decision-making principles </w:t>
      </w:r>
      <w:r w:rsidR="009D7A00">
        <w:rPr>
          <w:rFonts w:ascii="Arial" w:eastAsia="Times New Roman" w:hAnsi="Arial" w:cs="Arial"/>
        </w:rPr>
        <w:t xml:space="preserve">and Consensus Statements endorsed by APEG </w:t>
      </w:r>
      <w:r w:rsidRPr="00030F1B">
        <w:rPr>
          <w:rFonts w:ascii="Arial" w:eastAsia="Times New Roman" w:hAnsi="Arial" w:cs="Arial"/>
        </w:rPr>
        <w:t xml:space="preserve">provide a framework for medical care and note that medical interventions are not always necessary. </w:t>
      </w:r>
      <w:r w:rsidR="00EE706A">
        <w:rPr>
          <w:rFonts w:ascii="Arial" w:eastAsia="Times New Roman" w:hAnsi="Arial" w:cs="Arial"/>
        </w:rPr>
        <w:t>As discussed at</w:t>
      </w:r>
      <w:r w:rsidR="00902327">
        <w:rPr>
          <w:rFonts w:ascii="Arial" w:eastAsia="Times New Roman" w:hAnsi="Arial" w:cs="Arial"/>
        </w:rPr>
        <w:t xml:space="preserve"> section</w:t>
      </w:r>
      <w:r w:rsidR="00EE706A">
        <w:rPr>
          <w:rFonts w:ascii="Arial" w:eastAsia="Times New Roman" w:hAnsi="Arial" w:cs="Arial"/>
        </w:rPr>
        <w:t xml:space="preserve"> </w:t>
      </w:r>
      <w:r w:rsidR="00902327">
        <w:rPr>
          <w:rFonts w:ascii="Arial" w:eastAsia="Times New Roman" w:hAnsi="Arial" w:cs="Arial"/>
        </w:rPr>
        <w:fldChar w:fldCharType="begin"/>
      </w:r>
      <w:r w:rsidR="00902327">
        <w:rPr>
          <w:rFonts w:ascii="Arial" w:eastAsia="Times New Roman" w:hAnsi="Arial" w:cs="Arial"/>
        </w:rPr>
        <w:instrText xml:space="preserve"> REF _Ref510534021 \r \h </w:instrText>
      </w:r>
      <w:r w:rsidR="00902327">
        <w:rPr>
          <w:rFonts w:ascii="Arial" w:eastAsia="Times New Roman" w:hAnsi="Arial" w:cs="Arial"/>
        </w:rPr>
      </w:r>
      <w:r w:rsidR="00902327">
        <w:rPr>
          <w:rFonts w:ascii="Arial" w:eastAsia="Times New Roman" w:hAnsi="Arial" w:cs="Arial"/>
        </w:rPr>
        <w:fldChar w:fldCharType="separate"/>
      </w:r>
      <w:r w:rsidR="0075464F">
        <w:rPr>
          <w:rFonts w:ascii="Arial" w:eastAsia="Times New Roman" w:hAnsi="Arial" w:cs="Arial"/>
        </w:rPr>
        <w:t>5.3(b)</w:t>
      </w:r>
      <w:r w:rsidR="00902327">
        <w:rPr>
          <w:rFonts w:ascii="Arial" w:eastAsia="Times New Roman" w:hAnsi="Arial" w:cs="Arial"/>
        </w:rPr>
        <w:fldChar w:fldCharType="end"/>
      </w:r>
      <w:r w:rsidR="00902327">
        <w:rPr>
          <w:rFonts w:ascii="Arial" w:eastAsia="Times New Roman" w:hAnsi="Arial" w:cs="Arial"/>
        </w:rPr>
        <w:t xml:space="preserve">, </w:t>
      </w:r>
      <w:r w:rsidR="00EE706A">
        <w:rPr>
          <w:rFonts w:ascii="Arial" w:eastAsia="Times New Roman" w:hAnsi="Arial" w:cs="Arial"/>
        </w:rPr>
        <w:t>t</w:t>
      </w:r>
      <w:r w:rsidRPr="00030F1B">
        <w:rPr>
          <w:rFonts w:ascii="Arial" w:eastAsia="Times New Roman" w:hAnsi="Arial" w:cs="Arial"/>
        </w:rPr>
        <w:t xml:space="preserve">hey recommend </w:t>
      </w:r>
      <w:r w:rsidR="00253196">
        <w:rPr>
          <w:rFonts w:ascii="Arial" w:eastAsia="Times New Roman" w:hAnsi="Arial" w:cs="Arial"/>
        </w:rPr>
        <w:t xml:space="preserve">decision-making by </w:t>
      </w:r>
      <w:r w:rsidRPr="00030F1B">
        <w:rPr>
          <w:rFonts w:ascii="Arial" w:eastAsia="Times New Roman" w:hAnsi="Arial" w:cs="Arial"/>
        </w:rPr>
        <w:t>multidisciplinary teams for the long-term management of individuals and encourage open communication with patients and families, as well as par</w:t>
      </w:r>
      <w:r>
        <w:rPr>
          <w:rFonts w:ascii="Arial" w:eastAsia="Times New Roman" w:hAnsi="Arial" w:cs="Arial"/>
        </w:rPr>
        <w:t xml:space="preserve">ticipation in </w:t>
      </w:r>
      <w:proofErr w:type="gramStart"/>
      <w:r>
        <w:rPr>
          <w:rFonts w:ascii="Arial" w:eastAsia="Times New Roman" w:hAnsi="Arial" w:cs="Arial"/>
        </w:rPr>
        <w:t xml:space="preserve">decision </w:t>
      </w:r>
      <w:r w:rsidRPr="00030F1B">
        <w:rPr>
          <w:rFonts w:ascii="Arial" w:eastAsia="Times New Roman" w:hAnsi="Arial" w:cs="Arial"/>
        </w:rPr>
        <w:t>making</w:t>
      </w:r>
      <w:proofErr w:type="gramEnd"/>
      <w:r w:rsidRPr="00030F1B">
        <w:rPr>
          <w:rFonts w:ascii="Arial" w:eastAsia="Times New Roman" w:hAnsi="Arial" w:cs="Arial"/>
        </w:rPr>
        <w:t>.</w:t>
      </w:r>
      <w:r w:rsidRPr="00030F1B">
        <w:rPr>
          <w:rStyle w:val="EndnoteReference"/>
          <w:rFonts w:eastAsia="Times New Roman" w:cs="Arial"/>
        </w:rPr>
        <w:endnoteReference w:id="166"/>
      </w:r>
      <w:r w:rsidRPr="00030F1B">
        <w:rPr>
          <w:rFonts w:ascii="Arial" w:eastAsia="Times New Roman" w:hAnsi="Arial" w:cs="Arial"/>
        </w:rPr>
        <w:t xml:space="preserve"> </w:t>
      </w:r>
      <w:r>
        <w:rPr>
          <w:rFonts w:ascii="Arial" w:eastAsia="Times New Roman" w:hAnsi="Arial" w:cs="Arial"/>
        </w:rPr>
        <w:t>The Australian Commonwealth has encouraged other jurisdictions to adopt these principles or develop specific principles</w:t>
      </w:r>
      <w:r w:rsidRPr="00030F1B">
        <w:rPr>
          <w:rFonts w:ascii="Arial" w:eastAsia="Times New Roman" w:hAnsi="Arial" w:cs="Arial"/>
        </w:rPr>
        <w:t xml:space="preserve"> </w:t>
      </w:r>
      <w:r>
        <w:rPr>
          <w:rFonts w:ascii="Arial" w:eastAsia="Times New Roman" w:hAnsi="Arial" w:cs="Arial"/>
        </w:rPr>
        <w:t>for their jurisdiction</w:t>
      </w:r>
      <w:r w:rsidRPr="00030F1B">
        <w:rPr>
          <w:rFonts w:ascii="Arial" w:eastAsia="Times New Roman" w:hAnsi="Arial" w:cs="Arial"/>
        </w:rPr>
        <w:t>.</w:t>
      </w:r>
      <w:r w:rsidRPr="00030F1B">
        <w:rPr>
          <w:rStyle w:val="EndnoteReference"/>
          <w:rFonts w:eastAsia="Times New Roman" w:cs="Arial"/>
        </w:rPr>
        <w:endnoteReference w:id="167"/>
      </w:r>
      <w:r w:rsidRPr="00030F1B">
        <w:rPr>
          <w:rFonts w:ascii="Arial" w:eastAsia="Times New Roman" w:hAnsi="Arial" w:cs="Arial"/>
        </w:rPr>
        <w:t xml:space="preserve"> However, some advocates have expressed concern that the principles still allow early interventions to be undertaken and consider psychosocial rationales </w:t>
      </w:r>
      <w:proofErr w:type="gramStart"/>
      <w:r w:rsidRPr="00030F1B">
        <w:rPr>
          <w:rFonts w:ascii="Arial" w:eastAsia="Times New Roman" w:hAnsi="Arial" w:cs="Arial"/>
        </w:rPr>
        <w:t>to be therapeutic</w:t>
      </w:r>
      <w:proofErr w:type="gramEnd"/>
      <w:r w:rsidRPr="00030F1B">
        <w:rPr>
          <w:rFonts w:ascii="Arial" w:eastAsia="Times New Roman" w:hAnsi="Arial" w:cs="Arial"/>
        </w:rPr>
        <w:t xml:space="preserve"> (and therefore allow interventions to be framed as medically necessary; see section 6.2</w:t>
      </w:r>
      <w:r w:rsidRPr="00030F1B">
        <w:rPr>
          <w:rFonts w:ascii="Arial" w:eastAsia="Times New Roman" w:hAnsi="Arial" w:cs="Arial"/>
        </w:rPr>
        <w:fldChar w:fldCharType="begin"/>
      </w:r>
      <w:r w:rsidRPr="00030F1B">
        <w:rPr>
          <w:rFonts w:ascii="Arial" w:eastAsia="Times New Roman" w:hAnsi="Arial" w:cs="Arial"/>
        </w:rPr>
        <w:instrText xml:space="preserve"> REF _Ref503363261 \r \h </w:instrText>
      </w:r>
      <w:r>
        <w:rPr>
          <w:rFonts w:ascii="Arial" w:eastAsia="Times New Roman" w:hAnsi="Arial" w:cs="Arial"/>
        </w:rPr>
        <w:instrText xml:space="preserve"> \* MERGEFORMAT </w:instrText>
      </w:r>
      <w:r w:rsidRPr="00030F1B">
        <w:rPr>
          <w:rFonts w:ascii="Arial" w:eastAsia="Times New Roman" w:hAnsi="Arial" w:cs="Arial"/>
        </w:rPr>
      </w:r>
      <w:r w:rsidRPr="00030F1B">
        <w:rPr>
          <w:rFonts w:ascii="Arial" w:eastAsia="Times New Roman" w:hAnsi="Arial" w:cs="Arial"/>
        </w:rPr>
        <w:fldChar w:fldCharType="separate"/>
      </w:r>
      <w:r w:rsidR="0075464F">
        <w:rPr>
          <w:rFonts w:ascii="Arial" w:eastAsia="Times New Roman" w:hAnsi="Arial" w:cs="Arial"/>
        </w:rPr>
        <w:t>(c)</w:t>
      </w:r>
      <w:r w:rsidRPr="00030F1B">
        <w:rPr>
          <w:rFonts w:ascii="Arial" w:eastAsia="Times New Roman" w:hAnsi="Arial" w:cs="Arial"/>
        </w:rPr>
        <w:fldChar w:fldCharType="end"/>
      </w:r>
      <w:r w:rsidRPr="00030F1B">
        <w:rPr>
          <w:rFonts w:ascii="Arial" w:eastAsia="Times New Roman" w:hAnsi="Arial" w:cs="Arial"/>
        </w:rPr>
        <w:t>).</w:t>
      </w:r>
      <w:r w:rsidRPr="00030F1B">
        <w:rPr>
          <w:rStyle w:val="EndnoteReference"/>
          <w:rFonts w:eastAsia="Times New Roman" w:cs="Arial"/>
        </w:rPr>
        <w:endnoteReference w:id="168"/>
      </w:r>
      <w:r w:rsidRPr="00030F1B">
        <w:rPr>
          <w:rFonts w:ascii="Arial" w:eastAsia="Times New Roman" w:hAnsi="Arial" w:cs="Arial"/>
        </w:rPr>
        <w:t xml:space="preserve"> </w:t>
      </w:r>
      <w:r w:rsidR="00253196" w:rsidRPr="00253196">
        <w:rPr>
          <w:rFonts w:ascii="Arial" w:hAnsi="Arial" w:cs="Arial"/>
        </w:rPr>
        <w:t xml:space="preserve"> </w:t>
      </w:r>
      <w:r w:rsidR="00902327">
        <w:rPr>
          <w:rFonts w:ascii="Arial" w:hAnsi="Arial" w:cs="Arial"/>
        </w:rPr>
        <w:t>Other c</w:t>
      </w:r>
      <w:r w:rsidR="00253196">
        <w:rPr>
          <w:rFonts w:ascii="Arial" w:hAnsi="Arial" w:cs="Arial"/>
        </w:rPr>
        <w:t>linicians have raised questions about the leadership and predispositions of multidisciplinary teams</w:t>
      </w:r>
      <w:r w:rsidR="00217453">
        <w:rPr>
          <w:rFonts w:ascii="Arial" w:hAnsi="Arial" w:cs="Arial"/>
        </w:rPr>
        <w:t xml:space="preserve"> overseas</w:t>
      </w:r>
      <w:r w:rsidR="00253196">
        <w:rPr>
          <w:rFonts w:ascii="Arial" w:hAnsi="Arial" w:cs="Arial"/>
        </w:rPr>
        <w:t>.</w:t>
      </w:r>
      <w:r w:rsidR="00217453">
        <w:rPr>
          <w:rStyle w:val="EndnoteReference"/>
          <w:rFonts w:cs="Arial"/>
        </w:rPr>
        <w:endnoteReference w:id="169"/>
      </w:r>
    </w:p>
    <w:p w14:paraId="76E0C7AB" w14:textId="1E2B129D"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Darlington Statement called for multi-disciplinary teams to </w:t>
      </w:r>
      <w:r w:rsidR="00F87239">
        <w:rPr>
          <w:rFonts w:ascii="Arial" w:eastAsia="Times New Roman" w:hAnsi="Arial" w:cs="Arial"/>
        </w:rPr>
        <w:t>‘</w:t>
      </w:r>
      <w:r w:rsidRPr="00446928">
        <w:rPr>
          <w:rFonts w:ascii="Arial" w:eastAsia="Times New Roman" w:hAnsi="Arial" w:cs="Arial"/>
        </w:rPr>
        <w:t>operate in line with transparent, human rights-based standards of care</w:t>
      </w:r>
      <w:r w:rsidR="00F87239">
        <w:rPr>
          <w:rFonts w:ascii="Arial" w:eastAsia="Times New Roman" w:hAnsi="Arial" w:cs="Arial"/>
        </w:rPr>
        <w:t>’</w:t>
      </w:r>
      <w:r w:rsidRPr="00446928">
        <w:rPr>
          <w:rFonts w:ascii="Arial" w:eastAsia="Times New Roman" w:hAnsi="Arial" w:cs="Arial"/>
        </w:rPr>
        <w:t>, and should include human rights specialists, child advocates, and independent intersex community representatives.</w:t>
      </w:r>
      <w:r w:rsidR="003E1349" w:rsidRPr="00030F1B">
        <w:rPr>
          <w:rStyle w:val="EndnoteReference"/>
          <w:rFonts w:eastAsia="Times New Roman" w:cs="Arial"/>
        </w:rPr>
        <w:endnoteReference w:id="170"/>
      </w:r>
      <w:r w:rsidR="00EE706A">
        <w:rPr>
          <w:rFonts w:ascii="Arial" w:eastAsia="Times New Roman" w:hAnsi="Arial" w:cs="Arial"/>
        </w:rPr>
        <w:t xml:space="preserve"> It also called for peer support to </w:t>
      </w:r>
      <w:proofErr w:type="gramStart"/>
      <w:r w:rsidR="00EE706A">
        <w:rPr>
          <w:rFonts w:ascii="Arial" w:eastAsia="Times New Roman" w:hAnsi="Arial" w:cs="Arial"/>
        </w:rPr>
        <w:t>be integrated</w:t>
      </w:r>
      <w:proofErr w:type="gramEnd"/>
      <w:r w:rsidR="00EE706A">
        <w:rPr>
          <w:rFonts w:ascii="Arial" w:eastAsia="Times New Roman" w:hAnsi="Arial" w:cs="Arial"/>
        </w:rPr>
        <w:t xml:space="preserve"> into their approaches, teams and services.</w:t>
      </w:r>
      <w:r w:rsidR="00EE706A">
        <w:rPr>
          <w:rStyle w:val="EndnoteReference"/>
          <w:rFonts w:eastAsia="Times New Roman" w:cs="Arial"/>
        </w:rPr>
        <w:endnoteReference w:id="171"/>
      </w:r>
    </w:p>
    <w:tbl>
      <w:tblPr>
        <w:tblStyle w:val="TableGrid"/>
        <w:tblW w:w="0" w:type="auto"/>
        <w:tblLook w:val="04A0" w:firstRow="1" w:lastRow="0" w:firstColumn="1" w:lastColumn="0" w:noHBand="0" w:noVBand="1"/>
      </w:tblPr>
      <w:tblGrid>
        <w:gridCol w:w="9628"/>
      </w:tblGrid>
      <w:tr w:rsidR="001E7638" w:rsidRPr="00446928" w14:paraId="02908C94" w14:textId="77777777" w:rsidTr="00E02F5D">
        <w:tc>
          <w:tcPr>
            <w:tcW w:w="9628" w:type="dxa"/>
          </w:tcPr>
          <w:p w14:paraId="2858D705" w14:textId="77777777" w:rsidR="001E7638" w:rsidRPr="00446928" w:rsidRDefault="001E7638" w:rsidP="00BC0E21">
            <w:pPr>
              <w:keepNext/>
              <w:rPr>
                <w:rFonts w:ascii="Arial" w:hAnsi="Arial" w:cs="Arial"/>
                <w:b/>
              </w:rPr>
            </w:pPr>
            <w:r w:rsidRPr="00446928">
              <w:rPr>
                <w:rFonts w:ascii="Arial" w:hAnsi="Arial" w:cs="Arial"/>
                <w:b/>
              </w:rPr>
              <w:lastRenderedPageBreak/>
              <w:t>Key questions:</w:t>
            </w:r>
          </w:p>
          <w:p w14:paraId="6DD82915" w14:textId="4302B626" w:rsidR="00CC27B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1</w:t>
            </w:r>
            <w:r w:rsidR="00A36EE0">
              <w:rPr>
                <w:rFonts w:ascii="Arial" w:hAnsi="Arial" w:cs="Arial"/>
              </w:rPr>
              <w:t>5</w:t>
            </w:r>
            <w:r>
              <w:rPr>
                <w:rFonts w:ascii="Arial" w:hAnsi="Arial" w:cs="Arial"/>
              </w:rPr>
              <w:t xml:space="preserve">. </w:t>
            </w:r>
            <w:r w:rsidR="00CC27B5">
              <w:rPr>
                <w:rFonts w:ascii="Arial" w:hAnsi="Arial" w:cs="Arial"/>
              </w:rPr>
              <w:t>What are the current approaches to the management of people born with variations in sex characteristics? What are these based on?</w:t>
            </w:r>
          </w:p>
          <w:p w14:paraId="53BD02BE" w14:textId="77777777" w:rsidR="00CC27B5" w:rsidRDefault="00CC27B5" w:rsidP="00BC0E21">
            <w:pPr>
              <w:pStyle w:val="SubmissionNormal"/>
              <w:keepNext/>
              <w:numPr>
                <w:ilvl w:val="0"/>
                <w:numId w:val="0"/>
              </w:numPr>
              <w:spacing w:after="240" w:line="240" w:lineRule="auto"/>
              <w:ind w:left="360"/>
              <w:contextualSpacing/>
              <w:rPr>
                <w:rFonts w:ascii="Arial" w:hAnsi="Arial" w:cs="Arial"/>
              </w:rPr>
            </w:pPr>
          </w:p>
          <w:p w14:paraId="6255996F" w14:textId="3F13CFF3" w:rsidR="00763765" w:rsidRDefault="00CC27B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1</w:t>
            </w:r>
            <w:r w:rsidR="00A36EE0">
              <w:rPr>
                <w:rFonts w:ascii="Arial" w:hAnsi="Arial" w:cs="Arial"/>
              </w:rPr>
              <w:t>6</w:t>
            </w:r>
            <w:r>
              <w:rPr>
                <w:rFonts w:ascii="Arial" w:hAnsi="Arial" w:cs="Arial"/>
              </w:rPr>
              <w:t xml:space="preserve">. </w:t>
            </w:r>
            <w:r w:rsidR="00E14786">
              <w:rPr>
                <w:rFonts w:ascii="Arial" w:hAnsi="Arial" w:cs="Arial"/>
              </w:rPr>
              <w:t>Do any</w:t>
            </w:r>
            <w:r w:rsidR="00763765" w:rsidRPr="00A5693F">
              <w:rPr>
                <w:rFonts w:ascii="Arial" w:hAnsi="Arial" w:cs="Arial"/>
              </w:rPr>
              <w:t xml:space="preserve"> medical guidelines</w:t>
            </w:r>
            <w:r w:rsidR="00E14786">
              <w:rPr>
                <w:rFonts w:ascii="Arial" w:hAnsi="Arial" w:cs="Arial"/>
              </w:rPr>
              <w:t xml:space="preserve"> exist</w:t>
            </w:r>
            <w:r w:rsidR="00763765" w:rsidRPr="00A5693F">
              <w:rPr>
                <w:rFonts w:ascii="Arial" w:hAnsi="Arial" w:cs="Arial"/>
              </w:rPr>
              <w:t xml:space="preserve"> that </w:t>
            </w:r>
            <w:r w:rsidR="00E14786">
              <w:rPr>
                <w:rFonts w:ascii="Arial" w:hAnsi="Arial" w:cs="Arial"/>
              </w:rPr>
              <w:t>are considered</w:t>
            </w:r>
            <w:r w:rsidR="00763765" w:rsidRPr="00A5693F">
              <w:rPr>
                <w:rFonts w:ascii="Arial" w:hAnsi="Arial" w:cs="Arial"/>
              </w:rPr>
              <w:t xml:space="preserve"> best practice</w:t>
            </w:r>
            <w:r w:rsidR="00FE366A">
              <w:rPr>
                <w:rFonts w:ascii="Arial" w:hAnsi="Arial" w:cs="Arial"/>
              </w:rPr>
              <w:t xml:space="preserve"> in Australia or internationally</w:t>
            </w:r>
            <w:r w:rsidR="00E14786">
              <w:rPr>
                <w:rFonts w:ascii="Arial" w:hAnsi="Arial" w:cs="Arial"/>
              </w:rPr>
              <w:t>, either for</w:t>
            </w:r>
            <w:r w:rsidR="00FE366A">
              <w:rPr>
                <w:rFonts w:ascii="Arial" w:hAnsi="Arial" w:cs="Arial"/>
              </w:rPr>
              <w:t xml:space="preserve"> the</w:t>
            </w:r>
            <w:r w:rsidR="00E14786">
              <w:rPr>
                <w:rFonts w:ascii="Arial" w:hAnsi="Arial" w:cs="Arial"/>
              </w:rPr>
              <w:t xml:space="preserve"> general management of </w:t>
            </w:r>
            <w:r w:rsidR="00241C46">
              <w:rPr>
                <w:rFonts w:ascii="Arial" w:hAnsi="Arial" w:cs="Arial"/>
              </w:rPr>
              <w:t>people born with</w:t>
            </w:r>
            <w:r w:rsidR="00E14786">
              <w:rPr>
                <w:rFonts w:ascii="Arial" w:hAnsi="Arial" w:cs="Arial"/>
              </w:rPr>
              <w:t xml:space="preserve"> variations in sex characteristics, or for </w:t>
            </w:r>
            <w:r w:rsidR="00FE366A">
              <w:rPr>
                <w:rFonts w:ascii="Arial" w:hAnsi="Arial" w:cs="Arial"/>
              </w:rPr>
              <w:t>specific</w:t>
            </w:r>
            <w:r w:rsidR="00E14786">
              <w:rPr>
                <w:rFonts w:ascii="Arial" w:hAnsi="Arial" w:cs="Arial"/>
              </w:rPr>
              <w:t xml:space="preserve"> variations</w:t>
            </w:r>
            <w:r w:rsidR="00763765" w:rsidRPr="00A5693F">
              <w:rPr>
                <w:rFonts w:ascii="Arial" w:hAnsi="Arial" w:cs="Arial"/>
              </w:rPr>
              <w:t xml:space="preserve">? </w:t>
            </w:r>
          </w:p>
          <w:p w14:paraId="4560F92C" w14:textId="77777777" w:rsidR="00BD2DC5" w:rsidRPr="00A5693F" w:rsidRDefault="00BD2DC5" w:rsidP="00BC0E21">
            <w:pPr>
              <w:pStyle w:val="SubmissionNormal"/>
              <w:keepNext/>
              <w:numPr>
                <w:ilvl w:val="0"/>
                <w:numId w:val="0"/>
              </w:numPr>
              <w:spacing w:after="240" w:line="240" w:lineRule="auto"/>
              <w:ind w:left="360"/>
              <w:contextualSpacing/>
              <w:rPr>
                <w:rFonts w:ascii="Arial" w:hAnsi="Arial" w:cs="Arial"/>
              </w:rPr>
            </w:pPr>
          </w:p>
          <w:p w14:paraId="3BEA050D" w14:textId="24485F1A"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1</w:t>
            </w:r>
            <w:r w:rsidR="00A36EE0">
              <w:rPr>
                <w:rFonts w:ascii="Arial" w:hAnsi="Arial" w:cs="Arial"/>
              </w:rPr>
              <w:t>7</w:t>
            </w:r>
            <w:r>
              <w:rPr>
                <w:rFonts w:ascii="Arial" w:hAnsi="Arial" w:cs="Arial"/>
              </w:rPr>
              <w:t xml:space="preserve">. </w:t>
            </w:r>
            <w:r w:rsidR="001E7638" w:rsidRPr="00446928">
              <w:rPr>
                <w:rFonts w:ascii="Arial" w:hAnsi="Arial" w:cs="Arial"/>
              </w:rPr>
              <w:t xml:space="preserve">Should there be national guidelines to guide medical interventions involving </w:t>
            </w:r>
            <w:r w:rsidR="00241C46">
              <w:rPr>
                <w:rFonts w:ascii="Arial" w:hAnsi="Arial" w:cs="Arial"/>
              </w:rPr>
              <w:t>people born with</w:t>
            </w:r>
            <w:r w:rsidR="001E7638" w:rsidRPr="00446928">
              <w:rPr>
                <w:rFonts w:ascii="Arial" w:hAnsi="Arial" w:cs="Arial"/>
              </w:rPr>
              <w:t xml:space="preserve"> var</w:t>
            </w:r>
            <w:r>
              <w:rPr>
                <w:rFonts w:ascii="Arial" w:hAnsi="Arial" w:cs="Arial"/>
              </w:rPr>
              <w:t>iations in sex characteristics?</w:t>
            </w:r>
          </w:p>
          <w:p w14:paraId="1EC47FAD" w14:textId="37B67F3C" w:rsidR="001E7638" w:rsidRPr="00446928" w:rsidRDefault="00A36EE0"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br/>
              <w:t>18</w:t>
            </w:r>
            <w:r w:rsidR="00BD2DC5">
              <w:rPr>
                <w:rFonts w:ascii="Arial" w:hAnsi="Arial" w:cs="Arial"/>
              </w:rPr>
              <w:t xml:space="preserve">. </w:t>
            </w:r>
            <w:r w:rsidR="001E7638" w:rsidRPr="00446928">
              <w:rPr>
                <w:rFonts w:ascii="Arial" w:hAnsi="Arial" w:cs="Arial"/>
              </w:rPr>
              <w:t>If so,</w:t>
            </w:r>
          </w:p>
          <w:p w14:paraId="7362C56B" w14:textId="77777777" w:rsidR="001E7638" w:rsidRPr="00446928" w:rsidRDefault="001E7638" w:rsidP="00BC0E21">
            <w:pPr>
              <w:keepNext/>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factors should the guidelines take into account?</w:t>
            </w:r>
          </w:p>
          <w:p w14:paraId="2F3C9534" w14:textId="77777777" w:rsidR="001E7638" w:rsidRPr="00446928" w:rsidRDefault="001E7638" w:rsidP="00BC0E21">
            <w:pPr>
              <w:keepNext/>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legal status of the guidelines?</w:t>
            </w:r>
          </w:p>
          <w:p w14:paraId="4234C521" w14:textId="77777777" w:rsidR="001E7638" w:rsidRPr="00446928" w:rsidRDefault="001E7638" w:rsidP="00BC0E21">
            <w:pPr>
              <w:keepNext/>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process, including consultation, for drafting the guidelines?</w:t>
            </w:r>
          </w:p>
          <w:p w14:paraId="7D7B69A3" w14:textId="2B40FD28" w:rsidR="00F12F55" w:rsidRPr="008B2D5D" w:rsidRDefault="001E7638" w:rsidP="008B2D5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oversight mechanism for decisions made under the guidelines?</w:t>
            </w:r>
          </w:p>
        </w:tc>
      </w:tr>
    </w:tbl>
    <w:p w14:paraId="7E6DAEB4"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66" w:name="_Toc507585875"/>
      <w:bookmarkStart w:id="67" w:name="_Toc518984805"/>
      <w:r w:rsidRPr="00446928">
        <w:rPr>
          <w:rFonts w:ascii="Arial" w:hAnsi="Arial" w:cs="Arial"/>
          <w:bCs/>
          <w:i/>
          <w:szCs w:val="26"/>
        </w:rPr>
        <w:t>Lack of data</w:t>
      </w:r>
      <w:bookmarkEnd w:id="66"/>
      <w:bookmarkEnd w:id="67"/>
      <w:r w:rsidRPr="00446928">
        <w:rPr>
          <w:rFonts w:ascii="Arial" w:hAnsi="Arial" w:cs="Arial"/>
          <w:bCs/>
          <w:i/>
          <w:szCs w:val="26"/>
        </w:rPr>
        <w:t xml:space="preserve"> </w:t>
      </w:r>
    </w:p>
    <w:p w14:paraId="50D41E49" w14:textId="058BA0EB"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A lack of evidence </w:t>
      </w:r>
      <w:r w:rsidR="00F12F55">
        <w:rPr>
          <w:rFonts w:ascii="Arial" w:eastAsia="Times New Roman" w:hAnsi="Arial" w:cs="Arial"/>
        </w:rPr>
        <w:t>about current practices and procedures and</w:t>
      </w:r>
      <w:r w:rsidRPr="00446928">
        <w:rPr>
          <w:rFonts w:ascii="Arial" w:eastAsia="Times New Roman" w:hAnsi="Arial" w:cs="Arial"/>
        </w:rPr>
        <w:t xml:space="preserve"> the outcomes of intervention directly </w:t>
      </w:r>
      <w:proofErr w:type="gramStart"/>
      <w:r w:rsidRPr="00446928">
        <w:rPr>
          <w:rFonts w:ascii="Arial" w:eastAsia="Times New Roman" w:hAnsi="Arial" w:cs="Arial"/>
        </w:rPr>
        <w:t>impacts</w:t>
      </w:r>
      <w:proofErr w:type="gramEnd"/>
      <w:r w:rsidRPr="00446928">
        <w:rPr>
          <w:rFonts w:ascii="Arial" w:eastAsia="Times New Roman" w:hAnsi="Arial" w:cs="Arial"/>
        </w:rPr>
        <w:t xml:space="preserve"> the right to</w:t>
      </w:r>
      <w:r w:rsidR="00920A8E" w:rsidRPr="00446928">
        <w:rPr>
          <w:rFonts w:ascii="Arial" w:eastAsia="Times New Roman" w:hAnsi="Arial" w:cs="Arial"/>
        </w:rPr>
        <w:t xml:space="preserve"> the highest attainable standard of</w:t>
      </w:r>
      <w:r w:rsidRPr="00446928">
        <w:rPr>
          <w:rFonts w:ascii="Arial" w:eastAsia="Times New Roman" w:hAnsi="Arial" w:cs="Arial"/>
        </w:rPr>
        <w:t xml:space="preserve"> health</w:t>
      </w:r>
      <w:r w:rsidR="007E66EB">
        <w:rPr>
          <w:rFonts w:ascii="Arial" w:eastAsia="Times New Roman" w:hAnsi="Arial" w:cs="Arial"/>
        </w:rPr>
        <w:t xml:space="preserve">. </w:t>
      </w:r>
      <w:r w:rsidR="00F23E3E">
        <w:rPr>
          <w:rFonts w:ascii="Arial" w:eastAsia="Times New Roman" w:hAnsi="Arial" w:cs="Arial"/>
        </w:rPr>
        <w:t xml:space="preserve">A lack of evidence can also lead to concerns </w:t>
      </w:r>
      <w:r w:rsidR="001A1A28">
        <w:rPr>
          <w:rFonts w:ascii="Arial" w:eastAsia="Times New Roman" w:hAnsi="Arial" w:cs="Arial"/>
        </w:rPr>
        <w:t>of medical experimentation</w:t>
      </w:r>
      <w:r w:rsidR="00920A8E" w:rsidRPr="00446928">
        <w:rPr>
          <w:rFonts w:ascii="Arial" w:eastAsia="Times New Roman" w:hAnsi="Arial" w:cs="Arial"/>
        </w:rPr>
        <w:t>.</w:t>
      </w:r>
      <w:r w:rsidR="006E4E29">
        <w:rPr>
          <w:rStyle w:val="EndnoteReference"/>
          <w:rFonts w:eastAsia="Times New Roman" w:cs="Arial"/>
        </w:rPr>
        <w:endnoteReference w:id="172"/>
      </w:r>
    </w:p>
    <w:p w14:paraId="749AC0D7" w14:textId="67CE91A8" w:rsidR="001E7638" w:rsidRPr="00446928" w:rsidRDefault="001E7638" w:rsidP="009C7BBF">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Submissions to the Senate Committee Inquiry repeatedly highlighted the lack of Australian data about the number </w:t>
      </w:r>
      <w:r w:rsidR="00A91612">
        <w:rPr>
          <w:rFonts w:ascii="Arial" w:eastAsia="Times New Roman" w:hAnsi="Arial" w:cs="Arial"/>
        </w:rPr>
        <w:t>and</w:t>
      </w:r>
      <w:r w:rsidR="00A91612" w:rsidRPr="00446928">
        <w:rPr>
          <w:rFonts w:ascii="Arial" w:eastAsia="Times New Roman" w:hAnsi="Arial" w:cs="Arial"/>
        </w:rPr>
        <w:t xml:space="preserve"> </w:t>
      </w:r>
      <w:r w:rsidRPr="00446928">
        <w:rPr>
          <w:rFonts w:ascii="Arial" w:eastAsia="Times New Roman" w:hAnsi="Arial" w:cs="Arial"/>
        </w:rPr>
        <w:t>type</w:t>
      </w:r>
      <w:r w:rsidR="00A91612">
        <w:rPr>
          <w:rFonts w:ascii="Arial" w:eastAsia="Times New Roman" w:hAnsi="Arial" w:cs="Arial"/>
        </w:rPr>
        <w:t>s</w:t>
      </w:r>
      <w:r w:rsidRPr="00446928">
        <w:rPr>
          <w:rFonts w:ascii="Arial" w:eastAsia="Times New Roman" w:hAnsi="Arial" w:cs="Arial"/>
        </w:rPr>
        <w:t xml:space="preserve"> of medical interventions involving </w:t>
      </w:r>
      <w:r w:rsidR="00241C46">
        <w:rPr>
          <w:rFonts w:ascii="Arial" w:eastAsia="Times New Roman" w:hAnsi="Arial" w:cs="Arial"/>
        </w:rPr>
        <w:t>people born with</w:t>
      </w:r>
      <w:r w:rsidRPr="00446928">
        <w:rPr>
          <w:rFonts w:ascii="Arial" w:eastAsia="Times New Roman" w:hAnsi="Arial" w:cs="Arial"/>
        </w:rPr>
        <w:t xml:space="preserve"> variations in sex characteristics.</w:t>
      </w:r>
      <w:r w:rsidR="009C7BBF" w:rsidRPr="00030F1B">
        <w:rPr>
          <w:rFonts w:ascii="Arial" w:hAnsi="Arial" w:cs="Arial"/>
          <w:sz w:val="20"/>
          <w:vertAlign w:val="superscript"/>
        </w:rPr>
        <w:endnoteReference w:id="173"/>
      </w:r>
      <w:r w:rsidR="007F6CF6">
        <w:rPr>
          <w:rFonts w:ascii="Arial" w:eastAsia="Times New Roman" w:hAnsi="Arial" w:cs="Arial"/>
        </w:rPr>
        <w:t xml:space="preserve"> </w:t>
      </w:r>
    </w:p>
    <w:p w14:paraId="29B82A93" w14:textId="65C0463A" w:rsidR="009C10A5" w:rsidRPr="009C10A5" w:rsidRDefault="001E7638" w:rsidP="007B75BE">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Li</w:t>
      </w:r>
      <w:r w:rsidR="00256F41" w:rsidRPr="00446928">
        <w:rPr>
          <w:rFonts w:ascii="Arial" w:eastAsia="Times New Roman" w:hAnsi="Arial" w:cs="Arial"/>
        </w:rPr>
        <w:t>mited</w:t>
      </w:r>
      <w:r w:rsidRPr="00446928">
        <w:rPr>
          <w:rFonts w:ascii="Arial" w:eastAsia="Times New Roman" w:hAnsi="Arial" w:cs="Arial"/>
        </w:rPr>
        <w:t xml:space="preserve"> understanding of the long-term physical and psychological outcomes of interventions, the </w:t>
      </w:r>
      <w:r w:rsidR="00920A8E" w:rsidRPr="00446928">
        <w:rPr>
          <w:rFonts w:ascii="Arial" w:eastAsia="Times New Roman" w:hAnsi="Arial" w:cs="Arial"/>
        </w:rPr>
        <w:t>timing of interventions</w:t>
      </w:r>
      <w:r w:rsidRPr="00446928">
        <w:rPr>
          <w:rFonts w:ascii="Arial" w:eastAsia="Times New Roman" w:hAnsi="Arial" w:cs="Arial"/>
        </w:rPr>
        <w:t xml:space="preserve">, and the outcomes of not undertaking any interventions, can make it difficult to participate in informed decision-making. </w:t>
      </w:r>
      <w:r w:rsidR="009C10A5">
        <w:rPr>
          <w:rFonts w:ascii="Arial" w:eastAsia="Times New Roman" w:hAnsi="Arial" w:cs="Arial"/>
        </w:rPr>
        <w:t xml:space="preserve">Not </w:t>
      </w:r>
      <w:r w:rsidR="009C10A5" w:rsidRPr="009C10A5">
        <w:rPr>
          <w:rFonts w:ascii="Arial" w:eastAsia="Times New Roman" w:hAnsi="Arial" w:cs="Arial"/>
        </w:rPr>
        <w:t xml:space="preserve">undertaking medical intervention </w:t>
      </w:r>
      <w:r w:rsidR="009C10A5">
        <w:rPr>
          <w:rFonts w:ascii="Arial" w:eastAsia="Times New Roman" w:hAnsi="Arial" w:cs="Arial"/>
        </w:rPr>
        <w:t xml:space="preserve">may also be considered </w:t>
      </w:r>
      <w:proofErr w:type="gramStart"/>
      <w:r w:rsidR="009C10A5">
        <w:rPr>
          <w:rFonts w:ascii="Arial" w:eastAsia="Times New Roman" w:hAnsi="Arial" w:cs="Arial"/>
        </w:rPr>
        <w:t>to be</w:t>
      </w:r>
      <w:r w:rsidR="009C10A5" w:rsidRPr="009C10A5">
        <w:rPr>
          <w:rFonts w:ascii="Arial" w:eastAsia="Times New Roman" w:hAnsi="Arial" w:cs="Arial"/>
        </w:rPr>
        <w:t xml:space="preserve"> a</w:t>
      </w:r>
      <w:proofErr w:type="gramEnd"/>
      <w:r w:rsidR="009C10A5" w:rsidRPr="009C10A5">
        <w:rPr>
          <w:rFonts w:ascii="Arial" w:eastAsia="Times New Roman" w:hAnsi="Arial" w:cs="Arial"/>
        </w:rPr>
        <w:t xml:space="preserve"> decision in itself and there is little documented evidence on the outcomes of </w:t>
      </w:r>
      <w:r w:rsidR="009C10A5">
        <w:rPr>
          <w:rFonts w:ascii="Arial" w:eastAsia="Times New Roman" w:hAnsi="Arial" w:cs="Arial"/>
        </w:rPr>
        <w:t>not taking action</w:t>
      </w:r>
      <w:r w:rsidR="00F87239">
        <w:rPr>
          <w:rFonts w:ascii="Arial" w:eastAsia="Times New Roman" w:hAnsi="Arial" w:cs="Arial"/>
        </w:rPr>
        <w:t xml:space="preserve">. </w:t>
      </w:r>
    </w:p>
    <w:p w14:paraId="3CA3F134" w14:textId="05F72D39"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In its final report, the Senate Committee expressed serious concern about the lack of evidence to support decision</w:t>
      </w:r>
      <w:r w:rsidR="00256F41" w:rsidRPr="00446928">
        <w:rPr>
          <w:rFonts w:ascii="Arial" w:eastAsia="Times New Roman" w:hAnsi="Arial" w:cs="Arial"/>
        </w:rPr>
        <w:t xml:space="preserve"> </w:t>
      </w:r>
      <w:r w:rsidRPr="00446928">
        <w:rPr>
          <w:rFonts w:ascii="Arial" w:eastAsia="Times New Roman" w:hAnsi="Arial" w:cs="Arial"/>
        </w:rPr>
        <w:t xml:space="preserve">making and recommended that the Australian Government </w:t>
      </w:r>
      <w:r w:rsidR="00F87239">
        <w:rPr>
          <w:rFonts w:ascii="Arial" w:eastAsia="Times New Roman" w:hAnsi="Arial" w:cs="Arial"/>
        </w:rPr>
        <w:t>‘</w:t>
      </w:r>
      <w:r w:rsidRPr="00446928">
        <w:rPr>
          <w:rFonts w:ascii="Arial" w:eastAsia="Times New Roman" w:hAnsi="Arial" w:cs="Arial"/>
        </w:rPr>
        <w:t>support the establishment of an intersex patient registry and directly fund research that includes a long-term prospective study of clinical outcomes for intersex patients</w:t>
      </w:r>
      <w:r w:rsidR="00F87239">
        <w:rPr>
          <w:rFonts w:ascii="Arial" w:eastAsia="Times New Roman" w:hAnsi="Arial" w:cs="Arial"/>
        </w:rPr>
        <w:t>’</w:t>
      </w:r>
      <w:r w:rsidRPr="00446928">
        <w:rPr>
          <w:rFonts w:ascii="Arial" w:eastAsia="Times New Roman" w:hAnsi="Arial" w:cs="Arial"/>
        </w:rPr>
        <w:t>.</w:t>
      </w:r>
      <w:r w:rsidR="009C7BBF" w:rsidRPr="00030F1B">
        <w:rPr>
          <w:rStyle w:val="EndnoteReference"/>
          <w:rFonts w:eastAsia="Times New Roman" w:cs="Arial"/>
        </w:rPr>
        <w:endnoteReference w:id="174"/>
      </w:r>
    </w:p>
    <w:tbl>
      <w:tblPr>
        <w:tblStyle w:val="TableGrid"/>
        <w:tblW w:w="9634" w:type="dxa"/>
        <w:tblLook w:val="04A0" w:firstRow="1" w:lastRow="0" w:firstColumn="1" w:lastColumn="0" w:noHBand="0" w:noVBand="1"/>
      </w:tblPr>
      <w:tblGrid>
        <w:gridCol w:w="9634"/>
      </w:tblGrid>
      <w:tr w:rsidR="001E7638" w:rsidRPr="00446928" w14:paraId="1B51A956" w14:textId="77777777" w:rsidTr="00E02F5D">
        <w:tc>
          <w:tcPr>
            <w:tcW w:w="9634" w:type="dxa"/>
          </w:tcPr>
          <w:p w14:paraId="786939D2" w14:textId="77777777" w:rsidR="001E7638" w:rsidRPr="00446928" w:rsidRDefault="005835D2" w:rsidP="00AE749E">
            <w:pPr>
              <w:keepNext/>
              <w:rPr>
                <w:rFonts w:ascii="Arial" w:hAnsi="Arial" w:cs="Arial"/>
                <w:b/>
              </w:rPr>
            </w:pPr>
            <w:r w:rsidRPr="00446928">
              <w:rPr>
                <w:rFonts w:ascii="Arial" w:hAnsi="Arial" w:cs="Arial"/>
                <w:b/>
              </w:rPr>
              <w:lastRenderedPageBreak/>
              <w:t>Key questions:</w:t>
            </w:r>
          </w:p>
          <w:p w14:paraId="046DE1F9" w14:textId="774F34A6" w:rsidR="003E5AB7" w:rsidRPr="00446928" w:rsidRDefault="00A36EE0" w:rsidP="00BD2DC5">
            <w:pPr>
              <w:pStyle w:val="SubmissionNormal"/>
              <w:numPr>
                <w:ilvl w:val="0"/>
                <w:numId w:val="0"/>
              </w:numPr>
              <w:spacing w:after="240" w:line="240" w:lineRule="auto"/>
              <w:ind w:left="360"/>
              <w:contextualSpacing/>
              <w:rPr>
                <w:rFonts w:ascii="Arial" w:hAnsi="Arial" w:cs="Arial"/>
              </w:rPr>
            </w:pPr>
            <w:r>
              <w:rPr>
                <w:rFonts w:ascii="Arial" w:hAnsi="Arial" w:cs="Arial"/>
              </w:rPr>
              <w:t>19</w:t>
            </w:r>
            <w:r w:rsidR="00BD2DC5">
              <w:rPr>
                <w:rFonts w:ascii="Arial" w:hAnsi="Arial" w:cs="Arial"/>
              </w:rPr>
              <w:t xml:space="preserve">. </w:t>
            </w:r>
            <w:r w:rsidR="001E7638" w:rsidRPr="00446928">
              <w:rPr>
                <w:rFonts w:ascii="Arial" w:hAnsi="Arial" w:cs="Arial"/>
              </w:rPr>
              <w:t>What are the current Australian sources of data on:</w:t>
            </w:r>
          </w:p>
          <w:p w14:paraId="0682B4E0" w14:textId="0B276F5D" w:rsidR="003E5AB7" w:rsidRPr="00446928" w:rsidRDefault="003E5AB7" w:rsidP="003E5AB7">
            <w:pPr>
              <w:numPr>
                <w:ilvl w:val="1"/>
                <w:numId w:val="18"/>
              </w:numPr>
              <w:spacing w:after="240" w:line="240" w:lineRule="auto"/>
              <w:contextualSpacing/>
              <w:rPr>
                <w:rFonts w:ascii="Arial" w:hAnsi="Arial" w:cs="Arial"/>
              </w:rPr>
            </w:pPr>
            <w:r w:rsidRPr="00446928">
              <w:rPr>
                <w:rFonts w:ascii="Arial" w:hAnsi="Arial" w:cs="Arial"/>
              </w:rPr>
              <w:t xml:space="preserve">the number and nature of medical interventions involving </w:t>
            </w:r>
            <w:r w:rsidR="00241C46">
              <w:rPr>
                <w:rFonts w:ascii="Arial" w:hAnsi="Arial" w:cs="Arial"/>
              </w:rPr>
              <w:t>people born with</w:t>
            </w:r>
            <w:r w:rsidRPr="00446928">
              <w:rPr>
                <w:rFonts w:ascii="Arial" w:hAnsi="Arial" w:cs="Arial"/>
              </w:rPr>
              <w:t xml:space="preserve"> variations in sex characteristics</w:t>
            </w:r>
          </w:p>
          <w:p w14:paraId="5F619751" w14:textId="77777777" w:rsidR="003E5AB7" w:rsidRPr="00446928" w:rsidRDefault="003E5AB7" w:rsidP="003E5AB7">
            <w:pPr>
              <w:ind w:left="1440"/>
              <w:contextualSpacing/>
              <w:rPr>
                <w:rFonts w:ascii="Arial" w:hAnsi="Arial" w:cs="Arial"/>
              </w:rPr>
            </w:pPr>
          </w:p>
          <w:p w14:paraId="39CE0C50" w14:textId="6E46DA11" w:rsidR="008B2D5D" w:rsidRPr="008B2D5D" w:rsidRDefault="003E5AB7" w:rsidP="008B2D5D">
            <w:pPr>
              <w:numPr>
                <w:ilvl w:val="1"/>
                <w:numId w:val="18"/>
              </w:numPr>
              <w:spacing w:after="240" w:line="240" w:lineRule="auto"/>
              <w:contextualSpacing/>
              <w:rPr>
                <w:rFonts w:ascii="Arial" w:hAnsi="Arial" w:cs="Arial"/>
              </w:rPr>
            </w:pPr>
            <w:r w:rsidRPr="00446928">
              <w:rPr>
                <w:rFonts w:ascii="Arial" w:hAnsi="Arial" w:cs="Arial"/>
              </w:rPr>
              <w:t xml:space="preserve">long-term outcomes of medical interventions involving </w:t>
            </w:r>
            <w:r w:rsidR="00241C46">
              <w:rPr>
                <w:rFonts w:ascii="Arial" w:hAnsi="Arial" w:cs="Arial"/>
              </w:rPr>
              <w:t>people born with</w:t>
            </w:r>
            <w:r w:rsidRPr="00446928">
              <w:rPr>
                <w:rFonts w:ascii="Arial" w:hAnsi="Arial" w:cs="Arial"/>
              </w:rPr>
              <w:t xml:space="preserve"> va</w:t>
            </w:r>
            <w:r w:rsidR="008B2D5D">
              <w:rPr>
                <w:rFonts w:ascii="Arial" w:hAnsi="Arial" w:cs="Arial"/>
              </w:rPr>
              <w:t>riations in sex characteristics</w:t>
            </w:r>
            <w:r w:rsidR="008B2D5D">
              <w:rPr>
                <w:rFonts w:ascii="Arial" w:hAnsi="Arial" w:cs="Arial"/>
              </w:rPr>
              <w:br/>
            </w:r>
          </w:p>
          <w:p w14:paraId="5EEC8869" w14:textId="725FBD10" w:rsidR="003E5AB7" w:rsidRPr="008B2D5D" w:rsidRDefault="003E5AB7" w:rsidP="00C467A1">
            <w:pPr>
              <w:numPr>
                <w:ilvl w:val="1"/>
                <w:numId w:val="18"/>
              </w:numPr>
              <w:spacing w:after="240" w:line="240" w:lineRule="auto"/>
              <w:contextualSpacing/>
              <w:rPr>
                <w:rFonts w:ascii="Arial" w:hAnsi="Arial" w:cs="Arial"/>
              </w:rPr>
            </w:pPr>
            <w:proofErr w:type="gramStart"/>
            <w:r w:rsidRPr="008B2D5D">
              <w:rPr>
                <w:rFonts w:ascii="Arial" w:hAnsi="Arial" w:cs="Arial"/>
              </w:rPr>
              <w:t>long-term</w:t>
            </w:r>
            <w:proofErr w:type="gramEnd"/>
            <w:r w:rsidRPr="008B2D5D">
              <w:rPr>
                <w:rFonts w:ascii="Arial" w:hAnsi="Arial" w:cs="Arial"/>
              </w:rPr>
              <w:t xml:space="preserve"> outcomes of </w:t>
            </w:r>
            <w:r w:rsidR="00241C46" w:rsidRPr="008B2D5D">
              <w:rPr>
                <w:rFonts w:ascii="Arial" w:hAnsi="Arial" w:cs="Arial"/>
              </w:rPr>
              <w:t>people born with</w:t>
            </w:r>
            <w:r w:rsidRPr="008B2D5D">
              <w:rPr>
                <w:rFonts w:ascii="Arial" w:hAnsi="Arial" w:cs="Arial"/>
              </w:rPr>
              <w:t xml:space="preserve"> variations in sex characteristics not undertaking medical interventions?</w:t>
            </w:r>
          </w:p>
          <w:p w14:paraId="1C27B292" w14:textId="063E9605" w:rsidR="00C467A1" w:rsidRDefault="00A36EE0" w:rsidP="0052372E">
            <w:pPr>
              <w:pStyle w:val="SubmissionNormal"/>
              <w:numPr>
                <w:ilvl w:val="0"/>
                <w:numId w:val="0"/>
              </w:numPr>
              <w:spacing w:after="240" w:line="240" w:lineRule="auto"/>
              <w:ind w:left="360"/>
              <w:contextualSpacing/>
              <w:rPr>
                <w:rFonts w:ascii="Arial" w:hAnsi="Arial" w:cs="Arial"/>
              </w:rPr>
            </w:pPr>
            <w:r>
              <w:rPr>
                <w:rFonts w:ascii="Arial" w:hAnsi="Arial" w:cs="Arial"/>
              </w:rPr>
              <w:t>20</w:t>
            </w:r>
            <w:r w:rsidR="00BD2DC5">
              <w:rPr>
                <w:rFonts w:ascii="Arial" w:hAnsi="Arial" w:cs="Arial"/>
              </w:rPr>
              <w:t xml:space="preserve">. </w:t>
            </w:r>
            <w:r w:rsidR="00230BBB">
              <w:rPr>
                <w:rFonts w:ascii="Arial" w:hAnsi="Arial" w:cs="Arial"/>
              </w:rPr>
              <w:t>How adequate are the current Australian sources of data for each of these areas?</w:t>
            </w:r>
          </w:p>
          <w:p w14:paraId="7AAC673B" w14:textId="77777777" w:rsidR="00D65DD0" w:rsidRDefault="00D65DD0" w:rsidP="00C467A1">
            <w:pPr>
              <w:pStyle w:val="SubmissionNormal"/>
              <w:numPr>
                <w:ilvl w:val="0"/>
                <w:numId w:val="0"/>
              </w:numPr>
              <w:spacing w:after="240" w:line="240" w:lineRule="auto"/>
              <w:contextualSpacing/>
              <w:rPr>
                <w:rFonts w:ascii="Arial" w:hAnsi="Arial" w:cs="Arial"/>
              </w:rPr>
            </w:pPr>
          </w:p>
          <w:p w14:paraId="42E30C0A" w14:textId="6FBF108B" w:rsidR="00D65DD0" w:rsidRPr="00446928" w:rsidRDefault="00A36EE0" w:rsidP="00A36EE0">
            <w:pPr>
              <w:pStyle w:val="SubmissionNormal"/>
              <w:numPr>
                <w:ilvl w:val="0"/>
                <w:numId w:val="0"/>
              </w:numPr>
              <w:spacing w:after="240" w:line="240" w:lineRule="auto"/>
              <w:ind w:left="360"/>
              <w:contextualSpacing/>
              <w:rPr>
                <w:rFonts w:ascii="Arial" w:hAnsi="Arial" w:cs="Arial"/>
              </w:rPr>
            </w:pPr>
            <w:r w:rsidRPr="00A36EE0">
              <w:rPr>
                <w:rFonts w:ascii="Arial" w:hAnsi="Arial" w:cs="Arial"/>
              </w:rPr>
              <w:t>21</w:t>
            </w:r>
            <w:r w:rsidR="00D65DD0" w:rsidRPr="00A36EE0">
              <w:rPr>
                <w:rFonts w:ascii="Arial" w:hAnsi="Arial" w:cs="Arial"/>
              </w:rPr>
              <w:t xml:space="preserve">. </w:t>
            </w:r>
            <w:r w:rsidRPr="00A36EE0">
              <w:rPr>
                <w:rFonts w:ascii="Arial" w:hAnsi="Arial" w:cs="Arial"/>
              </w:rPr>
              <w:t>What barriers exist</w:t>
            </w:r>
            <w:r w:rsidR="00D65DD0" w:rsidRPr="00A36EE0">
              <w:rPr>
                <w:rFonts w:ascii="Arial" w:hAnsi="Arial" w:cs="Arial"/>
              </w:rPr>
              <w:t xml:space="preserve"> to nationally consistent data collection?</w:t>
            </w:r>
          </w:p>
        </w:tc>
      </w:tr>
    </w:tbl>
    <w:p w14:paraId="26DA0995" w14:textId="77777777"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68" w:name="_Toc507585876"/>
      <w:bookmarkStart w:id="69" w:name="_Toc518984806"/>
      <w:r w:rsidRPr="00446928">
        <w:rPr>
          <w:rFonts w:ascii="Arial" w:hAnsi="Arial" w:cs="Arial"/>
          <w:bCs/>
          <w:i/>
          <w:szCs w:val="26"/>
        </w:rPr>
        <w:t>Privacy</w:t>
      </w:r>
      <w:bookmarkEnd w:id="68"/>
      <w:bookmarkEnd w:id="69"/>
    </w:p>
    <w:p w14:paraId="61C07C68" w14:textId="79DE816F" w:rsidR="007B5A3E" w:rsidRPr="00030F1B" w:rsidRDefault="007B5A3E" w:rsidP="007B5A3E">
      <w:pPr>
        <w:numPr>
          <w:ilvl w:val="0"/>
          <w:numId w:val="15"/>
        </w:numPr>
        <w:spacing w:before="240" w:after="240" w:line="240" w:lineRule="auto"/>
        <w:ind w:hanging="720"/>
        <w:rPr>
          <w:rFonts w:ascii="Arial" w:hAnsi="Arial" w:cs="Arial"/>
          <w:bCs/>
          <w:i/>
          <w:szCs w:val="26"/>
        </w:rPr>
      </w:pPr>
      <w:r w:rsidRPr="00030F1B">
        <w:rPr>
          <w:rFonts w:ascii="Arial" w:hAnsi="Arial" w:cs="Arial"/>
          <w:bCs/>
          <w:szCs w:val="26"/>
        </w:rPr>
        <w:t>The right to bodily autonomy and physical integrity is integral to the right to privacy.</w:t>
      </w:r>
      <w:r w:rsidRPr="00030F1B">
        <w:rPr>
          <w:rStyle w:val="EndnoteReference"/>
          <w:rFonts w:cs="Arial"/>
          <w:bCs/>
          <w:szCs w:val="26"/>
        </w:rPr>
        <w:endnoteReference w:id="175"/>
      </w:r>
      <w:r w:rsidRPr="00030F1B">
        <w:rPr>
          <w:rFonts w:ascii="Arial" w:hAnsi="Arial" w:cs="Arial"/>
          <w:bCs/>
          <w:szCs w:val="26"/>
        </w:rPr>
        <w:t xml:space="preserve"> I</w:t>
      </w:r>
      <w:r w:rsidRPr="00030F1B">
        <w:rPr>
          <w:rFonts w:ascii="Arial" w:hAnsi="Arial" w:cs="Arial"/>
        </w:rPr>
        <w:t>n the context of medical interventions</w:t>
      </w:r>
      <w:r w:rsidRPr="00030F1B">
        <w:rPr>
          <w:rFonts w:ascii="Arial" w:hAnsi="Arial" w:cs="Arial"/>
          <w:bCs/>
          <w:i/>
          <w:szCs w:val="26"/>
        </w:rPr>
        <w:t xml:space="preserve">, </w:t>
      </w:r>
      <w:r w:rsidRPr="00030F1B">
        <w:rPr>
          <w:rFonts w:ascii="Arial" w:hAnsi="Arial" w:cs="Arial"/>
          <w:bCs/>
          <w:szCs w:val="26"/>
        </w:rPr>
        <w:t>p</w:t>
      </w:r>
      <w:r w:rsidRPr="00030F1B">
        <w:rPr>
          <w:rFonts w:ascii="Arial" w:hAnsi="Arial" w:cs="Arial"/>
        </w:rPr>
        <w:t>rivacy includes both the protection of people</w:t>
      </w:r>
      <w:r w:rsidR="00F87239">
        <w:rPr>
          <w:rFonts w:ascii="Arial" w:hAnsi="Arial" w:cs="Arial"/>
        </w:rPr>
        <w:t>’</w:t>
      </w:r>
      <w:r w:rsidRPr="00030F1B">
        <w:rPr>
          <w:rFonts w:ascii="Arial" w:hAnsi="Arial" w:cs="Arial"/>
        </w:rPr>
        <w:t>s physical selves against unwanted invasive procedures, as well as protecting and providing access to an individual</w:t>
      </w:r>
      <w:r w:rsidR="00F87239">
        <w:rPr>
          <w:rFonts w:ascii="Arial" w:hAnsi="Arial" w:cs="Arial"/>
        </w:rPr>
        <w:t>’</w:t>
      </w:r>
      <w:r w:rsidRPr="00030F1B">
        <w:rPr>
          <w:rFonts w:ascii="Arial" w:hAnsi="Arial" w:cs="Arial"/>
        </w:rPr>
        <w:t>s own health information.</w:t>
      </w:r>
    </w:p>
    <w:p w14:paraId="307196AC" w14:textId="7DE246D7" w:rsidR="007B5A3E" w:rsidRPr="00030F1B" w:rsidRDefault="007B5A3E" w:rsidP="007B5A3E">
      <w:pPr>
        <w:numPr>
          <w:ilvl w:val="0"/>
          <w:numId w:val="15"/>
        </w:numPr>
        <w:spacing w:before="240" w:after="240" w:line="240" w:lineRule="auto"/>
        <w:ind w:hanging="720"/>
        <w:rPr>
          <w:rFonts w:ascii="Arial" w:hAnsi="Arial" w:cs="Arial"/>
        </w:rPr>
      </w:pPr>
      <w:r w:rsidRPr="00030F1B">
        <w:rPr>
          <w:rFonts w:ascii="Arial" w:hAnsi="Arial" w:cs="Arial"/>
        </w:rPr>
        <w:t xml:space="preserve">Principle 37 of the </w:t>
      </w:r>
      <w:r w:rsidRPr="00AE749E">
        <w:rPr>
          <w:rFonts w:ascii="Arial" w:hAnsi="Arial" w:cs="Arial"/>
          <w:i/>
        </w:rPr>
        <w:t>Yogyakarta Principles plus 10</w:t>
      </w:r>
      <w:r w:rsidRPr="00030F1B">
        <w:rPr>
          <w:rFonts w:ascii="Arial" w:hAnsi="Arial" w:cs="Arial"/>
        </w:rPr>
        <w:t xml:space="preserve"> outlines the right to truth, </w:t>
      </w:r>
      <w:proofErr w:type="gramStart"/>
      <w:r w:rsidRPr="00030F1B">
        <w:rPr>
          <w:rFonts w:ascii="Arial" w:hAnsi="Arial" w:cs="Arial"/>
        </w:rPr>
        <w:t xml:space="preserve">described as the right for all individuals to </w:t>
      </w:r>
      <w:r w:rsidR="00F87239">
        <w:rPr>
          <w:rFonts w:ascii="Arial" w:hAnsi="Arial" w:cs="Arial"/>
        </w:rPr>
        <w:t>‘</w:t>
      </w:r>
      <w:r w:rsidRPr="00030F1B">
        <w:rPr>
          <w:rFonts w:ascii="Arial" w:hAnsi="Arial" w:cs="Arial"/>
        </w:rPr>
        <w:t>know the truth about the facts, circumstances and reasons why the violation occurred</w:t>
      </w:r>
      <w:r w:rsidR="00F87239">
        <w:rPr>
          <w:rFonts w:ascii="Arial" w:hAnsi="Arial" w:cs="Arial"/>
        </w:rPr>
        <w:t>’</w:t>
      </w:r>
      <w:r w:rsidRPr="00030F1B">
        <w:rPr>
          <w:rFonts w:ascii="Arial" w:hAnsi="Arial" w:cs="Arial"/>
        </w:rPr>
        <w:t xml:space="preserve"> and that States shall </w:t>
      </w:r>
      <w:r w:rsidR="00F87239">
        <w:rPr>
          <w:rFonts w:ascii="Arial" w:hAnsi="Arial" w:cs="Arial"/>
        </w:rPr>
        <w:t>‘</w:t>
      </w:r>
      <w:r w:rsidRPr="00030F1B">
        <w:rPr>
          <w:rFonts w:ascii="Arial" w:hAnsi="Arial" w:cs="Arial"/>
        </w:rPr>
        <w:t>protect individuals</w:t>
      </w:r>
      <w:r w:rsidR="00F87239">
        <w:rPr>
          <w:rFonts w:ascii="Arial" w:hAnsi="Arial" w:cs="Arial"/>
        </w:rPr>
        <w:t>’</w:t>
      </w:r>
      <w:r w:rsidRPr="00030F1B">
        <w:rPr>
          <w:rFonts w:ascii="Arial" w:hAnsi="Arial" w:cs="Arial"/>
        </w:rPr>
        <w:t xml:space="preserve"> right to know the truth about their medical histories, including through full access to accurate medical records</w:t>
      </w:r>
      <w:r w:rsidR="00F87239">
        <w:rPr>
          <w:rFonts w:ascii="Arial" w:hAnsi="Arial" w:cs="Arial"/>
        </w:rPr>
        <w:t>’</w:t>
      </w:r>
      <w:r w:rsidRPr="00030F1B">
        <w:rPr>
          <w:rFonts w:ascii="Arial" w:hAnsi="Arial" w:cs="Arial"/>
        </w:rPr>
        <w:t>.</w:t>
      </w:r>
      <w:proofErr w:type="gramEnd"/>
      <w:r w:rsidRPr="00030F1B">
        <w:rPr>
          <w:rStyle w:val="EndnoteReference"/>
          <w:rFonts w:cs="Arial"/>
        </w:rPr>
        <w:endnoteReference w:id="176"/>
      </w:r>
    </w:p>
    <w:p w14:paraId="57179A71" w14:textId="3D4B806A" w:rsidR="00475AAD" w:rsidRPr="00475AAD" w:rsidRDefault="007B5A3E" w:rsidP="005E2A01">
      <w:pPr>
        <w:numPr>
          <w:ilvl w:val="0"/>
          <w:numId w:val="15"/>
        </w:numPr>
        <w:spacing w:before="240" w:after="240" w:line="240" w:lineRule="auto"/>
        <w:ind w:hanging="720"/>
        <w:rPr>
          <w:rFonts w:ascii="Arial" w:hAnsi="Arial" w:cs="Arial"/>
          <w:bCs/>
          <w:i/>
          <w:szCs w:val="26"/>
        </w:rPr>
      </w:pPr>
      <w:r w:rsidRPr="00030F1B">
        <w:rPr>
          <w:rFonts w:ascii="Arial" w:hAnsi="Arial" w:cs="Arial"/>
        </w:rPr>
        <w:t xml:space="preserve">In Australia, </w:t>
      </w:r>
      <w:r w:rsidR="00241C46">
        <w:rPr>
          <w:rFonts w:ascii="Arial" w:hAnsi="Arial" w:cs="Arial"/>
        </w:rPr>
        <w:t>people born with</w:t>
      </w:r>
      <w:r w:rsidRPr="00030F1B">
        <w:rPr>
          <w:rFonts w:ascii="Arial" w:hAnsi="Arial" w:cs="Arial"/>
        </w:rPr>
        <w:t xml:space="preserve"> variations in sex characteristics </w:t>
      </w:r>
      <w:r w:rsidR="0088432B">
        <w:rPr>
          <w:rFonts w:ascii="Arial" w:hAnsi="Arial" w:cs="Arial"/>
        </w:rPr>
        <w:t>have faced</w:t>
      </w:r>
      <w:r w:rsidRPr="00030F1B">
        <w:rPr>
          <w:rFonts w:ascii="Arial" w:hAnsi="Arial" w:cs="Arial"/>
        </w:rPr>
        <w:t xml:space="preserve"> difficulties in accessing their complete medical records.</w:t>
      </w:r>
      <w:r w:rsidRPr="00030F1B">
        <w:rPr>
          <w:rStyle w:val="EndnoteReference"/>
          <w:rFonts w:cs="Arial"/>
        </w:rPr>
        <w:endnoteReference w:id="177"/>
      </w:r>
      <w:r w:rsidRPr="00030F1B">
        <w:rPr>
          <w:rFonts w:ascii="Arial" w:hAnsi="Arial" w:cs="Arial"/>
        </w:rPr>
        <w:t xml:space="preserve"> The </w:t>
      </w:r>
      <w:r w:rsidRPr="00030F1B">
        <w:rPr>
          <w:rFonts w:ascii="Arial" w:hAnsi="Arial" w:cs="Arial"/>
          <w:i/>
        </w:rPr>
        <w:t>Privacy Act 1988</w:t>
      </w:r>
      <w:r w:rsidRPr="00030F1B">
        <w:rPr>
          <w:rFonts w:ascii="Arial" w:hAnsi="Arial" w:cs="Arial"/>
        </w:rPr>
        <w:t xml:space="preserve"> (</w:t>
      </w:r>
      <w:proofErr w:type="spellStart"/>
      <w:r w:rsidRPr="00030F1B">
        <w:rPr>
          <w:rFonts w:ascii="Arial" w:hAnsi="Arial" w:cs="Arial"/>
        </w:rPr>
        <w:t>Cth</w:t>
      </w:r>
      <w:proofErr w:type="spellEnd"/>
      <w:r w:rsidRPr="00030F1B">
        <w:rPr>
          <w:rFonts w:ascii="Arial" w:hAnsi="Arial" w:cs="Arial"/>
        </w:rPr>
        <w:t xml:space="preserve">) and the Australian Privacy Principles regulate how health organisations collect and handle personal health information and how individuals can access information about them. Access </w:t>
      </w:r>
      <w:proofErr w:type="gramStart"/>
      <w:r w:rsidRPr="00030F1B">
        <w:rPr>
          <w:rFonts w:ascii="Arial" w:hAnsi="Arial" w:cs="Arial"/>
        </w:rPr>
        <w:t>can be refused</w:t>
      </w:r>
      <w:proofErr w:type="gramEnd"/>
      <w:r w:rsidRPr="00030F1B">
        <w:rPr>
          <w:rFonts w:ascii="Arial" w:hAnsi="Arial" w:cs="Arial"/>
        </w:rPr>
        <w:t xml:space="preserve"> where it could threaten someone</w:t>
      </w:r>
      <w:r w:rsidR="00F87239">
        <w:rPr>
          <w:rFonts w:ascii="Arial" w:hAnsi="Arial" w:cs="Arial"/>
        </w:rPr>
        <w:t>’</w:t>
      </w:r>
      <w:r w:rsidRPr="00030F1B">
        <w:rPr>
          <w:rFonts w:ascii="Arial" w:hAnsi="Arial" w:cs="Arial"/>
        </w:rPr>
        <w:t>s life, health or safety, or impact on someone else</w:t>
      </w:r>
      <w:r w:rsidR="00F87239">
        <w:rPr>
          <w:rFonts w:ascii="Arial" w:hAnsi="Arial" w:cs="Arial"/>
        </w:rPr>
        <w:t>’</w:t>
      </w:r>
      <w:r w:rsidRPr="00030F1B">
        <w:rPr>
          <w:rFonts w:ascii="Arial" w:hAnsi="Arial" w:cs="Arial"/>
        </w:rPr>
        <w:t>s privacy.</w:t>
      </w:r>
      <w:r w:rsidRPr="00030F1B">
        <w:rPr>
          <w:rStyle w:val="EndnoteReference"/>
          <w:rFonts w:cs="Arial"/>
        </w:rPr>
        <w:endnoteReference w:id="178"/>
      </w:r>
      <w:r w:rsidRPr="00030F1B">
        <w:rPr>
          <w:rFonts w:ascii="Arial" w:hAnsi="Arial" w:cs="Arial"/>
        </w:rPr>
        <w:t xml:space="preserve"> This means that access </w:t>
      </w:r>
      <w:proofErr w:type="gramStart"/>
      <w:r w:rsidRPr="00030F1B">
        <w:rPr>
          <w:rFonts w:ascii="Arial" w:hAnsi="Arial" w:cs="Arial"/>
        </w:rPr>
        <w:t>can be refused</w:t>
      </w:r>
      <w:proofErr w:type="gramEnd"/>
      <w:r w:rsidRPr="00030F1B">
        <w:rPr>
          <w:rFonts w:ascii="Arial" w:hAnsi="Arial" w:cs="Arial"/>
        </w:rPr>
        <w:t xml:space="preserve"> where a health provider has reasonable grounds to believe that providing access may cause that person significant distress or lead to self-harm or harm to another person.</w:t>
      </w:r>
      <w:r w:rsidRPr="00030F1B">
        <w:rPr>
          <w:rStyle w:val="EndnoteReference"/>
          <w:rFonts w:cs="Arial"/>
        </w:rPr>
        <w:endnoteReference w:id="179"/>
      </w:r>
      <w:r w:rsidR="00A700DF">
        <w:rPr>
          <w:rFonts w:ascii="Arial" w:hAnsi="Arial" w:cs="Arial"/>
        </w:rPr>
        <w:t xml:space="preserve"> Further, </w:t>
      </w:r>
      <w:r w:rsidR="00DC28CA">
        <w:rPr>
          <w:rFonts w:ascii="Arial" w:hAnsi="Arial" w:cs="Arial"/>
        </w:rPr>
        <w:t xml:space="preserve">the duration in which medical records </w:t>
      </w:r>
      <w:proofErr w:type="gramStart"/>
      <w:r w:rsidR="00DC28CA">
        <w:rPr>
          <w:rFonts w:ascii="Arial" w:hAnsi="Arial" w:cs="Arial"/>
        </w:rPr>
        <w:t>must be kept</w:t>
      </w:r>
      <w:proofErr w:type="gramEnd"/>
      <w:r w:rsidR="00F27ACB">
        <w:rPr>
          <w:rFonts w:ascii="Arial" w:hAnsi="Arial" w:cs="Arial"/>
        </w:rPr>
        <w:t xml:space="preserve">, </w:t>
      </w:r>
      <w:r w:rsidR="00311E68">
        <w:rPr>
          <w:rFonts w:ascii="Arial" w:hAnsi="Arial" w:cs="Arial"/>
        </w:rPr>
        <w:t>between 5 to 10 years for adults and until the age of 25 for children depending upon the jurisdiction</w:t>
      </w:r>
      <w:r w:rsidR="00F27ACB">
        <w:rPr>
          <w:rFonts w:ascii="Arial" w:hAnsi="Arial" w:cs="Arial"/>
        </w:rPr>
        <w:t xml:space="preserve">, </w:t>
      </w:r>
      <w:r w:rsidR="00DC28CA">
        <w:rPr>
          <w:rFonts w:ascii="Arial" w:hAnsi="Arial" w:cs="Arial"/>
        </w:rPr>
        <w:t>can also act as a barrier to individuals finding out about their medical histories later in life.</w:t>
      </w:r>
      <w:r w:rsidR="00F27ACB">
        <w:rPr>
          <w:rStyle w:val="EndnoteReference"/>
          <w:rFonts w:cs="Arial"/>
        </w:rPr>
        <w:endnoteReference w:id="180"/>
      </w:r>
      <w:r w:rsidR="00DC28CA">
        <w:rPr>
          <w:rFonts w:ascii="Arial" w:hAnsi="Arial" w:cs="Arial"/>
        </w:rPr>
        <w:t xml:space="preserve"> </w:t>
      </w:r>
    </w:p>
    <w:p w14:paraId="0AFB780B" w14:textId="1776313F" w:rsidR="001E7638" w:rsidRPr="005E2A01" w:rsidRDefault="00311E68" w:rsidP="005E2A01">
      <w:pPr>
        <w:numPr>
          <w:ilvl w:val="0"/>
          <w:numId w:val="15"/>
        </w:numPr>
        <w:spacing w:before="240" w:after="240" w:line="240" w:lineRule="auto"/>
        <w:ind w:hanging="720"/>
        <w:rPr>
          <w:rFonts w:ascii="Arial" w:hAnsi="Arial" w:cs="Arial"/>
          <w:bCs/>
          <w:i/>
          <w:szCs w:val="26"/>
        </w:rPr>
      </w:pPr>
      <w:r>
        <w:rPr>
          <w:rFonts w:ascii="Arial" w:hAnsi="Arial" w:cs="Arial"/>
          <w:bCs/>
          <w:szCs w:val="26"/>
        </w:rPr>
        <w:t>S</w:t>
      </w:r>
      <w:r w:rsidR="007B5A3E" w:rsidRPr="00030F1B">
        <w:rPr>
          <w:rFonts w:ascii="Arial" w:hAnsi="Arial" w:cs="Arial"/>
          <w:bCs/>
          <w:szCs w:val="26"/>
        </w:rPr>
        <w:t xml:space="preserve">ome </w:t>
      </w:r>
      <w:r w:rsidR="00241C46">
        <w:rPr>
          <w:rFonts w:ascii="Arial" w:hAnsi="Arial" w:cs="Arial"/>
          <w:bCs/>
          <w:szCs w:val="26"/>
        </w:rPr>
        <w:t>people born with</w:t>
      </w:r>
      <w:r w:rsidR="007B5A3E" w:rsidRPr="00030F1B">
        <w:rPr>
          <w:rFonts w:ascii="Arial" w:hAnsi="Arial" w:cs="Arial"/>
          <w:bCs/>
          <w:szCs w:val="26"/>
        </w:rPr>
        <w:t xml:space="preserve"> variations in sex characteristics </w:t>
      </w:r>
      <w:r w:rsidR="00EF1377">
        <w:rPr>
          <w:rFonts w:ascii="Arial" w:hAnsi="Arial" w:cs="Arial"/>
          <w:bCs/>
          <w:szCs w:val="26"/>
        </w:rPr>
        <w:t>have</w:t>
      </w:r>
      <w:r>
        <w:rPr>
          <w:rFonts w:ascii="Arial" w:hAnsi="Arial" w:cs="Arial"/>
          <w:bCs/>
          <w:szCs w:val="26"/>
        </w:rPr>
        <w:t xml:space="preserve"> also</w:t>
      </w:r>
      <w:r w:rsidR="00EF1377">
        <w:rPr>
          <w:rFonts w:ascii="Arial" w:hAnsi="Arial" w:cs="Arial"/>
          <w:bCs/>
          <w:szCs w:val="26"/>
        </w:rPr>
        <w:t xml:space="preserve"> been</w:t>
      </w:r>
      <w:r w:rsidR="00EF1377" w:rsidRPr="00030F1B">
        <w:rPr>
          <w:rFonts w:ascii="Arial" w:hAnsi="Arial" w:cs="Arial"/>
          <w:bCs/>
          <w:szCs w:val="26"/>
        </w:rPr>
        <w:t xml:space="preserve"> </w:t>
      </w:r>
      <w:r w:rsidR="007B5A3E" w:rsidRPr="00030F1B">
        <w:rPr>
          <w:rFonts w:ascii="Arial" w:hAnsi="Arial" w:cs="Arial"/>
          <w:bCs/>
          <w:szCs w:val="26"/>
        </w:rPr>
        <w:t xml:space="preserve">subject to unwanted medical photography and </w:t>
      </w:r>
      <w:r w:rsidR="007B5A3E" w:rsidRPr="00030F1B">
        <w:rPr>
          <w:rFonts w:ascii="Arial" w:hAnsi="Arial" w:cs="Arial"/>
        </w:rPr>
        <w:t>unnecessary examinations or examinations in front of more people than necessary.</w:t>
      </w:r>
      <w:r w:rsidR="007B5A3E" w:rsidRPr="00030F1B">
        <w:rPr>
          <w:rStyle w:val="EndnoteReference"/>
          <w:rFonts w:cs="Arial"/>
        </w:rPr>
        <w:endnoteReference w:id="181"/>
      </w:r>
      <w:r w:rsidR="007B5A3E" w:rsidRPr="00030F1B">
        <w:rPr>
          <w:rFonts w:ascii="Arial" w:hAnsi="Arial" w:cs="Arial"/>
        </w:rPr>
        <w:t xml:space="preserve"> These behaviours can constitute violations of a patient</w:t>
      </w:r>
      <w:r w:rsidR="00F87239">
        <w:rPr>
          <w:rFonts w:ascii="Arial" w:hAnsi="Arial" w:cs="Arial"/>
        </w:rPr>
        <w:t>’</w:t>
      </w:r>
      <w:r w:rsidR="007B5A3E" w:rsidRPr="00030F1B">
        <w:rPr>
          <w:rFonts w:ascii="Arial" w:hAnsi="Arial" w:cs="Arial"/>
        </w:rPr>
        <w:t>s privacy and, particularly for children, these experiences can normalise these behaviours and create issues around boundaries and consent.</w:t>
      </w:r>
      <w:r w:rsidR="007B5A3E" w:rsidRPr="00030F1B">
        <w:rPr>
          <w:rStyle w:val="EndnoteReference"/>
          <w:rFonts w:cs="Arial"/>
        </w:rPr>
        <w:endnoteReference w:id="182"/>
      </w:r>
      <w:r w:rsidR="005E2A01">
        <w:rPr>
          <w:rFonts w:ascii="Arial" w:hAnsi="Arial" w:cs="Arial"/>
          <w:bCs/>
          <w:i/>
          <w:szCs w:val="26"/>
        </w:rPr>
        <w:br/>
      </w:r>
    </w:p>
    <w:tbl>
      <w:tblPr>
        <w:tblStyle w:val="TableGrid"/>
        <w:tblW w:w="9634" w:type="dxa"/>
        <w:tblLook w:val="04A0" w:firstRow="1" w:lastRow="0" w:firstColumn="1" w:lastColumn="0" w:noHBand="0" w:noVBand="1"/>
      </w:tblPr>
      <w:tblGrid>
        <w:gridCol w:w="9634"/>
      </w:tblGrid>
      <w:tr w:rsidR="001E7638" w:rsidRPr="00446928" w14:paraId="759CED54" w14:textId="77777777" w:rsidTr="00E02F5D">
        <w:tc>
          <w:tcPr>
            <w:tcW w:w="9634" w:type="dxa"/>
          </w:tcPr>
          <w:p w14:paraId="6C38F9C9" w14:textId="77777777" w:rsidR="001E7638" w:rsidRPr="00446928" w:rsidRDefault="001E7638" w:rsidP="00AE749E">
            <w:pPr>
              <w:keepNext/>
              <w:rPr>
                <w:rFonts w:ascii="Arial" w:hAnsi="Arial" w:cs="Arial"/>
                <w:b/>
              </w:rPr>
            </w:pPr>
            <w:r w:rsidRPr="00446928">
              <w:rPr>
                <w:rFonts w:ascii="Arial" w:hAnsi="Arial" w:cs="Arial"/>
                <w:b/>
              </w:rPr>
              <w:lastRenderedPageBreak/>
              <w:t>Key questions:</w:t>
            </w:r>
          </w:p>
          <w:p w14:paraId="2F9F63D1" w14:textId="6A607A00" w:rsidR="001E7638" w:rsidRPr="00921C7C" w:rsidRDefault="0016553C" w:rsidP="00BD2DC5">
            <w:pPr>
              <w:pStyle w:val="SubmissionNormal"/>
              <w:numPr>
                <w:ilvl w:val="0"/>
                <w:numId w:val="0"/>
              </w:numPr>
              <w:spacing w:after="240" w:line="240" w:lineRule="auto"/>
              <w:ind w:left="360"/>
              <w:contextualSpacing/>
              <w:rPr>
                <w:rFonts w:ascii="Arial" w:hAnsi="Arial" w:cs="Arial"/>
              </w:rPr>
            </w:pPr>
            <w:r>
              <w:rPr>
                <w:rFonts w:ascii="Arial" w:hAnsi="Arial" w:cs="Arial"/>
              </w:rPr>
              <w:t>22</w:t>
            </w:r>
            <w:r w:rsidR="00BD2DC5">
              <w:rPr>
                <w:rFonts w:ascii="Arial" w:hAnsi="Arial" w:cs="Arial"/>
              </w:rPr>
              <w:t xml:space="preserve">. </w:t>
            </w:r>
            <w:r w:rsidR="001E7638" w:rsidRPr="00446928">
              <w:rPr>
                <w:rFonts w:ascii="Arial" w:hAnsi="Arial" w:cs="Arial"/>
              </w:rPr>
              <w:t xml:space="preserve">How can medical practices best respect the privacy of </w:t>
            </w:r>
            <w:r w:rsidR="00241C46">
              <w:rPr>
                <w:rFonts w:ascii="Arial" w:hAnsi="Arial" w:cs="Arial"/>
              </w:rPr>
              <w:t>people born with</w:t>
            </w:r>
            <w:r w:rsidR="001E7638" w:rsidRPr="00446928">
              <w:rPr>
                <w:rFonts w:ascii="Arial" w:hAnsi="Arial" w:cs="Arial"/>
              </w:rPr>
              <w:t xml:space="preserve"> varia</w:t>
            </w:r>
            <w:r w:rsidR="00921C7C">
              <w:rPr>
                <w:rFonts w:ascii="Arial" w:hAnsi="Arial" w:cs="Arial"/>
              </w:rPr>
              <w:t>tions in sex characteristics?</w:t>
            </w:r>
            <w:r w:rsidR="001E7638" w:rsidRPr="00921C7C">
              <w:rPr>
                <w:rFonts w:ascii="Arial" w:hAnsi="Arial" w:cs="Arial"/>
              </w:rPr>
              <w:br/>
            </w:r>
          </w:p>
          <w:p w14:paraId="74A6BD60" w14:textId="5A7672D1" w:rsidR="00F2790A" w:rsidRDefault="0016553C" w:rsidP="00BD2DC5">
            <w:pPr>
              <w:pStyle w:val="SubmissionNormal"/>
              <w:numPr>
                <w:ilvl w:val="0"/>
                <w:numId w:val="0"/>
              </w:numPr>
              <w:spacing w:after="240" w:line="240" w:lineRule="auto"/>
              <w:ind w:left="360"/>
              <w:contextualSpacing/>
              <w:rPr>
                <w:rFonts w:ascii="Arial" w:hAnsi="Arial" w:cs="Arial"/>
              </w:rPr>
            </w:pPr>
            <w:r>
              <w:rPr>
                <w:rFonts w:ascii="Arial" w:hAnsi="Arial" w:cs="Arial"/>
              </w:rPr>
              <w:t>23</w:t>
            </w:r>
            <w:r w:rsidR="00BD2DC5">
              <w:rPr>
                <w:rFonts w:ascii="Arial" w:hAnsi="Arial" w:cs="Arial"/>
              </w:rPr>
              <w:t>.</w:t>
            </w:r>
            <w:r w:rsidR="00F2790A">
              <w:rPr>
                <w:rFonts w:ascii="Arial" w:hAnsi="Arial" w:cs="Arial"/>
              </w:rPr>
              <w:t xml:space="preserve"> Have you faced any </w:t>
            </w:r>
            <w:r w:rsidR="0052372E">
              <w:rPr>
                <w:rFonts w:ascii="Arial" w:hAnsi="Arial" w:cs="Arial"/>
              </w:rPr>
              <w:t>difficulties</w:t>
            </w:r>
            <w:r w:rsidR="00F2790A">
              <w:rPr>
                <w:rFonts w:ascii="Arial" w:hAnsi="Arial" w:cs="Arial"/>
              </w:rPr>
              <w:t xml:space="preserve"> accessing your medical records?</w:t>
            </w:r>
            <w:r w:rsidR="00BD2DC5">
              <w:rPr>
                <w:rFonts w:ascii="Arial" w:hAnsi="Arial" w:cs="Arial"/>
              </w:rPr>
              <w:t xml:space="preserve"> </w:t>
            </w:r>
          </w:p>
          <w:p w14:paraId="7C0E59EC" w14:textId="34DA8097" w:rsidR="00F2790A" w:rsidRDefault="00F2790A">
            <w:pPr>
              <w:pStyle w:val="SubmissionNormal"/>
              <w:numPr>
                <w:ilvl w:val="0"/>
                <w:numId w:val="0"/>
              </w:numPr>
              <w:spacing w:after="240" w:line="240" w:lineRule="auto"/>
              <w:contextualSpacing/>
              <w:rPr>
                <w:rFonts w:ascii="Arial" w:hAnsi="Arial" w:cs="Arial"/>
              </w:rPr>
            </w:pPr>
          </w:p>
          <w:p w14:paraId="10C52158" w14:textId="42C19BFB" w:rsidR="00EF1377" w:rsidRPr="0052372E" w:rsidRDefault="0016553C" w:rsidP="0052372E">
            <w:pPr>
              <w:pStyle w:val="SubmissionNormal"/>
              <w:numPr>
                <w:ilvl w:val="0"/>
                <w:numId w:val="0"/>
              </w:numPr>
              <w:spacing w:after="240" w:line="240" w:lineRule="auto"/>
              <w:ind w:left="360"/>
              <w:contextualSpacing/>
              <w:rPr>
                <w:rFonts w:ascii="Arial" w:hAnsi="Arial" w:cs="Arial"/>
              </w:rPr>
            </w:pPr>
            <w:r>
              <w:rPr>
                <w:rFonts w:ascii="Arial" w:hAnsi="Arial" w:cs="Arial"/>
              </w:rPr>
              <w:t>24</w:t>
            </w:r>
            <w:r w:rsidR="00F2790A">
              <w:rPr>
                <w:rFonts w:ascii="Arial" w:hAnsi="Arial" w:cs="Arial"/>
              </w:rPr>
              <w:t xml:space="preserve">. </w:t>
            </w:r>
            <w:r w:rsidR="001E7638" w:rsidRPr="00446928">
              <w:rPr>
                <w:rFonts w:ascii="Arial" w:hAnsi="Arial" w:cs="Arial"/>
              </w:rPr>
              <w:t xml:space="preserve">How </w:t>
            </w:r>
            <w:proofErr w:type="gramStart"/>
            <w:r w:rsidR="001E7638" w:rsidRPr="00446928">
              <w:rPr>
                <w:rFonts w:ascii="Arial" w:hAnsi="Arial" w:cs="Arial"/>
              </w:rPr>
              <w:t>can access to medical records and histories be improved</w:t>
            </w:r>
            <w:proofErr w:type="gramEnd"/>
            <w:r w:rsidR="001E7638" w:rsidRPr="00446928">
              <w:rPr>
                <w:rFonts w:ascii="Arial" w:hAnsi="Arial" w:cs="Arial"/>
              </w:rPr>
              <w:t>?</w:t>
            </w:r>
            <w:r w:rsidR="002E120B">
              <w:rPr>
                <w:rFonts w:ascii="Arial" w:hAnsi="Arial" w:cs="Arial"/>
              </w:rPr>
              <w:t xml:space="preserve"> </w:t>
            </w:r>
            <w:r w:rsidR="00EF1377">
              <w:rPr>
                <w:rFonts w:ascii="Arial" w:hAnsi="Arial" w:cs="Arial"/>
              </w:rPr>
              <w:t xml:space="preserve"> </w:t>
            </w:r>
          </w:p>
        </w:tc>
      </w:tr>
    </w:tbl>
    <w:p w14:paraId="2049B0D8" w14:textId="5FF3C632" w:rsidR="001E7638" w:rsidRPr="00446928" w:rsidRDefault="001E7638" w:rsidP="001E7638">
      <w:pPr>
        <w:keepNext/>
        <w:keepLines/>
        <w:numPr>
          <w:ilvl w:val="2"/>
          <w:numId w:val="1"/>
        </w:numPr>
        <w:spacing w:before="360" w:after="240" w:line="240" w:lineRule="auto"/>
        <w:outlineLvl w:val="2"/>
        <w:rPr>
          <w:rFonts w:ascii="Arial" w:hAnsi="Arial" w:cs="Arial"/>
          <w:bCs/>
          <w:i/>
          <w:szCs w:val="26"/>
        </w:rPr>
      </w:pPr>
      <w:bookmarkStart w:id="70" w:name="_Toc507585877"/>
      <w:bookmarkStart w:id="71" w:name="_Toc518984807"/>
      <w:r w:rsidRPr="00446928">
        <w:rPr>
          <w:rFonts w:ascii="Arial" w:hAnsi="Arial" w:cs="Arial"/>
          <w:bCs/>
          <w:i/>
          <w:szCs w:val="26"/>
        </w:rPr>
        <w:t>Access to services</w:t>
      </w:r>
      <w:r w:rsidR="00CE2797">
        <w:rPr>
          <w:rFonts w:ascii="Arial" w:hAnsi="Arial" w:cs="Arial"/>
          <w:bCs/>
          <w:i/>
          <w:szCs w:val="26"/>
        </w:rPr>
        <w:t>, psychological support</w:t>
      </w:r>
      <w:r w:rsidRPr="00446928">
        <w:rPr>
          <w:rFonts w:ascii="Arial" w:hAnsi="Arial" w:cs="Arial"/>
          <w:bCs/>
          <w:i/>
          <w:szCs w:val="26"/>
        </w:rPr>
        <w:t xml:space="preserve"> and community</w:t>
      </w:r>
      <w:bookmarkEnd w:id="70"/>
      <w:bookmarkEnd w:id="71"/>
    </w:p>
    <w:p w14:paraId="16C0617C" w14:textId="384A56A7" w:rsidR="007B5A3E" w:rsidRDefault="007B5A3E" w:rsidP="007B5A3E">
      <w:pPr>
        <w:numPr>
          <w:ilvl w:val="0"/>
          <w:numId w:val="15"/>
        </w:numPr>
        <w:spacing w:before="240" w:after="240" w:line="240" w:lineRule="auto"/>
        <w:ind w:hanging="720"/>
        <w:rPr>
          <w:rFonts w:ascii="Arial" w:hAnsi="Arial" w:cs="Arial"/>
        </w:rPr>
      </w:pPr>
      <w:r w:rsidRPr="00030F1B">
        <w:rPr>
          <w:rFonts w:ascii="Arial" w:hAnsi="Arial" w:cs="Arial"/>
        </w:rPr>
        <w:t xml:space="preserve">Access to </w:t>
      </w:r>
      <w:r w:rsidR="00CE2797">
        <w:rPr>
          <w:rFonts w:ascii="Arial" w:hAnsi="Arial" w:cs="Arial"/>
        </w:rPr>
        <w:t xml:space="preserve">adequate health services and </w:t>
      </w:r>
      <w:r w:rsidRPr="00030F1B">
        <w:rPr>
          <w:rFonts w:ascii="Arial" w:hAnsi="Arial" w:cs="Arial"/>
        </w:rPr>
        <w:t xml:space="preserve">psychological support is fundamental to the right to the highest attainable standard of physical and mental health. </w:t>
      </w:r>
    </w:p>
    <w:p w14:paraId="7A66DA9A" w14:textId="77777777" w:rsidR="00E33BFF" w:rsidRDefault="00CE2797" w:rsidP="007F4686">
      <w:pPr>
        <w:numPr>
          <w:ilvl w:val="0"/>
          <w:numId w:val="15"/>
        </w:numPr>
        <w:spacing w:before="240" w:after="240" w:line="240" w:lineRule="auto"/>
        <w:ind w:hanging="720"/>
        <w:rPr>
          <w:rFonts w:ascii="Arial" w:hAnsi="Arial" w:cs="Arial"/>
        </w:rPr>
      </w:pPr>
      <w:r>
        <w:rPr>
          <w:rFonts w:ascii="Arial" w:hAnsi="Arial" w:cs="Arial"/>
        </w:rPr>
        <w:t xml:space="preserve">People born with variations in sex characteristics may require access to different kinds of health services and supports, </w:t>
      </w:r>
      <w:r w:rsidR="004F5EAA">
        <w:rPr>
          <w:rFonts w:ascii="Arial" w:hAnsi="Arial" w:cs="Arial"/>
        </w:rPr>
        <w:t>including</w:t>
      </w:r>
      <w:r>
        <w:rPr>
          <w:rFonts w:ascii="Arial" w:hAnsi="Arial" w:cs="Arial"/>
        </w:rPr>
        <w:t xml:space="preserve"> </w:t>
      </w:r>
      <w:r w:rsidR="007057E4">
        <w:rPr>
          <w:rFonts w:ascii="Arial" w:hAnsi="Arial" w:cs="Arial"/>
        </w:rPr>
        <w:t xml:space="preserve">access to medical services related to associated health </w:t>
      </w:r>
      <w:r w:rsidR="004F5EAA">
        <w:rPr>
          <w:rFonts w:ascii="Arial" w:hAnsi="Arial" w:cs="Arial"/>
        </w:rPr>
        <w:t xml:space="preserve">needs and </w:t>
      </w:r>
      <w:r w:rsidR="007057E4">
        <w:rPr>
          <w:rFonts w:ascii="Arial" w:hAnsi="Arial" w:cs="Arial"/>
        </w:rPr>
        <w:t xml:space="preserve">not just </w:t>
      </w:r>
      <w:r w:rsidR="004F5EAA">
        <w:rPr>
          <w:rFonts w:ascii="Arial" w:hAnsi="Arial" w:cs="Arial"/>
        </w:rPr>
        <w:t xml:space="preserve">those </w:t>
      </w:r>
      <w:r w:rsidR="007057E4">
        <w:rPr>
          <w:rFonts w:ascii="Arial" w:hAnsi="Arial" w:cs="Arial"/>
        </w:rPr>
        <w:t>related to variations in their sex characteristics</w:t>
      </w:r>
      <w:r w:rsidR="004F5EAA">
        <w:rPr>
          <w:rFonts w:ascii="Arial" w:hAnsi="Arial" w:cs="Arial"/>
        </w:rPr>
        <w:t xml:space="preserve">. For example, different variations are also associated with heart, kidney, spinal, </w:t>
      </w:r>
      <w:proofErr w:type="gramStart"/>
      <w:r w:rsidR="004F5EAA">
        <w:rPr>
          <w:rFonts w:ascii="Arial" w:hAnsi="Arial" w:cs="Arial"/>
        </w:rPr>
        <w:t>knee</w:t>
      </w:r>
      <w:proofErr w:type="gramEnd"/>
      <w:r w:rsidR="004F5EAA">
        <w:rPr>
          <w:rFonts w:ascii="Arial" w:hAnsi="Arial" w:cs="Arial"/>
        </w:rPr>
        <w:t>, growth</w:t>
      </w:r>
      <w:r w:rsidR="003D1B55">
        <w:rPr>
          <w:rFonts w:ascii="Arial" w:hAnsi="Arial" w:cs="Arial"/>
        </w:rPr>
        <w:t>, hearing</w:t>
      </w:r>
      <w:r w:rsidR="004F5EAA">
        <w:rPr>
          <w:rFonts w:ascii="Arial" w:hAnsi="Arial" w:cs="Arial"/>
        </w:rPr>
        <w:t xml:space="preserve"> and learning difficulties. </w:t>
      </w:r>
      <w:r w:rsidR="003D1B55">
        <w:rPr>
          <w:rFonts w:ascii="Arial" w:hAnsi="Arial" w:cs="Arial"/>
        </w:rPr>
        <w:t>Support for these associated health concerns is als</w:t>
      </w:r>
      <w:r w:rsidR="00714A76">
        <w:rPr>
          <w:rFonts w:ascii="Arial" w:hAnsi="Arial" w:cs="Arial"/>
        </w:rPr>
        <w:t>o important in attaining the highest standard of physical health</w:t>
      </w:r>
      <w:r w:rsidR="00E33BFF">
        <w:rPr>
          <w:rFonts w:ascii="Arial" w:hAnsi="Arial" w:cs="Arial"/>
        </w:rPr>
        <w:t>.</w:t>
      </w:r>
    </w:p>
    <w:p w14:paraId="100791E8" w14:textId="1536A6B7" w:rsidR="00475AAD" w:rsidRDefault="007F4686" w:rsidP="00475AAD">
      <w:pPr>
        <w:numPr>
          <w:ilvl w:val="0"/>
          <w:numId w:val="15"/>
        </w:numPr>
        <w:spacing w:before="240" w:after="240" w:line="240" w:lineRule="auto"/>
        <w:ind w:hanging="720"/>
        <w:rPr>
          <w:rFonts w:ascii="Arial" w:hAnsi="Arial" w:cs="Arial"/>
        </w:rPr>
      </w:pPr>
      <w:r w:rsidRPr="007F4686">
        <w:rPr>
          <w:rFonts w:ascii="Arial" w:hAnsi="Arial" w:cs="Arial"/>
        </w:rPr>
        <w:t>Access to early psycholog</w:t>
      </w:r>
      <w:r>
        <w:rPr>
          <w:rFonts w:ascii="Arial" w:hAnsi="Arial" w:cs="Arial"/>
        </w:rPr>
        <w:t xml:space="preserve">ical support is also </w:t>
      </w:r>
      <w:r w:rsidR="008F026E">
        <w:rPr>
          <w:rFonts w:ascii="Arial" w:hAnsi="Arial" w:cs="Arial"/>
        </w:rPr>
        <w:t>crucial</w:t>
      </w:r>
      <w:r w:rsidR="00475AAD">
        <w:rPr>
          <w:rFonts w:ascii="Arial" w:hAnsi="Arial" w:cs="Arial"/>
        </w:rPr>
        <w:t xml:space="preserve"> but access to trained psychologists can be limited</w:t>
      </w:r>
      <w:r>
        <w:rPr>
          <w:rFonts w:ascii="Arial" w:hAnsi="Arial" w:cs="Arial"/>
        </w:rPr>
        <w:t xml:space="preserve">. </w:t>
      </w:r>
      <w:r w:rsidR="007B5A3E" w:rsidRPr="007F4686">
        <w:rPr>
          <w:rFonts w:ascii="Arial" w:hAnsi="Arial" w:cs="Arial"/>
        </w:rPr>
        <w:t xml:space="preserve">The </w:t>
      </w:r>
      <w:r w:rsidR="007B5A3E" w:rsidRPr="00AE749E">
        <w:rPr>
          <w:rFonts w:ascii="Arial" w:hAnsi="Arial" w:cs="Arial"/>
          <w:i/>
        </w:rPr>
        <w:t>Yogyakarta Principles plus 10</w:t>
      </w:r>
      <w:r w:rsidR="007B5A3E" w:rsidRPr="007F4686">
        <w:rPr>
          <w:rFonts w:ascii="Arial" w:hAnsi="Arial" w:cs="Arial"/>
        </w:rPr>
        <w:t xml:space="preserve"> outline that the right to truth requires that in cases of violations of the right to mental and bodily integrity, States should ensure </w:t>
      </w:r>
      <w:r w:rsidR="00F87239">
        <w:rPr>
          <w:rFonts w:ascii="Arial" w:hAnsi="Arial" w:cs="Arial"/>
        </w:rPr>
        <w:t>‘</w:t>
      </w:r>
      <w:r w:rsidR="007B5A3E" w:rsidRPr="007F4686">
        <w:rPr>
          <w:rFonts w:ascii="Arial" w:hAnsi="Arial" w:cs="Arial"/>
        </w:rPr>
        <w:t>effective access to … where appropriate, psychological support</w:t>
      </w:r>
      <w:r w:rsidR="00F87239">
        <w:rPr>
          <w:rFonts w:ascii="Arial" w:hAnsi="Arial" w:cs="Arial"/>
        </w:rPr>
        <w:t>’</w:t>
      </w:r>
      <w:r w:rsidR="007B5A3E" w:rsidRPr="007F4686">
        <w:rPr>
          <w:rFonts w:ascii="Arial" w:hAnsi="Arial" w:cs="Arial"/>
        </w:rPr>
        <w:t>.</w:t>
      </w:r>
      <w:r w:rsidR="007B5A3E" w:rsidRPr="00030F1B">
        <w:rPr>
          <w:rStyle w:val="EndnoteReference"/>
          <w:rFonts w:cs="Arial"/>
        </w:rPr>
        <w:endnoteReference w:id="183"/>
      </w:r>
      <w:r w:rsidR="007B5A3E" w:rsidRPr="007F4686">
        <w:rPr>
          <w:rFonts w:ascii="Arial" w:hAnsi="Arial" w:cs="Arial"/>
        </w:rPr>
        <w:t xml:space="preserve"> </w:t>
      </w:r>
    </w:p>
    <w:p w14:paraId="619FEBC4" w14:textId="785FD8A8" w:rsidR="007B5A3E" w:rsidRPr="00475AAD" w:rsidRDefault="007B5A3E" w:rsidP="00475AAD">
      <w:pPr>
        <w:numPr>
          <w:ilvl w:val="0"/>
          <w:numId w:val="15"/>
        </w:numPr>
        <w:spacing w:before="240" w:after="240" w:line="240" w:lineRule="auto"/>
        <w:ind w:hanging="720"/>
        <w:rPr>
          <w:rFonts w:ascii="Arial" w:hAnsi="Arial" w:cs="Arial"/>
        </w:rPr>
      </w:pPr>
      <w:r w:rsidRPr="00475AAD">
        <w:rPr>
          <w:rFonts w:ascii="Arial" w:eastAsia="Times New Roman" w:hAnsi="Arial" w:cs="Arial"/>
        </w:rPr>
        <w:t xml:space="preserve">Peer support is also important for </w:t>
      </w:r>
      <w:r w:rsidR="00241C46" w:rsidRPr="00475AAD">
        <w:rPr>
          <w:rFonts w:ascii="Arial" w:eastAsia="Times New Roman" w:hAnsi="Arial" w:cs="Arial"/>
        </w:rPr>
        <w:t>people born with</w:t>
      </w:r>
      <w:r w:rsidRPr="00475AAD">
        <w:rPr>
          <w:rFonts w:ascii="Arial" w:eastAsia="Times New Roman" w:hAnsi="Arial" w:cs="Arial"/>
        </w:rPr>
        <w:t xml:space="preserve"> variations in sex characteristics and their families to make informed decisions over their healthcare. It can help alleviate feelings of stigma and isolation and can expose individuals to further information, options and experiences.</w:t>
      </w:r>
      <w:r w:rsidRPr="00030F1B">
        <w:rPr>
          <w:rStyle w:val="EndnoteReference"/>
          <w:rFonts w:eastAsia="Times New Roman" w:cs="Arial"/>
        </w:rPr>
        <w:endnoteReference w:id="184"/>
      </w:r>
    </w:p>
    <w:p w14:paraId="4F24B650" w14:textId="1B3CF615" w:rsidR="007B5A3E" w:rsidRPr="00030F1B" w:rsidRDefault="007B5A3E" w:rsidP="007B5A3E">
      <w:pPr>
        <w:numPr>
          <w:ilvl w:val="0"/>
          <w:numId w:val="15"/>
        </w:numPr>
        <w:spacing w:before="240" w:after="240" w:line="240" w:lineRule="auto"/>
        <w:ind w:hanging="720"/>
        <w:rPr>
          <w:rFonts w:ascii="Arial" w:hAnsi="Arial" w:cs="Arial"/>
        </w:rPr>
      </w:pPr>
      <w:r w:rsidRPr="00030F1B">
        <w:rPr>
          <w:rFonts w:ascii="Arial" w:eastAsia="Times New Roman" w:hAnsi="Arial" w:cs="Arial"/>
        </w:rPr>
        <w:t xml:space="preserve">In Australia, the Senate Committee report, </w:t>
      </w:r>
      <w:r w:rsidR="00EF1377">
        <w:rPr>
          <w:rFonts w:ascii="Arial" w:eastAsia="Times New Roman" w:hAnsi="Arial" w:cs="Arial"/>
        </w:rPr>
        <w:t xml:space="preserve">the APEG endorsed Consensus Statements, </w:t>
      </w:r>
      <w:r w:rsidRPr="00030F1B">
        <w:rPr>
          <w:rFonts w:ascii="Arial" w:eastAsia="Times New Roman" w:hAnsi="Arial" w:cs="Arial"/>
        </w:rPr>
        <w:t xml:space="preserve">the Victorian decision-making principles and the Darlington Statement all recognise the </w:t>
      </w:r>
      <w:r w:rsidR="00EF1377">
        <w:rPr>
          <w:rFonts w:ascii="Arial" w:eastAsia="Times New Roman" w:hAnsi="Arial" w:cs="Arial"/>
        </w:rPr>
        <w:t>importance</w:t>
      </w:r>
      <w:r w:rsidR="00EF1377" w:rsidRPr="00030F1B">
        <w:rPr>
          <w:rFonts w:ascii="Arial" w:eastAsia="Times New Roman" w:hAnsi="Arial" w:cs="Arial"/>
        </w:rPr>
        <w:t xml:space="preserve"> </w:t>
      </w:r>
      <w:r w:rsidRPr="00030F1B">
        <w:rPr>
          <w:rFonts w:ascii="Arial" w:eastAsia="Times New Roman" w:hAnsi="Arial" w:cs="Arial"/>
        </w:rPr>
        <w:t xml:space="preserve">of peer support for </w:t>
      </w:r>
      <w:r w:rsidR="00241C46">
        <w:rPr>
          <w:rFonts w:ascii="Arial" w:eastAsia="Times New Roman" w:hAnsi="Arial" w:cs="Arial"/>
        </w:rPr>
        <w:t>people born with</w:t>
      </w:r>
      <w:r w:rsidRPr="00030F1B">
        <w:rPr>
          <w:rFonts w:ascii="Arial" w:eastAsia="Times New Roman" w:hAnsi="Arial" w:cs="Arial"/>
        </w:rPr>
        <w:t xml:space="preserve"> variations in sex characteristics and their families and carers.</w:t>
      </w:r>
      <w:r>
        <w:rPr>
          <w:rStyle w:val="EndnoteReference"/>
          <w:rFonts w:eastAsia="Times New Roman" w:cs="Arial"/>
        </w:rPr>
        <w:endnoteReference w:id="185"/>
      </w:r>
      <w:r w:rsidRPr="00030F1B">
        <w:rPr>
          <w:rFonts w:ascii="Arial" w:eastAsia="Times New Roman" w:hAnsi="Arial" w:cs="Arial"/>
        </w:rPr>
        <w:t xml:space="preserve"> </w:t>
      </w:r>
    </w:p>
    <w:p w14:paraId="4E72FB6B" w14:textId="09468E8D" w:rsidR="007B5A3E" w:rsidRPr="00030F1B" w:rsidRDefault="007B5A3E" w:rsidP="007B5A3E">
      <w:pPr>
        <w:numPr>
          <w:ilvl w:val="0"/>
          <w:numId w:val="15"/>
        </w:numPr>
        <w:spacing w:before="240" w:after="240" w:line="240" w:lineRule="auto"/>
        <w:ind w:hanging="720"/>
        <w:rPr>
          <w:rFonts w:ascii="Arial" w:hAnsi="Arial" w:cs="Arial"/>
        </w:rPr>
      </w:pPr>
      <w:r w:rsidRPr="00030F1B">
        <w:rPr>
          <w:rFonts w:ascii="Arial" w:hAnsi="Arial" w:cs="Arial"/>
        </w:rPr>
        <w:t xml:space="preserve">While the importance of peer support is </w:t>
      </w:r>
      <w:r w:rsidR="001B11F1">
        <w:rPr>
          <w:rFonts w:ascii="Arial" w:hAnsi="Arial" w:cs="Arial"/>
        </w:rPr>
        <w:t xml:space="preserve">clinically </w:t>
      </w:r>
      <w:r w:rsidRPr="00030F1B">
        <w:rPr>
          <w:rFonts w:ascii="Arial" w:hAnsi="Arial" w:cs="Arial"/>
        </w:rPr>
        <w:t>recognised,</w:t>
      </w:r>
      <w:r w:rsidR="00282678">
        <w:rPr>
          <w:rStyle w:val="EndnoteReference"/>
          <w:rFonts w:cs="Arial"/>
        </w:rPr>
        <w:endnoteReference w:id="186"/>
      </w:r>
      <w:r w:rsidRPr="00030F1B">
        <w:rPr>
          <w:rFonts w:ascii="Arial" w:hAnsi="Arial" w:cs="Arial"/>
        </w:rPr>
        <w:t xml:space="preserve"> in practice referrals to support groups are inconsistent.</w:t>
      </w:r>
      <w:r w:rsidRPr="00030F1B">
        <w:rPr>
          <w:rStyle w:val="EndnoteReference"/>
          <w:rFonts w:cs="Arial"/>
        </w:rPr>
        <w:endnoteReference w:id="187"/>
      </w:r>
      <w:r w:rsidRPr="00030F1B">
        <w:rPr>
          <w:rFonts w:ascii="Arial" w:hAnsi="Arial" w:cs="Arial"/>
        </w:rPr>
        <w:t xml:space="preserve"> </w:t>
      </w:r>
    </w:p>
    <w:p w14:paraId="28326B30" w14:textId="360FA007" w:rsidR="005E2A01" w:rsidRPr="005E2A01" w:rsidRDefault="007B5A3E" w:rsidP="005E2A01">
      <w:pPr>
        <w:numPr>
          <w:ilvl w:val="0"/>
          <w:numId w:val="15"/>
        </w:numPr>
        <w:spacing w:before="240" w:after="240" w:line="240" w:lineRule="auto"/>
        <w:ind w:hanging="720"/>
        <w:rPr>
          <w:rFonts w:ascii="Arial" w:hAnsi="Arial" w:cs="Arial"/>
        </w:rPr>
      </w:pPr>
      <w:r w:rsidRPr="00030F1B">
        <w:rPr>
          <w:rFonts w:ascii="Arial" w:hAnsi="Arial" w:cs="Arial"/>
        </w:rPr>
        <w:t>Further, capacity and resource constraints for peer support groups and organisations in Australia remain poorly funded, with most support groups run in a voluntary capacity or with limited and short-term funding, restricting the ability of these groups to provide the support that is required.</w:t>
      </w:r>
      <w:r w:rsidRPr="00030F1B">
        <w:rPr>
          <w:rStyle w:val="EndnoteReference"/>
          <w:rFonts w:cs="Arial"/>
        </w:rPr>
        <w:endnoteReference w:id="188"/>
      </w:r>
      <w:r w:rsidRPr="00030F1B">
        <w:rPr>
          <w:rFonts w:ascii="Arial" w:hAnsi="Arial" w:cs="Arial"/>
        </w:rPr>
        <w:t xml:space="preserve"> </w:t>
      </w:r>
    </w:p>
    <w:tbl>
      <w:tblPr>
        <w:tblStyle w:val="TableGrid"/>
        <w:tblW w:w="9634" w:type="dxa"/>
        <w:tblLook w:val="04A0" w:firstRow="1" w:lastRow="0" w:firstColumn="1" w:lastColumn="0" w:noHBand="0" w:noVBand="1"/>
      </w:tblPr>
      <w:tblGrid>
        <w:gridCol w:w="9634"/>
      </w:tblGrid>
      <w:tr w:rsidR="001E7638" w:rsidRPr="00446928" w14:paraId="47BE0A5B" w14:textId="77777777" w:rsidTr="00E02F5D">
        <w:tc>
          <w:tcPr>
            <w:tcW w:w="9634" w:type="dxa"/>
          </w:tcPr>
          <w:p w14:paraId="4B2E57F5" w14:textId="77777777" w:rsidR="001E7638" w:rsidRPr="00446928" w:rsidRDefault="001E7638" w:rsidP="00BC0E21">
            <w:pPr>
              <w:keepNext/>
              <w:rPr>
                <w:rFonts w:ascii="Arial" w:hAnsi="Arial" w:cs="Arial"/>
                <w:b/>
              </w:rPr>
            </w:pPr>
            <w:r w:rsidRPr="00446928">
              <w:rPr>
                <w:rFonts w:ascii="Arial" w:hAnsi="Arial" w:cs="Arial"/>
                <w:b/>
              </w:rPr>
              <w:lastRenderedPageBreak/>
              <w:t>Key questions:</w:t>
            </w:r>
          </w:p>
          <w:p w14:paraId="12130157" w14:textId="1BA5C4F7"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5</w:t>
            </w:r>
            <w:r>
              <w:rPr>
                <w:rFonts w:ascii="Arial" w:hAnsi="Arial" w:cs="Arial"/>
              </w:rPr>
              <w:t xml:space="preserve">. </w:t>
            </w:r>
            <w:r w:rsidR="001E7638" w:rsidRPr="00446928">
              <w:rPr>
                <w:rFonts w:ascii="Arial" w:hAnsi="Arial" w:cs="Arial"/>
              </w:rPr>
              <w:t xml:space="preserve">How </w:t>
            </w:r>
            <w:proofErr w:type="gramStart"/>
            <w:r w:rsidR="001E7638" w:rsidRPr="00446928">
              <w:rPr>
                <w:rFonts w:ascii="Arial" w:hAnsi="Arial" w:cs="Arial"/>
              </w:rPr>
              <w:t xml:space="preserve">can </w:t>
            </w:r>
            <w:r w:rsidR="00241C46">
              <w:rPr>
                <w:rFonts w:ascii="Arial" w:hAnsi="Arial" w:cs="Arial"/>
              </w:rPr>
              <w:t>people born with</w:t>
            </w:r>
            <w:r w:rsidR="001E7638" w:rsidRPr="00446928">
              <w:rPr>
                <w:rFonts w:ascii="Arial" w:hAnsi="Arial" w:cs="Arial"/>
              </w:rPr>
              <w:t xml:space="preserve"> variations in sex characteristics and their families and carers</w:t>
            </w:r>
            <w:r>
              <w:rPr>
                <w:rFonts w:ascii="Arial" w:hAnsi="Arial" w:cs="Arial"/>
              </w:rPr>
              <w:t xml:space="preserve"> be more adequately supported</w:t>
            </w:r>
            <w:proofErr w:type="gramEnd"/>
            <w:r>
              <w:rPr>
                <w:rFonts w:ascii="Arial" w:hAnsi="Arial" w:cs="Arial"/>
              </w:rPr>
              <w:t>?</w:t>
            </w:r>
          </w:p>
          <w:p w14:paraId="621A80F4" w14:textId="2F976C34" w:rsidR="00F4531F" w:rsidRDefault="00F4531F" w:rsidP="00BC0E21">
            <w:pPr>
              <w:pStyle w:val="SubmissionNormal"/>
              <w:keepNext/>
              <w:numPr>
                <w:ilvl w:val="0"/>
                <w:numId w:val="0"/>
              </w:numPr>
              <w:spacing w:after="240" w:line="240" w:lineRule="auto"/>
              <w:ind w:left="360"/>
              <w:contextualSpacing/>
              <w:rPr>
                <w:rFonts w:ascii="Arial" w:hAnsi="Arial" w:cs="Arial"/>
              </w:rPr>
            </w:pPr>
          </w:p>
          <w:p w14:paraId="5F1EDE8E" w14:textId="360FE79F" w:rsidR="00F4531F" w:rsidRDefault="0016553C"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26</w:t>
            </w:r>
            <w:r w:rsidR="00F4531F">
              <w:rPr>
                <w:rFonts w:ascii="Arial" w:hAnsi="Arial" w:cs="Arial"/>
              </w:rPr>
              <w:t xml:space="preserve">. How can psychological and peer support be more integrated into </w:t>
            </w:r>
            <w:proofErr w:type="gramStart"/>
            <w:r w:rsidR="00F4531F">
              <w:rPr>
                <w:rFonts w:ascii="Arial" w:hAnsi="Arial" w:cs="Arial"/>
              </w:rPr>
              <w:t>decision making</w:t>
            </w:r>
            <w:proofErr w:type="gramEnd"/>
            <w:r w:rsidR="00F4531F">
              <w:rPr>
                <w:rFonts w:ascii="Arial" w:hAnsi="Arial" w:cs="Arial"/>
              </w:rPr>
              <w:t xml:space="preserve"> processes?</w:t>
            </w:r>
          </w:p>
          <w:p w14:paraId="599E917A" w14:textId="77777777" w:rsidR="00BD2DC5" w:rsidRDefault="00BD2DC5" w:rsidP="00BC0E21">
            <w:pPr>
              <w:pStyle w:val="SubmissionNormal"/>
              <w:keepNext/>
              <w:numPr>
                <w:ilvl w:val="0"/>
                <w:numId w:val="0"/>
              </w:numPr>
              <w:spacing w:after="240" w:line="240" w:lineRule="auto"/>
              <w:ind w:left="360"/>
              <w:contextualSpacing/>
              <w:rPr>
                <w:rFonts w:ascii="Arial" w:hAnsi="Arial" w:cs="Arial"/>
              </w:rPr>
            </w:pPr>
          </w:p>
          <w:p w14:paraId="565B4B8C" w14:textId="0F244343"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7</w:t>
            </w:r>
            <w:r>
              <w:rPr>
                <w:rFonts w:ascii="Arial" w:hAnsi="Arial" w:cs="Arial"/>
              </w:rPr>
              <w:t xml:space="preserve">. </w:t>
            </w:r>
            <w:r w:rsidR="001E7638" w:rsidRPr="00446928">
              <w:rPr>
                <w:rFonts w:ascii="Arial" w:hAnsi="Arial" w:cs="Arial"/>
              </w:rPr>
              <w:t xml:space="preserve">What barriers exist to </w:t>
            </w:r>
            <w:r w:rsidR="00F47276">
              <w:rPr>
                <w:rFonts w:ascii="Arial" w:hAnsi="Arial" w:cs="Arial"/>
              </w:rPr>
              <w:t>connecting</w:t>
            </w:r>
            <w:r w:rsidR="00F47276" w:rsidRPr="00446928">
              <w:rPr>
                <w:rFonts w:ascii="Arial" w:hAnsi="Arial" w:cs="Arial"/>
              </w:rPr>
              <w:t xml:space="preserve"> </w:t>
            </w:r>
            <w:r w:rsidR="001E7638" w:rsidRPr="00446928">
              <w:rPr>
                <w:rFonts w:ascii="Arial" w:hAnsi="Arial" w:cs="Arial"/>
              </w:rPr>
              <w:t>individuals to support services?</w:t>
            </w:r>
          </w:p>
          <w:p w14:paraId="0D9CAD51" w14:textId="77777777" w:rsidR="00BD2DC5" w:rsidRDefault="00BD2DC5" w:rsidP="00BC0E21">
            <w:pPr>
              <w:pStyle w:val="SubmissionNormal"/>
              <w:keepNext/>
              <w:numPr>
                <w:ilvl w:val="0"/>
                <w:numId w:val="0"/>
              </w:numPr>
              <w:spacing w:after="240" w:line="240" w:lineRule="auto"/>
              <w:ind w:left="360"/>
              <w:contextualSpacing/>
              <w:rPr>
                <w:rFonts w:ascii="Arial" w:hAnsi="Arial" w:cs="Arial"/>
              </w:rPr>
            </w:pPr>
          </w:p>
          <w:p w14:paraId="74AA83F4" w14:textId="36DF7BFE" w:rsidR="00BD2DC5" w:rsidRDefault="00BD2DC5" w:rsidP="00BC0E21">
            <w:pPr>
              <w:pStyle w:val="SubmissionNormal"/>
              <w:keepNext/>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8</w:t>
            </w:r>
            <w:r>
              <w:rPr>
                <w:rFonts w:ascii="Arial" w:hAnsi="Arial" w:cs="Arial"/>
              </w:rPr>
              <w:t xml:space="preserve">. </w:t>
            </w:r>
            <w:r w:rsidR="001E7638" w:rsidRPr="00446928">
              <w:rPr>
                <w:rFonts w:ascii="Arial" w:hAnsi="Arial" w:cs="Arial"/>
              </w:rPr>
              <w:t>What barriers exist for individuals</w:t>
            </w:r>
            <w:r>
              <w:rPr>
                <w:rFonts w:ascii="Arial" w:hAnsi="Arial" w:cs="Arial"/>
              </w:rPr>
              <w:t xml:space="preserve"> in accessing support services?</w:t>
            </w:r>
          </w:p>
          <w:p w14:paraId="27488384" w14:textId="77777777" w:rsidR="00BD2DC5" w:rsidRDefault="00BD2DC5" w:rsidP="00BD2DC5">
            <w:pPr>
              <w:pStyle w:val="SubmissionNormal"/>
              <w:numPr>
                <w:ilvl w:val="0"/>
                <w:numId w:val="0"/>
              </w:numPr>
              <w:spacing w:after="240" w:line="240" w:lineRule="auto"/>
              <w:ind w:left="360"/>
              <w:contextualSpacing/>
              <w:rPr>
                <w:rFonts w:ascii="Arial" w:hAnsi="Arial" w:cs="Arial"/>
              </w:rPr>
            </w:pPr>
          </w:p>
          <w:p w14:paraId="11B78034" w14:textId="4CB1F6D4" w:rsidR="001E7638" w:rsidRPr="00446928" w:rsidRDefault="00BD2DC5" w:rsidP="0016553C">
            <w:pPr>
              <w:pStyle w:val="SubmissionNormal"/>
              <w:numPr>
                <w:ilvl w:val="0"/>
                <w:numId w:val="0"/>
              </w:numPr>
              <w:spacing w:after="240" w:line="240" w:lineRule="auto"/>
              <w:ind w:left="360"/>
              <w:contextualSpacing/>
              <w:rPr>
                <w:rFonts w:ascii="Arial" w:hAnsi="Arial" w:cs="Arial"/>
              </w:rPr>
            </w:pPr>
            <w:r>
              <w:rPr>
                <w:rFonts w:ascii="Arial" w:hAnsi="Arial" w:cs="Arial"/>
              </w:rPr>
              <w:t>2</w:t>
            </w:r>
            <w:r w:rsidR="0016553C">
              <w:rPr>
                <w:rFonts w:ascii="Arial" w:hAnsi="Arial" w:cs="Arial"/>
              </w:rPr>
              <w:t>9</w:t>
            </w:r>
            <w:r>
              <w:rPr>
                <w:rFonts w:ascii="Arial" w:hAnsi="Arial" w:cs="Arial"/>
              </w:rPr>
              <w:t xml:space="preserve">. </w:t>
            </w:r>
            <w:r w:rsidR="001E7638" w:rsidRPr="00446928">
              <w:rPr>
                <w:rFonts w:ascii="Arial" w:hAnsi="Arial" w:cs="Arial"/>
              </w:rPr>
              <w:t xml:space="preserve">How can peer support groups and organisations </w:t>
            </w:r>
            <w:proofErr w:type="gramStart"/>
            <w:r w:rsidR="001E7638" w:rsidRPr="00446928">
              <w:rPr>
                <w:rFonts w:ascii="Arial" w:hAnsi="Arial" w:cs="Arial"/>
              </w:rPr>
              <w:t>be adeq</w:t>
            </w:r>
            <w:r>
              <w:rPr>
                <w:rFonts w:ascii="Arial" w:hAnsi="Arial" w:cs="Arial"/>
              </w:rPr>
              <w:t>uately resourced and supported</w:t>
            </w:r>
            <w:proofErr w:type="gramEnd"/>
            <w:r>
              <w:rPr>
                <w:rFonts w:ascii="Arial" w:hAnsi="Arial" w:cs="Arial"/>
              </w:rPr>
              <w:t>?</w:t>
            </w:r>
          </w:p>
        </w:tc>
      </w:tr>
    </w:tbl>
    <w:p w14:paraId="60A01920" w14:textId="77777777" w:rsidR="001E7638" w:rsidRPr="00446928" w:rsidRDefault="001E7638" w:rsidP="001E7638">
      <w:pPr>
        <w:rPr>
          <w:rFonts w:ascii="Arial" w:hAnsi="Arial" w:cs="Arial"/>
          <w:bCs/>
          <w:szCs w:val="26"/>
        </w:rPr>
      </w:pPr>
    </w:p>
    <w:p w14:paraId="78F0D92E" w14:textId="77777777" w:rsidR="001E7638" w:rsidRPr="00446928" w:rsidRDefault="001E7638" w:rsidP="001E7638">
      <w:pPr>
        <w:keepNext/>
        <w:keepLines/>
        <w:numPr>
          <w:ilvl w:val="1"/>
          <w:numId w:val="1"/>
        </w:numPr>
        <w:spacing w:before="360" w:after="240" w:line="240" w:lineRule="auto"/>
        <w:outlineLvl w:val="1"/>
        <w:rPr>
          <w:rFonts w:ascii="Arial" w:hAnsi="Arial" w:cs="Arial"/>
          <w:b/>
          <w:i/>
          <w:color w:val="000000"/>
        </w:rPr>
      </w:pPr>
      <w:bookmarkStart w:id="72" w:name="_Toc507585878"/>
      <w:bookmarkStart w:id="73" w:name="_Toc518984808"/>
      <w:r w:rsidRPr="00446928">
        <w:rPr>
          <w:rFonts w:ascii="Arial" w:hAnsi="Arial" w:cs="Arial"/>
          <w:b/>
          <w:i/>
          <w:color w:val="000000"/>
        </w:rPr>
        <w:t>How can I contribute to this work?</w:t>
      </w:r>
      <w:bookmarkEnd w:id="72"/>
      <w:bookmarkEnd w:id="73"/>
    </w:p>
    <w:p w14:paraId="4AC8C3E1" w14:textId="4C1690A9"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You can contribute to the Commission</w:t>
      </w:r>
      <w:r w:rsidR="00F87239">
        <w:rPr>
          <w:rFonts w:ascii="Arial" w:eastAsia="Times New Roman" w:hAnsi="Arial" w:cs="Arial"/>
        </w:rPr>
        <w:t>’</w:t>
      </w:r>
      <w:r w:rsidRPr="00446928">
        <w:rPr>
          <w:rFonts w:ascii="Arial" w:eastAsia="Times New Roman" w:hAnsi="Arial" w:cs="Arial"/>
        </w:rPr>
        <w:t>s work in one or more of the following ways:</w:t>
      </w:r>
    </w:p>
    <w:p w14:paraId="130F667B" w14:textId="77777777" w:rsidR="001E7638" w:rsidRPr="00446928" w:rsidRDefault="001E7638" w:rsidP="00305DFD">
      <w:pPr>
        <w:numPr>
          <w:ilvl w:val="0"/>
          <w:numId w:val="22"/>
        </w:numPr>
        <w:spacing w:before="120" w:after="120" w:line="240" w:lineRule="auto"/>
        <w:ind w:left="1434" w:hanging="357"/>
        <w:rPr>
          <w:rFonts w:ascii="Arial" w:eastAsia="Times New Roman" w:hAnsi="Arial" w:cs="Arial"/>
        </w:rPr>
      </w:pPr>
      <w:r w:rsidRPr="00446928">
        <w:rPr>
          <w:rFonts w:ascii="Arial" w:eastAsia="Times New Roman" w:hAnsi="Arial" w:cs="Arial"/>
        </w:rPr>
        <w:t>making a written submission</w:t>
      </w:r>
    </w:p>
    <w:p w14:paraId="07DB5824" w14:textId="77777777" w:rsidR="001E7638" w:rsidRPr="00446928" w:rsidRDefault="001E7638" w:rsidP="00305DFD">
      <w:pPr>
        <w:numPr>
          <w:ilvl w:val="0"/>
          <w:numId w:val="22"/>
        </w:numPr>
        <w:spacing w:before="120" w:after="120" w:line="240" w:lineRule="auto"/>
        <w:ind w:left="1434" w:hanging="357"/>
        <w:rPr>
          <w:rFonts w:ascii="Arial" w:eastAsia="Times New Roman" w:hAnsi="Arial" w:cs="Arial"/>
        </w:rPr>
      </w:pPr>
      <w:r w:rsidRPr="00446928">
        <w:rPr>
          <w:rFonts w:ascii="Arial" w:eastAsia="Times New Roman" w:hAnsi="Arial" w:cs="Arial"/>
        </w:rPr>
        <w:t>participating in a face-to-face consultation</w:t>
      </w:r>
    </w:p>
    <w:p w14:paraId="04D120D1" w14:textId="50670AA4"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 xml:space="preserve">The information collected by the Commission </w:t>
      </w:r>
      <w:proofErr w:type="gramStart"/>
      <w:r w:rsidRPr="00446928">
        <w:rPr>
          <w:rFonts w:ascii="Arial" w:eastAsia="Times New Roman" w:hAnsi="Arial" w:cs="Arial"/>
        </w:rPr>
        <w:t>may be drawn upon, quoted or referred to in the Commission</w:t>
      </w:r>
      <w:r w:rsidR="00F87239">
        <w:rPr>
          <w:rFonts w:ascii="Arial" w:eastAsia="Times New Roman" w:hAnsi="Arial" w:cs="Arial"/>
        </w:rPr>
        <w:t>’</w:t>
      </w:r>
      <w:r w:rsidRPr="00446928">
        <w:rPr>
          <w:rFonts w:ascii="Arial" w:eastAsia="Times New Roman" w:hAnsi="Arial" w:cs="Arial"/>
        </w:rPr>
        <w:t>s future publications</w:t>
      </w:r>
      <w:proofErr w:type="gramEnd"/>
      <w:r w:rsidRPr="00446928">
        <w:rPr>
          <w:rFonts w:ascii="Arial" w:eastAsia="Times New Roman" w:hAnsi="Arial" w:cs="Arial"/>
        </w:rPr>
        <w:t>. The Commission</w:t>
      </w:r>
      <w:r w:rsidR="00F87239">
        <w:rPr>
          <w:rFonts w:ascii="Arial" w:eastAsia="Times New Roman" w:hAnsi="Arial" w:cs="Arial"/>
        </w:rPr>
        <w:t>’</w:t>
      </w:r>
      <w:r w:rsidRPr="00446928">
        <w:rPr>
          <w:rFonts w:ascii="Arial" w:eastAsia="Times New Roman" w:hAnsi="Arial" w:cs="Arial"/>
        </w:rPr>
        <w:t xml:space="preserve">s submission policy provides further information on the use, publication and access to submissions. The submission policy is located </w:t>
      </w:r>
      <w:proofErr w:type="gramStart"/>
      <w:r w:rsidRPr="00446928">
        <w:rPr>
          <w:rFonts w:ascii="Arial" w:eastAsia="Times New Roman" w:hAnsi="Arial" w:cs="Arial"/>
        </w:rPr>
        <w:t>at:</w:t>
      </w:r>
      <w:proofErr w:type="gramEnd"/>
      <w:r w:rsidRPr="00446928">
        <w:rPr>
          <w:rFonts w:ascii="Arial" w:eastAsia="Times New Roman" w:hAnsi="Arial" w:cs="Arial"/>
        </w:rPr>
        <w:t xml:space="preserve"> </w:t>
      </w:r>
      <w:hyperlink r:id="rId13" w:history="1">
        <w:r w:rsidRPr="00446928">
          <w:rPr>
            <w:rFonts w:ascii="Arial" w:eastAsia="Times New Roman" w:hAnsi="Arial" w:cs="Arial"/>
            <w:color w:val="0000FF"/>
            <w:u w:val="single"/>
          </w:rPr>
          <w:t>https://www.humanrights.gov.au/submission-policy</w:t>
        </w:r>
      </w:hyperlink>
      <w:r w:rsidRPr="00446928">
        <w:rPr>
          <w:rFonts w:ascii="Arial" w:eastAsia="Times New Roman" w:hAnsi="Arial" w:cs="Arial"/>
        </w:rPr>
        <w:t xml:space="preserve">. </w:t>
      </w:r>
    </w:p>
    <w:p w14:paraId="65E4AD31" w14:textId="417637F5" w:rsidR="001E7638" w:rsidRPr="00E218FF" w:rsidRDefault="001E7638" w:rsidP="00E218FF">
      <w:pPr>
        <w:numPr>
          <w:ilvl w:val="0"/>
          <w:numId w:val="15"/>
        </w:numPr>
        <w:spacing w:before="240" w:after="240" w:line="240" w:lineRule="auto"/>
        <w:ind w:hanging="720"/>
        <w:rPr>
          <w:rFonts w:ascii="Arial" w:eastAsia="Times New Roman" w:hAnsi="Arial" w:cs="Arial"/>
        </w:rPr>
      </w:pPr>
      <w:r w:rsidRPr="00E218FF">
        <w:rPr>
          <w:rFonts w:ascii="Arial" w:eastAsia="Times New Roman" w:hAnsi="Arial" w:cs="Arial"/>
        </w:rPr>
        <w:t>Details on the consultations and submission process, including relevant dates, and further information about the Commission</w:t>
      </w:r>
      <w:r w:rsidR="00F87239">
        <w:rPr>
          <w:rFonts w:ascii="Arial" w:eastAsia="Times New Roman" w:hAnsi="Arial" w:cs="Arial"/>
        </w:rPr>
        <w:t>’</w:t>
      </w:r>
      <w:r w:rsidRPr="00E218FF">
        <w:rPr>
          <w:rFonts w:ascii="Arial" w:eastAsia="Times New Roman" w:hAnsi="Arial" w:cs="Arial"/>
        </w:rPr>
        <w:t xml:space="preserve">s work </w:t>
      </w:r>
      <w:proofErr w:type="gramStart"/>
      <w:r w:rsidRPr="00E218FF">
        <w:rPr>
          <w:rFonts w:ascii="Arial" w:eastAsia="Times New Roman" w:hAnsi="Arial" w:cs="Arial"/>
        </w:rPr>
        <w:t>can be found</w:t>
      </w:r>
      <w:proofErr w:type="gramEnd"/>
      <w:r w:rsidRPr="00E218FF">
        <w:rPr>
          <w:rFonts w:ascii="Arial" w:eastAsia="Times New Roman" w:hAnsi="Arial" w:cs="Arial"/>
        </w:rPr>
        <w:t xml:space="preserve"> at </w:t>
      </w:r>
      <w:r w:rsidR="00E218FF" w:rsidRPr="00E218FF">
        <w:rPr>
          <w:rFonts w:ascii="Arial" w:eastAsia="Times New Roman" w:hAnsi="Arial" w:cs="Arial"/>
        </w:rPr>
        <w:t>https://www.humanrights.gov.au/our-work/sexual-orientation-gender-identity-intersex-status/projects/protecting-human-rights-peopl-0</w:t>
      </w:r>
      <w:r w:rsidRPr="00E218FF">
        <w:rPr>
          <w:rFonts w:ascii="Arial" w:eastAsia="Times New Roman" w:hAnsi="Arial" w:cs="Arial"/>
        </w:rPr>
        <w:t>.</w:t>
      </w:r>
    </w:p>
    <w:p w14:paraId="10D524A5" w14:textId="6F4D8745" w:rsidR="001E7638" w:rsidRPr="00446928" w:rsidRDefault="001E7638" w:rsidP="001E7638">
      <w:pPr>
        <w:numPr>
          <w:ilvl w:val="0"/>
          <w:numId w:val="15"/>
        </w:numPr>
        <w:spacing w:before="240" w:after="240" w:line="240" w:lineRule="auto"/>
        <w:ind w:hanging="720"/>
        <w:rPr>
          <w:rFonts w:ascii="Arial" w:eastAsia="Times New Roman" w:hAnsi="Arial" w:cs="Arial"/>
        </w:rPr>
      </w:pPr>
      <w:r w:rsidRPr="00446928">
        <w:rPr>
          <w:rFonts w:ascii="Arial" w:eastAsia="Times New Roman" w:hAnsi="Arial" w:cs="Arial"/>
        </w:rPr>
        <w:t>To contact the Commission about this work, you can phone (02) 9284 96</w:t>
      </w:r>
      <w:r w:rsidR="00E218FF">
        <w:rPr>
          <w:rFonts w:ascii="Arial" w:eastAsia="Times New Roman" w:hAnsi="Arial" w:cs="Arial"/>
        </w:rPr>
        <w:t>5</w:t>
      </w:r>
      <w:r w:rsidRPr="00446928">
        <w:rPr>
          <w:rFonts w:ascii="Arial" w:eastAsia="Times New Roman" w:hAnsi="Arial" w:cs="Arial"/>
        </w:rPr>
        <w:t xml:space="preserve">0 or send an email to </w:t>
      </w:r>
      <w:hyperlink r:id="rId14" w:history="1">
        <w:r w:rsidRPr="00446928">
          <w:rPr>
            <w:rFonts w:ascii="Arial" w:eastAsia="Times New Roman" w:hAnsi="Arial" w:cs="Arial"/>
            <w:color w:val="0000FF"/>
            <w:u w:val="single"/>
          </w:rPr>
          <w:t>sogii@humanrights.gov.au</w:t>
        </w:r>
      </w:hyperlink>
      <w:r w:rsidRPr="00446928">
        <w:rPr>
          <w:rFonts w:ascii="Arial" w:eastAsia="Times New Roman" w:hAnsi="Arial" w:cs="Arial"/>
        </w:rPr>
        <w:t xml:space="preserve">. </w:t>
      </w:r>
    </w:p>
    <w:p w14:paraId="5BEB7A5F" w14:textId="77777777" w:rsidR="001E7638" w:rsidRPr="00446928" w:rsidRDefault="001E7638" w:rsidP="001E7638">
      <w:pPr>
        <w:rPr>
          <w:rFonts w:ascii="Arial" w:eastAsia="Times New Roman" w:hAnsi="Arial" w:cs="Arial"/>
        </w:rPr>
      </w:pPr>
    </w:p>
    <w:p w14:paraId="73C283B2" w14:textId="77777777" w:rsidR="001E7638" w:rsidRPr="00446928" w:rsidRDefault="001E7638" w:rsidP="001E7638">
      <w:pPr>
        <w:keepNext/>
        <w:keepLines/>
        <w:spacing w:after="0"/>
        <w:outlineLvl w:val="0"/>
        <w:rPr>
          <w:rFonts w:ascii="Arial" w:hAnsi="Arial" w:cs="Arial"/>
          <w:b/>
          <w:bCs/>
        </w:rPr>
      </w:pPr>
      <w:bookmarkStart w:id="74" w:name="_Toc162769295"/>
      <w:bookmarkStart w:id="75" w:name="_Toc207761836"/>
      <w:bookmarkStart w:id="76" w:name="_Toc209578272"/>
      <w:bookmarkStart w:id="77" w:name="_Toc469835842"/>
      <w:r w:rsidRPr="00446928">
        <w:rPr>
          <w:rFonts w:ascii="Arial" w:hAnsi="Arial" w:cs="Arial"/>
          <w:b/>
          <w:bCs/>
        </w:rPr>
        <w:br w:type="page"/>
      </w:r>
      <w:bookmarkEnd w:id="74"/>
      <w:bookmarkEnd w:id="75"/>
      <w:bookmarkEnd w:id="76"/>
      <w:bookmarkEnd w:id="77"/>
    </w:p>
    <w:p w14:paraId="630CE54F" w14:textId="34B47F89" w:rsidR="001C64AD" w:rsidRPr="002B2829" w:rsidRDefault="001E7638" w:rsidP="00FC1722">
      <w:pPr>
        <w:keepNext/>
        <w:keepLines/>
        <w:numPr>
          <w:ilvl w:val="0"/>
          <w:numId w:val="1"/>
        </w:numPr>
        <w:spacing w:before="360" w:after="240" w:line="240" w:lineRule="auto"/>
        <w:outlineLvl w:val="0"/>
        <w:rPr>
          <w:rFonts w:ascii="Arial" w:hAnsi="Arial" w:cs="Arial"/>
          <w:b/>
          <w:bCs/>
          <w:sz w:val="28"/>
          <w:szCs w:val="28"/>
        </w:rPr>
      </w:pPr>
      <w:bookmarkStart w:id="78" w:name="_Toc507585879"/>
      <w:bookmarkStart w:id="79" w:name="_Toc518984809"/>
      <w:r w:rsidRPr="002B2829">
        <w:rPr>
          <w:rFonts w:ascii="Arial" w:hAnsi="Arial" w:cs="Arial"/>
          <w:b/>
          <w:bCs/>
          <w:sz w:val="28"/>
          <w:szCs w:val="28"/>
        </w:rPr>
        <w:lastRenderedPageBreak/>
        <w:t>Discussion Questions</w:t>
      </w:r>
      <w:bookmarkEnd w:id="78"/>
      <w:bookmarkEnd w:id="79"/>
    </w:p>
    <w:p w14:paraId="0547D78E" w14:textId="07A1BE44" w:rsidR="00FC1722" w:rsidRDefault="001D7436" w:rsidP="00FC1722">
      <w:pPr>
        <w:rPr>
          <w:rFonts w:ascii="Arial" w:hAnsi="Arial" w:cs="Arial"/>
          <w:b/>
          <w:i/>
        </w:rPr>
      </w:pPr>
      <w:r>
        <w:rPr>
          <w:rFonts w:ascii="Arial" w:hAnsi="Arial" w:cs="Arial"/>
          <w:b/>
          <w:i/>
        </w:rPr>
        <w:t>Terminology</w:t>
      </w:r>
    </w:p>
    <w:p w14:paraId="5D6E440D" w14:textId="542346A2" w:rsidR="008065E2" w:rsidRPr="00FC1722" w:rsidRDefault="00617833" w:rsidP="00832629">
      <w:pPr>
        <w:pStyle w:val="ListParagraph"/>
        <w:numPr>
          <w:ilvl w:val="0"/>
          <w:numId w:val="28"/>
        </w:numPr>
        <w:rPr>
          <w:rFonts w:ascii="Arial" w:hAnsi="Arial" w:cs="Arial"/>
          <w:b/>
          <w:i/>
        </w:rPr>
      </w:pPr>
      <w:r>
        <w:rPr>
          <w:rFonts w:ascii="Arial" w:hAnsi="Arial" w:cs="Arial"/>
        </w:rPr>
        <w:t>Is</w:t>
      </w:r>
      <w:r w:rsidRPr="005D78F7">
        <w:rPr>
          <w:rFonts w:ascii="Arial" w:hAnsi="Arial" w:cs="Arial"/>
        </w:rPr>
        <w:t xml:space="preserve"> the term </w:t>
      </w:r>
      <w:r w:rsidR="00F87239">
        <w:rPr>
          <w:rFonts w:ascii="Arial" w:hAnsi="Arial" w:cs="Arial"/>
        </w:rPr>
        <w:t>‘</w:t>
      </w:r>
      <w:r>
        <w:rPr>
          <w:rFonts w:ascii="Arial" w:hAnsi="Arial" w:cs="Arial"/>
        </w:rPr>
        <w:t>people born with</w:t>
      </w:r>
      <w:r w:rsidRPr="005D78F7">
        <w:rPr>
          <w:rFonts w:ascii="Arial" w:hAnsi="Arial" w:cs="Arial"/>
        </w:rPr>
        <w:t xml:space="preserve"> variations in sex characteristics</w:t>
      </w:r>
      <w:r w:rsidR="00F87239">
        <w:rPr>
          <w:rFonts w:ascii="Arial" w:hAnsi="Arial" w:cs="Arial"/>
        </w:rPr>
        <w:t>’</w:t>
      </w:r>
      <w:r>
        <w:rPr>
          <w:rFonts w:ascii="Arial" w:hAnsi="Arial" w:cs="Arial"/>
        </w:rPr>
        <w:t xml:space="preserve"> </w:t>
      </w:r>
      <w:r w:rsidRPr="005D78F7">
        <w:rPr>
          <w:rFonts w:ascii="Arial" w:hAnsi="Arial" w:cs="Arial"/>
        </w:rPr>
        <w:t xml:space="preserve">appropriate, or is there a better </w:t>
      </w:r>
      <w:r>
        <w:rPr>
          <w:rFonts w:ascii="Arial" w:hAnsi="Arial" w:cs="Arial"/>
        </w:rPr>
        <w:t>way</w:t>
      </w:r>
      <w:r w:rsidRPr="005D78F7">
        <w:rPr>
          <w:rFonts w:ascii="Arial" w:hAnsi="Arial" w:cs="Arial"/>
        </w:rPr>
        <w:t xml:space="preserve"> to describe the </w:t>
      </w:r>
      <w:r>
        <w:rPr>
          <w:rFonts w:ascii="Arial" w:hAnsi="Arial" w:cs="Arial"/>
        </w:rPr>
        <w:t>people</w:t>
      </w:r>
      <w:r w:rsidRPr="005D78F7">
        <w:rPr>
          <w:rFonts w:ascii="Arial" w:hAnsi="Arial" w:cs="Arial"/>
        </w:rPr>
        <w:t xml:space="preserve"> who are the subj</w:t>
      </w:r>
      <w:r w:rsidR="002B4111">
        <w:rPr>
          <w:rFonts w:ascii="Arial" w:hAnsi="Arial" w:cs="Arial"/>
        </w:rPr>
        <w:t>ect of this Consultation Paper?</w:t>
      </w:r>
    </w:p>
    <w:p w14:paraId="23234BFD" w14:textId="2368F3A9" w:rsidR="008065E2" w:rsidRPr="00A5498B" w:rsidRDefault="00A5498B" w:rsidP="00A5498B">
      <w:pPr>
        <w:rPr>
          <w:rFonts w:ascii="Arial" w:hAnsi="Arial" w:cs="Arial"/>
          <w:b/>
          <w:i/>
        </w:rPr>
      </w:pPr>
      <w:r>
        <w:rPr>
          <w:rFonts w:ascii="Arial" w:hAnsi="Arial" w:cs="Arial"/>
          <w:b/>
          <w:i/>
        </w:rPr>
        <w:t>Understanding lived experiences</w:t>
      </w:r>
    </w:p>
    <w:p w14:paraId="1FAF8917" w14:textId="7329D4BC" w:rsidR="00617833" w:rsidRPr="00617833" w:rsidRDefault="00617833" w:rsidP="00832629">
      <w:pPr>
        <w:pStyle w:val="ListParagraph"/>
        <w:numPr>
          <w:ilvl w:val="0"/>
          <w:numId w:val="28"/>
        </w:numPr>
        <w:spacing w:after="240" w:line="240" w:lineRule="auto"/>
        <w:rPr>
          <w:rFonts w:ascii="Arial" w:hAnsi="Arial" w:cs="Arial"/>
        </w:rPr>
      </w:pPr>
      <w:r w:rsidRPr="00617833">
        <w:rPr>
          <w:rFonts w:ascii="Arial" w:hAnsi="Arial" w:cs="Arial"/>
        </w:rPr>
        <w:t xml:space="preserve">Broadly, how would you describe your experiences in the context of medical interventions? </w:t>
      </w:r>
    </w:p>
    <w:p w14:paraId="2C2AF3D3" w14:textId="77777777" w:rsidR="00617833" w:rsidRPr="00617833" w:rsidRDefault="00617833" w:rsidP="00617833">
      <w:pPr>
        <w:pStyle w:val="ListParagraph"/>
        <w:spacing w:after="240" w:line="240" w:lineRule="auto"/>
        <w:rPr>
          <w:rFonts w:ascii="Arial" w:hAnsi="Arial" w:cs="Arial"/>
        </w:rPr>
      </w:pPr>
    </w:p>
    <w:p w14:paraId="06D8AF89" w14:textId="4F206B20" w:rsidR="00617833" w:rsidRPr="00617833" w:rsidRDefault="00617833" w:rsidP="00832629">
      <w:pPr>
        <w:pStyle w:val="ListParagraph"/>
        <w:numPr>
          <w:ilvl w:val="0"/>
          <w:numId w:val="28"/>
        </w:numPr>
        <w:spacing w:after="240" w:line="240" w:lineRule="auto"/>
        <w:rPr>
          <w:rFonts w:ascii="Arial" w:hAnsi="Arial" w:cs="Arial"/>
        </w:rPr>
      </w:pPr>
      <w:r w:rsidRPr="00617833">
        <w:rPr>
          <w:rFonts w:ascii="Arial" w:hAnsi="Arial" w:cs="Arial"/>
        </w:rPr>
        <w:t>What are the current Australian sources of information and education about the experiences of people born with variations in sex characteristics?</w:t>
      </w:r>
    </w:p>
    <w:p w14:paraId="41D2D1FE" w14:textId="77777777" w:rsidR="00617833" w:rsidRPr="00617833" w:rsidRDefault="00617833" w:rsidP="00617833">
      <w:pPr>
        <w:pStyle w:val="ListParagraph"/>
        <w:spacing w:after="240" w:line="240" w:lineRule="auto"/>
        <w:rPr>
          <w:rFonts w:ascii="Arial" w:hAnsi="Arial" w:cs="Arial"/>
        </w:rPr>
      </w:pPr>
    </w:p>
    <w:p w14:paraId="50813BAA" w14:textId="257E2433" w:rsidR="00A5498B" w:rsidRPr="00617833" w:rsidRDefault="00617833" w:rsidP="00832629">
      <w:pPr>
        <w:pStyle w:val="ListParagraph"/>
        <w:numPr>
          <w:ilvl w:val="0"/>
          <w:numId w:val="28"/>
        </w:numPr>
        <w:spacing w:after="240" w:line="240" w:lineRule="auto"/>
        <w:rPr>
          <w:rFonts w:ascii="Arial" w:hAnsi="Arial" w:cs="Arial"/>
        </w:rPr>
      </w:pPr>
      <w:r w:rsidRPr="00617833">
        <w:rPr>
          <w:rFonts w:ascii="Arial" w:hAnsi="Arial" w:cs="Arial"/>
        </w:rPr>
        <w:t>Are there gaps and/or inconsistencies in sources of information and education that are available about the experiences of people born with variations in sex characteristics? If so, what is the impact of this?</w:t>
      </w:r>
    </w:p>
    <w:p w14:paraId="2990C037" w14:textId="045791A0" w:rsidR="008065E2" w:rsidRPr="008065E2" w:rsidRDefault="008065E2" w:rsidP="008065E2">
      <w:pPr>
        <w:spacing w:after="240" w:line="240" w:lineRule="auto"/>
        <w:rPr>
          <w:rFonts w:ascii="Arial" w:hAnsi="Arial" w:cs="Arial"/>
        </w:rPr>
      </w:pPr>
      <w:r w:rsidRPr="00446928">
        <w:rPr>
          <w:rFonts w:ascii="Arial" w:hAnsi="Arial" w:cs="Arial"/>
          <w:b/>
          <w:i/>
        </w:rPr>
        <w:t>Consent</w:t>
      </w:r>
    </w:p>
    <w:p w14:paraId="28840842" w14:textId="0384AD75" w:rsidR="00617833" w:rsidRDefault="00617833" w:rsidP="00832629">
      <w:pPr>
        <w:pStyle w:val="ListParagraph"/>
        <w:numPr>
          <w:ilvl w:val="0"/>
          <w:numId w:val="28"/>
        </w:numPr>
        <w:spacing w:after="240" w:line="240" w:lineRule="auto"/>
        <w:rPr>
          <w:rFonts w:ascii="Arial" w:hAnsi="Arial" w:cs="Arial"/>
        </w:rPr>
      </w:pPr>
      <w:r w:rsidRPr="007F1726">
        <w:rPr>
          <w:rFonts w:ascii="Arial" w:hAnsi="Arial" w:cs="Arial"/>
        </w:rPr>
        <w:t xml:space="preserve">How is the consent of a person </w:t>
      </w:r>
      <w:r>
        <w:rPr>
          <w:rFonts w:ascii="Arial" w:hAnsi="Arial" w:cs="Arial"/>
        </w:rPr>
        <w:t>born with a</w:t>
      </w:r>
      <w:r w:rsidRPr="007F1726">
        <w:rPr>
          <w:rFonts w:ascii="Arial" w:hAnsi="Arial" w:cs="Arial"/>
        </w:rPr>
        <w:t xml:space="preserve"> variation in sex characteristics currently sought prior to a medical intervention?</w:t>
      </w:r>
      <w:r>
        <w:rPr>
          <w:rFonts w:ascii="Arial" w:hAnsi="Arial" w:cs="Arial"/>
        </w:rPr>
        <w:br/>
      </w:r>
    </w:p>
    <w:p w14:paraId="50C1EADA" w14:textId="16A5A078" w:rsidR="00C33692" w:rsidRDefault="00617833" w:rsidP="00C33692">
      <w:pPr>
        <w:pStyle w:val="ListParagraph"/>
        <w:numPr>
          <w:ilvl w:val="0"/>
          <w:numId w:val="28"/>
        </w:numPr>
        <w:spacing w:after="240" w:line="240" w:lineRule="auto"/>
        <w:rPr>
          <w:rFonts w:ascii="Arial" w:hAnsi="Arial" w:cs="Arial"/>
        </w:rPr>
      </w:pPr>
      <w:r w:rsidRPr="007F1726">
        <w:rPr>
          <w:rFonts w:ascii="Arial" w:hAnsi="Arial" w:cs="Arial"/>
        </w:rPr>
        <w:t xml:space="preserve">How do current guidelines or protocols relating to the medical management of </w:t>
      </w:r>
      <w:r>
        <w:rPr>
          <w:rFonts w:ascii="Arial" w:hAnsi="Arial" w:cs="Arial"/>
        </w:rPr>
        <w:t>people born with</w:t>
      </w:r>
      <w:r w:rsidRPr="007F1726">
        <w:rPr>
          <w:rFonts w:ascii="Arial" w:hAnsi="Arial" w:cs="Arial"/>
        </w:rPr>
        <w:t xml:space="preserve"> variations in sex characteristics deal with the issue of consent, including the ability to withdraw any consent given at any time?</w:t>
      </w:r>
    </w:p>
    <w:p w14:paraId="6B09DEA7" w14:textId="77777777" w:rsidR="00C33692" w:rsidRPr="00C33692" w:rsidRDefault="00C33692" w:rsidP="00C33692">
      <w:pPr>
        <w:pStyle w:val="ListParagraph"/>
        <w:spacing w:after="240" w:line="240" w:lineRule="auto"/>
        <w:rPr>
          <w:rFonts w:ascii="Arial" w:hAnsi="Arial" w:cs="Arial"/>
        </w:rPr>
      </w:pPr>
    </w:p>
    <w:p w14:paraId="11601382" w14:textId="4D82AEA2" w:rsidR="00617833" w:rsidRDefault="00617833" w:rsidP="00832629">
      <w:pPr>
        <w:pStyle w:val="ListParagraph"/>
        <w:numPr>
          <w:ilvl w:val="0"/>
          <w:numId w:val="28"/>
        </w:numPr>
        <w:spacing w:after="240" w:line="240" w:lineRule="auto"/>
        <w:rPr>
          <w:rFonts w:ascii="Arial" w:hAnsi="Arial" w:cs="Arial"/>
        </w:rPr>
      </w:pPr>
      <w:r w:rsidRPr="007F1726">
        <w:rPr>
          <w:rFonts w:ascii="Arial" w:hAnsi="Arial" w:cs="Arial"/>
        </w:rPr>
        <w:t>What practices/safeguards are in place to ensure any consent obtained remains in</w:t>
      </w:r>
      <w:r>
        <w:rPr>
          <w:rFonts w:ascii="Arial" w:hAnsi="Arial" w:cs="Arial"/>
        </w:rPr>
        <w:t>formed?</w:t>
      </w:r>
      <w:r>
        <w:rPr>
          <w:rFonts w:ascii="Arial" w:hAnsi="Arial" w:cs="Arial"/>
        </w:rPr>
        <w:br/>
      </w:r>
    </w:p>
    <w:p w14:paraId="24C6FAC3" w14:textId="056D1626" w:rsidR="00A5498B" w:rsidRPr="00801DA6" w:rsidRDefault="00617833" w:rsidP="00832629">
      <w:pPr>
        <w:pStyle w:val="ListParagraph"/>
        <w:numPr>
          <w:ilvl w:val="0"/>
          <w:numId w:val="28"/>
        </w:numPr>
        <w:spacing w:after="240" w:line="240" w:lineRule="auto"/>
        <w:rPr>
          <w:rFonts w:ascii="Arial" w:hAnsi="Arial" w:cs="Arial"/>
        </w:rPr>
      </w:pPr>
      <w:r w:rsidRPr="007F1726">
        <w:rPr>
          <w:rFonts w:ascii="Arial" w:hAnsi="Arial" w:cs="Arial"/>
        </w:rPr>
        <w:t xml:space="preserve">What could enhance the capacity of </w:t>
      </w:r>
      <w:r>
        <w:rPr>
          <w:rFonts w:ascii="Arial" w:hAnsi="Arial" w:cs="Arial"/>
        </w:rPr>
        <w:t>people born with</w:t>
      </w:r>
      <w:r w:rsidRPr="007F1726">
        <w:rPr>
          <w:rFonts w:ascii="Arial" w:hAnsi="Arial" w:cs="Arial"/>
        </w:rPr>
        <w:t xml:space="preserve"> variations in sex characteristics or their caregivers to provide full and informed consent?</w:t>
      </w:r>
    </w:p>
    <w:p w14:paraId="451C9A8F" w14:textId="0E721792" w:rsidR="008065E2" w:rsidRPr="0022639B" w:rsidRDefault="008065E2" w:rsidP="008065E2">
      <w:pPr>
        <w:spacing w:after="240" w:line="240" w:lineRule="auto"/>
        <w:rPr>
          <w:rFonts w:ascii="Arial" w:hAnsi="Arial" w:cs="Arial"/>
          <w:b/>
          <w:i/>
        </w:rPr>
      </w:pPr>
      <w:r w:rsidRPr="008065E2">
        <w:rPr>
          <w:rFonts w:ascii="Arial" w:hAnsi="Arial" w:cs="Arial"/>
          <w:b/>
          <w:i/>
        </w:rPr>
        <w:t>Consent in</w:t>
      </w:r>
      <w:r w:rsidR="0022639B">
        <w:rPr>
          <w:rFonts w:ascii="Arial" w:hAnsi="Arial" w:cs="Arial"/>
          <w:b/>
          <w:i/>
        </w:rPr>
        <w:t xml:space="preserve"> the absence of legal capacity</w:t>
      </w:r>
    </w:p>
    <w:p w14:paraId="61B22579" w14:textId="0DE38021" w:rsidR="002B054D" w:rsidRDefault="002B054D" w:rsidP="00832629">
      <w:pPr>
        <w:pStyle w:val="ListParagraph"/>
        <w:numPr>
          <w:ilvl w:val="0"/>
          <w:numId w:val="28"/>
        </w:numPr>
        <w:spacing w:after="240" w:line="240" w:lineRule="auto"/>
        <w:rPr>
          <w:rFonts w:ascii="Arial" w:hAnsi="Arial" w:cs="Arial"/>
        </w:rPr>
      </w:pPr>
      <w:r>
        <w:rPr>
          <w:rFonts w:ascii="Arial" w:hAnsi="Arial" w:cs="Arial"/>
        </w:rPr>
        <w:t xml:space="preserve">To what extent should parents and carers be involved in making decisions on behalf of their child? How </w:t>
      </w:r>
      <w:proofErr w:type="gramStart"/>
      <w:r>
        <w:rPr>
          <w:rFonts w:ascii="Arial" w:hAnsi="Arial" w:cs="Arial"/>
        </w:rPr>
        <w:t>can parents and carers be best supported</w:t>
      </w:r>
      <w:proofErr w:type="gramEnd"/>
      <w:r>
        <w:rPr>
          <w:rFonts w:ascii="Arial" w:hAnsi="Arial" w:cs="Arial"/>
        </w:rPr>
        <w:t xml:space="preserve"> to make these decisions? </w:t>
      </w:r>
    </w:p>
    <w:p w14:paraId="3E874201" w14:textId="77777777" w:rsidR="002B054D" w:rsidRPr="002B054D" w:rsidRDefault="002B054D" w:rsidP="002B054D">
      <w:pPr>
        <w:pStyle w:val="ListParagraph"/>
        <w:spacing w:after="240" w:line="240" w:lineRule="auto"/>
        <w:rPr>
          <w:rFonts w:ascii="Arial" w:hAnsi="Arial" w:cs="Arial"/>
        </w:rPr>
      </w:pPr>
    </w:p>
    <w:p w14:paraId="7D886782" w14:textId="69B5BF76" w:rsidR="002B054D" w:rsidRPr="002B054D" w:rsidRDefault="002B054D" w:rsidP="00832629">
      <w:pPr>
        <w:pStyle w:val="ListParagraph"/>
        <w:numPr>
          <w:ilvl w:val="0"/>
          <w:numId w:val="28"/>
        </w:numPr>
        <w:spacing w:after="240" w:line="240" w:lineRule="auto"/>
        <w:rPr>
          <w:rFonts w:ascii="Arial" w:hAnsi="Arial" w:cs="Arial"/>
        </w:rPr>
      </w:pPr>
      <w:r w:rsidRPr="00446928">
        <w:rPr>
          <w:rFonts w:ascii="Arial" w:hAnsi="Arial" w:cs="Arial"/>
        </w:rPr>
        <w:t>What</w:t>
      </w:r>
      <w:r>
        <w:rPr>
          <w:rFonts w:ascii="Arial" w:hAnsi="Arial" w:cs="Arial"/>
        </w:rPr>
        <w:t>, if any,</w:t>
      </w:r>
      <w:r w:rsidRPr="00446928">
        <w:rPr>
          <w:rFonts w:ascii="Arial" w:hAnsi="Arial" w:cs="Arial"/>
        </w:rPr>
        <w:t xml:space="preserve"> legal oversight mechanism(s) should be in place to guide decision-making </w:t>
      </w:r>
      <w:r>
        <w:rPr>
          <w:rFonts w:ascii="Arial" w:hAnsi="Arial" w:cs="Arial"/>
        </w:rPr>
        <w:t>about</w:t>
      </w:r>
      <w:r w:rsidRPr="00446928">
        <w:rPr>
          <w:rFonts w:ascii="Arial" w:hAnsi="Arial" w:cs="Arial"/>
        </w:rPr>
        <w:t xml:space="preserve"> medical intervention</w:t>
      </w:r>
      <w:r>
        <w:rPr>
          <w:rFonts w:ascii="Arial" w:hAnsi="Arial" w:cs="Arial"/>
        </w:rPr>
        <w:t>s</w:t>
      </w:r>
      <w:r w:rsidRPr="00446928">
        <w:rPr>
          <w:rFonts w:ascii="Arial" w:hAnsi="Arial" w:cs="Arial"/>
        </w:rPr>
        <w:t xml:space="preserve"> involving a person </w:t>
      </w:r>
      <w:r>
        <w:rPr>
          <w:rFonts w:ascii="Arial" w:hAnsi="Arial" w:cs="Arial"/>
        </w:rPr>
        <w:t>born with a</w:t>
      </w:r>
      <w:r w:rsidRPr="00446928">
        <w:rPr>
          <w:rFonts w:ascii="Arial" w:hAnsi="Arial" w:cs="Arial"/>
        </w:rPr>
        <w:t xml:space="preserve"> variation in sex characteristics where the person does not have the legal capacity to provide consent?</w:t>
      </w:r>
      <w:r>
        <w:rPr>
          <w:rFonts w:ascii="Arial" w:hAnsi="Arial" w:cs="Arial"/>
        </w:rPr>
        <w:t xml:space="preserve"> </w:t>
      </w:r>
    </w:p>
    <w:p w14:paraId="7EB2D3F8" w14:textId="77777777" w:rsidR="002B054D" w:rsidRPr="002B054D" w:rsidRDefault="002B054D" w:rsidP="002B054D">
      <w:pPr>
        <w:pStyle w:val="ListParagraph"/>
        <w:spacing w:after="240" w:line="240" w:lineRule="auto"/>
        <w:rPr>
          <w:rFonts w:ascii="Arial" w:hAnsi="Arial" w:cs="Arial"/>
        </w:rPr>
      </w:pPr>
    </w:p>
    <w:p w14:paraId="4C5D9E40" w14:textId="33A22BA6" w:rsidR="002B054D" w:rsidRDefault="002B054D" w:rsidP="00832629">
      <w:pPr>
        <w:pStyle w:val="ListParagraph"/>
        <w:numPr>
          <w:ilvl w:val="0"/>
          <w:numId w:val="28"/>
        </w:numPr>
        <w:spacing w:after="240" w:line="240" w:lineRule="auto"/>
        <w:rPr>
          <w:rFonts w:ascii="Arial" w:hAnsi="Arial" w:cs="Arial"/>
        </w:rPr>
      </w:pPr>
      <w:r>
        <w:rPr>
          <w:rFonts w:ascii="Arial" w:hAnsi="Arial" w:cs="Arial"/>
        </w:rPr>
        <w:t>If such a mechanism existed,</w:t>
      </w:r>
    </w:p>
    <w:p w14:paraId="3E8CD25E" w14:textId="77777777" w:rsidR="002B054D" w:rsidRDefault="002B054D" w:rsidP="00B8568F">
      <w:pPr>
        <w:numPr>
          <w:ilvl w:val="1"/>
          <w:numId w:val="31"/>
        </w:numPr>
        <w:spacing w:after="240" w:line="240" w:lineRule="auto"/>
        <w:rPr>
          <w:rFonts w:ascii="Arial" w:hAnsi="Arial" w:cs="Arial"/>
        </w:rPr>
      </w:pPr>
      <w:proofErr w:type="gramStart"/>
      <w:r>
        <w:rPr>
          <w:rFonts w:ascii="Arial" w:hAnsi="Arial" w:cs="Arial"/>
        </w:rPr>
        <w:t>how</w:t>
      </w:r>
      <w:proofErr w:type="gramEnd"/>
      <w:r>
        <w:rPr>
          <w:rFonts w:ascii="Arial" w:hAnsi="Arial" w:cs="Arial"/>
        </w:rPr>
        <w:t xml:space="preserve"> could this mechanism adequately address different interventions and different variations? </w:t>
      </w:r>
    </w:p>
    <w:p w14:paraId="5E0B2899" w14:textId="77777777" w:rsidR="002B054D" w:rsidRDefault="002B054D" w:rsidP="00B8568F">
      <w:pPr>
        <w:numPr>
          <w:ilvl w:val="1"/>
          <w:numId w:val="31"/>
        </w:numPr>
        <w:spacing w:after="240" w:line="240" w:lineRule="auto"/>
        <w:rPr>
          <w:rFonts w:ascii="Arial" w:hAnsi="Arial" w:cs="Arial"/>
        </w:rPr>
      </w:pPr>
      <w:proofErr w:type="gramStart"/>
      <w:r>
        <w:rPr>
          <w:rFonts w:ascii="Arial" w:hAnsi="Arial" w:cs="Arial"/>
        </w:rPr>
        <w:t>h</w:t>
      </w:r>
      <w:r w:rsidRPr="004671B3">
        <w:rPr>
          <w:rFonts w:ascii="Arial" w:hAnsi="Arial" w:cs="Arial"/>
        </w:rPr>
        <w:t>ow</w:t>
      </w:r>
      <w:proofErr w:type="gramEnd"/>
      <w:r w:rsidRPr="004671B3">
        <w:rPr>
          <w:rFonts w:ascii="Arial" w:hAnsi="Arial" w:cs="Arial"/>
        </w:rPr>
        <w:t xml:space="preserve"> can </w:t>
      </w:r>
      <w:r>
        <w:rPr>
          <w:rFonts w:ascii="Arial" w:hAnsi="Arial" w:cs="Arial"/>
        </w:rPr>
        <w:t>it</w:t>
      </w:r>
      <w:r w:rsidRPr="004671B3">
        <w:rPr>
          <w:rFonts w:ascii="Arial" w:hAnsi="Arial" w:cs="Arial"/>
        </w:rPr>
        <w:t xml:space="preserve"> best respect the future capacity of a child to consent?</w:t>
      </w:r>
    </w:p>
    <w:p w14:paraId="1B33AE91" w14:textId="0D0E654F" w:rsidR="008065E2" w:rsidRPr="002B054D" w:rsidRDefault="002B054D" w:rsidP="00B8568F">
      <w:pPr>
        <w:numPr>
          <w:ilvl w:val="1"/>
          <w:numId w:val="31"/>
        </w:numPr>
        <w:spacing w:after="240" w:line="240" w:lineRule="auto"/>
        <w:rPr>
          <w:rFonts w:ascii="Arial" w:hAnsi="Arial" w:cs="Arial"/>
        </w:rPr>
      </w:pPr>
      <w:proofErr w:type="gramStart"/>
      <w:r w:rsidRPr="002B054D">
        <w:rPr>
          <w:rFonts w:ascii="Arial" w:hAnsi="Arial" w:cs="Arial"/>
        </w:rPr>
        <w:t>should</w:t>
      </w:r>
      <w:proofErr w:type="gramEnd"/>
      <w:r w:rsidRPr="002B054D">
        <w:rPr>
          <w:rFonts w:ascii="Arial" w:hAnsi="Arial" w:cs="Arial"/>
        </w:rPr>
        <w:t xml:space="preserve"> there be distinct processes for children with parents and for adults who lack legal capacity?</w:t>
      </w:r>
    </w:p>
    <w:p w14:paraId="37820A39" w14:textId="03F23694" w:rsidR="008065E2" w:rsidRPr="0022639B" w:rsidRDefault="008065E2" w:rsidP="00C33692">
      <w:pPr>
        <w:keepNext/>
        <w:spacing w:after="240" w:line="240" w:lineRule="auto"/>
        <w:rPr>
          <w:rFonts w:ascii="Arial" w:hAnsi="Arial" w:cs="Arial"/>
          <w:b/>
          <w:i/>
        </w:rPr>
      </w:pPr>
      <w:r w:rsidRPr="008065E2">
        <w:rPr>
          <w:rFonts w:ascii="Arial" w:hAnsi="Arial" w:cs="Arial"/>
          <w:b/>
          <w:i/>
        </w:rPr>
        <w:t>M</w:t>
      </w:r>
      <w:r w:rsidR="0022639B">
        <w:rPr>
          <w:rFonts w:ascii="Arial" w:hAnsi="Arial" w:cs="Arial"/>
          <w:b/>
          <w:i/>
        </w:rPr>
        <w:t>edical necessity</w:t>
      </w:r>
    </w:p>
    <w:p w14:paraId="68E36572" w14:textId="772A12F0" w:rsidR="002B054D" w:rsidRDefault="002B054D" w:rsidP="00832629">
      <w:pPr>
        <w:pStyle w:val="ListParagraph"/>
        <w:numPr>
          <w:ilvl w:val="0"/>
          <w:numId w:val="28"/>
        </w:numPr>
        <w:spacing w:after="240" w:line="240" w:lineRule="auto"/>
        <w:rPr>
          <w:rFonts w:ascii="Arial" w:hAnsi="Arial" w:cs="Arial"/>
        </w:rPr>
      </w:pPr>
      <w:r w:rsidRPr="00446928">
        <w:rPr>
          <w:rFonts w:ascii="Arial" w:hAnsi="Arial" w:cs="Arial"/>
        </w:rPr>
        <w:t>Would a legal definition of medical necessity or therapeutic treatment be helpful and, if so, what should the definition be?</w:t>
      </w:r>
    </w:p>
    <w:p w14:paraId="242565BE" w14:textId="77777777" w:rsidR="00C33692" w:rsidRDefault="00C33692" w:rsidP="00C33692">
      <w:pPr>
        <w:pStyle w:val="ListParagraph"/>
        <w:spacing w:after="240" w:line="240" w:lineRule="auto"/>
        <w:rPr>
          <w:rFonts w:ascii="Arial" w:hAnsi="Arial" w:cs="Arial"/>
        </w:rPr>
      </w:pPr>
    </w:p>
    <w:p w14:paraId="049B449D" w14:textId="74D34AA4" w:rsidR="002B054D" w:rsidRPr="002B054D" w:rsidRDefault="002B054D" w:rsidP="00832629">
      <w:pPr>
        <w:pStyle w:val="ListParagraph"/>
        <w:numPr>
          <w:ilvl w:val="0"/>
          <w:numId w:val="28"/>
        </w:numPr>
        <w:spacing w:after="240" w:line="240" w:lineRule="auto"/>
        <w:rPr>
          <w:rFonts w:ascii="Arial" w:hAnsi="Arial" w:cs="Arial"/>
        </w:rPr>
      </w:pPr>
      <w:r w:rsidRPr="002B054D">
        <w:rPr>
          <w:rFonts w:ascii="Arial" w:hAnsi="Arial" w:cs="Arial"/>
        </w:rPr>
        <w:lastRenderedPageBreak/>
        <w:t xml:space="preserve">What are the permissible rationales/considerations that should be taken into account when determining </w:t>
      </w:r>
      <w:proofErr w:type="gramStart"/>
      <w:r w:rsidRPr="002B054D">
        <w:rPr>
          <w:rFonts w:ascii="Arial" w:hAnsi="Arial" w:cs="Arial"/>
        </w:rPr>
        <w:t>whether or not</w:t>
      </w:r>
      <w:proofErr w:type="gramEnd"/>
      <w:r w:rsidRPr="002B054D">
        <w:rPr>
          <w:rFonts w:ascii="Arial" w:hAnsi="Arial" w:cs="Arial"/>
        </w:rPr>
        <w:t xml:space="preserve"> to undertake a medical intervention on behalf of those who lack the capacity to consent?</w:t>
      </w:r>
    </w:p>
    <w:p w14:paraId="725607D5" w14:textId="33209906" w:rsidR="001C64AD" w:rsidRDefault="008065E2" w:rsidP="002B054D">
      <w:pPr>
        <w:rPr>
          <w:rFonts w:ascii="Arial" w:hAnsi="Arial" w:cs="Arial"/>
          <w:b/>
          <w:i/>
        </w:rPr>
      </w:pPr>
      <w:r w:rsidRPr="00446928">
        <w:rPr>
          <w:rFonts w:ascii="Arial" w:hAnsi="Arial" w:cs="Arial"/>
          <w:b/>
          <w:i/>
        </w:rPr>
        <w:t xml:space="preserve">Regulation </w:t>
      </w:r>
      <w:r w:rsidR="001C64AD">
        <w:rPr>
          <w:rFonts w:ascii="Arial" w:hAnsi="Arial" w:cs="Arial"/>
          <w:b/>
          <w:i/>
        </w:rPr>
        <w:t>– Legal and policy prohibitions</w:t>
      </w:r>
    </w:p>
    <w:p w14:paraId="7933A74C" w14:textId="529821DF" w:rsidR="00FC1722" w:rsidRPr="001C64AD" w:rsidRDefault="002B054D" w:rsidP="00832629">
      <w:pPr>
        <w:pStyle w:val="ListParagraph"/>
        <w:keepLines/>
        <w:numPr>
          <w:ilvl w:val="0"/>
          <w:numId w:val="28"/>
        </w:numPr>
        <w:spacing w:after="0"/>
        <w:ind w:left="714" w:hanging="357"/>
        <w:rPr>
          <w:rFonts w:ascii="Arial" w:hAnsi="Arial" w:cs="Arial"/>
          <w:b/>
          <w:i/>
        </w:rPr>
      </w:pPr>
      <w:r w:rsidRPr="00446928">
        <w:rPr>
          <w:rFonts w:ascii="Arial" w:hAnsi="Arial" w:cs="Arial"/>
        </w:rPr>
        <w:t xml:space="preserve">Should </w:t>
      </w:r>
      <w:r>
        <w:rPr>
          <w:rFonts w:ascii="Arial" w:hAnsi="Arial" w:cs="Arial"/>
        </w:rPr>
        <w:t xml:space="preserve">all </w:t>
      </w:r>
      <w:r w:rsidRPr="00446928">
        <w:rPr>
          <w:rFonts w:ascii="Arial" w:hAnsi="Arial" w:cs="Arial"/>
        </w:rPr>
        <w:t>non-emergency and/or deferrable medical interventions that alter a child</w:t>
      </w:r>
      <w:r w:rsidR="00F87239">
        <w:rPr>
          <w:rFonts w:ascii="Arial" w:hAnsi="Arial" w:cs="Arial"/>
        </w:rPr>
        <w:t>’</w:t>
      </w:r>
      <w:r w:rsidRPr="00446928">
        <w:rPr>
          <w:rFonts w:ascii="Arial" w:hAnsi="Arial" w:cs="Arial"/>
        </w:rPr>
        <w:t xml:space="preserve">s sex characteristics, </w:t>
      </w:r>
      <w:proofErr w:type="gramStart"/>
      <w:r w:rsidRPr="00446928">
        <w:rPr>
          <w:rFonts w:ascii="Arial" w:hAnsi="Arial" w:cs="Arial"/>
        </w:rPr>
        <w:t>where the child does not have legal capacity to consent</w:t>
      </w:r>
      <w:r>
        <w:rPr>
          <w:rFonts w:ascii="Arial" w:hAnsi="Arial" w:cs="Arial"/>
        </w:rPr>
        <w:t>,</w:t>
      </w:r>
      <w:r w:rsidRPr="00446928">
        <w:rPr>
          <w:rFonts w:ascii="Arial" w:hAnsi="Arial" w:cs="Arial"/>
        </w:rPr>
        <w:t xml:space="preserve"> be </w:t>
      </w:r>
      <w:r>
        <w:rPr>
          <w:rFonts w:ascii="Arial" w:hAnsi="Arial" w:cs="Arial"/>
        </w:rPr>
        <w:t>prohibited by law</w:t>
      </w:r>
      <w:proofErr w:type="gramEnd"/>
      <w:r w:rsidRPr="00446928">
        <w:rPr>
          <w:rFonts w:ascii="Arial" w:hAnsi="Arial" w:cs="Arial"/>
        </w:rPr>
        <w:t xml:space="preserve">? If so, should </w:t>
      </w:r>
      <w:r>
        <w:rPr>
          <w:rFonts w:ascii="Arial" w:hAnsi="Arial" w:cs="Arial"/>
        </w:rPr>
        <w:t>this prohibition be civil or criminal?</w:t>
      </w:r>
      <w:r w:rsidR="001C64AD">
        <w:rPr>
          <w:rFonts w:ascii="Arial" w:hAnsi="Arial" w:cs="Arial"/>
        </w:rPr>
        <w:br/>
      </w:r>
    </w:p>
    <w:p w14:paraId="0D07C0EA" w14:textId="0C4B5708" w:rsidR="00737974" w:rsidRPr="00801DA6" w:rsidRDefault="008065E2" w:rsidP="00737974">
      <w:pPr>
        <w:spacing w:after="240" w:line="240" w:lineRule="auto"/>
        <w:contextualSpacing/>
        <w:rPr>
          <w:rFonts w:ascii="Arial" w:hAnsi="Arial" w:cs="Arial"/>
          <w:b/>
          <w:i/>
        </w:rPr>
      </w:pPr>
      <w:r w:rsidRPr="00446928">
        <w:rPr>
          <w:rFonts w:ascii="Arial" w:hAnsi="Arial" w:cs="Arial"/>
          <w:b/>
          <w:i/>
        </w:rPr>
        <w:t>R</w:t>
      </w:r>
      <w:r w:rsidR="00801DA6">
        <w:rPr>
          <w:rFonts w:ascii="Arial" w:hAnsi="Arial" w:cs="Arial"/>
          <w:b/>
          <w:i/>
        </w:rPr>
        <w:t xml:space="preserve">egulation </w:t>
      </w:r>
      <w:r w:rsidR="00C33692">
        <w:rPr>
          <w:rFonts w:ascii="Arial" w:hAnsi="Arial" w:cs="Arial"/>
          <w:b/>
          <w:i/>
        </w:rPr>
        <w:t>–</w:t>
      </w:r>
      <w:r w:rsidR="00801DA6">
        <w:rPr>
          <w:rFonts w:ascii="Arial" w:hAnsi="Arial" w:cs="Arial"/>
          <w:b/>
          <w:i/>
        </w:rPr>
        <w:t xml:space="preserve"> Clinical guidelines</w:t>
      </w:r>
    </w:p>
    <w:p w14:paraId="49DD6917" w14:textId="75D219E7" w:rsidR="002B054D" w:rsidRDefault="002B054D" w:rsidP="00832629">
      <w:pPr>
        <w:pStyle w:val="ListParagraph"/>
        <w:keepLines/>
        <w:numPr>
          <w:ilvl w:val="0"/>
          <w:numId w:val="28"/>
        </w:numPr>
        <w:spacing w:after="0"/>
        <w:ind w:left="714" w:hanging="357"/>
        <w:rPr>
          <w:rFonts w:ascii="Arial" w:hAnsi="Arial" w:cs="Arial"/>
        </w:rPr>
      </w:pPr>
      <w:r>
        <w:rPr>
          <w:rFonts w:ascii="Arial" w:hAnsi="Arial" w:cs="Arial"/>
        </w:rPr>
        <w:t>What are the current approaches to the management of people born with variations in sex characteristics? What are these based on?</w:t>
      </w:r>
    </w:p>
    <w:p w14:paraId="1838A76F" w14:textId="77777777" w:rsidR="00C33692" w:rsidRPr="002B054D" w:rsidRDefault="00C33692" w:rsidP="00C33692">
      <w:pPr>
        <w:pStyle w:val="ListParagraph"/>
        <w:keepLines/>
        <w:spacing w:after="0"/>
        <w:ind w:left="714"/>
        <w:rPr>
          <w:rFonts w:ascii="Arial" w:hAnsi="Arial" w:cs="Arial"/>
        </w:rPr>
      </w:pPr>
    </w:p>
    <w:p w14:paraId="25B03357" w14:textId="51E47319" w:rsidR="002B054D" w:rsidRDefault="002B054D" w:rsidP="00832629">
      <w:pPr>
        <w:pStyle w:val="ListParagraph"/>
        <w:keepLines/>
        <w:numPr>
          <w:ilvl w:val="0"/>
          <w:numId w:val="28"/>
        </w:numPr>
        <w:spacing w:after="0"/>
        <w:ind w:left="714" w:hanging="357"/>
        <w:rPr>
          <w:rFonts w:ascii="Arial" w:hAnsi="Arial" w:cs="Arial"/>
        </w:rPr>
      </w:pPr>
      <w:r>
        <w:rPr>
          <w:rFonts w:ascii="Arial" w:hAnsi="Arial" w:cs="Arial"/>
        </w:rPr>
        <w:t>Do any</w:t>
      </w:r>
      <w:r w:rsidRPr="00A5693F">
        <w:rPr>
          <w:rFonts w:ascii="Arial" w:hAnsi="Arial" w:cs="Arial"/>
        </w:rPr>
        <w:t xml:space="preserve"> medical guidelines</w:t>
      </w:r>
      <w:r>
        <w:rPr>
          <w:rFonts w:ascii="Arial" w:hAnsi="Arial" w:cs="Arial"/>
        </w:rPr>
        <w:t xml:space="preserve"> exist</w:t>
      </w:r>
      <w:r w:rsidRPr="00A5693F">
        <w:rPr>
          <w:rFonts w:ascii="Arial" w:hAnsi="Arial" w:cs="Arial"/>
        </w:rPr>
        <w:t xml:space="preserve"> that </w:t>
      </w:r>
      <w:r>
        <w:rPr>
          <w:rFonts w:ascii="Arial" w:hAnsi="Arial" w:cs="Arial"/>
        </w:rPr>
        <w:t>are considered</w:t>
      </w:r>
      <w:r w:rsidRPr="00A5693F">
        <w:rPr>
          <w:rFonts w:ascii="Arial" w:hAnsi="Arial" w:cs="Arial"/>
        </w:rPr>
        <w:t xml:space="preserve"> best practice</w:t>
      </w:r>
      <w:r>
        <w:rPr>
          <w:rFonts w:ascii="Arial" w:hAnsi="Arial" w:cs="Arial"/>
        </w:rPr>
        <w:t xml:space="preserve"> in Australia or internationally, either for the general management of people born with variations in sex characteristics, or for specific variations</w:t>
      </w:r>
      <w:r w:rsidR="00C33692">
        <w:rPr>
          <w:rFonts w:ascii="Arial" w:hAnsi="Arial" w:cs="Arial"/>
        </w:rPr>
        <w:t>?</w:t>
      </w:r>
    </w:p>
    <w:p w14:paraId="66BB4D37" w14:textId="5564DE75" w:rsidR="002B054D" w:rsidRPr="002B054D" w:rsidRDefault="002B054D" w:rsidP="002B054D">
      <w:pPr>
        <w:pStyle w:val="ListParagraph"/>
        <w:keepLines/>
        <w:spacing w:after="0"/>
        <w:ind w:left="714"/>
        <w:rPr>
          <w:rFonts w:ascii="Arial" w:hAnsi="Arial" w:cs="Arial"/>
        </w:rPr>
      </w:pPr>
    </w:p>
    <w:p w14:paraId="583CB8CE" w14:textId="1F7DAEE5" w:rsidR="00C33692" w:rsidRDefault="002B054D" w:rsidP="00C33692">
      <w:pPr>
        <w:pStyle w:val="ListParagraph"/>
        <w:keepLines/>
        <w:numPr>
          <w:ilvl w:val="0"/>
          <w:numId w:val="28"/>
        </w:numPr>
        <w:spacing w:after="0"/>
        <w:ind w:left="714" w:hanging="357"/>
        <w:rPr>
          <w:rFonts w:ascii="Arial" w:hAnsi="Arial" w:cs="Arial"/>
        </w:rPr>
      </w:pPr>
      <w:r w:rsidRPr="00446928">
        <w:rPr>
          <w:rFonts w:ascii="Arial" w:hAnsi="Arial" w:cs="Arial"/>
        </w:rPr>
        <w:t xml:space="preserve">Should there be national guidelines to guide medical interventions involving </w:t>
      </w:r>
      <w:r>
        <w:rPr>
          <w:rFonts w:ascii="Arial" w:hAnsi="Arial" w:cs="Arial"/>
        </w:rPr>
        <w:t>people born with</w:t>
      </w:r>
      <w:r w:rsidRPr="00446928">
        <w:rPr>
          <w:rFonts w:ascii="Arial" w:hAnsi="Arial" w:cs="Arial"/>
        </w:rPr>
        <w:t xml:space="preserve"> var</w:t>
      </w:r>
      <w:r>
        <w:rPr>
          <w:rFonts w:ascii="Arial" w:hAnsi="Arial" w:cs="Arial"/>
        </w:rPr>
        <w:t>iations in sex characteristics?</w:t>
      </w:r>
    </w:p>
    <w:p w14:paraId="33AB3DF7" w14:textId="77777777" w:rsidR="00C33692" w:rsidRPr="00C33692" w:rsidRDefault="00C33692" w:rsidP="00C33692">
      <w:pPr>
        <w:pStyle w:val="ListParagraph"/>
        <w:keepLines/>
        <w:spacing w:after="0"/>
        <w:ind w:left="714"/>
        <w:rPr>
          <w:rFonts w:ascii="Arial" w:hAnsi="Arial" w:cs="Arial"/>
        </w:rPr>
      </w:pPr>
    </w:p>
    <w:p w14:paraId="035EFE4D" w14:textId="41569636" w:rsidR="002B054D" w:rsidRPr="00446928" w:rsidRDefault="002B054D" w:rsidP="00832629">
      <w:pPr>
        <w:pStyle w:val="ListParagraph"/>
        <w:keepLines/>
        <w:numPr>
          <w:ilvl w:val="0"/>
          <w:numId w:val="28"/>
        </w:numPr>
        <w:spacing w:after="0"/>
        <w:ind w:left="714" w:hanging="357"/>
        <w:rPr>
          <w:rFonts w:ascii="Arial" w:hAnsi="Arial" w:cs="Arial"/>
        </w:rPr>
      </w:pPr>
      <w:r w:rsidRPr="00446928">
        <w:rPr>
          <w:rFonts w:ascii="Arial" w:hAnsi="Arial" w:cs="Arial"/>
        </w:rPr>
        <w:t>If so</w:t>
      </w:r>
      <w:r w:rsidR="00C33692">
        <w:rPr>
          <w:rFonts w:ascii="Arial" w:hAnsi="Arial" w:cs="Arial"/>
        </w:rPr>
        <w:t>:</w:t>
      </w:r>
    </w:p>
    <w:p w14:paraId="6E4E7476" w14:textId="77777777" w:rsidR="002B054D" w:rsidRPr="00446928"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factors should the guidelines take into account?</w:t>
      </w:r>
    </w:p>
    <w:p w14:paraId="52D6BE50" w14:textId="77777777" w:rsidR="002B054D" w:rsidRPr="00446928"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legal status of the guidelines?</w:t>
      </w:r>
    </w:p>
    <w:p w14:paraId="134FEF30" w14:textId="77777777" w:rsidR="002B054D" w:rsidRPr="00446928"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process, including consultation, for drafting the guidelines?</w:t>
      </w:r>
    </w:p>
    <w:p w14:paraId="633C0684" w14:textId="23B81DDE" w:rsidR="00FC1722" w:rsidRPr="00FC1722" w:rsidRDefault="002B054D" w:rsidP="002B054D">
      <w:pPr>
        <w:numPr>
          <w:ilvl w:val="1"/>
          <w:numId w:val="23"/>
        </w:numPr>
        <w:spacing w:after="240" w:line="240" w:lineRule="auto"/>
        <w:rPr>
          <w:rFonts w:ascii="Arial" w:hAnsi="Arial" w:cs="Arial"/>
        </w:rPr>
      </w:pPr>
      <w:proofErr w:type="gramStart"/>
      <w:r w:rsidRPr="00446928">
        <w:rPr>
          <w:rFonts w:ascii="Arial" w:hAnsi="Arial" w:cs="Arial"/>
        </w:rPr>
        <w:t>what</w:t>
      </w:r>
      <w:proofErr w:type="gramEnd"/>
      <w:r w:rsidRPr="00446928">
        <w:rPr>
          <w:rFonts w:ascii="Arial" w:hAnsi="Arial" w:cs="Arial"/>
        </w:rPr>
        <w:t xml:space="preserve"> should be the oversight mechanism for decisions made under the guidelines?</w:t>
      </w:r>
    </w:p>
    <w:p w14:paraId="59ED4F37" w14:textId="221A0A2A" w:rsidR="00737974" w:rsidRPr="00737974" w:rsidRDefault="00737974" w:rsidP="00737974">
      <w:pPr>
        <w:spacing w:after="240" w:line="240" w:lineRule="auto"/>
        <w:rPr>
          <w:rFonts w:ascii="Arial" w:hAnsi="Arial" w:cs="Arial"/>
        </w:rPr>
      </w:pPr>
      <w:r w:rsidRPr="008065E2">
        <w:rPr>
          <w:rFonts w:ascii="Arial" w:hAnsi="Arial" w:cs="Arial"/>
          <w:b/>
          <w:i/>
        </w:rPr>
        <w:t>Lack of data</w:t>
      </w:r>
    </w:p>
    <w:p w14:paraId="25E020C6" w14:textId="56652742" w:rsidR="002B4111" w:rsidRPr="00446928" w:rsidRDefault="002B4111" w:rsidP="00832629">
      <w:pPr>
        <w:pStyle w:val="ListParagraph"/>
        <w:keepLines/>
        <w:numPr>
          <w:ilvl w:val="0"/>
          <w:numId w:val="28"/>
        </w:numPr>
        <w:spacing w:after="0"/>
        <w:ind w:left="714" w:hanging="357"/>
        <w:rPr>
          <w:rFonts w:ascii="Arial" w:hAnsi="Arial" w:cs="Arial"/>
        </w:rPr>
      </w:pPr>
      <w:r w:rsidRPr="00446928">
        <w:rPr>
          <w:rFonts w:ascii="Arial" w:hAnsi="Arial" w:cs="Arial"/>
        </w:rPr>
        <w:t>What are the current Australian sources of data on:</w:t>
      </w:r>
    </w:p>
    <w:p w14:paraId="5D3EB062" w14:textId="32E062D1" w:rsidR="002B4111" w:rsidRPr="002B4111" w:rsidRDefault="002B4111" w:rsidP="002B4111">
      <w:pPr>
        <w:numPr>
          <w:ilvl w:val="1"/>
          <w:numId w:val="23"/>
        </w:numPr>
        <w:spacing w:after="240" w:line="240" w:lineRule="auto"/>
        <w:rPr>
          <w:rFonts w:ascii="Arial" w:hAnsi="Arial" w:cs="Arial"/>
        </w:rPr>
      </w:pPr>
      <w:proofErr w:type="gramStart"/>
      <w:r w:rsidRPr="00446928">
        <w:rPr>
          <w:rFonts w:ascii="Arial" w:hAnsi="Arial" w:cs="Arial"/>
        </w:rPr>
        <w:t>the</w:t>
      </w:r>
      <w:proofErr w:type="gramEnd"/>
      <w:r w:rsidRPr="00446928">
        <w:rPr>
          <w:rFonts w:ascii="Arial" w:hAnsi="Arial" w:cs="Arial"/>
        </w:rPr>
        <w:t xml:space="preserve"> number and nature of medical interventions involving </w:t>
      </w:r>
      <w:r>
        <w:rPr>
          <w:rFonts w:ascii="Arial" w:hAnsi="Arial" w:cs="Arial"/>
        </w:rPr>
        <w:t>people born with</w:t>
      </w:r>
      <w:r w:rsidRPr="00446928">
        <w:rPr>
          <w:rFonts w:ascii="Arial" w:hAnsi="Arial" w:cs="Arial"/>
        </w:rPr>
        <w:t xml:space="preserve"> variations in sex characteristics</w:t>
      </w:r>
      <w:r w:rsidR="00C33692">
        <w:rPr>
          <w:rFonts w:ascii="Arial" w:hAnsi="Arial" w:cs="Arial"/>
        </w:rPr>
        <w:t>?</w:t>
      </w:r>
    </w:p>
    <w:p w14:paraId="49019670" w14:textId="2FF7DF83" w:rsidR="002B4111" w:rsidRPr="008B2D5D" w:rsidRDefault="002B4111" w:rsidP="002B4111">
      <w:pPr>
        <w:numPr>
          <w:ilvl w:val="1"/>
          <w:numId w:val="23"/>
        </w:numPr>
        <w:spacing w:after="240" w:line="240" w:lineRule="auto"/>
        <w:rPr>
          <w:rFonts w:ascii="Arial" w:hAnsi="Arial" w:cs="Arial"/>
        </w:rPr>
      </w:pPr>
      <w:proofErr w:type="gramStart"/>
      <w:r w:rsidRPr="00446928">
        <w:rPr>
          <w:rFonts w:ascii="Arial" w:hAnsi="Arial" w:cs="Arial"/>
        </w:rPr>
        <w:t>long-term</w:t>
      </w:r>
      <w:proofErr w:type="gramEnd"/>
      <w:r w:rsidRPr="00446928">
        <w:rPr>
          <w:rFonts w:ascii="Arial" w:hAnsi="Arial" w:cs="Arial"/>
        </w:rPr>
        <w:t xml:space="preserve"> outcomes of medical interventions involving </w:t>
      </w:r>
      <w:r>
        <w:rPr>
          <w:rFonts w:ascii="Arial" w:hAnsi="Arial" w:cs="Arial"/>
        </w:rPr>
        <w:t>people born with</w:t>
      </w:r>
      <w:r w:rsidRPr="00446928">
        <w:rPr>
          <w:rFonts w:ascii="Arial" w:hAnsi="Arial" w:cs="Arial"/>
        </w:rPr>
        <w:t xml:space="preserve"> va</w:t>
      </w:r>
      <w:r>
        <w:rPr>
          <w:rFonts w:ascii="Arial" w:hAnsi="Arial" w:cs="Arial"/>
        </w:rPr>
        <w:t>riations in sex characteristics</w:t>
      </w:r>
      <w:r w:rsidR="00C33692">
        <w:rPr>
          <w:rFonts w:ascii="Arial" w:hAnsi="Arial" w:cs="Arial"/>
        </w:rPr>
        <w:t>?</w:t>
      </w:r>
    </w:p>
    <w:p w14:paraId="5CF523AC" w14:textId="77777777" w:rsidR="002B4111" w:rsidRPr="008B2D5D" w:rsidRDefault="002B4111" w:rsidP="002B4111">
      <w:pPr>
        <w:numPr>
          <w:ilvl w:val="1"/>
          <w:numId w:val="23"/>
        </w:numPr>
        <w:spacing w:after="240" w:line="240" w:lineRule="auto"/>
        <w:rPr>
          <w:rFonts w:ascii="Arial" w:hAnsi="Arial" w:cs="Arial"/>
        </w:rPr>
      </w:pPr>
      <w:proofErr w:type="gramStart"/>
      <w:r w:rsidRPr="008B2D5D">
        <w:rPr>
          <w:rFonts w:ascii="Arial" w:hAnsi="Arial" w:cs="Arial"/>
        </w:rPr>
        <w:t>long-term</w:t>
      </w:r>
      <w:proofErr w:type="gramEnd"/>
      <w:r w:rsidRPr="008B2D5D">
        <w:rPr>
          <w:rFonts w:ascii="Arial" w:hAnsi="Arial" w:cs="Arial"/>
        </w:rPr>
        <w:t xml:space="preserve"> outcomes of people born with variations in sex characteristics not undertaking medical interventions?</w:t>
      </w:r>
    </w:p>
    <w:p w14:paraId="4A952147" w14:textId="6636A64C" w:rsidR="002B4111" w:rsidRDefault="002B4111" w:rsidP="00C33692">
      <w:pPr>
        <w:pStyle w:val="ListParagraph"/>
        <w:keepLines/>
        <w:numPr>
          <w:ilvl w:val="0"/>
          <w:numId w:val="28"/>
        </w:numPr>
        <w:spacing w:after="0"/>
        <w:ind w:left="714" w:hanging="357"/>
        <w:rPr>
          <w:rFonts w:ascii="Arial" w:hAnsi="Arial" w:cs="Arial"/>
        </w:rPr>
      </w:pPr>
      <w:r>
        <w:rPr>
          <w:rFonts w:ascii="Arial" w:hAnsi="Arial" w:cs="Arial"/>
        </w:rPr>
        <w:t>How adequate are the current Australian sources of data for each of these areas?</w:t>
      </w:r>
    </w:p>
    <w:p w14:paraId="5996B1A9" w14:textId="77777777" w:rsidR="00C33692" w:rsidRPr="00C33692" w:rsidRDefault="00C33692" w:rsidP="00C33692">
      <w:pPr>
        <w:pStyle w:val="ListParagraph"/>
        <w:keepLines/>
        <w:spacing w:after="0"/>
        <w:ind w:left="714"/>
        <w:rPr>
          <w:rFonts w:ascii="Arial" w:hAnsi="Arial" w:cs="Arial"/>
        </w:rPr>
      </w:pPr>
    </w:p>
    <w:p w14:paraId="30909556" w14:textId="1E3E0082" w:rsidR="00737974" w:rsidRPr="00FC1722" w:rsidRDefault="002B4111" w:rsidP="00832629">
      <w:pPr>
        <w:pStyle w:val="ListParagraph"/>
        <w:numPr>
          <w:ilvl w:val="0"/>
          <w:numId w:val="28"/>
        </w:numPr>
        <w:spacing w:after="240" w:line="240" w:lineRule="auto"/>
        <w:rPr>
          <w:rFonts w:ascii="Arial" w:hAnsi="Arial" w:cs="Arial"/>
        </w:rPr>
      </w:pPr>
      <w:r w:rsidRPr="00A36EE0">
        <w:rPr>
          <w:rFonts w:ascii="Arial" w:hAnsi="Arial" w:cs="Arial"/>
        </w:rPr>
        <w:t>What barriers exist to nationally consistent data collection?</w:t>
      </w:r>
    </w:p>
    <w:p w14:paraId="019572FE" w14:textId="06B1E8A4" w:rsidR="00737974" w:rsidRDefault="00737974" w:rsidP="00737974">
      <w:pPr>
        <w:spacing w:after="240" w:line="240" w:lineRule="auto"/>
        <w:rPr>
          <w:rFonts w:ascii="Arial" w:hAnsi="Arial" w:cs="Arial"/>
          <w:b/>
          <w:i/>
        </w:rPr>
      </w:pPr>
      <w:r>
        <w:rPr>
          <w:rFonts w:ascii="Arial" w:hAnsi="Arial" w:cs="Arial"/>
          <w:b/>
          <w:i/>
        </w:rPr>
        <w:t>Privacy</w:t>
      </w:r>
    </w:p>
    <w:p w14:paraId="7B928AB1" w14:textId="6F4E0C66" w:rsidR="002B4111" w:rsidRPr="00921C7C" w:rsidRDefault="002B4111" w:rsidP="00832629">
      <w:pPr>
        <w:pStyle w:val="ListParagraph"/>
        <w:numPr>
          <w:ilvl w:val="0"/>
          <w:numId w:val="28"/>
        </w:numPr>
        <w:spacing w:after="240" w:line="240" w:lineRule="auto"/>
        <w:rPr>
          <w:rFonts w:ascii="Arial" w:hAnsi="Arial" w:cs="Arial"/>
        </w:rPr>
      </w:pPr>
      <w:r w:rsidRPr="00446928">
        <w:rPr>
          <w:rFonts w:ascii="Arial" w:hAnsi="Arial" w:cs="Arial"/>
        </w:rPr>
        <w:t xml:space="preserve">How can medical practices best respect the privacy of </w:t>
      </w:r>
      <w:r>
        <w:rPr>
          <w:rFonts w:ascii="Arial" w:hAnsi="Arial" w:cs="Arial"/>
        </w:rPr>
        <w:t>people born with</w:t>
      </w:r>
      <w:r w:rsidRPr="00446928">
        <w:rPr>
          <w:rFonts w:ascii="Arial" w:hAnsi="Arial" w:cs="Arial"/>
        </w:rPr>
        <w:t xml:space="preserve"> varia</w:t>
      </w:r>
      <w:r>
        <w:rPr>
          <w:rFonts w:ascii="Arial" w:hAnsi="Arial" w:cs="Arial"/>
        </w:rPr>
        <w:t>tions in sex characteristics?</w:t>
      </w:r>
      <w:r w:rsidRPr="00921C7C">
        <w:rPr>
          <w:rFonts w:ascii="Arial" w:hAnsi="Arial" w:cs="Arial"/>
        </w:rPr>
        <w:br/>
      </w:r>
    </w:p>
    <w:p w14:paraId="7F117F72" w14:textId="2A5F6BF4" w:rsidR="002B4111" w:rsidRPr="002B4111" w:rsidRDefault="002B4111" w:rsidP="00832629">
      <w:pPr>
        <w:pStyle w:val="ListParagraph"/>
        <w:numPr>
          <w:ilvl w:val="0"/>
          <w:numId w:val="28"/>
        </w:numPr>
        <w:spacing w:after="240" w:line="240" w:lineRule="auto"/>
        <w:rPr>
          <w:rFonts w:ascii="Arial" w:hAnsi="Arial" w:cs="Arial"/>
        </w:rPr>
      </w:pPr>
      <w:r>
        <w:rPr>
          <w:rFonts w:ascii="Arial" w:hAnsi="Arial" w:cs="Arial"/>
        </w:rPr>
        <w:t xml:space="preserve">Have you faced any difficulties accessing your medical records? </w:t>
      </w:r>
      <w:r>
        <w:rPr>
          <w:rFonts w:ascii="Arial" w:hAnsi="Arial" w:cs="Arial"/>
        </w:rPr>
        <w:br/>
      </w:r>
    </w:p>
    <w:p w14:paraId="1430C515" w14:textId="16D284D8" w:rsidR="002B4111" w:rsidRDefault="002B4111" w:rsidP="00832629">
      <w:pPr>
        <w:pStyle w:val="ListParagraph"/>
        <w:numPr>
          <w:ilvl w:val="0"/>
          <w:numId w:val="28"/>
        </w:numPr>
        <w:spacing w:after="240" w:line="240" w:lineRule="auto"/>
        <w:rPr>
          <w:rFonts w:ascii="Arial" w:hAnsi="Arial" w:cs="Arial"/>
        </w:rPr>
      </w:pPr>
      <w:r w:rsidRPr="00446928">
        <w:rPr>
          <w:rFonts w:ascii="Arial" w:hAnsi="Arial" w:cs="Arial"/>
        </w:rPr>
        <w:lastRenderedPageBreak/>
        <w:t xml:space="preserve">How </w:t>
      </w:r>
      <w:proofErr w:type="gramStart"/>
      <w:r w:rsidRPr="00446928">
        <w:rPr>
          <w:rFonts w:ascii="Arial" w:hAnsi="Arial" w:cs="Arial"/>
        </w:rPr>
        <w:t>can access to medical records and histories be improved</w:t>
      </w:r>
      <w:proofErr w:type="gramEnd"/>
      <w:r w:rsidRPr="00446928">
        <w:rPr>
          <w:rFonts w:ascii="Arial" w:hAnsi="Arial" w:cs="Arial"/>
        </w:rPr>
        <w:t>?</w:t>
      </w:r>
      <w:r>
        <w:rPr>
          <w:rFonts w:ascii="Arial" w:hAnsi="Arial" w:cs="Arial"/>
        </w:rPr>
        <w:t xml:space="preserve">  </w:t>
      </w:r>
    </w:p>
    <w:p w14:paraId="29A99A6D" w14:textId="0E0941DF" w:rsidR="00737974" w:rsidRPr="00737974" w:rsidRDefault="005E2A01" w:rsidP="002B4111">
      <w:pPr>
        <w:spacing w:after="240" w:line="240" w:lineRule="auto"/>
        <w:rPr>
          <w:rFonts w:ascii="Arial" w:hAnsi="Arial" w:cs="Arial"/>
          <w:b/>
          <w:i/>
        </w:rPr>
      </w:pPr>
      <w:r>
        <w:rPr>
          <w:rFonts w:ascii="Arial" w:hAnsi="Arial" w:cs="Arial"/>
          <w:b/>
          <w:i/>
        </w:rPr>
        <w:t>A</w:t>
      </w:r>
      <w:r w:rsidR="00737974" w:rsidRPr="00446928">
        <w:rPr>
          <w:rFonts w:ascii="Arial" w:hAnsi="Arial" w:cs="Arial"/>
          <w:b/>
          <w:i/>
        </w:rPr>
        <w:t>ccess to su</w:t>
      </w:r>
      <w:r w:rsidR="00737974">
        <w:rPr>
          <w:rFonts w:ascii="Arial" w:hAnsi="Arial" w:cs="Arial"/>
          <w:b/>
          <w:i/>
        </w:rPr>
        <w:t>pport services and peer support</w:t>
      </w:r>
    </w:p>
    <w:p w14:paraId="171EB36E" w14:textId="640D8A68" w:rsidR="00B030C7" w:rsidRPr="00B030C7" w:rsidRDefault="00B030C7" w:rsidP="00832629">
      <w:pPr>
        <w:pStyle w:val="ListParagraph"/>
        <w:numPr>
          <w:ilvl w:val="0"/>
          <w:numId w:val="28"/>
        </w:numPr>
        <w:spacing w:after="240" w:line="240" w:lineRule="auto"/>
        <w:rPr>
          <w:rFonts w:ascii="Arial" w:hAnsi="Arial" w:cs="Arial"/>
        </w:rPr>
      </w:pPr>
      <w:bookmarkStart w:id="80" w:name="_Ref504383206"/>
      <w:r w:rsidRPr="00446928">
        <w:rPr>
          <w:rFonts w:ascii="Arial" w:hAnsi="Arial" w:cs="Arial"/>
        </w:rPr>
        <w:t xml:space="preserve">How </w:t>
      </w:r>
      <w:proofErr w:type="gramStart"/>
      <w:r w:rsidRPr="00446928">
        <w:rPr>
          <w:rFonts w:ascii="Arial" w:hAnsi="Arial" w:cs="Arial"/>
        </w:rPr>
        <w:t xml:space="preserve">can </w:t>
      </w:r>
      <w:r>
        <w:rPr>
          <w:rFonts w:ascii="Arial" w:hAnsi="Arial" w:cs="Arial"/>
        </w:rPr>
        <w:t>people born with</w:t>
      </w:r>
      <w:r w:rsidRPr="00446928">
        <w:rPr>
          <w:rFonts w:ascii="Arial" w:hAnsi="Arial" w:cs="Arial"/>
        </w:rPr>
        <w:t xml:space="preserve"> variations in sex characteristics and their families and carers</w:t>
      </w:r>
      <w:r>
        <w:rPr>
          <w:rFonts w:ascii="Arial" w:hAnsi="Arial" w:cs="Arial"/>
        </w:rPr>
        <w:t xml:space="preserve"> be more adequately supported</w:t>
      </w:r>
      <w:proofErr w:type="gramEnd"/>
      <w:r>
        <w:rPr>
          <w:rFonts w:ascii="Arial" w:hAnsi="Arial" w:cs="Arial"/>
        </w:rPr>
        <w:t>?</w:t>
      </w:r>
      <w:r>
        <w:rPr>
          <w:rFonts w:ascii="Arial" w:hAnsi="Arial" w:cs="Arial"/>
        </w:rPr>
        <w:br/>
      </w:r>
    </w:p>
    <w:p w14:paraId="2BD2EBBE" w14:textId="7E18BC56" w:rsidR="00B030C7" w:rsidRPr="00B030C7" w:rsidRDefault="00B030C7" w:rsidP="00832629">
      <w:pPr>
        <w:pStyle w:val="ListParagraph"/>
        <w:numPr>
          <w:ilvl w:val="0"/>
          <w:numId w:val="28"/>
        </w:numPr>
        <w:spacing w:after="240" w:line="240" w:lineRule="auto"/>
        <w:rPr>
          <w:rFonts w:ascii="Arial" w:hAnsi="Arial" w:cs="Arial"/>
        </w:rPr>
      </w:pPr>
      <w:r>
        <w:rPr>
          <w:rFonts w:ascii="Arial" w:hAnsi="Arial" w:cs="Arial"/>
        </w:rPr>
        <w:t xml:space="preserve">How can psychological and peer support be more integrated into </w:t>
      </w:r>
      <w:proofErr w:type="gramStart"/>
      <w:r>
        <w:rPr>
          <w:rFonts w:ascii="Arial" w:hAnsi="Arial" w:cs="Arial"/>
        </w:rPr>
        <w:t>decision making</w:t>
      </w:r>
      <w:proofErr w:type="gramEnd"/>
      <w:r>
        <w:rPr>
          <w:rFonts w:ascii="Arial" w:hAnsi="Arial" w:cs="Arial"/>
        </w:rPr>
        <w:t xml:space="preserve"> processes?</w:t>
      </w:r>
      <w:r>
        <w:rPr>
          <w:rFonts w:ascii="Arial" w:hAnsi="Arial" w:cs="Arial"/>
        </w:rPr>
        <w:br/>
      </w:r>
    </w:p>
    <w:p w14:paraId="100BE1BF" w14:textId="2ECBDFE2" w:rsidR="00B030C7" w:rsidRDefault="00B030C7" w:rsidP="00832629">
      <w:pPr>
        <w:pStyle w:val="ListParagraph"/>
        <w:numPr>
          <w:ilvl w:val="0"/>
          <w:numId w:val="28"/>
        </w:numPr>
        <w:spacing w:after="240" w:line="240" w:lineRule="auto"/>
        <w:rPr>
          <w:rFonts w:ascii="Arial" w:hAnsi="Arial" w:cs="Arial"/>
        </w:rPr>
      </w:pPr>
      <w:r w:rsidRPr="00446928">
        <w:rPr>
          <w:rFonts w:ascii="Arial" w:hAnsi="Arial" w:cs="Arial"/>
        </w:rPr>
        <w:t xml:space="preserve">What barriers exist to </w:t>
      </w:r>
      <w:r>
        <w:rPr>
          <w:rFonts w:ascii="Arial" w:hAnsi="Arial" w:cs="Arial"/>
        </w:rPr>
        <w:t>connecting</w:t>
      </w:r>
      <w:r w:rsidRPr="00446928">
        <w:rPr>
          <w:rFonts w:ascii="Arial" w:hAnsi="Arial" w:cs="Arial"/>
        </w:rPr>
        <w:t xml:space="preserve"> individuals to support services?</w:t>
      </w:r>
    </w:p>
    <w:p w14:paraId="5E589BEB" w14:textId="7ABA43F4" w:rsidR="00B030C7" w:rsidRPr="00B030C7" w:rsidRDefault="00B030C7" w:rsidP="00B030C7">
      <w:pPr>
        <w:pStyle w:val="ListParagraph"/>
        <w:spacing w:after="240" w:line="240" w:lineRule="auto"/>
        <w:rPr>
          <w:rFonts w:ascii="Arial" w:hAnsi="Arial" w:cs="Arial"/>
        </w:rPr>
      </w:pPr>
    </w:p>
    <w:p w14:paraId="2A6CE4AC" w14:textId="77777777" w:rsidR="00B030C7" w:rsidRDefault="00B030C7" w:rsidP="00832629">
      <w:pPr>
        <w:pStyle w:val="ListParagraph"/>
        <w:numPr>
          <w:ilvl w:val="0"/>
          <w:numId w:val="28"/>
        </w:numPr>
        <w:spacing w:after="240" w:line="240" w:lineRule="auto"/>
        <w:rPr>
          <w:rFonts w:ascii="Arial" w:hAnsi="Arial" w:cs="Arial"/>
        </w:rPr>
      </w:pPr>
      <w:r w:rsidRPr="00446928">
        <w:rPr>
          <w:rFonts w:ascii="Arial" w:hAnsi="Arial" w:cs="Arial"/>
        </w:rPr>
        <w:t>What barriers exist for individuals</w:t>
      </w:r>
      <w:r>
        <w:rPr>
          <w:rFonts w:ascii="Arial" w:hAnsi="Arial" w:cs="Arial"/>
        </w:rPr>
        <w:t xml:space="preserve"> in accessing support services?</w:t>
      </w:r>
    </w:p>
    <w:p w14:paraId="5D807D44" w14:textId="77777777" w:rsidR="00B030C7" w:rsidRPr="00B030C7" w:rsidRDefault="00B030C7" w:rsidP="00B030C7">
      <w:pPr>
        <w:pStyle w:val="ListParagraph"/>
        <w:rPr>
          <w:rFonts w:ascii="Arial" w:hAnsi="Arial" w:cs="Arial"/>
        </w:rPr>
      </w:pPr>
    </w:p>
    <w:p w14:paraId="47CD2727" w14:textId="5EB03EFA" w:rsidR="002A7FAB" w:rsidRPr="00B030C7" w:rsidRDefault="00B030C7" w:rsidP="00832629">
      <w:pPr>
        <w:pStyle w:val="ListParagraph"/>
        <w:numPr>
          <w:ilvl w:val="0"/>
          <w:numId w:val="28"/>
        </w:numPr>
        <w:spacing w:after="240" w:line="240" w:lineRule="auto"/>
        <w:rPr>
          <w:rFonts w:ascii="Arial" w:hAnsi="Arial" w:cs="Arial"/>
        </w:rPr>
        <w:sectPr w:rsidR="002A7FAB" w:rsidRPr="00B030C7" w:rsidSect="008263BA">
          <w:headerReference w:type="even" r:id="rId15"/>
          <w:headerReference w:type="default" r:id="rId16"/>
          <w:footerReference w:type="default" r:id="rId17"/>
          <w:headerReference w:type="first" r:id="rId18"/>
          <w:endnotePr>
            <w:numFmt w:val="decimal"/>
          </w:endnotePr>
          <w:pgSz w:w="11906" w:h="16838" w:code="9"/>
          <w:pgMar w:top="1134" w:right="1134" w:bottom="1134" w:left="1134" w:header="709" w:footer="709" w:gutter="0"/>
          <w:cols w:space="708"/>
          <w:docGrid w:linePitch="360"/>
        </w:sectPr>
      </w:pPr>
      <w:r w:rsidRPr="00B030C7">
        <w:rPr>
          <w:rFonts w:ascii="Arial" w:hAnsi="Arial" w:cs="Arial"/>
        </w:rPr>
        <w:t xml:space="preserve">How can peer support groups and organisations </w:t>
      </w:r>
      <w:proofErr w:type="gramStart"/>
      <w:r w:rsidRPr="00B030C7">
        <w:rPr>
          <w:rFonts w:ascii="Arial" w:hAnsi="Arial" w:cs="Arial"/>
        </w:rPr>
        <w:t>be adequately resourced and supported</w:t>
      </w:r>
      <w:proofErr w:type="gramEnd"/>
      <w:r w:rsidRPr="00B030C7">
        <w:rPr>
          <w:rFonts w:ascii="Arial" w:hAnsi="Arial" w:cs="Arial"/>
        </w:rPr>
        <w:t>?</w:t>
      </w:r>
    </w:p>
    <w:p w14:paraId="12B0DD67" w14:textId="77777777" w:rsidR="00E67C87" w:rsidRDefault="00E67C87" w:rsidP="00305DFD">
      <w:pPr>
        <w:pStyle w:val="Heading1"/>
        <w:rPr>
          <w:rFonts w:ascii="Arial" w:hAnsi="Arial" w:cs="Arial"/>
        </w:rPr>
      </w:pPr>
      <w:bookmarkStart w:id="81" w:name="_Toc507585880"/>
      <w:r>
        <w:rPr>
          <w:rFonts w:ascii="Arial" w:hAnsi="Arial" w:cs="Arial"/>
        </w:rPr>
        <w:br w:type="page"/>
      </w:r>
    </w:p>
    <w:p w14:paraId="23616CBA" w14:textId="71E7A609" w:rsidR="00305DFD" w:rsidRPr="0003782A" w:rsidRDefault="00C3044D" w:rsidP="0003782A">
      <w:pPr>
        <w:pStyle w:val="Heading1"/>
        <w:numPr>
          <w:ilvl w:val="0"/>
          <w:numId w:val="33"/>
        </w:numPr>
        <w:rPr>
          <w:rFonts w:ascii="Arial" w:hAnsi="Arial" w:cs="Arial"/>
        </w:rPr>
      </w:pPr>
      <w:bookmarkStart w:id="82" w:name="_Ref518984690"/>
      <w:bookmarkStart w:id="83" w:name="_Toc518984810"/>
      <w:r w:rsidRPr="0003782A">
        <w:rPr>
          <w:rFonts w:ascii="Arial" w:hAnsi="Arial" w:cs="Arial"/>
        </w:rPr>
        <w:lastRenderedPageBreak/>
        <w:t>A</w:t>
      </w:r>
      <w:r w:rsidR="001E7638" w:rsidRPr="0003782A">
        <w:rPr>
          <w:rFonts w:ascii="Arial" w:hAnsi="Arial" w:cs="Arial"/>
        </w:rPr>
        <w:t>ppendix A: Terms of Reference</w:t>
      </w:r>
      <w:bookmarkEnd w:id="80"/>
      <w:bookmarkEnd w:id="81"/>
      <w:bookmarkEnd w:id="82"/>
      <w:bookmarkEnd w:id="83"/>
    </w:p>
    <w:p w14:paraId="3C24DC84" w14:textId="32A6B6F5" w:rsidR="00305DFD" w:rsidRPr="00832629" w:rsidRDefault="00832629" w:rsidP="00832629">
      <w:pPr>
        <w:pStyle w:val="SubmissionNormal"/>
        <w:numPr>
          <w:ilvl w:val="0"/>
          <w:numId w:val="0"/>
        </w:numPr>
        <w:spacing w:before="240"/>
        <w:rPr>
          <w:rFonts w:ascii="Arial" w:hAnsi="Arial" w:cs="Arial"/>
          <w:b/>
          <w:bCs/>
        </w:rPr>
      </w:pPr>
      <w:bookmarkStart w:id="84" w:name="_Toc507585881"/>
      <w:r>
        <w:rPr>
          <w:rFonts w:ascii="Arial" w:hAnsi="Arial" w:cs="Arial"/>
          <w:b/>
          <w:bCs/>
        </w:rPr>
        <w:t>1</w:t>
      </w:r>
      <w:r>
        <w:rPr>
          <w:rFonts w:ascii="Arial" w:hAnsi="Arial" w:cs="Arial"/>
          <w:b/>
          <w:bCs/>
        </w:rPr>
        <w:tab/>
      </w:r>
      <w:r w:rsidR="00305DFD" w:rsidRPr="00832629">
        <w:rPr>
          <w:rFonts w:ascii="Arial" w:hAnsi="Arial" w:cs="Arial"/>
          <w:b/>
          <w:bCs/>
        </w:rPr>
        <w:t>Project subject matter</w:t>
      </w:r>
      <w:bookmarkEnd w:id="84"/>
    </w:p>
    <w:p w14:paraId="6D2C9834" w14:textId="31CD7A52" w:rsidR="00305DFD" w:rsidRPr="00305DFD" w:rsidRDefault="00832629" w:rsidP="00832629">
      <w:pPr>
        <w:pStyle w:val="SubmissionNormal"/>
        <w:numPr>
          <w:ilvl w:val="0"/>
          <w:numId w:val="0"/>
        </w:numPr>
        <w:spacing w:before="240"/>
        <w:ind w:left="720" w:hanging="720"/>
        <w:rPr>
          <w:rFonts w:ascii="Arial" w:hAnsi="Arial" w:cs="Arial"/>
        </w:rPr>
      </w:pPr>
      <w:r>
        <w:rPr>
          <w:rFonts w:ascii="Arial" w:hAnsi="Arial" w:cs="Arial"/>
        </w:rPr>
        <w:t>1.1</w:t>
      </w:r>
      <w:r>
        <w:rPr>
          <w:rFonts w:ascii="Arial" w:hAnsi="Arial" w:cs="Arial"/>
        </w:rPr>
        <w:tab/>
      </w:r>
      <w:r w:rsidR="00305DFD" w:rsidRPr="00305DFD">
        <w:rPr>
          <w:rFonts w:ascii="Arial" w:hAnsi="Arial" w:cs="Arial"/>
        </w:rPr>
        <w:t xml:space="preserve">The Australian Human Rights Commission (the Commission) will inquire into, and report on, how best to protect the human rights of </w:t>
      </w:r>
      <w:r w:rsidR="00241C46">
        <w:rPr>
          <w:rFonts w:ascii="Arial" w:hAnsi="Arial" w:cs="Arial"/>
        </w:rPr>
        <w:t>people born with</w:t>
      </w:r>
      <w:r w:rsidR="00305DFD" w:rsidRPr="00305DFD">
        <w:rPr>
          <w:rFonts w:ascii="Arial" w:hAnsi="Arial" w:cs="Arial"/>
        </w:rPr>
        <w:t xml:space="preserve"> variations in sex characteristics in the context of medical interventions, including surgical and non-surgical interventions.</w:t>
      </w:r>
    </w:p>
    <w:p w14:paraId="62D80471" w14:textId="3B7DCC9F" w:rsidR="00305DFD" w:rsidRPr="00305DFD" w:rsidRDefault="00832629" w:rsidP="00832629">
      <w:pPr>
        <w:pStyle w:val="SubmissionNormal"/>
        <w:numPr>
          <w:ilvl w:val="0"/>
          <w:numId w:val="0"/>
        </w:numPr>
        <w:spacing w:before="240"/>
        <w:ind w:left="360" w:hanging="360"/>
        <w:rPr>
          <w:rFonts w:ascii="Arial" w:hAnsi="Arial" w:cs="Arial"/>
        </w:rPr>
      </w:pPr>
      <w:r>
        <w:rPr>
          <w:rFonts w:ascii="Arial" w:hAnsi="Arial" w:cs="Arial"/>
        </w:rPr>
        <w:t>1.2</w:t>
      </w:r>
      <w:r>
        <w:rPr>
          <w:rFonts w:ascii="Arial" w:hAnsi="Arial" w:cs="Arial"/>
        </w:rPr>
        <w:tab/>
      </w:r>
      <w:r>
        <w:rPr>
          <w:rFonts w:ascii="Arial" w:hAnsi="Arial" w:cs="Arial"/>
        </w:rPr>
        <w:tab/>
      </w:r>
      <w:r w:rsidR="00305DFD" w:rsidRPr="00305DFD">
        <w:rPr>
          <w:rFonts w:ascii="Arial" w:hAnsi="Arial" w:cs="Arial"/>
        </w:rPr>
        <w:t>As part of this project, the Commission should:</w:t>
      </w:r>
    </w:p>
    <w:p w14:paraId="7396049E" w14:textId="32DA7A6D" w:rsidR="00305DFD" w:rsidRPr="00305DFD" w:rsidRDefault="00305DFD" w:rsidP="00832629">
      <w:pPr>
        <w:pStyle w:val="SubmissionNormal"/>
        <w:numPr>
          <w:ilvl w:val="0"/>
          <w:numId w:val="29"/>
        </w:numPr>
        <w:spacing w:after="240"/>
        <w:rPr>
          <w:rFonts w:ascii="Arial" w:hAnsi="Arial" w:cs="Arial"/>
        </w:rPr>
      </w:pPr>
      <w:r w:rsidRPr="00305DFD">
        <w:rPr>
          <w:rFonts w:ascii="Arial" w:hAnsi="Arial" w:cs="Arial"/>
        </w:rPr>
        <w:t xml:space="preserve">document and analyse existing approaches to medical interventions involving </w:t>
      </w:r>
      <w:r w:rsidR="00241C46">
        <w:rPr>
          <w:rFonts w:ascii="Arial" w:hAnsi="Arial" w:cs="Arial"/>
        </w:rPr>
        <w:t>people born with</w:t>
      </w:r>
      <w:r w:rsidRPr="00305DFD">
        <w:rPr>
          <w:rFonts w:ascii="Arial" w:hAnsi="Arial" w:cs="Arial"/>
        </w:rPr>
        <w:t xml:space="preserve"> variations in sex characteristics in Australia and overseas</w:t>
      </w:r>
    </w:p>
    <w:p w14:paraId="5D3C189C" w14:textId="02976AE3" w:rsidR="00305DFD" w:rsidRPr="00305DFD" w:rsidRDefault="00305DFD" w:rsidP="00832629">
      <w:pPr>
        <w:pStyle w:val="SubmissionNormal"/>
        <w:numPr>
          <w:ilvl w:val="0"/>
          <w:numId w:val="29"/>
        </w:numPr>
        <w:spacing w:after="240"/>
        <w:rPr>
          <w:rFonts w:ascii="Arial" w:hAnsi="Arial" w:cs="Arial"/>
        </w:rPr>
      </w:pPr>
      <w:proofErr w:type="gramStart"/>
      <w:r w:rsidRPr="00305DFD">
        <w:rPr>
          <w:rFonts w:ascii="Arial" w:hAnsi="Arial" w:cs="Arial"/>
        </w:rPr>
        <w:t>identify</w:t>
      </w:r>
      <w:proofErr w:type="gramEnd"/>
      <w:r w:rsidRPr="00305DFD">
        <w:rPr>
          <w:rFonts w:ascii="Arial" w:hAnsi="Arial" w:cs="Arial"/>
        </w:rPr>
        <w:t xml:space="preserve"> changes that should be made to these existing approaches, to ensure that decisions and processes regarding medical interventions involving </w:t>
      </w:r>
      <w:r w:rsidR="00241C46">
        <w:rPr>
          <w:rFonts w:ascii="Arial" w:hAnsi="Arial" w:cs="Arial"/>
        </w:rPr>
        <w:t>people born with</w:t>
      </w:r>
      <w:r w:rsidRPr="00305DFD">
        <w:rPr>
          <w:rFonts w:ascii="Arial" w:hAnsi="Arial" w:cs="Arial"/>
        </w:rPr>
        <w:t xml:space="preserve"> variations in sex characteristics respect and protect the human rights of those affected.</w:t>
      </w:r>
    </w:p>
    <w:p w14:paraId="6588F236" w14:textId="37D398D8" w:rsidR="00305DFD" w:rsidRPr="00305DFD" w:rsidRDefault="00832629" w:rsidP="00832629">
      <w:pPr>
        <w:pStyle w:val="SubmissionNormal"/>
        <w:numPr>
          <w:ilvl w:val="0"/>
          <w:numId w:val="0"/>
        </w:numPr>
        <w:spacing w:before="240"/>
        <w:ind w:left="360" w:hanging="360"/>
        <w:rPr>
          <w:rFonts w:ascii="Arial" w:hAnsi="Arial" w:cs="Arial"/>
          <w:b/>
          <w:bCs/>
        </w:rPr>
      </w:pPr>
      <w:r>
        <w:rPr>
          <w:rFonts w:ascii="Arial" w:hAnsi="Arial" w:cs="Arial"/>
          <w:b/>
          <w:bCs/>
        </w:rPr>
        <w:t>2</w:t>
      </w:r>
      <w:r>
        <w:rPr>
          <w:rFonts w:ascii="Arial" w:hAnsi="Arial" w:cs="Arial"/>
          <w:b/>
          <w:bCs/>
        </w:rPr>
        <w:tab/>
      </w:r>
      <w:r>
        <w:rPr>
          <w:rFonts w:ascii="Arial" w:hAnsi="Arial" w:cs="Arial"/>
          <w:b/>
          <w:bCs/>
        </w:rPr>
        <w:tab/>
      </w:r>
      <w:r w:rsidR="00305DFD" w:rsidRPr="00305DFD">
        <w:rPr>
          <w:rFonts w:ascii="Arial" w:hAnsi="Arial" w:cs="Arial"/>
          <w:b/>
          <w:bCs/>
        </w:rPr>
        <w:t>Project process</w:t>
      </w:r>
    </w:p>
    <w:p w14:paraId="51C0DDC7" w14:textId="6AC0E2B6" w:rsidR="00305DFD" w:rsidRPr="00305DFD" w:rsidRDefault="00832629" w:rsidP="00832629">
      <w:pPr>
        <w:pStyle w:val="SubmissionNormal"/>
        <w:numPr>
          <w:ilvl w:val="0"/>
          <w:numId w:val="0"/>
        </w:numPr>
        <w:spacing w:before="240"/>
        <w:ind w:left="360" w:hanging="360"/>
        <w:rPr>
          <w:rFonts w:ascii="Arial" w:hAnsi="Arial" w:cs="Arial"/>
        </w:rPr>
      </w:pPr>
      <w:r>
        <w:rPr>
          <w:rFonts w:ascii="Arial" w:hAnsi="Arial" w:cs="Arial"/>
        </w:rPr>
        <w:t>2.1</w:t>
      </w:r>
      <w:r>
        <w:rPr>
          <w:rFonts w:ascii="Arial" w:hAnsi="Arial" w:cs="Arial"/>
        </w:rPr>
        <w:tab/>
      </w:r>
      <w:r>
        <w:rPr>
          <w:rFonts w:ascii="Arial" w:hAnsi="Arial" w:cs="Arial"/>
        </w:rPr>
        <w:tab/>
      </w:r>
      <w:r w:rsidR="00305DFD" w:rsidRPr="00305DFD">
        <w:rPr>
          <w:rFonts w:ascii="Arial" w:hAnsi="Arial" w:cs="Arial"/>
        </w:rPr>
        <w:t>The Commission should undertake this project by:</w:t>
      </w:r>
    </w:p>
    <w:p w14:paraId="48180F59" w14:textId="05EC3E4A"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 xml:space="preserve">adopting an open, consultative approach – especially by consulting with people and organisations with lived experience and expertise of the practical issues involved, including </w:t>
      </w:r>
      <w:r w:rsidR="00241C46">
        <w:rPr>
          <w:rFonts w:ascii="Arial" w:hAnsi="Arial" w:cs="Arial"/>
        </w:rPr>
        <w:t>people born with</w:t>
      </w:r>
      <w:r w:rsidRPr="00305DFD">
        <w:rPr>
          <w:rFonts w:ascii="Arial" w:hAnsi="Arial" w:cs="Arial"/>
        </w:rPr>
        <w:t xml:space="preserve"> variations in sex characteristics, their parents, carers and families, medical practitioners and state, territory and federal governments in Australia</w:t>
      </w:r>
    </w:p>
    <w:p w14:paraId="65ADA0A7" w14:textId="2A12D676"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referring to, and acting in accordance with, international human rights principles and agreements</w:t>
      </w:r>
    </w:p>
    <w:p w14:paraId="0143CB77" w14:textId="36AF90CB"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complying with all applicable ethical requirements</w:t>
      </w:r>
    </w:p>
    <w:p w14:paraId="7B6C54BD" w14:textId="46BF2681"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adopting a practical, evidence-based approach to any advice or recommendations proposed</w:t>
      </w:r>
    </w:p>
    <w:p w14:paraId="26766047" w14:textId="637B21AD" w:rsidR="00305DFD" w:rsidRPr="00305DFD" w:rsidRDefault="00305DFD" w:rsidP="00305DFD">
      <w:pPr>
        <w:pStyle w:val="SubmissionNormal"/>
        <w:numPr>
          <w:ilvl w:val="0"/>
          <w:numId w:val="19"/>
        </w:numPr>
        <w:spacing w:after="240"/>
        <w:rPr>
          <w:rFonts w:ascii="Arial" w:hAnsi="Arial" w:cs="Arial"/>
        </w:rPr>
      </w:pPr>
      <w:proofErr w:type="gramStart"/>
      <w:r w:rsidRPr="00305DFD">
        <w:rPr>
          <w:rFonts w:ascii="Arial" w:hAnsi="Arial" w:cs="Arial"/>
        </w:rPr>
        <w:t xml:space="preserve">considering relevant research and analysis, commentary, policies and law in Australia and overseas, including the </w:t>
      </w:r>
      <w:r w:rsidRPr="00305DFD">
        <w:rPr>
          <w:rFonts w:ascii="Arial" w:hAnsi="Arial" w:cs="Arial"/>
          <w:lang w:val="en-GB"/>
        </w:rPr>
        <w:t>2013 report of the Senate Standing Committee on Community Affairs on involuntary or coerced sterilisation of intersex people and 2015 Government response; the Victorian Decision-Making Principles for the Care of Infants, Children and Adolescents with Intersex Conditions; the 2017 Darlington Statement by Australian and New Zealand intersex organisations and independent advocates; and relevant decisions of the Family Court of Australia.</w:t>
      </w:r>
      <w:proofErr w:type="gramEnd"/>
    </w:p>
    <w:p w14:paraId="252CD71F" w14:textId="10AADC38" w:rsidR="00305DFD" w:rsidRPr="00305DFD" w:rsidRDefault="00305DFD" w:rsidP="00305DFD">
      <w:pPr>
        <w:pStyle w:val="SubmissionNormal"/>
        <w:numPr>
          <w:ilvl w:val="0"/>
          <w:numId w:val="19"/>
        </w:numPr>
        <w:spacing w:after="240"/>
        <w:rPr>
          <w:rFonts w:ascii="Arial" w:hAnsi="Arial" w:cs="Arial"/>
        </w:rPr>
      </w:pPr>
      <w:r w:rsidRPr="00305DFD">
        <w:rPr>
          <w:rFonts w:ascii="Arial" w:hAnsi="Arial" w:cs="Arial"/>
        </w:rPr>
        <w:t>publishing a consultation paper and soliciting the views of stakeholders through submissions and in meetings</w:t>
      </w:r>
    </w:p>
    <w:p w14:paraId="44459754" w14:textId="77777777" w:rsidR="00305DFD" w:rsidRPr="00305DFD" w:rsidRDefault="00305DFD" w:rsidP="00305DFD">
      <w:pPr>
        <w:pStyle w:val="SubmissionNormal"/>
        <w:numPr>
          <w:ilvl w:val="0"/>
          <w:numId w:val="19"/>
        </w:numPr>
        <w:spacing w:after="240"/>
        <w:rPr>
          <w:rFonts w:ascii="Arial" w:hAnsi="Arial" w:cs="Arial"/>
        </w:rPr>
      </w:pPr>
      <w:proofErr w:type="gramStart"/>
      <w:r w:rsidRPr="00305DFD">
        <w:rPr>
          <w:rFonts w:ascii="Arial" w:hAnsi="Arial" w:cs="Arial"/>
          <w:lang w:val="en-GB"/>
        </w:rPr>
        <w:t>publishing</w:t>
      </w:r>
      <w:proofErr w:type="gramEnd"/>
      <w:r w:rsidRPr="00305DFD">
        <w:rPr>
          <w:rFonts w:ascii="Arial" w:hAnsi="Arial" w:cs="Arial"/>
          <w:lang w:val="en-GB"/>
        </w:rPr>
        <w:t xml:space="preserve"> a report of its findings and recommendations.</w:t>
      </w:r>
      <w:r w:rsidRPr="00305DFD">
        <w:rPr>
          <w:rFonts w:ascii="Arial" w:hAnsi="Arial" w:cs="Arial"/>
        </w:rPr>
        <w:t xml:space="preserve"> </w:t>
      </w:r>
    </w:p>
    <w:p w14:paraId="3CCB4DE7" w14:textId="7C6C7801" w:rsidR="00305DFD" w:rsidRPr="00305DFD" w:rsidRDefault="009335D6" w:rsidP="00AE749E">
      <w:pPr>
        <w:pStyle w:val="SubmissionNormal"/>
        <w:keepNext/>
        <w:numPr>
          <w:ilvl w:val="0"/>
          <w:numId w:val="0"/>
        </w:numPr>
        <w:spacing w:before="240"/>
        <w:ind w:left="357" w:hanging="357"/>
        <w:rPr>
          <w:rFonts w:ascii="Arial" w:hAnsi="Arial" w:cs="Arial"/>
          <w:b/>
          <w:bCs/>
        </w:rPr>
      </w:pPr>
      <w:r>
        <w:rPr>
          <w:rFonts w:ascii="Arial" w:hAnsi="Arial" w:cs="Arial"/>
          <w:b/>
          <w:bCs/>
        </w:rPr>
        <w:t>3</w:t>
      </w:r>
      <w:r>
        <w:rPr>
          <w:rFonts w:ascii="Arial" w:hAnsi="Arial" w:cs="Arial"/>
          <w:b/>
          <w:bCs/>
        </w:rPr>
        <w:tab/>
      </w:r>
      <w:r>
        <w:rPr>
          <w:rFonts w:ascii="Arial" w:hAnsi="Arial" w:cs="Arial"/>
          <w:b/>
          <w:bCs/>
        </w:rPr>
        <w:tab/>
      </w:r>
      <w:r w:rsidR="00305DFD" w:rsidRPr="00305DFD">
        <w:rPr>
          <w:rFonts w:ascii="Arial" w:hAnsi="Arial" w:cs="Arial"/>
          <w:b/>
          <w:bCs/>
        </w:rPr>
        <w:t>Expert Reference Group</w:t>
      </w:r>
    </w:p>
    <w:p w14:paraId="5E786F55" w14:textId="0C0FD831" w:rsidR="00305DFD" w:rsidRPr="00305DFD" w:rsidRDefault="009335D6" w:rsidP="009335D6">
      <w:pPr>
        <w:pStyle w:val="SubmissionNormal"/>
        <w:numPr>
          <w:ilvl w:val="0"/>
          <w:numId w:val="0"/>
        </w:numPr>
        <w:spacing w:before="240"/>
        <w:ind w:left="720" w:hanging="720"/>
        <w:rPr>
          <w:rFonts w:ascii="Arial" w:hAnsi="Arial" w:cs="Arial"/>
        </w:rPr>
      </w:pPr>
      <w:r>
        <w:rPr>
          <w:rFonts w:ascii="Arial" w:hAnsi="Arial" w:cs="Arial"/>
        </w:rPr>
        <w:t>3.1</w:t>
      </w:r>
      <w:r>
        <w:rPr>
          <w:rFonts w:ascii="Arial" w:hAnsi="Arial" w:cs="Arial"/>
        </w:rPr>
        <w:tab/>
      </w:r>
      <w:r w:rsidR="00305DFD" w:rsidRPr="00305DFD">
        <w:rPr>
          <w:rFonts w:ascii="Arial" w:hAnsi="Arial" w:cs="Arial"/>
        </w:rPr>
        <w:t xml:space="preserve">The Commission will convene an Expert Reference Group to advise the Commission on matters relevant to this project. The Expert Reference Group </w:t>
      </w:r>
      <w:proofErr w:type="gramStart"/>
      <w:r w:rsidR="00305DFD" w:rsidRPr="00305DFD">
        <w:rPr>
          <w:rFonts w:ascii="Arial" w:hAnsi="Arial" w:cs="Arial"/>
        </w:rPr>
        <w:t>will be expected</w:t>
      </w:r>
      <w:proofErr w:type="gramEnd"/>
      <w:r w:rsidR="00305DFD" w:rsidRPr="00305DFD">
        <w:rPr>
          <w:rFonts w:ascii="Arial" w:hAnsi="Arial" w:cs="Arial"/>
        </w:rPr>
        <w:t xml:space="preserve"> to:</w:t>
      </w:r>
    </w:p>
    <w:p w14:paraId="29287346" w14:textId="17FCBFB6"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lastRenderedPageBreak/>
        <w:t>make their best endeavours to participate in three formal meetings – either in person or by teleconference</w:t>
      </w:r>
    </w:p>
    <w:p w14:paraId="61566F11" w14:textId="6D0033F2"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provide input to the Commission on draft documents produced in the project</w:t>
      </w:r>
    </w:p>
    <w:p w14:paraId="4B736841" w14:textId="4CC42D3E"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advise the Commission as appropriate on the conduct of the project</w:t>
      </w:r>
    </w:p>
    <w:p w14:paraId="597A5046" w14:textId="4EFCD450" w:rsidR="00305DFD" w:rsidRPr="00305DFD" w:rsidRDefault="00305DFD" w:rsidP="00305DFD">
      <w:pPr>
        <w:pStyle w:val="SubmissionNormal"/>
        <w:numPr>
          <w:ilvl w:val="0"/>
          <w:numId w:val="20"/>
        </w:numPr>
        <w:spacing w:after="240"/>
        <w:rPr>
          <w:rFonts w:ascii="Arial" w:hAnsi="Arial" w:cs="Arial"/>
        </w:rPr>
      </w:pPr>
      <w:r w:rsidRPr="00305DFD">
        <w:rPr>
          <w:rFonts w:ascii="Arial" w:hAnsi="Arial" w:cs="Arial"/>
        </w:rPr>
        <w:t>maintain strict confidentiality in respect of the meetings and deliberations of the Expert Reference Group</w:t>
      </w:r>
    </w:p>
    <w:p w14:paraId="4466665F" w14:textId="77777777" w:rsidR="00305DFD" w:rsidRPr="00305DFD" w:rsidRDefault="00305DFD" w:rsidP="00305DFD">
      <w:pPr>
        <w:pStyle w:val="SubmissionNormal"/>
        <w:numPr>
          <w:ilvl w:val="0"/>
          <w:numId w:val="20"/>
        </w:numPr>
        <w:spacing w:after="240"/>
        <w:rPr>
          <w:rFonts w:ascii="Arial" w:hAnsi="Arial" w:cs="Arial"/>
        </w:rPr>
      </w:pPr>
      <w:proofErr w:type="gramStart"/>
      <w:r w:rsidRPr="00305DFD">
        <w:rPr>
          <w:rFonts w:ascii="Arial" w:hAnsi="Arial" w:cs="Arial"/>
        </w:rPr>
        <w:t>otherwise</w:t>
      </w:r>
      <w:proofErr w:type="gramEnd"/>
      <w:r w:rsidRPr="00305DFD">
        <w:rPr>
          <w:rFonts w:ascii="Arial" w:hAnsi="Arial" w:cs="Arial"/>
        </w:rPr>
        <w:t xml:space="preserve"> act in accordance with these Terms of Reference. </w:t>
      </w:r>
    </w:p>
    <w:p w14:paraId="2772154B" w14:textId="7AC5E669" w:rsidR="00305DFD" w:rsidRPr="00305DFD" w:rsidRDefault="009335D6" w:rsidP="009335D6">
      <w:pPr>
        <w:pStyle w:val="SubmissionNormal"/>
        <w:numPr>
          <w:ilvl w:val="0"/>
          <w:numId w:val="0"/>
        </w:numPr>
        <w:spacing w:before="240"/>
        <w:ind w:left="360" w:hanging="360"/>
        <w:rPr>
          <w:rFonts w:ascii="Arial" w:hAnsi="Arial" w:cs="Arial"/>
          <w:b/>
          <w:bCs/>
        </w:rPr>
      </w:pPr>
      <w:r>
        <w:rPr>
          <w:rFonts w:ascii="Arial" w:hAnsi="Arial" w:cs="Arial"/>
          <w:b/>
          <w:bCs/>
        </w:rPr>
        <w:t>4</w:t>
      </w:r>
      <w:r>
        <w:rPr>
          <w:rFonts w:ascii="Arial" w:hAnsi="Arial" w:cs="Arial"/>
          <w:b/>
          <w:bCs/>
        </w:rPr>
        <w:tab/>
      </w:r>
      <w:r>
        <w:rPr>
          <w:rFonts w:ascii="Arial" w:hAnsi="Arial" w:cs="Arial"/>
          <w:b/>
          <w:bCs/>
        </w:rPr>
        <w:tab/>
      </w:r>
      <w:r w:rsidR="00305DFD" w:rsidRPr="00305DFD">
        <w:rPr>
          <w:rFonts w:ascii="Arial" w:hAnsi="Arial" w:cs="Arial"/>
          <w:b/>
          <w:bCs/>
        </w:rPr>
        <w:t>Importance of privacy, confidentiality and autonomy</w:t>
      </w:r>
    </w:p>
    <w:p w14:paraId="5EA79C5C" w14:textId="38AAFF1B" w:rsidR="00305DFD" w:rsidRPr="00305DFD" w:rsidRDefault="009335D6" w:rsidP="009335D6">
      <w:pPr>
        <w:pStyle w:val="SubmissionNormal"/>
        <w:numPr>
          <w:ilvl w:val="0"/>
          <w:numId w:val="0"/>
        </w:numPr>
        <w:spacing w:before="240"/>
        <w:ind w:left="720" w:hanging="720"/>
        <w:rPr>
          <w:rFonts w:ascii="Arial" w:hAnsi="Arial" w:cs="Arial"/>
        </w:rPr>
      </w:pPr>
      <w:r>
        <w:rPr>
          <w:rFonts w:ascii="Arial" w:hAnsi="Arial" w:cs="Arial"/>
        </w:rPr>
        <w:t>4.1</w:t>
      </w:r>
      <w:r>
        <w:rPr>
          <w:rFonts w:ascii="Arial" w:hAnsi="Arial" w:cs="Arial"/>
        </w:rPr>
        <w:tab/>
      </w:r>
      <w:r w:rsidR="00305DFD" w:rsidRPr="00305DFD">
        <w:rPr>
          <w:rFonts w:ascii="Arial" w:hAnsi="Arial" w:cs="Arial"/>
        </w:rPr>
        <w:t>The Commission and Expert Reference Group acknowledge that some of the matters raised by participants in this project will be particularly sensitive. In undertaking the work of this project, Commission staff and Expert Reference Group members must:</w:t>
      </w:r>
    </w:p>
    <w:p w14:paraId="5F11489A" w14:textId="196366FB" w:rsidR="00305DFD" w:rsidRPr="00305DFD" w:rsidRDefault="00305DFD" w:rsidP="00305DFD">
      <w:pPr>
        <w:pStyle w:val="SubmissionNormal"/>
        <w:numPr>
          <w:ilvl w:val="0"/>
          <w:numId w:val="21"/>
        </w:numPr>
        <w:spacing w:after="240"/>
        <w:rPr>
          <w:rFonts w:ascii="Arial" w:hAnsi="Arial" w:cs="Arial"/>
        </w:rPr>
      </w:pPr>
      <w:r w:rsidRPr="00305DFD">
        <w:rPr>
          <w:rFonts w:ascii="Arial" w:hAnsi="Arial" w:cs="Arial"/>
        </w:rPr>
        <w:t>respect the privacy of project participants, especially in regard to the disclosure of sensitive personal information</w:t>
      </w:r>
    </w:p>
    <w:p w14:paraId="6B9B2C21" w14:textId="5FBC7D65" w:rsidR="00305DFD" w:rsidRPr="00305DFD" w:rsidRDefault="00305DFD" w:rsidP="00305DFD">
      <w:pPr>
        <w:pStyle w:val="SubmissionNormal"/>
        <w:numPr>
          <w:ilvl w:val="0"/>
          <w:numId w:val="21"/>
        </w:numPr>
        <w:spacing w:after="240"/>
        <w:rPr>
          <w:rFonts w:ascii="Arial" w:hAnsi="Arial" w:cs="Arial"/>
        </w:rPr>
      </w:pPr>
      <w:r w:rsidRPr="00305DFD">
        <w:rPr>
          <w:rFonts w:ascii="Arial" w:hAnsi="Arial" w:cs="Arial"/>
        </w:rPr>
        <w:t>take all necessary steps to protect confidential information from being disclosed externally</w:t>
      </w:r>
    </w:p>
    <w:p w14:paraId="3AF8D5FD" w14:textId="77777777" w:rsidR="00305DFD" w:rsidRPr="00305DFD" w:rsidRDefault="00305DFD" w:rsidP="00305DFD">
      <w:pPr>
        <w:pStyle w:val="SubmissionNormal"/>
        <w:numPr>
          <w:ilvl w:val="0"/>
          <w:numId w:val="21"/>
        </w:numPr>
        <w:spacing w:after="240"/>
        <w:rPr>
          <w:rFonts w:ascii="Arial" w:hAnsi="Arial" w:cs="Arial"/>
        </w:rPr>
      </w:pPr>
      <w:proofErr w:type="gramStart"/>
      <w:r w:rsidRPr="00305DFD">
        <w:rPr>
          <w:rFonts w:ascii="Arial" w:hAnsi="Arial" w:cs="Arial"/>
        </w:rPr>
        <w:t>where</w:t>
      </w:r>
      <w:proofErr w:type="gramEnd"/>
      <w:r w:rsidRPr="00305DFD">
        <w:rPr>
          <w:rFonts w:ascii="Arial" w:hAnsi="Arial" w:cs="Arial"/>
        </w:rPr>
        <w:t xml:space="preserve"> practicable, respect the autonomy of project participants to share their experience in a manner of their choosing.</w:t>
      </w:r>
    </w:p>
    <w:p w14:paraId="7736293E" w14:textId="596E9C90" w:rsidR="00305DFD" w:rsidRPr="00305DFD" w:rsidRDefault="009335D6" w:rsidP="009335D6">
      <w:pPr>
        <w:pStyle w:val="SubmissionNormal"/>
        <w:numPr>
          <w:ilvl w:val="0"/>
          <w:numId w:val="0"/>
        </w:numPr>
        <w:spacing w:before="240"/>
        <w:ind w:left="360" w:hanging="360"/>
        <w:rPr>
          <w:rFonts w:ascii="Arial" w:hAnsi="Arial" w:cs="Arial"/>
          <w:b/>
          <w:bCs/>
        </w:rPr>
      </w:pPr>
      <w:r>
        <w:rPr>
          <w:rFonts w:ascii="Arial" w:hAnsi="Arial" w:cs="Arial"/>
          <w:b/>
          <w:bCs/>
        </w:rPr>
        <w:t>5</w:t>
      </w:r>
      <w:r>
        <w:rPr>
          <w:rFonts w:ascii="Arial" w:hAnsi="Arial" w:cs="Arial"/>
          <w:b/>
          <w:bCs/>
        </w:rPr>
        <w:tab/>
      </w:r>
      <w:r>
        <w:rPr>
          <w:rFonts w:ascii="Arial" w:hAnsi="Arial" w:cs="Arial"/>
          <w:b/>
          <w:bCs/>
        </w:rPr>
        <w:tab/>
      </w:r>
      <w:r w:rsidR="00305DFD" w:rsidRPr="00305DFD">
        <w:rPr>
          <w:rFonts w:ascii="Arial" w:hAnsi="Arial" w:cs="Arial"/>
          <w:b/>
          <w:bCs/>
        </w:rPr>
        <w:t>Appropriate language</w:t>
      </w:r>
    </w:p>
    <w:p w14:paraId="6C39F936" w14:textId="71097F11" w:rsidR="00305DFD" w:rsidRPr="00305DFD" w:rsidRDefault="009335D6" w:rsidP="009335D6">
      <w:pPr>
        <w:pStyle w:val="SubmissionNormal"/>
        <w:numPr>
          <w:ilvl w:val="0"/>
          <w:numId w:val="0"/>
        </w:numPr>
        <w:spacing w:before="240"/>
        <w:ind w:left="720" w:hanging="720"/>
        <w:rPr>
          <w:rFonts w:ascii="Arial" w:hAnsi="Arial" w:cs="Arial"/>
        </w:rPr>
      </w:pPr>
      <w:bookmarkStart w:id="85" w:name="_Ref507584295"/>
      <w:r>
        <w:rPr>
          <w:rFonts w:ascii="Arial" w:hAnsi="Arial" w:cs="Arial"/>
        </w:rPr>
        <w:t>5.1</w:t>
      </w:r>
      <w:r>
        <w:rPr>
          <w:rFonts w:ascii="Arial" w:hAnsi="Arial" w:cs="Arial"/>
        </w:rPr>
        <w:tab/>
      </w:r>
      <w:r w:rsidR="00305DFD" w:rsidRPr="00305DFD">
        <w:rPr>
          <w:rFonts w:ascii="Arial" w:hAnsi="Arial" w:cs="Arial"/>
        </w:rPr>
        <w:t xml:space="preserve">The Commission notes that terminology in this area </w:t>
      </w:r>
      <w:proofErr w:type="gramStart"/>
      <w:r w:rsidR="00305DFD" w:rsidRPr="00305DFD">
        <w:rPr>
          <w:rFonts w:ascii="Arial" w:hAnsi="Arial" w:cs="Arial"/>
        </w:rPr>
        <w:t>is contested</w:t>
      </w:r>
      <w:proofErr w:type="gramEnd"/>
      <w:r w:rsidR="00305DFD" w:rsidRPr="00305DFD">
        <w:rPr>
          <w:rFonts w:ascii="Arial" w:hAnsi="Arial" w:cs="Arial"/>
        </w:rPr>
        <w:t>, and inappropriate language use can have harmful consequences. The Commission is committed to consulting on this issue, with a view to adopting the most appropriate terminology in this project.</w:t>
      </w:r>
      <w:bookmarkEnd w:id="85"/>
    </w:p>
    <w:p w14:paraId="071A7F56" w14:textId="73AE9AD3" w:rsidR="00305DFD" w:rsidRPr="00305DFD" w:rsidRDefault="009335D6" w:rsidP="009335D6">
      <w:pPr>
        <w:pStyle w:val="SubmissionNormal"/>
        <w:numPr>
          <w:ilvl w:val="0"/>
          <w:numId w:val="0"/>
        </w:numPr>
        <w:spacing w:before="240"/>
        <w:ind w:left="720" w:hanging="720"/>
        <w:rPr>
          <w:rFonts w:ascii="Arial" w:hAnsi="Arial" w:cs="Arial"/>
        </w:rPr>
      </w:pPr>
      <w:r>
        <w:rPr>
          <w:rFonts w:ascii="Arial" w:hAnsi="Arial" w:cs="Arial"/>
        </w:rPr>
        <w:t>5.2</w:t>
      </w:r>
      <w:r>
        <w:rPr>
          <w:rFonts w:ascii="Arial" w:hAnsi="Arial" w:cs="Arial"/>
        </w:rPr>
        <w:tab/>
      </w:r>
      <w:r w:rsidR="00305DFD" w:rsidRPr="00305DFD">
        <w:rPr>
          <w:rFonts w:ascii="Arial" w:hAnsi="Arial" w:cs="Arial"/>
        </w:rPr>
        <w:t>The Commission</w:t>
      </w:r>
      <w:r w:rsidR="00F87239">
        <w:rPr>
          <w:rFonts w:ascii="Arial" w:hAnsi="Arial" w:cs="Arial"/>
        </w:rPr>
        <w:t>’</w:t>
      </w:r>
      <w:r w:rsidR="00305DFD" w:rsidRPr="00305DFD">
        <w:rPr>
          <w:rFonts w:ascii="Arial" w:hAnsi="Arial" w:cs="Arial"/>
        </w:rPr>
        <w:t xml:space="preserve">s use of the term </w:t>
      </w:r>
      <w:r w:rsidR="00F87239">
        <w:rPr>
          <w:rFonts w:ascii="Arial" w:hAnsi="Arial" w:cs="Arial"/>
        </w:rPr>
        <w:t>‘</w:t>
      </w:r>
      <w:r w:rsidR="00241C46">
        <w:rPr>
          <w:rFonts w:ascii="Arial" w:hAnsi="Arial" w:cs="Arial"/>
        </w:rPr>
        <w:t>people born with</w:t>
      </w:r>
      <w:r w:rsidR="00305DFD" w:rsidRPr="00305DFD">
        <w:rPr>
          <w:rFonts w:ascii="Arial" w:hAnsi="Arial" w:cs="Arial"/>
        </w:rPr>
        <w:t xml:space="preserve"> va</w:t>
      </w:r>
      <w:r>
        <w:rPr>
          <w:rFonts w:ascii="Arial" w:hAnsi="Arial" w:cs="Arial"/>
        </w:rPr>
        <w:t>riations in sex characteristics</w:t>
      </w:r>
      <w:r w:rsidR="00F87239">
        <w:rPr>
          <w:rFonts w:ascii="Arial" w:hAnsi="Arial" w:cs="Arial"/>
        </w:rPr>
        <w:t>’</w:t>
      </w:r>
      <w:r w:rsidR="00305DFD" w:rsidRPr="00305DFD">
        <w:rPr>
          <w:rFonts w:ascii="Arial" w:hAnsi="Arial" w:cs="Arial"/>
        </w:rPr>
        <w:t xml:space="preserve"> is intended to refer compendiously to the people whose human rights are the focus of this project. Other terms </w:t>
      </w:r>
      <w:proofErr w:type="gramStart"/>
      <w:r w:rsidR="00305DFD" w:rsidRPr="00305DFD">
        <w:rPr>
          <w:rFonts w:ascii="Arial" w:hAnsi="Arial" w:cs="Arial"/>
        </w:rPr>
        <w:t>are also used</w:t>
      </w:r>
      <w:proofErr w:type="gramEnd"/>
      <w:r w:rsidR="00305DFD" w:rsidRPr="00305DFD">
        <w:rPr>
          <w:rFonts w:ascii="Arial" w:hAnsi="Arial" w:cs="Arial"/>
        </w:rPr>
        <w:t xml:space="preserve"> in this context, and the Commission remains committed to further consultation on terminology, in accordance with clause </w:t>
      </w:r>
      <w:r w:rsidR="00305DFD">
        <w:rPr>
          <w:rFonts w:ascii="Arial" w:hAnsi="Arial" w:cs="Arial"/>
        </w:rPr>
        <w:fldChar w:fldCharType="begin"/>
      </w:r>
      <w:r w:rsidR="00305DFD">
        <w:rPr>
          <w:rFonts w:ascii="Arial" w:hAnsi="Arial" w:cs="Arial"/>
        </w:rPr>
        <w:instrText xml:space="preserve"> REF _Ref507584295 \r \h </w:instrText>
      </w:r>
      <w:r w:rsidR="00305DFD">
        <w:rPr>
          <w:rFonts w:ascii="Arial" w:hAnsi="Arial" w:cs="Arial"/>
        </w:rPr>
      </w:r>
      <w:r w:rsidR="00305DFD">
        <w:rPr>
          <w:rFonts w:ascii="Arial" w:hAnsi="Arial" w:cs="Arial"/>
        </w:rPr>
        <w:fldChar w:fldCharType="separate"/>
      </w:r>
      <w:r w:rsidR="0075464F">
        <w:rPr>
          <w:rFonts w:ascii="Arial" w:hAnsi="Arial" w:cs="Arial"/>
        </w:rPr>
        <w:t>0</w:t>
      </w:r>
      <w:r w:rsidR="00305DFD">
        <w:rPr>
          <w:rFonts w:ascii="Arial" w:hAnsi="Arial" w:cs="Arial"/>
        </w:rPr>
        <w:fldChar w:fldCharType="end"/>
      </w:r>
      <w:r w:rsidR="00305DFD">
        <w:rPr>
          <w:rFonts w:ascii="Arial" w:hAnsi="Arial" w:cs="Arial"/>
        </w:rPr>
        <w:t xml:space="preserve"> </w:t>
      </w:r>
      <w:r w:rsidR="00305DFD" w:rsidRPr="00305DFD">
        <w:rPr>
          <w:rFonts w:ascii="Arial" w:hAnsi="Arial" w:cs="Arial"/>
        </w:rPr>
        <w:t>above.</w:t>
      </w:r>
    </w:p>
    <w:p w14:paraId="1E93BD51" w14:textId="258185B6" w:rsidR="00305DFD" w:rsidRPr="00305DFD" w:rsidRDefault="009335D6" w:rsidP="00F4279A">
      <w:pPr>
        <w:pStyle w:val="SubmissionNormal"/>
        <w:keepNext/>
        <w:numPr>
          <w:ilvl w:val="0"/>
          <w:numId w:val="0"/>
        </w:numPr>
        <w:spacing w:before="240"/>
        <w:ind w:left="357" w:hanging="357"/>
        <w:rPr>
          <w:rFonts w:ascii="Arial" w:hAnsi="Arial" w:cs="Arial"/>
          <w:b/>
          <w:bCs/>
        </w:rPr>
      </w:pPr>
      <w:r>
        <w:rPr>
          <w:rFonts w:ascii="Arial" w:hAnsi="Arial" w:cs="Arial"/>
          <w:b/>
          <w:bCs/>
        </w:rPr>
        <w:t>6</w:t>
      </w:r>
      <w:r>
        <w:rPr>
          <w:rFonts w:ascii="Arial" w:hAnsi="Arial" w:cs="Arial"/>
          <w:b/>
          <w:bCs/>
        </w:rPr>
        <w:tab/>
      </w:r>
      <w:r>
        <w:rPr>
          <w:rFonts w:ascii="Arial" w:hAnsi="Arial" w:cs="Arial"/>
          <w:b/>
          <w:bCs/>
        </w:rPr>
        <w:tab/>
      </w:r>
      <w:r w:rsidR="00305DFD" w:rsidRPr="00305DFD">
        <w:rPr>
          <w:rFonts w:ascii="Arial" w:hAnsi="Arial" w:cs="Arial"/>
          <w:b/>
          <w:bCs/>
        </w:rPr>
        <w:t>Responsibility for this project</w:t>
      </w:r>
    </w:p>
    <w:p w14:paraId="24D2934F" w14:textId="7D003697" w:rsidR="00F4279A" w:rsidRDefault="009335D6" w:rsidP="009335D6">
      <w:pPr>
        <w:pStyle w:val="SubmissionNormal"/>
        <w:numPr>
          <w:ilvl w:val="0"/>
          <w:numId w:val="0"/>
        </w:numPr>
        <w:spacing w:before="240"/>
        <w:ind w:left="720" w:hanging="720"/>
        <w:rPr>
          <w:rFonts w:ascii="Arial" w:hAnsi="Arial" w:cs="Arial"/>
        </w:rPr>
      </w:pPr>
      <w:r>
        <w:rPr>
          <w:rFonts w:ascii="Arial" w:hAnsi="Arial" w:cs="Arial"/>
        </w:rPr>
        <w:t>6.1</w:t>
      </w:r>
      <w:r>
        <w:rPr>
          <w:rFonts w:ascii="Arial" w:hAnsi="Arial" w:cs="Arial"/>
        </w:rPr>
        <w:tab/>
      </w:r>
      <w:r w:rsidR="00305DFD" w:rsidRPr="00305DFD">
        <w:rPr>
          <w:rFonts w:ascii="Arial" w:hAnsi="Arial" w:cs="Arial"/>
        </w:rPr>
        <w:t>Primary responsibility for this project within the Commission will rest with the Human Rights Commissioner. The Human Rights Commissioner will solicit input internally and externally as appropriate. The Commission will be responsible for the content of any documentation it publishes in connection with this project, including the proposed consultation paper and report.</w:t>
      </w:r>
      <w:r w:rsidR="00F4279A">
        <w:rPr>
          <w:rFonts w:ascii="Arial" w:hAnsi="Arial" w:cs="Arial"/>
        </w:rPr>
        <w:br w:type="page"/>
      </w:r>
    </w:p>
    <w:p w14:paraId="661FC478" w14:textId="5603353E" w:rsidR="008D4320" w:rsidRPr="00E218FF" w:rsidRDefault="008D4320" w:rsidP="00832629">
      <w:pPr>
        <w:pStyle w:val="Heading1"/>
        <w:numPr>
          <w:ilvl w:val="0"/>
          <w:numId w:val="30"/>
        </w:numPr>
        <w:rPr>
          <w:rFonts w:ascii="Arial" w:hAnsi="Arial" w:cs="Arial"/>
        </w:rPr>
      </w:pPr>
      <w:bookmarkStart w:id="86" w:name="_Ref504384101"/>
      <w:bookmarkStart w:id="87" w:name="_Toc507585882"/>
      <w:bookmarkStart w:id="88" w:name="_Toc518984811"/>
      <w:r w:rsidRPr="00E218FF">
        <w:rPr>
          <w:rFonts w:ascii="Arial" w:hAnsi="Arial" w:cs="Arial"/>
        </w:rPr>
        <w:lastRenderedPageBreak/>
        <w:t>Appendix B: Human rights framework</w:t>
      </w:r>
      <w:bookmarkEnd w:id="86"/>
      <w:bookmarkEnd w:id="87"/>
      <w:bookmarkEnd w:id="88"/>
    </w:p>
    <w:p w14:paraId="6DF18851" w14:textId="61546A07" w:rsidR="00A77748" w:rsidRPr="00946210" w:rsidRDefault="00A77748" w:rsidP="00B8568F">
      <w:pPr>
        <w:pStyle w:val="ListParagraph"/>
        <w:numPr>
          <w:ilvl w:val="0"/>
          <w:numId w:val="32"/>
        </w:numPr>
        <w:rPr>
          <w:rFonts w:ascii="Arial" w:hAnsi="Arial" w:cs="Arial"/>
          <w:b/>
        </w:rPr>
      </w:pPr>
      <w:bookmarkStart w:id="89" w:name="_Toc507585883"/>
      <w:r w:rsidRPr="00946210">
        <w:rPr>
          <w:rFonts w:ascii="Arial" w:hAnsi="Arial" w:cs="Arial"/>
          <w:b/>
        </w:rPr>
        <w:t>Human rights framework</w:t>
      </w:r>
      <w:bookmarkEnd w:id="89"/>
    </w:p>
    <w:p w14:paraId="2C9628EF" w14:textId="5355C37F" w:rsidR="008D4320" w:rsidRPr="009F7090" w:rsidRDefault="008D4320" w:rsidP="00B8568F">
      <w:pPr>
        <w:pStyle w:val="SubmissionNormal"/>
        <w:numPr>
          <w:ilvl w:val="1"/>
          <w:numId w:val="32"/>
        </w:numPr>
        <w:spacing w:before="240" w:after="240" w:line="240" w:lineRule="auto"/>
        <w:rPr>
          <w:rFonts w:ascii="Arial" w:hAnsi="Arial" w:cs="Arial"/>
        </w:rPr>
      </w:pPr>
      <w:r w:rsidRPr="009F7090">
        <w:rPr>
          <w:rFonts w:ascii="Arial" w:hAnsi="Arial" w:cs="Arial"/>
        </w:rPr>
        <w:t xml:space="preserve">In the international human rights context, issues relating to the human rights of </w:t>
      </w:r>
      <w:r w:rsidR="00241C46">
        <w:rPr>
          <w:rFonts w:ascii="Arial" w:hAnsi="Arial" w:cs="Arial"/>
        </w:rPr>
        <w:t>people born with</w:t>
      </w:r>
      <w:r w:rsidRPr="009F7090">
        <w:rPr>
          <w:rFonts w:ascii="Arial" w:hAnsi="Arial" w:cs="Arial"/>
        </w:rPr>
        <w:t xml:space="preserve"> variations in sex characteristics have typically, although not exclusively, arisen by reference to one or more of the following themes:</w:t>
      </w:r>
    </w:p>
    <w:p w14:paraId="17AD173E"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bodily autonomy and physical integrity</w:t>
      </w:r>
    </w:p>
    <w:p w14:paraId="666164C3" w14:textId="2500C76C"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children</w:t>
      </w:r>
      <w:r w:rsidR="00F87239">
        <w:rPr>
          <w:rFonts w:ascii="Arial" w:eastAsia="Times New Roman" w:hAnsi="Arial" w:cs="Arial"/>
        </w:rPr>
        <w:t>’</w:t>
      </w:r>
      <w:r w:rsidRPr="00446928">
        <w:rPr>
          <w:rFonts w:ascii="Arial" w:eastAsia="Times New Roman" w:hAnsi="Arial" w:cs="Arial"/>
        </w:rPr>
        <w:t>s rights</w:t>
      </w:r>
    </w:p>
    <w:p w14:paraId="4163725E"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harmful practices</w:t>
      </w:r>
    </w:p>
    <w:p w14:paraId="1F275EB6"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torture and cruel, inhuman or degrading treatment</w:t>
      </w:r>
    </w:p>
    <w:p w14:paraId="4469286F" w14:textId="77777777" w:rsidR="008D4320" w:rsidRPr="00446928" w:rsidRDefault="008D4320" w:rsidP="00305DFD">
      <w:pPr>
        <w:numPr>
          <w:ilvl w:val="0"/>
          <w:numId w:val="24"/>
        </w:numPr>
        <w:spacing w:before="240" w:after="240" w:line="240" w:lineRule="auto"/>
        <w:rPr>
          <w:rFonts w:ascii="Arial" w:eastAsia="Times New Roman" w:hAnsi="Arial" w:cs="Arial"/>
        </w:rPr>
      </w:pPr>
      <w:r w:rsidRPr="00446928">
        <w:rPr>
          <w:rFonts w:ascii="Arial" w:eastAsia="Times New Roman" w:hAnsi="Arial" w:cs="Arial"/>
        </w:rPr>
        <w:t>health, including informed consent</w:t>
      </w:r>
    </w:p>
    <w:p w14:paraId="11410CA2" w14:textId="77777777" w:rsidR="008D4320" w:rsidRPr="00446928" w:rsidRDefault="008D4320" w:rsidP="00305DFD">
      <w:pPr>
        <w:numPr>
          <w:ilvl w:val="0"/>
          <w:numId w:val="24"/>
        </w:numPr>
        <w:spacing w:before="240" w:after="240" w:line="240" w:lineRule="auto"/>
        <w:rPr>
          <w:rFonts w:ascii="Arial" w:eastAsia="Times New Roman" w:hAnsi="Arial" w:cs="Arial"/>
        </w:rPr>
      </w:pPr>
      <w:proofErr w:type="gramStart"/>
      <w:r w:rsidRPr="00446928">
        <w:rPr>
          <w:rFonts w:ascii="Arial" w:eastAsia="Times New Roman" w:hAnsi="Arial" w:cs="Arial"/>
        </w:rPr>
        <w:t>non-discrimination</w:t>
      </w:r>
      <w:proofErr w:type="gramEnd"/>
      <w:r w:rsidRPr="00446928">
        <w:rPr>
          <w:rFonts w:ascii="Arial" w:eastAsia="Times New Roman" w:hAnsi="Arial" w:cs="Arial"/>
        </w:rPr>
        <w:t>.</w:t>
      </w:r>
    </w:p>
    <w:p w14:paraId="078E6252" w14:textId="2024BD0B" w:rsidR="008D4320" w:rsidRPr="00100010" w:rsidRDefault="00100010" w:rsidP="00100010">
      <w:pPr>
        <w:rPr>
          <w:rFonts w:ascii="Arial" w:hAnsi="Arial" w:cs="Arial"/>
          <w:i/>
        </w:rPr>
      </w:pPr>
      <w:r>
        <w:rPr>
          <w:rFonts w:ascii="Arial" w:hAnsi="Arial" w:cs="Arial"/>
          <w:i/>
        </w:rPr>
        <w:t>(a)</w:t>
      </w:r>
      <w:r>
        <w:rPr>
          <w:rFonts w:ascii="Arial" w:hAnsi="Arial" w:cs="Arial"/>
          <w:i/>
        </w:rPr>
        <w:tab/>
      </w:r>
      <w:bookmarkStart w:id="90" w:name="_Ref487123462"/>
      <w:bookmarkStart w:id="91" w:name="_Toc507585884"/>
      <w:r w:rsidR="008D4320" w:rsidRPr="00100010">
        <w:rPr>
          <w:rFonts w:ascii="Arial" w:hAnsi="Arial" w:cs="Arial"/>
          <w:i/>
        </w:rPr>
        <w:t>Bodily autonomy and physical integrity</w:t>
      </w:r>
      <w:bookmarkEnd w:id="90"/>
      <w:bookmarkEnd w:id="91"/>
    </w:p>
    <w:p w14:paraId="7C5E917E" w14:textId="7D0873D7" w:rsidR="008D4320" w:rsidRPr="00710179" w:rsidRDefault="008D4320" w:rsidP="00B8568F">
      <w:pPr>
        <w:pStyle w:val="SubmissionNormal"/>
        <w:numPr>
          <w:ilvl w:val="1"/>
          <w:numId w:val="32"/>
        </w:numPr>
        <w:spacing w:before="240" w:after="240" w:line="240" w:lineRule="auto"/>
        <w:rPr>
          <w:rFonts w:ascii="Arial" w:hAnsi="Arial" w:cs="Arial"/>
        </w:rPr>
      </w:pPr>
      <w:r w:rsidRPr="00946210">
        <w:rPr>
          <w:rFonts w:ascii="Arial" w:hAnsi="Arial" w:cs="Arial"/>
        </w:rPr>
        <w:t>The</w:t>
      </w:r>
      <w:r w:rsidRPr="005B28A4">
        <w:rPr>
          <w:rFonts w:ascii="Arial" w:hAnsi="Arial" w:cs="Arial"/>
          <w:lang w:val="en-US"/>
        </w:rPr>
        <w:t xml:space="preserve"> </w:t>
      </w:r>
      <w:r w:rsidRPr="00AE749E">
        <w:rPr>
          <w:rFonts w:ascii="Arial" w:hAnsi="Arial" w:cs="Arial"/>
          <w:i/>
          <w:lang w:val="en-US"/>
        </w:rPr>
        <w:t>Convention on the Rights of Persons with Disabilities</w:t>
      </w:r>
      <w:r w:rsidRPr="005B28A4">
        <w:rPr>
          <w:rFonts w:ascii="Arial" w:hAnsi="Arial" w:cs="Arial"/>
          <w:lang w:val="en-US"/>
        </w:rPr>
        <w:t xml:space="preserve"> (CRPD) includes an express right to physical </w:t>
      </w:r>
      <w:r w:rsidRPr="00710179">
        <w:rPr>
          <w:rFonts w:ascii="Arial" w:hAnsi="Arial" w:cs="Arial"/>
        </w:rPr>
        <w:t xml:space="preserve">and mental integrity. Article 17 states that </w:t>
      </w:r>
      <w:r w:rsidR="00F87239">
        <w:rPr>
          <w:rFonts w:ascii="Arial" w:hAnsi="Arial" w:cs="Arial"/>
        </w:rPr>
        <w:t>‘</w:t>
      </w:r>
      <w:r w:rsidRPr="00710179">
        <w:rPr>
          <w:rFonts w:ascii="Arial" w:hAnsi="Arial" w:cs="Arial"/>
        </w:rPr>
        <w:t>every person with disabilities has a right to respect for his or her physical and mental integrity on an equal basis with others</w:t>
      </w:r>
      <w:r w:rsidR="00F87239">
        <w:rPr>
          <w:rFonts w:ascii="Arial" w:hAnsi="Arial" w:cs="Arial"/>
        </w:rPr>
        <w:t>’</w:t>
      </w:r>
      <w:r w:rsidRPr="00710179">
        <w:rPr>
          <w:rFonts w:ascii="Arial" w:hAnsi="Arial" w:cs="Arial"/>
        </w:rPr>
        <w:t>.</w:t>
      </w:r>
      <w:r w:rsidR="00114309">
        <w:rPr>
          <w:rStyle w:val="EndnoteReference"/>
          <w:rFonts w:cs="Arial"/>
        </w:rPr>
        <w:endnoteReference w:id="189"/>
      </w:r>
    </w:p>
    <w:p w14:paraId="53008755" w14:textId="50F8FCCD" w:rsidR="008D4320" w:rsidRPr="00710179" w:rsidRDefault="008D4320" w:rsidP="00B8568F">
      <w:pPr>
        <w:pStyle w:val="SubmissionNormal"/>
        <w:numPr>
          <w:ilvl w:val="1"/>
          <w:numId w:val="32"/>
        </w:numPr>
        <w:spacing w:before="240" w:after="240" w:line="240" w:lineRule="auto"/>
        <w:rPr>
          <w:rFonts w:ascii="Arial" w:hAnsi="Arial" w:cs="Arial"/>
        </w:rPr>
      </w:pPr>
      <w:r w:rsidRPr="00710179">
        <w:rPr>
          <w:rFonts w:ascii="Arial" w:hAnsi="Arial" w:cs="Arial"/>
        </w:rPr>
        <w:t xml:space="preserve">While the </w:t>
      </w:r>
      <w:r w:rsidRPr="00AE749E">
        <w:rPr>
          <w:rFonts w:ascii="Arial" w:hAnsi="Arial" w:cs="Arial"/>
          <w:i/>
        </w:rPr>
        <w:t>International Covenant on Civil and Political Rights</w:t>
      </w:r>
      <w:r w:rsidRPr="00710179">
        <w:rPr>
          <w:rFonts w:ascii="Arial" w:hAnsi="Arial" w:cs="Arial"/>
        </w:rPr>
        <w:t xml:space="preserve"> (ICCPR) does not include an express right to physical or bodily integrity, the UN Human Rights Committee has confirmed that the rights to privacy (Art 7) and security of person (Art 9) in the ICCPR include bodily autonomy and physical integrity.</w:t>
      </w:r>
      <w:r w:rsidR="00947E65">
        <w:rPr>
          <w:rStyle w:val="EndnoteReference"/>
          <w:rFonts w:cs="Arial"/>
        </w:rPr>
        <w:endnoteReference w:id="190"/>
      </w:r>
    </w:p>
    <w:p w14:paraId="5654ABC2" w14:textId="73123131"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710179">
        <w:rPr>
          <w:rFonts w:ascii="Arial" w:hAnsi="Arial" w:cs="Arial"/>
        </w:rPr>
        <w:t>A number of treaty bodies have recommended that States implement measures to guarantee the bodily autonomy</w:t>
      </w:r>
      <w:r w:rsidRPr="00985041">
        <w:rPr>
          <w:rFonts w:ascii="Arial" w:hAnsi="Arial" w:cs="Arial"/>
          <w:lang w:val="en-US"/>
        </w:rPr>
        <w:t xml:space="preserve"> and physical integrity of people with intersex variations.</w:t>
      </w:r>
      <w:r w:rsidR="009D3096">
        <w:rPr>
          <w:rStyle w:val="EndnoteReference"/>
          <w:rFonts w:cs="Arial"/>
          <w:lang w:val="en-US"/>
        </w:rPr>
        <w:endnoteReference w:id="191"/>
      </w:r>
    </w:p>
    <w:p w14:paraId="094E1031" w14:textId="79994382" w:rsidR="008D4320" w:rsidRPr="00100010" w:rsidRDefault="00100010" w:rsidP="00100010">
      <w:pPr>
        <w:rPr>
          <w:rFonts w:ascii="Arial" w:hAnsi="Arial" w:cs="Arial"/>
          <w:i/>
        </w:rPr>
      </w:pPr>
      <w:bookmarkStart w:id="92" w:name="_Toc507585885"/>
      <w:r>
        <w:rPr>
          <w:rFonts w:ascii="Arial" w:hAnsi="Arial" w:cs="Arial"/>
          <w:i/>
        </w:rPr>
        <w:t>(b)</w:t>
      </w:r>
      <w:r>
        <w:rPr>
          <w:rFonts w:ascii="Arial" w:hAnsi="Arial" w:cs="Arial"/>
          <w:i/>
        </w:rPr>
        <w:tab/>
      </w:r>
      <w:r w:rsidR="008D4320" w:rsidRPr="00100010">
        <w:rPr>
          <w:rFonts w:ascii="Arial" w:hAnsi="Arial" w:cs="Arial"/>
          <w:i/>
        </w:rPr>
        <w:t>Children</w:t>
      </w:r>
      <w:r w:rsidR="00F87239">
        <w:rPr>
          <w:rFonts w:ascii="Arial" w:hAnsi="Arial" w:cs="Arial"/>
          <w:i/>
        </w:rPr>
        <w:t>’</w:t>
      </w:r>
      <w:r w:rsidR="008D4320" w:rsidRPr="00100010">
        <w:rPr>
          <w:rFonts w:ascii="Arial" w:hAnsi="Arial" w:cs="Arial"/>
          <w:i/>
        </w:rPr>
        <w:t>s rights</w:t>
      </w:r>
      <w:bookmarkEnd w:id="92"/>
    </w:p>
    <w:p w14:paraId="12CFCBB2"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946210">
        <w:rPr>
          <w:rFonts w:ascii="Arial" w:hAnsi="Arial" w:cs="Arial"/>
        </w:rPr>
        <w:t>The</w:t>
      </w:r>
      <w:r w:rsidRPr="00985041">
        <w:rPr>
          <w:rFonts w:ascii="Arial" w:hAnsi="Arial" w:cs="Arial"/>
          <w:lang w:val="en-US"/>
        </w:rPr>
        <w:t xml:space="preserve"> </w:t>
      </w:r>
      <w:r w:rsidRPr="00AE749E">
        <w:rPr>
          <w:rFonts w:ascii="Arial" w:hAnsi="Arial" w:cs="Arial"/>
          <w:i/>
          <w:lang w:val="en-US"/>
        </w:rPr>
        <w:t>Convention on the Rights of the Child</w:t>
      </w:r>
      <w:r w:rsidRPr="00985041">
        <w:rPr>
          <w:rFonts w:ascii="Arial" w:hAnsi="Arial" w:cs="Arial"/>
          <w:lang w:val="en-US"/>
        </w:rPr>
        <w:t xml:space="preserve"> (CRC) contains a number of articles relevant to protecting the human rights of children with congenital variations in sex characteristics in medical settings. These include obligations on States Parties to:</w:t>
      </w:r>
    </w:p>
    <w:p w14:paraId="48C61F5D"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ensure the best interests of the child is a primary consideration in all actions concerning children (Art 3(1))</w:t>
      </w:r>
    </w:p>
    <w:p w14:paraId="73AE195C"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ensure the survival and development of the child (Art 6(2))</w:t>
      </w:r>
    </w:p>
    <w:p w14:paraId="790FD1CF"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respect the right of the child to preserve his or her identity (Art 8(1))</w:t>
      </w:r>
    </w:p>
    <w:p w14:paraId="6EF0E7E9"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assure to the child who is capable of forming his or her own views the right to express those views freely in all matters affecting the child, the views of the child being given due weight in accordance with the age and maturity of the child (Art 12(1))</w:t>
      </w:r>
    </w:p>
    <w:p w14:paraId="2AFDBD46"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t>take all appropriate legislative, administrative, social and educational measures to protect the child from all forms of physical or mental violence, injury or abuse, neglect or negligent treatment, maltreatment or exploitation (Art 19)</w:t>
      </w:r>
    </w:p>
    <w:p w14:paraId="6352E1FF" w14:textId="77777777" w:rsidR="008D4320" w:rsidRPr="00446928" w:rsidRDefault="008D4320" w:rsidP="00305DFD">
      <w:pPr>
        <w:numPr>
          <w:ilvl w:val="0"/>
          <w:numId w:val="25"/>
        </w:numPr>
        <w:spacing w:before="240" w:after="240" w:line="240" w:lineRule="auto"/>
        <w:rPr>
          <w:rFonts w:ascii="Arial" w:eastAsia="Times New Roman" w:hAnsi="Arial" w:cs="Arial"/>
        </w:rPr>
      </w:pPr>
      <w:r w:rsidRPr="00446928">
        <w:rPr>
          <w:rFonts w:ascii="Arial" w:eastAsia="Times New Roman" w:hAnsi="Arial" w:cs="Arial"/>
        </w:rPr>
        <w:lastRenderedPageBreak/>
        <w:t>take all effective and appropriate measures with a view to abolishing traditional practices prejudicial to the health of children (Art 24(3))</w:t>
      </w:r>
    </w:p>
    <w:p w14:paraId="7DB4DCFC" w14:textId="77777777" w:rsidR="008D4320" w:rsidRPr="00446928" w:rsidRDefault="008D4320" w:rsidP="00305DFD">
      <w:pPr>
        <w:numPr>
          <w:ilvl w:val="0"/>
          <w:numId w:val="25"/>
        </w:numPr>
        <w:spacing w:before="240" w:after="240" w:line="240" w:lineRule="auto"/>
        <w:rPr>
          <w:rFonts w:ascii="Arial" w:eastAsia="Times New Roman" w:hAnsi="Arial" w:cs="Arial"/>
        </w:rPr>
      </w:pPr>
      <w:proofErr w:type="gramStart"/>
      <w:r w:rsidRPr="00446928">
        <w:rPr>
          <w:rFonts w:ascii="Arial" w:eastAsia="Times New Roman" w:hAnsi="Arial" w:cs="Arial"/>
        </w:rPr>
        <w:t>recognise</w:t>
      </w:r>
      <w:proofErr w:type="gramEnd"/>
      <w:r w:rsidRPr="00446928">
        <w:rPr>
          <w:rFonts w:ascii="Arial" w:eastAsia="Times New Roman" w:hAnsi="Arial" w:cs="Arial"/>
        </w:rPr>
        <w:t xml:space="preserve"> the right of the child to the enjoyment of the highest attainable standard of health (Art 24(1)).</w:t>
      </w:r>
      <w:r>
        <w:rPr>
          <w:rStyle w:val="EndnoteReference"/>
          <w:rFonts w:eastAsia="Times New Roman" w:cs="Arial"/>
        </w:rPr>
        <w:endnoteReference w:id="192"/>
      </w:r>
    </w:p>
    <w:p w14:paraId="08E0DCF1" w14:textId="4ED80CBF" w:rsidR="00472B78"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lang w:val="en-US"/>
        </w:rPr>
        <w:t xml:space="preserve">The Committee on the Rights of the Child has repeatedly called on </w:t>
      </w:r>
      <w:r w:rsidR="000C5DCF">
        <w:rPr>
          <w:rFonts w:ascii="Arial" w:hAnsi="Arial" w:cs="Arial"/>
          <w:lang w:val="en-US"/>
        </w:rPr>
        <w:t>S</w:t>
      </w:r>
      <w:r w:rsidRPr="005B28A4">
        <w:rPr>
          <w:rFonts w:ascii="Arial" w:hAnsi="Arial" w:cs="Arial"/>
          <w:lang w:val="en-US"/>
        </w:rPr>
        <w:t>tate</w:t>
      </w:r>
      <w:r w:rsidR="000C5DCF">
        <w:rPr>
          <w:rFonts w:ascii="Arial" w:hAnsi="Arial" w:cs="Arial"/>
          <w:lang w:val="en-US"/>
        </w:rPr>
        <w:t>s</w:t>
      </w:r>
      <w:r w:rsidRPr="005B28A4">
        <w:rPr>
          <w:rFonts w:ascii="Arial" w:hAnsi="Arial" w:cs="Arial"/>
          <w:lang w:val="en-US"/>
        </w:rPr>
        <w:t xml:space="preserve"> </w:t>
      </w:r>
      <w:r w:rsidR="000C5DCF">
        <w:rPr>
          <w:rFonts w:ascii="Arial" w:hAnsi="Arial" w:cs="Arial"/>
          <w:lang w:val="en-US"/>
        </w:rPr>
        <w:t>P</w:t>
      </w:r>
      <w:r w:rsidRPr="005B28A4">
        <w:rPr>
          <w:rFonts w:ascii="Arial" w:hAnsi="Arial" w:cs="Arial"/>
          <w:lang w:val="en-US"/>
        </w:rPr>
        <w:t xml:space="preserve">arties </w:t>
      </w:r>
      <w:proofErr w:type="gramStart"/>
      <w:r w:rsidRPr="005B28A4">
        <w:rPr>
          <w:rFonts w:ascii="Arial" w:hAnsi="Arial" w:cs="Arial"/>
          <w:lang w:val="en-US"/>
        </w:rPr>
        <w:t>to better protect</w:t>
      </w:r>
      <w:proofErr w:type="gramEnd"/>
      <w:r w:rsidRPr="005B28A4">
        <w:rPr>
          <w:rFonts w:ascii="Arial" w:hAnsi="Arial" w:cs="Arial"/>
          <w:lang w:val="en-US"/>
        </w:rPr>
        <w:t xml:space="preserve"> the human rights of children with congenital variations in sex characteristics in the context of medical interventions. </w:t>
      </w:r>
      <w:r w:rsidR="00472B78">
        <w:rPr>
          <w:rFonts w:ascii="Arial" w:hAnsi="Arial" w:cs="Arial"/>
          <w:lang w:val="en-US"/>
        </w:rPr>
        <w:t xml:space="preserve">In </w:t>
      </w:r>
      <w:r w:rsidR="000A2B6D">
        <w:rPr>
          <w:rFonts w:ascii="Arial" w:hAnsi="Arial" w:cs="Arial"/>
          <w:lang w:val="en-US"/>
        </w:rPr>
        <w:t>its General C</w:t>
      </w:r>
      <w:r w:rsidR="00472B78">
        <w:rPr>
          <w:rFonts w:ascii="Arial" w:hAnsi="Arial" w:cs="Arial"/>
          <w:lang w:val="en-US"/>
        </w:rPr>
        <w:t xml:space="preserve">omment No. 20, on the rights of the child during adolescence, </w:t>
      </w:r>
      <w:r w:rsidR="000A2B6D">
        <w:rPr>
          <w:rFonts w:ascii="Arial" w:hAnsi="Arial" w:cs="Arial"/>
          <w:lang w:val="en-US"/>
        </w:rPr>
        <w:t xml:space="preserve">it stated: </w:t>
      </w:r>
    </w:p>
    <w:p w14:paraId="08738B0C" w14:textId="4CC96553" w:rsidR="00472B78" w:rsidRPr="00235BF1" w:rsidRDefault="00472B78" w:rsidP="00235BF1">
      <w:pPr>
        <w:ind w:left="1440"/>
        <w:rPr>
          <w:rFonts w:ascii="Arial" w:eastAsia="Times New Roman" w:hAnsi="Arial" w:cs="Arial"/>
        </w:rPr>
      </w:pPr>
      <w:r w:rsidRPr="00235BF1">
        <w:rPr>
          <w:rFonts w:ascii="Arial" w:eastAsia="Times New Roman" w:hAnsi="Arial" w:cs="Arial"/>
        </w:rPr>
        <w:t xml:space="preserve">The Committee emphasizes the rights of all adolescents to freedom of expression and respect for their physical and psychological integrity, gender identity and emerging autonomy. It condemns the imposition of so-called </w:t>
      </w:r>
      <w:r w:rsidR="00F87239">
        <w:rPr>
          <w:rFonts w:ascii="Arial" w:eastAsia="Times New Roman" w:hAnsi="Arial" w:cs="Arial"/>
        </w:rPr>
        <w:t>“</w:t>
      </w:r>
      <w:r w:rsidRPr="00235BF1">
        <w:rPr>
          <w:rFonts w:ascii="Arial" w:eastAsia="Times New Roman" w:hAnsi="Arial" w:cs="Arial"/>
        </w:rPr>
        <w:t>treatments</w:t>
      </w:r>
      <w:r w:rsidR="00F87239">
        <w:rPr>
          <w:rFonts w:ascii="Arial" w:eastAsia="Times New Roman" w:hAnsi="Arial" w:cs="Arial"/>
        </w:rPr>
        <w:t>”</w:t>
      </w:r>
      <w:r w:rsidRPr="00235BF1">
        <w:rPr>
          <w:rFonts w:ascii="Arial" w:eastAsia="Times New Roman" w:hAnsi="Arial" w:cs="Arial"/>
        </w:rPr>
        <w:t xml:space="preserve"> to try to change sexual orientation and forced surgeries or treatments on intersex adolescents. It urges States to eliminate such practices</w:t>
      </w:r>
      <w:r w:rsidR="008F5981" w:rsidRPr="00235BF1">
        <w:rPr>
          <w:rFonts w:ascii="Arial" w:eastAsia="Times New Roman" w:hAnsi="Arial" w:cs="Arial"/>
        </w:rPr>
        <w:t>…</w:t>
      </w:r>
      <w:r w:rsidR="00235BF1">
        <w:rPr>
          <w:rStyle w:val="EndnoteReference"/>
          <w:rFonts w:eastAsia="Times New Roman" w:cs="Arial"/>
        </w:rPr>
        <w:endnoteReference w:id="193"/>
      </w:r>
    </w:p>
    <w:p w14:paraId="1E8E9839" w14:textId="0E7FB906" w:rsidR="008D4320" w:rsidRPr="005B28A4" w:rsidRDefault="000A2B6D" w:rsidP="00B8568F">
      <w:pPr>
        <w:pStyle w:val="SubmissionNormal"/>
        <w:numPr>
          <w:ilvl w:val="1"/>
          <w:numId w:val="32"/>
        </w:numPr>
        <w:spacing w:before="240" w:after="240" w:line="240" w:lineRule="auto"/>
        <w:rPr>
          <w:rFonts w:ascii="Arial" w:hAnsi="Arial" w:cs="Arial"/>
          <w:lang w:val="en-US"/>
        </w:rPr>
      </w:pPr>
      <w:r>
        <w:rPr>
          <w:rFonts w:ascii="Arial" w:hAnsi="Arial" w:cs="Arial"/>
          <w:lang w:val="en-US"/>
        </w:rPr>
        <w:t>Further</w:t>
      </w:r>
      <w:r w:rsidR="008D4320" w:rsidRPr="005B28A4">
        <w:rPr>
          <w:rFonts w:ascii="Arial" w:hAnsi="Arial" w:cs="Arial"/>
          <w:lang w:val="en-US"/>
        </w:rPr>
        <w:t xml:space="preserve">, in October 2016, the Committee recommended that New Zealand take the following </w:t>
      </w:r>
      <w:r w:rsidR="008D4320" w:rsidRPr="00946210">
        <w:rPr>
          <w:rFonts w:ascii="Arial" w:hAnsi="Arial" w:cs="Arial"/>
        </w:rPr>
        <w:t>action</w:t>
      </w:r>
      <w:r w:rsidR="008D4320" w:rsidRPr="005B28A4">
        <w:rPr>
          <w:rFonts w:ascii="Arial" w:hAnsi="Arial" w:cs="Arial"/>
          <w:lang w:val="en-US"/>
        </w:rPr>
        <w:t>:</w:t>
      </w:r>
    </w:p>
    <w:p w14:paraId="5F72931A"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Develop and implement a child rights-based health care protocol for intersex children, setting the procedures and steps to be followed by health teams, ensuring that no one is subjected to unnecessary medical or surgical treatment during infancy or childhood, guaranteeing the rights of children to bodily integrity, autonomy and self-determination, and provide families with intersex children with adequate counselling and support;</w:t>
      </w:r>
    </w:p>
    <w:p w14:paraId="498248D3"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Promptly investigate incidents of surgical and other medical treatment of intersex children without informed consent and adopt legal provisions to provide redress to victims of such treatment, including adequate compensation;</w:t>
      </w:r>
    </w:p>
    <w:p w14:paraId="2630B493"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Educate and train medical and psychological professionals on the range of biological and physical sexual diversity and on the consequences of unnecessary surgical and other medical interventions on intersex children;</w:t>
      </w:r>
    </w:p>
    <w:p w14:paraId="358C30C9" w14:textId="77777777" w:rsidR="008D4320" w:rsidRPr="00446928" w:rsidRDefault="008D4320" w:rsidP="008D4320">
      <w:pPr>
        <w:numPr>
          <w:ilvl w:val="1"/>
          <w:numId w:val="15"/>
        </w:numPr>
        <w:spacing w:before="240" w:after="240" w:line="240" w:lineRule="auto"/>
        <w:rPr>
          <w:rFonts w:ascii="Arial" w:eastAsia="Times New Roman" w:hAnsi="Arial" w:cs="Arial"/>
        </w:rPr>
      </w:pPr>
      <w:r w:rsidRPr="00446928">
        <w:rPr>
          <w:rFonts w:ascii="Arial" w:eastAsia="Times New Roman" w:hAnsi="Arial" w:cs="Arial"/>
        </w:rPr>
        <w:t>Extend free access to surgical interventions and medical treatment related to their intersex condition to intersex children between the age of 16 and 18.</w:t>
      </w:r>
      <w:r w:rsidRPr="00030F1B">
        <w:rPr>
          <w:rFonts w:ascii="Arial" w:hAnsi="Arial" w:cs="Arial"/>
          <w:sz w:val="20"/>
          <w:vertAlign w:val="superscript"/>
        </w:rPr>
        <w:endnoteReference w:id="194"/>
      </w:r>
    </w:p>
    <w:p w14:paraId="6DBB7E74" w14:textId="6AE61DF0" w:rsidR="008D4320" w:rsidRDefault="008D4320" w:rsidP="00B8568F">
      <w:pPr>
        <w:pStyle w:val="SubmissionNormal"/>
        <w:numPr>
          <w:ilvl w:val="1"/>
          <w:numId w:val="32"/>
        </w:numPr>
        <w:spacing w:before="240" w:after="240" w:line="240" w:lineRule="auto"/>
        <w:rPr>
          <w:rFonts w:ascii="Arial" w:hAnsi="Arial" w:cs="Arial"/>
          <w:lang w:val="en-US"/>
        </w:rPr>
      </w:pPr>
      <w:r w:rsidRPr="00985041">
        <w:rPr>
          <w:rFonts w:ascii="Arial" w:hAnsi="Arial" w:cs="Arial"/>
          <w:lang w:val="en-US"/>
        </w:rPr>
        <w:t xml:space="preserve">UN treaty bodies have increasingly considered claimed human rights violations in respect of </w:t>
      </w:r>
      <w:r w:rsidR="00241C46">
        <w:rPr>
          <w:rFonts w:ascii="Arial" w:hAnsi="Arial" w:cs="Arial"/>
          <w:lang w:val="en-US"/>
        </w:rPr>
        <w:t>people born with</w:t>
      </w:r>
      <w:r w:rsidRPr="00985041">
        <w:rPr>
          <w:rFonts w:ascii="Arial" w:hAnsi="Arial" w:cs="Arial"/>
          <w:lang w:val="en-US"/>
        </w:rPr>
        <w:t xml:space="preserve"> variations in sex characteristics in relation to medical interventions by reference to </w:t>
      </w:r>
      <w:r w:rsidR="00F87239">
        <w:rPr>
          <w:rFonts w:ascii="Arial" w:hAnsi="Arial" w:cs="Arial"/>
          <w:lang w:val="en-US"/>
        </w:rPr>
        <w:t>‘</w:t>
      </w:r>
      <w:r w:rsidRPr="00985041">
        <w:rPr>
          <w:rFonts w:ascii="Arial" w:hAnsi="Arial" w:cs="Arial"/>
          <w:lang w:val="en-US"/>
        </w:rPr>
        <w:t>harmful practices</w:t>
      </w:r>
      <w:r w:rsidR="00F87239">
        <w:rPr>
          <w:rFonts w:ascii="Arial" w:hAnsi="Arial" w:cs="Arial"/>
          <w:lang w:val="en-US"/>
        </w:rPr>
        <w:t>’</w:t>
      </w:r>
      <w:r w:rsidRPr="00985041">
        <w:rPr>
          <w:rFonts w:ascii="Arial" w:hAnsi="Arial" w:cs="Arial"/>
          <w:lang w:val="en-US"/>
        </w:rPr>
        <w:t>.</w:t>
      </w:r>
      <w:r w:rsidR="00947E65">
        <w:rPr>
          <w:rStyle w:val="EndnoteReference"/>
          <w:rFonts w:cs="Arial"/>
          <w:lang w:val="en-US"/>
        </w:rPr>
        <w:endnoteReference w:id="195"/>
      </w:r>
      <w:r w:rsidRPr="00985041">
        <w:rPr>
          <w:rFonts w:ascii="Arial" w:hAnsi="Arial" w:cs="Arial"/>
          <w:lang w:val="en-US"/>
        </w:rPr>
        <w:t xml:space="preserve"> The Committee has previously confirmed that </w:t>
      </w:r>
      <w:r w:rsidR="00F87239">
        <w:rPr>
          <w:rFonts w:ascii="Arial" w:hAnsi="Arial" w:cs="Arial"/>
          <w:lang w:val="en-US"/>
        </w:rPr>
        <w:t>‘</w:t>
      </w:r>
      <w:r w:rsidRPr="00985041">
        <w:rPr>
          <w:rFonts w:ascii="Arial" w:hAnsi="Arial" w:cs="Arial"/>
          <w:lang w:val="en-US"/>
        </w:rPr>
        <w:t>harmful practices</w:t>
      </w:r>
      <w:r w:rsidR="00F87239">
        <w:rPr>
          <w:rFonts w:ascii="Arial" w:hAnsi="Arial" w:cs="Arial"/>
          <w:lang w:val="en-US"/>
        </w:rPr>
        <w:t>’</w:t>
      </w:r>
      <w:r w:rsidRPr="00985041">
        <w:rPr>
          <w:rFonts w:ascii="Arial" w:hAnsi="Arial" w:cs="Arial"/>
          <w:lang w:val="en-US"/>
        </w:rPr>
        <w:t xml:space="preserve"> fall within the scope of </w:t>
      </w:r>
      <w:r w:rsidR="00F87239">
        <w:rPr>
          <w:rFonts w:ascii="Arial" w:hAnsi="Arial" w:cs="Arial"/>
          <w:lang w:val="en-US"/>
        </w:rPr>
        <w:t>‘</w:t>
      </w:r>
      <w:r w:rsidRPr="00985041">
        <w:rPr>
          <w:rFonts w:ascii="Arial" w:hAnsi="Arial" w:cs="Arial"/>
          <w:lang w:val="en-US"/>
        </w:rPr>
        <w:t>all forms of physical and mental violence</w:t>
      </w:r>
      <w:r w:rsidR="00F87239">
        <w:rPr>
          <w:rFonts w:ascii="Arial" w:hAnsi="Arial" w:cs="Arial"/>
          <w:lang w:val="en-US"/>
        </w:rPr>
        <w:t>’</w:t>
      </w:r>
      <w:r w:rsidRPr="00985041">
        <w:rPr>
          <w:rFonts w:ascii="Arial" w:hAnsi="Arial" w:cs="Arial"/>
          <w:lang w:val="en-US"/>
        </w:rPr>
        <w:t xml:space="preserve"> in article 19 of the CRC.</w:t>
      </w:r>
      <w:r w:rsidR="00947E65">
        <w:rPr>
          <w:rStyle w:val="EndnoteReference"/>
          <w:rFonts w:cs="Arial"/>
          <w:lang w:val="en-US"/>
        </w:rPr>
        <w:endnoteReference w:id="196"/>
      </w:r>
    </w:p>
    <w:p w14:paraId="0B4FF835" w14:textId="01377A1A" w:rsidR="00F97840" w:rsidRPr="00F97840" w:rsidRDefault="00F97840" w:rsidP="00B8568F">
      <w:pPr>
        <w:pStyle w:val="SubmissionNormal"/>
        <w:numPr>
          <w:ilvl w:val="1"/>
          <w:numId w:val="32"/>
        </w:numPr>
        <w:spacing w:before="240" w:after="240" w:line="240" w:lineRule="auto"/>
        <w:rPr>
          <w:rFonts w:ascii="Arial" w:hAnsi="Arial" w:cs="Arial"/>
          <w:lang w:val="en-US"/>
        </w:rPr>
      </w:pPr>
      <w:r w:rsidRPr="00985041">
        <w:rPr>
          <w:rFonts w:ascii="Arial" w:hAnsi="Arial" w:cs="Arial"/>
          <w:lang w:val="en-US"/>
        </w:rPr>
        <w:t xml:space="preserve">A number of treaty bodies have also recommended that </w:t>
      </w:r>
      <w:r w:rsidR="000C5DCF">
        <w:rPr>
          <w:rFonts w:ascii="Arial" w:hAnsi="Arial" w:cs="Arial"/>
          <w:lang w:val="en-US"/>
        </w:rPr>
        <w:t>S</w:t>
      </w:r>
      <w:r w:rsidRPr="00985041">
        <w:rPr>
          <w:rFonts w:ascii="Arial" w:hAnsi="Arial" w:cs="Arial"/>
          <w:lang w:val="en-US"/>
        </w:rPr>
        <w:t>tate</w:t>
      </w:r>
      <w:r w:rsidR="000C5DCF">
        <w:rPr>
          <w:rFonts w:ascii="Arial" w:hAnsi="Arial" w:cs="Arial"/>
          <w:lang w:val="en-US"/>
        </w:rPr>
        <w:t>s</w:t>
      </w:r>
      <w:r w:rsidRPr="00985041">
        <w:rPr>
          <w:rFonts w:ascii="Arial" w:hAnsi="Arial" w:cs="Arial"/>
          <w:lang w:val="en-US"/>
        </w:rPr>
        <w:t xml:space="preserve"> </w:t>
      </w:r>
      <w:r w:rsidR="000C5DCF">
        <w:rPr>
          <w:rFonts w:ascii="Arial" w:hAnsi="Arial" w:cs="Arial"/>
          <w:lang w:val="en-US"/>
        </w:rPr>
        <w:t>P</w:t>
      </w:r>
      <w:r w:rsidRPr="00985041">
        <w:rPr>
          <w:rFonts w:ascii="Arial" w:hAnsi="Arial" w:cs="Arial"/>
          <w:lang w:val="en-US"/>
        </w:rPr>
        <w:t>arties implement measures to guarantee rights-based healthcare for children with intersex variations.</w:t>
      </w:r>
      <w:r>
        <w:rPr>
          <w:rStyle w:val="EndnoteReference"/>
          <w:rFonts w:cs="Arial"/>
          <w:lang w:val="en-US"/>
        </w:rPr>
        <w:endnoteReference w:id="197"/>
      </w:r>
    </w:p>
    <w:p w14:paraId="0C283E19" w14:textId="20BAA274" w:rsidR="008D4320" w:rsidRPr="00100010" w:rsidRDefault="00100010" w:rsidP="00100010">
      <w:pPr>
        <w:rPr>
          <w:rFonts w:ascii="Arial" w:hAnsi="Arial" w:cs="Arial"/>
          <w:i/>
        </w:rPr>
      </w:pPr>
      <w:bookmarkStart w:id="93" w:name="_Ref503184563"/>
      <w:bookmarkStart w:id="94" w:name="_Toc507585886"/>
      <w:r>
        <w:rPr>
          <w:rFonts w:ascii="Arial" w:hAnsi="Arial" w:cs="Arial"/>
          <w:i/>
        </w:rPr>
        <w:t>(c)</w:t>
      </w:r>
      <w:r>
        <w:rPr>
          <w:rFonts w:ascii="Arial" w:hAnsi="Arial" w:cs="Arial"/>
          <w:i/>
        </w:rPr>
        <w:tab/>
      </w:r>
      <w:r w:rsidR="008D4320" w:rsidRPr="00100010">
        <w:rPr>
          <w:rFonts w:ascii="Arial" w:hAnsi="Arial" w:cs="Arial"/>
          <w:i/>
        </w:rPr>
        <w:t>Torture or cruel, inhuman or degrading treatment</w:t>
      </w:r>
      <w:bookmarkEnd w:id="93"/>
      <w:bookmarkEnd w:id="94"/>
    </w:p>
    <w:p w14:paraId="7EE300DF"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985041">
        <w:rPr>
          <w:rFonts w:ascii="Arial" w:hAnsi="Arial" w:cs="Arial"/>
          <w:lang w:val="en-US"/>
        </w:rPr>
        <w:t xml:space="preserve">The right to be free from torture or cruel, inhuman or degrading treatment is guaranteed in a </w:t>
      </w:r>
      <w:r w:rsidRPr="005B28A4">
        <w:rPr>
          <w:rFonts w:ascii="Arial" w:hAnsi="Arial" w:cs="Arial"/>
        </w:rPr>
        <w:t>number</w:t>
      </w:r>
      <w:r w:rsidRPr="00985041">
        <w:rPr>
          <w:rFonts w:ascii="Arial" w:hAnsi="Arial" w:cs="Arial"/>
          <w:lang w:val="en-US"/>
        </w:rPr>
        <w:t xml:space="preserve"> of key international instruments, including the </w:t>
      </w:r>
      <w:r w:rsidRPr="00AE749E">
        <w:rPr>
          <w:rFonts w:ascii="Arial" w:hAnsi="Arial" w:cs="Arial"/>
          <w:i/>
          <w:lang w:val="en-US"/>
        </w:rPr>
        <w:t xml:space="preserve">Convention </w:t>
      </w:r>
      <w:proofErr w:type="gramStart"/>
      <w:r w:rsidRPr="00AE749E">
        <w:rPr>
          <w:rFonts w:ascii="Arial" w:hAnsi="Arial" w:cs="Arial"/>
          <w:i/>
          <w:lang w:val="en-US"/>
        </w:rPr>
        <w:t>Against</w:t>
      </w:r>
      <w:proofErr w:type="gramEnd"/>
      <w:r w:rsidRPr="00AE749E">
        <w:rPr>
          <w:rFonts w:ascii="Arial" w:hAnsi="Arial" w:cs="Arial"/>
          <w:i/>
          <w:lang w:val="en-US"/>
        </w:rPr>
        <w:t xml:space="preserve"> Torture</w:t>
      </w:r>
      <w:r w:rsidRPr="00985041">
        <w:rPr>
          <w:rFonts w:ascii="Arial" w:hAnsi="Arial" w:cs="Arial"/>
          <w:lang w:val="en-US"/>
        </w:rPr>
        <w:t xml:space="preserve"> (CAT) and the Universal Declaration of Human Rights (Art 5). </w:t>
      </w:r>
    </w:p>
    <w:p w14:paraId="65A56944" w14:textId="3C88D37C" w:rsidR="008D4320" w:rsidRPr="005B28A4" w:rsidRDefault="008D4320" w:rsidP="00B8568F">
      <w:pPr>
        <w:pStyle w:val="SubmissionNormal"/>
        <w:numPr>
          <w:ilvl w:val="1"/>
          <w:numId w:val="32"/>
        </w:numPr>
        <w:spacing w:before="240" w:after="240" w:line="240" w:lineRule="auto"/>
        <w:rPr>
          <w:rFonts w:ascii="Arial" w:hAnsi="Arial" w:cs="Arial"/>
        </w:rPr>
      </w:pPr>
      <w:r w:rsidRPr="00946210">
        <w:rPr>
          <w:rFonts w:ascii="Arial" w:hAnsi="Arial" w:cs="Arial"/>
        </w:rPr>
        <w:t>The</w:t>
      </w:r>
      <w:r w:rsidRPr="00985041">
        <w:rPr>
          <w:rFonts w:ascii="Arial" w:hAnsi="Arial" w:cs="Arial"/>
          <w:lang w:val="en-US"/>
        </w:rPr>
        <w:t xml:space="preserve"> Committee </w:t>
      </w:r>
      <w:proofErr w:type="gramStart"/>
      <w:r w:rsidRPr="00985041">
        <w:rPr>
          <w:rFonts w:ascii="Arial" w:hAnsi="Arial" w:cs="Arial"/>
          <w:lang w:val="en-US"/>
        </w:rPr>
        <w:t>Against</w:t>
      </w:r>
      <w:proofErr w:type="gramEnd"/>
      <w:r w:rsidRPr="00985041">
        <w:rPr>
          <w:rFonts w:ascii="Arial" w:hAnsi="Arial" w:cs="Arial"/>
          <w:lang w:val="en-US"/>
        </w:rPr>
        <w:t xml:space="preserve"> Torture has repeatedly expressed concerns about non-urgent medical interventions involving </w:t>
      </w:r>
      <w:r w:rsidR="00241C46">
        <w:rPr>
          <w:rFonts w:ascii="Arial" w:hAnsi="Arial" w:cs="Arial"/>
          <w:lang w:val="en-US"/>
        </w:rPr>
        <w:t>people born with</w:t>
      </w:r>
      <w:r w:rsidRPr="00985041">
        <w:rPr>
          <w:rFonts w:ascii="Arial" w:hAnsi="Arial" w:cs="Arial"/>
          <w:lang w:val="en-US"/>
        </w:rPr>
        <w:t xml:space="preserve"> variations in sex characteristics by reference to the </w:t>
      </w:r>
      <w:r w:rsidRPr="005B28A4">
        <w:rPr>
          <w:rFonts w:ascii="Arial" w:hAnsi="Arial" w:cs="Arial"/>
        </w:rPr>
        <w:t xml:space="preserve">obligations on States Parties to take effective legislative, administrative, </w:t>
      </w:r>
      <w:r w:rsidRPr="005B28A4">
        <w:rPr>
          <w:rFonts w:ascii="Arial" w:hAnsi="Arial" w:cs="Arial"/>
        </w:rPr>
        <w:lastRenderedPageBreak/>
        <w:t>judicial or other measures to prevent torture (Art 2(1)) and prevent other acts of cruel, inhuman or degrading treatment (Art 16).</w:t>
      </w:r>
      <w:r w:rsidR="00C5461E">
        <w:rPr>
          <w:rStyle w:val="EndnoteReference"/>
          <w:rFonts w:cs="Arial"/>
        </w:rPr>
        <w:endnoteReference w:id="198"/>
      </w:r>
    </w:p>
    <w:p w14:paraId="15C43218"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In January</w:t>
      </w:r>
      <w:r w:rsidRPr="00985041">
        <w:rPr>
          <w:rFonts w:ascii="Arial" w:hAnsi="Arial" w:cs="Arial"/>
          <w:lang w:val="en-US"/>
        </w:rPr>
        <w:t xml:space="preserve"> 2017, the Committee asked Australia to provide it with information about:</w:t>
      </w:r>
    </w:p>
    <w:p w14:paraId="22C274C6"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r w:rsidRPr="00446928">
        <w:rPr>
          <w:rFonts w:ascii="Arial" w:eastAsia="Times New Roman" w:hAnsi="Arial" w:cs="Arial"/>
        </w:rPr>
        <w:t>whether non-urgent and irreversible medical or surgical treatment aimed at determining the sex of a child is permitted and performed on children;</w:t>
      </w:r>
    </w:p>
    <w:p w14:paraId="1906904C"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r w:rsidRPr="00446928">
        <w:rPr>
          <w:rFonts w:ascii="Arial" w:eastAsia="Times New Roman" w:hAnsi="Arial" w:cs="Arial"/>
        </w:rPr>
        <w:t>how Australia guarantees that the full, free and informed consent of the persons concerned is ensured;</w:t>
      </w:r>
    </w:p>
    <w:p w14:paraId="2BDA6836"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r w:rsidRPr="00446928">
        <w:rPr>
          <w:rFonts w:ascii="Arial" w:eastAsia="Times New Roman" w:hAnsi="Arial" w:cs="Arial"/>
        </w:rPr>
        <w:t>what action has been taken to implement the recommendations of the 2013 Senate Committee Inquiry; and</w:t>
      </w:r>
    </w:p>
    <w:p w14:paraId="74DCA6B9" w14:textId="77777777" w:rsidR="008D4320" w:rsidRPr="00446928" w:rsidRDefault="008D4320" w:rsidP="00305DFD">
      <w:pPr>
        <w:numPr>
          <w:ilvl w:val="0"/>
          <w:numId w:val="26"/>
        </w:numPr>
        <w:spacing w:after="0" w:line="240" w:lineRule="auto"/>
        <w:ind w:left="1434" w:hanging="357"/>
        <w:rPr>
          <w:rFonts w:ascii="Arial" w:eastAsia="Times New Roman" w:hAnsi="Arial" w:cs="Arial"/>
        </w:rPr>
      </w:pPr>
      <w:proofErr w:type="gramStart"/>
      <w:r w:rsidRPr="00446928">
        <w:rPr>
          <w:rFonts w:ascii="Arial" w:eastAsia="Times New Roman" w:hAnsi="Arial" w:cs="Arial"/>
        </w:rPr>
        <w:t>what</w:t>
      </w:r>
      <w:proofErr w:type="gramEnd"/>
      <w:r w:rsidRPr="00446928">
        <w:rPr>
          <w:rFonts w:ascii="Arial" w:eastAsia="Times New Roman" w:hAnsi="Arial" w:cs="Arial"/>
        </w:rPr>
        <w:t xml:space="preserve"> criminal or civil remedies are available for people who underwent involuntary sterilisation or unnecessary and irreversible medical or surgical treatment aimed at determining their sex when they were children.</w:t>
      </w:r>
      <w:r w:rsidRPr="00030F1B">
        <w:rPr>
          <w:rFonts w:ascii="Arial" w:hAnsi="Arial" w:cs="Arial"/>
          <w:sz w:val="20"/>
          <w:vertAlign w:val="superscript"/>
        </w:rPr>
        <w:endnoteReference w:id="199"/>
      </w:r>
    </w:p>
    <w:p w14:paraId="4FF4EF82" w14:textId="228ED4A5" w:rsidR="008D4320" w:rsidRPr="005B28A4" w:rsidRDefault="00947E65" w:rsidP="00B8568F">
      <w:pPr>
        <w:pStyle w:val="SubmissionNormal"/>
        <w:numPr>
          <w:ilvl w:val="1"/>
          <w:numId w:val="32"/>
        </w:numPr>
        <w:spacing w:before="240" w:after="240" w:line="240" w:lineRule="auto"/>
        <w:rPr>
          <w:rFonts w:ascii="Arial" w:hAnsi="Arial" w:cs="Arial"/>
        </w:rPr>
      </w:pPr>
      <w:r>
        <w:rPr>
          <w:rFonts w:ascii="Arial" w:hAnsi="Arial" w:cs="Arial"/>
          <w:lang w:val="en-US"/>
        </w:rPr>
        <w:t>In</w:t>
      </w:r>
      <w:r w:rsidR="008D4320" w:rsidRPr="00985041">
        <w:rPr>
          <w:rFonts w:ascii="Arial" w:hAnsi="Arial" w:cs="Arial"/>
          <w:lang w:val="en-US"/>
        </w:rPr>
        <w:t xml:space="preserve"> </w:t>
      </w:r>
      <w:r w:rsidR="008D4320" w:rsidRPr="00946210">
        <w:rPr>
          <w:rFonts w:ascii="Arial" w:hAnsi="Arial" w:cs="Arial"/>
        </w:rPr>
        <w:t>2013</w:t>
      </w:r>
      <w:r w:rsidR="008D4320" w:rsidRPr="00985041">
        <w:rPr>
          <w:rFonts w:ascii="Arial" w:hAnsi="Arial" w:cs="Arial"/>
          <w:lang w:val="en-US"/>
        </w:rPr>
        <w:t xml:space="preserve">, the Special Rapporteur on Torture and Other Cruel, Inhuman or Degrading Treatment or Punishment called on all States to repeal all laws that </w:t>
      </w:r>
      <w:r w:rsidR="008D4320" w:rsidRPr="005B28A4">
        <w:rPr>
          <w:rFonts w:ascii="Arial" w:hAnsi="Arial" w:cs="Arial"/>
        </w:rPr>
        <w:t>permit intrusive and irreversible medical interventions when enforced without the free and informed consent of the person concerned.</w:t>
      </w:r>
      <w:r w:rsidR="00C5461E">
        <w:rPr>
          <w:rStyle w:val="EndnoteReference"/>
          <w:rFonts w:cs="Arial"/>
        </w:rPr>
        <w:endnoteReference w:id="200"/>
      </w:r>
      <w:r w:rsidR="008D4320" w:rsidRPr="005B28A4">
        <w:rPr>
          <w:rFonts w:ascii="Arial" w:hAnsi="Arial" w:cs="Arial"/>
        </w:rPr>
        <w:t xml:space="preserve"> In 2016, the Special Rapporteur repeated this point </w:t>
      </w:r>
      <w:proofErr w:type="gramStart"/>
      <w:r w:rsidR="008D4320" w:rsidRPr="005B28A4">
        <w:rPr>
          <w:rFonts w:ascii="Arial" w:hAnsi="Arial" w:cs="Arial"/>
        </w:rPr>
        <w:t>and also</w:t>
      </w:r>
      <w:proofErr w:type="gramEnd"/>
      <w:r w:rsidR="008D4320" w:rsidRPr="005B28A4">
        <w:rPr>
          <w:rFonts w:ascii="Arial" w:hAnsi="Arial" w:cs="Arial"/>
        </w:rPr>
        <w:t xml:space="preserve"> specifically noted that children born with atypical sex characteristics are often subject to sterilisation procedures and surgeries which are performed without their informed consent or that of their parents.</w:t>
      </w:r>
      <w:r w:rsidR="0089154F">
        <w:rPr>
          <w:rStyle w:val="EndnoteReference"/>
          <w:rFonts w:cs="Arial"/>
        </w:rPr>
        <w:endnoteReference w:id="201"/>
      </w:r>
    </w:p>
    <w:p w14:paraId="02952213" w14:textId="44A3DFCE"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 xml:space="preserve">Further, in a joint statement in May 2015 to mark International Day </w:t>
      </w:r>
      <w:proofErr w:type="gramStart"/>
      <w:r w:rsidRPr="005B28A4">
        <w:rPr>
          <w:rFonts w:ascii="Arial" w:hAnsi="Arial" w:cs="Arial"/>
        </w:rPr>
        <w:t>Against</w:t>
      </w:r>
      <w:proofErr w:type="gramEnd"/>
      <w:r w:rsidRPr="005B28A4">
        <w:rPr>
          <w:rFonts w:ascii="Arial" w:hAnsi="Arial" w:cs="Arial"/>
        </w:rPr>
        <w:t xml:space="preserve"> Homophobia, Biphobia</w:t>
      </w:r>
      <w:r w:rsidRPr="00985041">
        <w:rPr>
          <w:rFonts w:ascii="Arial" w:hAnsi="Arial" w:cs="Arial"/>
          <w:lang w:val="en-US"/>
        </w:rPr>
        <w:t xml:space="preserve"> and Transphobia, UN and international human rights experts noted that medically unnecessary medical interventions involving intersex children and young people may constitute torture or ill-treatment.</w:t>
      </w:r>
      <w:r w:rsidR="00902726">
        <w:rPr>
          <w:rStyle w:val="EndnoteReference"/>
          <w:rFonts w:cs="Arial"/>
          <w:lang w:val="en-US"/>
        </w:rPr>
        <w:endnoteReference w:id="202"/>
      </w:r>
    </w:p>
    <w:p w14:paraId="2E48F032" w14:textId="0DADF1F9" w:rsidR="008D4320" w:rsidRPr="00100010" w:rsidRDefault="005377D2" w:rsidP="00100010">
      <w:pPr>
        <w:rPr>
          <w:rFonts w:ascii="Arial" w:hAnsi="Arial" w:cs="Arial"/>
          <w:i/>
        </w:rPr>
      </w:pPr>
      <w:r>
        <w:rPr>
          <w:rFonts w:ascii="Arial" w:hAnsi="Arial" w:cs="Arial"/>
          <w:i/>
        </w:rPr>
        <w:t>(d</w:t>
      </w:r>
      <w:r w:rsidR="00100010">
        <w:rPr>
          <w:rFonts w:ascii="Arial" w:hAnsi="Arial" w:cs="Arial"/>
          <w:i/>
        </w:rPr>
        <w:t>)</w:t>
      </w:r>
      <w:r w:rsidR="00100010">
        <w:rPr>
          <w:rFonts w:ascii="Arial" w:hAnsi="Arial" w:cs="Arial"/>
          <w:i/>
        </w:rPr>
        <w:tab/>
      </w:r>
      <w:bookmarkStart w:id="95" w:name="_Ref502990934"/>
      <w:bookmarkStart w:id="96" w:name="_Toc507585887"/>
      <w:r w:rsidR="008D4320" w:rsidRPr="00100010">
        <w:rPr>
          <w:rFonts w:ascii="Arial" w:hAnsi="Arial" w:cs="Arial"/>
          <w:i/>
        </w:rPr>
        <w:t>Health, including informed consent</w:t>
      </w:r>
      <w:bookmarkEnd w:id="95"/>
      <w:bookmarkEnd w:id="96"/>
    </w:p>
    <w:p w14:paraId="3F3377F9" w14:textId="5DB92280" w:rsidR="008D4320" w:rsidRPr="005B28A4" w:rsidRDefault="008D4320" w:rsidP="00B8568F">
      <w:pPr>
        <w:pStyle w:val="SubmissionNormal"/>
        <w:numPr>
          <w:ilvl w:val="1"/>
          <w:numId w:val="32"/>
        </w:numPr>
        <w:spacing w:before="240" w:after="240" w:line="240" w:lineRule="auto"/>
        <w:rPr>
          <w:rFonts w:ascii="Arial" w:hAnsi="Arial" w:cs="Arial"/>
        </w:rPr>
      </w:pPr>
      <w:r w:rsidRPr="00946210">
        <w:rPr>
          <w:rFonts w:ascii="Arial" w:hAnsi="Arial" w:cs="Arial"/>
        </w:rPr>
        <w:t>Article</w:t>
      </w:r>
      <w:r w:rsidRPr="00985041">
        <w:rPr>
          <w:rFonts w:ascii="Arial" w:hAnsi="Arial" w:cs="Arial"/>
          <w:lang w:val="en-US"/>
        </w:rPr>
        <w:t xml:space="preserve"> 12 of the International Covenant on Economic, Social and Cultural Rights (ICESCR) </w:t>
      </w:r>
      <w:r w:rsidRPr="005B28A4">
        <w:rPr>
          <w:rFonts w:ascii="Arial" w:hAnsi="Arial" w:cs="Arial"/>
        </w:rPr>
        <w:t>requires States Parties to recognise the right of everyone to the highest attainable standard of physical and mental health.</w:t>
      </w:r>
      <w:r w:rsidR="00902726" w:rsidRPr="005B28A4">
        <w:endnoteReference w:id="203"/>
      </w:r>
      <w:r w:rsidRPr="005B28A4">
        <w:rPr>
          <w:rFonts w:ascii="Arial" w:hAnsi="Arial" w:cs="Arial"/>
        </w:rPr>
        <w:t xml:space="preserve"> Article 24 of the CRC similarly requires State</w:t>
      </w:r>
      <w:r w:rsidR="000C5DCF">
        <w:rPr>
          <w:rFonts w:ascii="Arial" w:hAnsi="Arial" w:cs="Arial"/>
        </w:rPr>
        <w:t>s</w:t>
      </w:r>
      <w:r w:rsidRPr="005B28A4">
        <w:rPr>
          <w:rFonts w:ascii="Arial" w:hAnsi="Arial" w:cs="Arial"/>
        </w:rPr>
        <w:t xml:space="preserve"> Parties to recognise the right of children to the enjoyment of the highest attainable standard of physical and mental health.</w:t>
      </w:r>
      <w:r w:rsidR="0089154F">
        <w:rPr>
          <w:rStyle w:val="EndnoteReference"/>
          <w:rFonts w:cs="Arial"/>
        </w:rPr>
        <w:endnoteReference w:id="204"/>
      </w:r>
    </w:p>
    <w:p w14:paraId="348E52B7" w14:textId="1E0D1892" w:rsidR="008D4320"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 xml:space="preserve">In addition, Article 25 of the CRPD requires health professionals to provide care of the same quality to persons with disabilities as to others, including </w:t>
      </w:r>
      <w:proofErr w:type="gramStart"/>
      <w:r w:rsidRPr="005B28A4">
        <w:rPr>
          <w:rFonts w:ascii="Arial" w:hAnsi="Arial" w:cs="Arial"/>
        </w:rPr>
        <w:t>on the basis of</w:t>
      </w:r>
      <w:proofErr w:type="gramEnd"/>
      <w:r w:rsidRPr="005B28A4">
        <w:rPr>
          <w:rFonts w:ascii="Arial" w:hAnsi="Arial" w:cs="Arial"/>
        </w:rPr>
        <w:t xml:space="preserve"> free and informed consent.</w:t>
      </w:r>
      <w:r w:rsidR="0089154F" w:rsidRPr="00946210">
        <w:endnoteReference w:id="205"/>
      </w:r>
    </w:p>
    <w:p w14:paraId="5308065A" w14:textId="77777777"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t>Article</w:t>
      </w:r>
      <w:r w:rsidRPr="00985041">
        <w:rPr>
          <w:rFonts w:ascii="Arial" w:hAnsi="Arial" w:cs="Arial"/>
          <w:lang w:val="en-US"/>
        </w:rPr>
        <w:t xml:space="preserve"> 6 of the Universal Declaration on Bioethics and Human Rights states:</w:t>
      </w:r>
    </w:p>
    <w:p w14:paraId="75E89CA9" w14:textId="77777777" w:rsidR="008D4320" w:rsidRPr="00446928" w:rsidRDefault="008D4320" w:rsidP="008D4320">
      <w:pPr>
        <w:ind w:left="1440"/>
        <w:rPr>
          <w:rFonts w:ascii="Arial" w:eastAsia="Times New Roman" w:hAnsi="Arial" w:cs="Arial"/>
        </w:rPr>
      </w:pPr>
      <w:r w:rsidRPr="00446928">
        <w:rPr>
          <w:rFonts w:ascii="Arial" w:eastAsia="Times New Roman" w:hAnsi="Arial" w:cs="Arial"/>
        </w:rPr>
        <w:t xml:space="preserve">Any preventive, diagnostic and therapeutic medical intervention is only to be </w:t>
      </w:r>
      <w:proofErr w:type="gramStart"/>
      <w:r w:rsidRPr="00446928">
        <w:rPr>
          <w:rFonts w:ascii="Arial" w:eastAsia="Times New Roman" w:hAnsi="Arial" w:cs="Arial"/>
        </w:rPr>
        <w:t>carried out</w:t>
      </w:r>
      <w:proofErr w:type="gramEnd"/>
      <w:r w:rsidRPr="00446928">
        <w:rPr>
          <w:rFonts w:ascii="Arial" w:eastAsia="Times New Roman" w:hAnsi="Arial" w:cs="Arial"/>
        </w:rPr>
        <w:t xml:space="preserve"> with the prior, free and informed consent of the person concerned, based on adequate information. The consent </w:t>
      </w:r>
      <w:proofErr w:type="gramStart"/>
      <w:r w:rsidRPr="00446928">
        <w:rPr>
          <w:rFonts w:ascii="Arial" w:eastAsia="Times New Roman" w:hAnsi="Arial" w:cs="Arial"/>
        </w:rPr>
        <w:t>should, where appropriate, be</w:t>
      </w:r>
      <w:proofErr w:type="gramEnd"/>
      <w:r w:rsidRPr="00446928">
        <w:rPr>
          <w:rFonts w:ascii="Arial" w:eastAsia="Times New Roman" w:hAnsi="Arial" w:cs="Arial"/>
        </w:rPr>
        <w:t xml:space="preserve"> express and may be withdrawn by the person concerned at any time and for any reason without disadvantage or prejudice.</w:t>
      </w:r>
      <w:r w:rsidRPr="00030F1B">
        <w:rPr>
          <w:rStyle w:val="EndnoteReference"/>
          <w:rFonts w:eastAsia="Times New Roman" w:cs="Arial"/>
        </w:rPr>
        <w:endnoteReference w:id="206"/>
      </w:r>
      <w:r w:rsidRPr="00446928">
        <w:rPr>
          <w:rFonts w:ascii="Arial" w:eastAsia="Times New Roman" w:hAnsi="Arial" w:cs="Arial"/>
        </w:rPr>
        <w:t> </w:t>
      </w:r>
    </w:p>
    <w:p w14:paraId="77CEE3CC" w14:textId="17B50013" w:rsidR="008D4320"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 xml:space="preserve">The World Health Organisation addressed the issue of stigma and discrimination experienced by intersex people in the health system in its 2015 report on Sexual Health, Human Rights and the Law. It noted, in particular, the concerns of intersex people, their caregivers, medical professionals and human rights bodies that medical interventions involving intersex children </w:t>
      </w:r>
      <w:r w:rsidR="00F87239">
        <w:rPr>
          <w:rFonts w:ascii="Arial" w:hAnsi="Arial" w:cs="Arial"/>
        </w:rPr>
        <w:t>‘</w:t>
      </w:r>
      <w:r w:rsidRPr="005B28A4">
        <w:rPr>
          <w:rFonts w:ascii="Arial" w:hAnsi="Arial" w:cs="Arial"/>
        </w:rPr>
        <w:t>often take place without the informed consent of the children involved and/or without even seeking the informed consent of their parents</w:t>
      </w:r>
      <w:r w:rsidR="00F87239">
        <w:rPr>
          <w:rFonts w:ascii="Arial" w:hAnsi="Arial" w:cs="Arial"/>
        </w:rPr>
        <w:t>’</w:t>
      </w:r>
      <w:r w:rsidRPr="005B28A4">
        <w:rPr>
          <w:rFonts w:ascii="Arial" w:hAnsi="Arial" w:cs="Arial"/>
        </w:rPr>
        <w:t>.</w:t>
      </w:r>
      <w:r w:rsidR="0089154F">
        <w:rPr>
          <w:rStyle w:val="EndnoteReference"/>
          <w:rFonts w:cs="Arial"/>
        </w:rPr>
        <w:endnoteReference w:id="207"/>
      </w:r>
    </w:p>
    <w:p w14:paraId="5705F23C" w14:textId="75669FE0" w:rsidR="008D4320" w:rsidRPr="00985041" w:rsidRDefault="008D4320" w:rsidP="00B8568F">
      <w:pPr>
        <w:pStyle w:val="SubmissionNormal"/>
        <w:numPr>
          <w:ilvl w:val="1"/>
          <w:numId w:val="32"/>
        </w:numPr>
        <w:spacing w:before="240" w:after="240" w:line="240" w:lineRule="auto"/>
        <w:rPr>
          <w:rFonts w:ascii="Arial" w:hAnsi="Arial" w:cs="Arial"/>
          <w:lang w:val="en-US"/>
        </w:rPr>
      </w:pPr>
      <w:r w:rsidRPr="005B28A4">
        <w:rPr>
          <w:rFonts w:ascii="Arial" w:hAnsi="Arial" w:cs="Arial"/>
        </w:rPr>
        <w:lastRenderedPageBreak/>
        <w:t xml:space="preserve">In June 2017, the Committee on Economic, Social and Cultural Rights expressed concern that children born with intersex variations in Australia are subject to early surgical and medical interventions before they are able to provide full and informed consent, as part of its discussion of the right to health (Art 12). </w:t>
      </w:r>
      <w:proofErr w:type="gramStart"/>
      <w:r w:rsidRPr="005B28A4">
        <w:rPr>
          <w:rFonts w:ascii="Arial" w:hAnsi="Arial" w:cs="Arial"/>
        </w:rPr>
        <w:t>The Committee recommended that Australia study and implement the recommendations of the</w:t>
      </w:r>
      <w:r w:rsidRPr="00985041">
        <w:rPr>
          <w:rFonts w:ascii="Arial" w:hAnsi="Arial" w:cs="Arial"/>
          <w:lang w:val="en-US"/>
        </w:rPr>
        <w:t xml:space="preserve"> Senate Committee Inquiry.</w:t>
      </w:r>
      <w:proofErr w:type="gramEnd"/>
      <w:r w:rsidR="00902726">
        <w:rPr>
          <w:rStyle w:val="EndnoteReference"/>
          <w:rFonts w:cs="Arial"/>
          <w:lang w:val="en-US"/>
        </w:rPr>
        <w:endnoteReference w:id="208"/>
      </w:r>
    </w:p>
    <w:p w14:paraId="1A2ABBA5" w14:textId="6A8C0171" w:rsidR="008D4320" w:rsidRPr="00100010" w:rsidRDefault="005377D2" w:rsidP="00100010">
      <w:pPr>
        <w:rPr>
          <w:rFonts w:ascii="Arial" w:eastAsia="Times New Roman" w:hAnsi="Arial" w:cs="Arial"/>
          <w:i/>
        </w:rPr>
      </w:pPr>
      <w:bookmarkStart w:id="97" w:name="_Toc507585888"/>
      <w:r>
        <w:rPr>
          <w:rFonts w:ascii="Arial" w:eastAsia="Times New Roman" w:hAnsi="Arial" w:cs="Arial"/>
          <w:i/>
        </w:rPr>
        <w:t>(e</w:t>
      </w:r>
      <w:r w:rsidR="00100010">
        <w:rPr>
          <w:rFonts w:ascii="Arial" w:eastAsia="Times New Roman" w:hAnsi="Arial" w:cs="Arial"/>
          <w:i/>
        </w:rPr>
        <w:t>)</w:t>
      </w:r>
      <w:r w:rsidR="00100010">
        <w:rPr>
          <w:rFonts w:ascii="Arial" w:eastAsia="Times New Roman" w:hAnsi="Arial" w:cs="Arial"/>
          <w:i/>
        </w:rPr>
        <w:tab/>
      </w:r>
      <w:r w:rsidR="008D4320" w:rsidRPr="00100010">
        <w:rPr>
          <w:rFonts w:ascii="Arial" w:eastAsia="Times New Roman" w:hAnsi="Arial" w:cs="Arial"/>
          <w:i/>
        </w:rPr>
        <w:t>Non-</w:t>
      </w:r>
      <w:r w:rsidR="008D4320" w:rsidRPr="00100010">
        <w:rPr>
          <w:rFonts w:ascii="Arial" w:hAnsi="Arial" w:cs="Arial"/>
          <w:i/>
        </w:rPr>
        <w:t>discrimination and equality before the law</w:t>
      </w:r>
      <w:bookmarkEnd w:id="97"/>
    </w:p>
    <w:p w14:paraId="746D663B" w14:textId="7C642562" w:rsidR="008D4320"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The ICCPR recognises the equal rights of men and women (Art 3), the right of protection for every child without discrimination (Art 24) and that all persons are equal before the law and have a right to protection against discrimination (Art 26). In November 2017, the UN Human Rights Committee made recommendations to Australia citing these three articles amongst others in recognising the Committee</w:t>
      </w:r>
      <w:r w:rsidR="00F87239">
        <w:rPr>
          <w:rFonts w:ascii="Arial" w:hAnsi="Arial" w:cs="Arial"/>
        </w:rPr>
        <w:t>’</w:t>
      </w:r>
      <w:r w:rsidRPr="005B28A4">
        <w:rPr>
          <w:rFonts w:ascii="Arial" w:hAnsi="Arial" w:cs="Arial"/>
        </w:rPr>
        <w:t>s concern that infants and children born with intersex variations are sometimes subject to irreversible and invasive medical interventions for the purposes of gender assignment.</w:t>
      </w:r>
      <w:r w:rsidR="0089154F">
        <w:rPr>
          <w:rStyle w:val="EndnoteReference"/>
          <w:rFonts w:cs="Arial"/>
        </w:rPr>
        <w:endnoteReference w:id="209"/>
      </w:r>
    </w:p>
    <w:p w14:paraId="56BCDF9F" w14:textId="57C19FFD" w:rsidR="00795B4D" w:rsidRPr="005B28A4" w:rsidRDefault="008D4320" w:rsidP="00B8568F">
      <w:pPr>
        <w:pStyle w:val="SubmissionNormal"/>
        <w:numPr>
          <w:ilvl w:val="1"/>
          <w:numId w:val="32"/>
        </w:numPr>
        <w:spacing w:before="240" w:after="240" w:line="240" w:lineRule="auto"/>
        <w:rPr>
          <w:rFonts w:ascii="Arial" w:hAnsi="Arial" w:cs="Arial"/>
        </w:rPr>
      </w:pPr>
      <w:r w:rsidRPr="005B28A4">
        <w:rPr>
          <w:rFonts w:ascii="Arial" w:hAnsi="Arial" w:cs="Arial"/>
        </w:rPr>
        <w:t xml:space="preserve">The right of non-discrimination and equality </w:t>
      </w:r>
      <w:proofErr w:type="gramStart"/>
      <w:r w:rsidRPr="005B28A4">
        <w:rPr>
          <w:rFonts w:ascii="Arial" w:hAnsi="Arial" w:cs="Arial"/>
        </w:rPr>
        <w:t>is also guaranteed</w:t>
      </w:r>
      <w:proofErr w:type="gramEnd"/>
      <w:r w:rsidRPr="005B28A4">
        <w:rPr>
          <w:rFonts w:ascii="Arial" w:hAnsi="Arial" w:cs="Arial"/>
        </w:rPr>
        <w:t xml:space="preserve"> in the ICESCR (Art 2), the CRC (Art 2(1)), the CPRD (Art (5(2)), the CEDAW (Art 2) and the Universal Declaration of Human Rights </w:t>
      </w:r>
      <w:r w:rsidR="00795B4D" w:rsidRPr="005B28A4">
        <w:rPr>
          <w:rFonts w:ascii="Arial" w:hAnsi="Arial" w:cs="Arial"/>
        </w:rPr>
        <w:t xml:space="preserve">(Arts 2 and 7). </w:t>
      </w:r>
    </w:p>
    <w:p w14:paraId="2238F8B8" w14:textId="5D62C2CC" w:rsidR="00795B4D" w:rsidRPr="00100010" w:rsidRDefault="00795B4D" w:rsidP="00B8568F">
      <w:pPr>
        <w:pStyle w:val="ListParagraph"/>
        <w:numPr>
          <w:ilvl w:val="0"/>
          <w:numId w:val="32"/>
        </w:numPr>
        <w:rPr>
          <w:rFonts w:ascii="Arial" w:hAnsi="Arial" w:cs="Arial"/>
          <w:b/>
        </w:rPr>
      </w:pPr>
      <w:bookmarkStart w:id="98" w:name="_Toc507585889"/>
      <w:r w:rsidRPr="00100010">
        <w:rPr>
          <w:rFonts w:ascii="Arial" w:hAnsi="Arial" w:cs="Arial"/>
          <w:b/>
        </w:rPr>
        <w:t>The Yogyakarta Principles</w:t>
      </w:r>
      <w:bookmarkEnd w:id="98"/>
    </w:p>
    <w:p w14:paraId="7EAA7159" w14:textId="32B64326" w:rsidR="00795B4D" w:rsidRPr="00030F1B" w:rsidRDefault="00795B4D" w:rsidP="00B8568F">
      <w:pPr>
        <w:pStyle w:val="SubmissionNormal"/>
        <w:numPr>
          <w:ilvl w:val="1"/>
          <w:numId w:val="32"/>
        </w:numPr>
        <w:spacing w:before="240" w:after="240" w:line="240" w:lineRule="auto"/>
        <w:rPr>
          <w:rFonts w:ascii="Arial" w:hAnsi="Arial" w:cs="Arial"/>
        </w:rPr>
      </w:pPr>
      <w:r w:rsidRPr="00030F1B">
        <w:rPr>
          <w:rFonts w:ascii="Arial" w:hAnsi="Arial" w:cs="Arial"/>
        </w:rPr>
        <w:t xml:space="preserve">The </w:t>
      </w:r>
      <w:r w:rsidRPr="00AE749E">
        <w:rPr>
          <w:rFonts w:ascii="Arial" w:hAnsi="Arial" w:cs="Arial"/>
          <w:i/>
        </w:rPr>
        <w:t>Yogyakarta Principles</w:t>
      </w:r>
      <w:r>
        <w:rPr>
          <w:rFonts w:ascii="Arial" w:hAnsi="Arial" w:cs="Arial"/>
        </w:rPr>
        <w:t xml:space="preserve">, adopted in 2007, </w:t>
      </w:r>
      <w:r w:rsidRPr="00030F1B">
        <w:rPr>
          <w:rFonts w:ascii="Arial" w:hAnsi="Arial" w:cs="Arial"/>
        </w:rPr>
        <w:t xml:space="preserve">are principles on the application of international human rights law in relation to sexual orientation and gender identity. </w:t>
      </w:r>
      <w:proofErr w:type="gramStart"/>
      <w:r w:rsidRPr="00030F1B">
        <w:rPr>
          <w:rFonts w:ascii="Arial" w:hAnsi="Arial" w:cs="Arial"/>
        </w:rPr>
        <w:t xml:space="preserve">They </w:t>
      </w:r>
      <w:r w:rsidRPr="00030F1B">
        <w:rPr>
          <w:rFonts w:ascii="Arial" w:hAnsi="Arial" w:cs="Arial"/>
          <w:lang w:val="en-US"/>
        </w:rPr>
        <w:t>were developed by a group of academic and UN hum</w:t>
      </w:r>
      <w:r>
        <w:rPr>
          <w:rFonts w:ascii="Arial" w:hAnsi="Arial" w:cs="Arial"/>
          <w:lang w:val="en-US"/>
        </w:rPr>
        <w:t>an rights experts</w:t>
      </w:r>
      <w:proofErr w:type="gramEnd"/>
      <w:r w:rsidRPr="00030F1B">
        <w:rPr>
          <w:rFonts w:ascii="Arial" w:hAnsi="Arial" w:cs="Arial"/>
          <w:lang w:val="en-US"/>
        </w:rPr>
        <w:t xml:space="preserve">. The experts </w:t>
      </w:r>
      <w:r w:rsidR="00F87239">
        <w:rPr>
          <w:rFonts w:ascii="Arial" w:hAnsi="Arial" w:cs="Arial"/>
          <w:lang w:val="en-US"/>
        </w:rPr>
        <w:t>‘</w:t>
      </w:r>
      <w:r w:rsidRPr="00030F1B">
        <w:rPr>
          <w:rFonts w:ascii="Arial" w:hAnsi="Arial" w:cs="Arial"/>
          <w:lang w:val="en-US"/>
        </w:rPr>
        <w:t>agree that the Yogyakarta Principles reflect the existing state of international human rights law in relation to issues of sexual orientation and gender identity</w:t>
      </w:r>
      <w:r w:rsidR="00F87239">
        <w:rPr>
          <w:rFonts w:ascii="Arial" w:hAnsi="Arial" w:cs="Arial"/>
          <w:lang w:val="en-US"/>
        </w:rPr>
        <w:t>’</w:t>
      </w:r>
      <w:r w:rsidRPr="00030F1B">
        <w:rPr>
          <w:rFonts w:ascii="Arial" w:hAnsi="Arial" w:cs="Arial"/>
          <w:lang w:val="en-US"/>
        </w:rPr>
        <w:t xml:space="preserve"> and </w:t>
      </w:r>
      <w:r w:rsidR="00F87239">
        <w:rPr>
          <w:rFonts w:ascii="Arial" w:hAnsi="Arial" w:cs="Arial"/>
          <w:lang w:val="en-US"/>
        </w:rPr>
        <w:t>‘</w:t>
      </w:r>
      <w:r w:rsidRPr="00030F1B">
        <w:rPr>
          <w:rFonts w:ascii="Arial" w:hAnsi="Arial" w:cs="Arial"/>
          <w:lang w:val="en-US"/>
        </w:rPr>
        <w:t xml:space="preserve">affirm binding international </w:t>
      </w:r>
      <w:r>
        <w:rPr>
          <w:rFonts w:ascii="Arial" w:hAnsi="Arial" w:cs="Arial"/>
          <w:lang w:val="en-US"/>
        </w:rPr>
        <w:t>legal standards with which all S</w:t>
      </w:r>
      <w:r w:rsidRPr="00030F1B">
        <w:rPr>
          <w:rFonts w:ascii="Arial" w:hAnsi="Arial" w:cs="Arial"/>
          <w:lang w:val="en-US"/>
        </w:rPr>
        <w:t>tates must comply</w:t>
      </w:r>
      <w:r w:rsidR="00F87239">
        <w:rPr>
          <w:rFonts w:ascii="Arial" w:hAnsi="Arial" w:cs="Arial"/>
          <w:lang w:val="en-US"/>
        </w:rPr>
        <w:t>’</w:t>
      </w:r>
      <w:r w:rsidRPr="00030F1B">
        <w:rPr>
          <w:rFonts w:ascii="Arial" w:hAnsi="Arial" w:cs="Arial"/>
          <w:lang w:val="en-US"/>
        </w:rPr>
        <w:t>.</w:t>
      </w:r>
      <w:r w:rsidRPr="00030F1B">
        <w:rPr>
          <w:rFonts w:ascii="Arial" w:hAnsi="Arial" w:cs="Arial"/>
          <w:sz w:val="20"/>
          <w:vertAlign w:val="superscript"/>
          <w:lang w:val="en-US"/>
        </w:rPr>
        <w:endnoteReference w:id="210"/>
      </w:r>
      <w:r w:rsidRPr="00030F1B">
        <w:rPr>
          <w:rFonts w:ascii="Arial" w:hAnsi="Arial" w:cs="Arial"/>
          <w:lang w:val="en-US"/>
        </w:rPr>
        <w:t xml:space="preserve"> The </w:t>
      </w:r>
      <w:r w:rsidRPr="00AE749E">
        <w:rPr>
          <w:rFonts w:ascii="Arial" w:hAnsi="Arial" w:cs="Arial"/>
          <w:i/>
          <w:lang w:val="en-US"/>
        </w:rPr>
        <w:t>Yogyakarta Principles</w:t>
      </w:r>
      <w:r w:rsidRPr="00030F1B">
        <w:rPr>
          <w:rFonts w:ascii="Arial" w:hAnsi="Arial" w:cs="Arial"/>
          <w:lang w:val="en-US"/>
        </w:rPr>
        <w:t xml:space="preserve"> </w:t>
      </w:r>
      <w:proofErr w:type="gramStart"/>
      <w:r w:rsidRPr="00030F1B">
        <w:rPr>
          <w:rFonts w:ascii="Arial" w:hAnsi="Arial" w:cs="Arial"/>
          <w:lang w:val="en-US"/>
        </w:rPr>
        <w:t xml:space="preserve">have since been referred to and used by a variety of international and </w:t>
      </w:r>
      <w:r>
        <w:rPr>
          <w:rFonts w:ascii="Arial" w:hAnsi="Arial" w:cs="Arial"/>
          <w:lang w:val="en-US"/>
        </w:rPr>
        <w:t>domestic decision-making</w:t>
      </w:r>
      <w:r w:rsidRPr="00030F1B">
        <w:rPr>
          <w:rFonts w:ascii="Arial" w:hAnsi="Arial" w:cs="Arial"/>
          <w:lang w:val="en-US"/>
        </w:rPr>
        <w:t xml:space="preserve"> bodies and courts, evidencing a</w:t>
      </w:r>
      <w:r>
        <w:rPr>
          <w:rFonts w:ascii="Arial" w:hAnsi="Arial" w:cs="Arial"/>
          <w:lang w:val="en-US"/>
        </w:rPr>
        <w:t xml:space="preserve"> growing</w:t>
      </w:r>
      <w:r w:rsidRPr="00030F1B">
        <w:rPr>
          <w:rFonts w:ascii="Arial" w:hAnsi="Arial" w:cs="Arial"/>
          <w:lang w:val="en-US"/>
        </w:rPr>
        <w:t xml:space="preserve"> acceptance </w:t>
      </w:r>
      <w:r>
        <w:rPr>
          <w:rFonts w:ascii="Arial" w:hAnsi="Arial" w:cs="Arial"/>
          <w:lang w:val="en-US"/>
        </w:rPr>
        <w:t>that they reflect</w:t>
      </w:r>
      <w:r w:rsidRPr="00030F1B">
        <w:rPr>
          <w:rFonts w:ascii="Arial" w:hAnsi="Arial" w:cs="Arial"/>
          <w:lang w:val="en-US"/>
        </w:rPr>
        <w:t xml:space="preserve"> international human rights obligations</w:t>
      </w:r>
      <w:proofErr w:type="gramEnd"/>
      <w:r w:rsidRPr="00030F1B">
        <w:rPr>
          <w:rFonts w:ascii="Arial" w:hAnsi="Arial" w:cs="Arial"/>
          <w:lang w:val="en-US"/>
        </w:rPr>
        <w:t>.</w:t>
      </w:r>
      <w:r w:rsidRPr="00030F1B">
        <w:rPr>
          <w:rFonts w:ascii="Arial" w:hAnsi="Arial" w:cs="Arial"/>
          <w:sz w:val="20"/>
          <w:vertAlign w:val="superscript"/>
          <w:lang w:val="en-US"/>
        </w:rPr>
        <w:endnoteReference w:id="211"/>
      </w:r>
    </w:p>
    <w:p w14:paraId="6BCB609C" w14:textId="3649EB63" w:rsidR="00795B4D" w:rsidRPr="00446928" w:rsidRDefault="00795B4D" w:rsidP="00B8568F">
      <w:pPr>
        <w:pStyle w:val="SubmissionNormal"/>
        <w:numPr>
          <w:ilvl w:val="1"/>
          <w:numId w:val="32"/>
        </w:numPr>
        <w:spacing w:before="240" w:after="240" w:line="240" w:lineRule="auto"/>
        <w:rPr>
          <w:rFonts w:ascii="Arial" w:hAnsi="Arial" w:cs="Arial"/>
        </w:rPr>
      </w:pPr>
      <w:r w:rsidRPr="00446928">
        <w:rPr>
          <w:rFonts w:ascii="Arial" w:hAnsi="Arial" w:cs="Arial"/>
        </w:rPr>
        <w:t xml:space="preserve">The original </w:t>
      </w:r>
      <w:r w:rsidRPr="00AE749E">
        <w:rPr>
          <w:rFonts w:ascii="Arial" w:hAnsi="Arial" w:cs="Arial"/>
          <w:i/>
        </w:rPr>
        <w:t>Yogyakarta Principles</w:t>
      </w:r>
      <w:r w:rsidRPr="00446928">
        <w:rPr>
          <w:rFonts w:ascii="Arial" w:hAnsi="Arial" w:cs="Arial"/>
        </w:rPr>
        <w:t xml:space="preserve"> do not explicitly refer to </w:t>
      </w:r>
      <w:r w:rsidR="00241C46">
        <w:rPr>
          <w:rFonts w:ascii="Arial" w:hAnsi="Arial" w:cs="Arial"/>
        </w:rPr>
        <w:t>people born with</w:t>
      </w:r>
      <w:r w:rsidRPr="00446928">
        <w:rPr>
          <w:rFonts w:ascii="Arial" w:hAnsi="Arial" w:cs="Arial"/>
        </w:rPr>
        <w:t xml:space="preserve"> variations in sex characteristics; however, principle 18 does state that States shall, among other things:</w:t>
      </w:r>
    </w:p>
    <w:p w14:paraId="7446357B" w14:textId="0F46836B" w:rsidR="00795B4D" w:rsidRPr="00446928" w:rsidRDefault="00795B4D" w:rsidP="00795B4D">
      <w:pPr>
        <w:ind w:left="1440"/>
        <w:rPr>
          <w:rFonts w:ascii="Arial" w:eastAsia="Times New Roman" w:hAnsi="Arial" w:cs="Arial"/>
        </w:rPr>
      </w:pPr>
      <w:proofErr w:type="gramStart"/>
      <w:r w:rsidRPr="00446928">
        <w:rPr>
          <w:rFonts w:ascii="Arial" w:eastAsia="Times New Roman" w:hAnsi="Arial" w:cs="Arial"/>
        </w:rPr>
        <w:t>Take all necessary legislative, administrative and other measures to ensure that no child</w:t>
      </w:r>
      <w:r w:rsidR="00F87239">
        <w:rPr>
          <w:rFonts w:ascii="Arial" w:eastAsia="Times New Roman" w:hAnsi="Arial" w:cs="Arial"/>
        </w:rPr>
        <w:t>’</w:t>
      </w:r>
      <w:r w:rsidRPr="00446928">
        <w:rPr>
          <w:rFonts w:ascii="Arial" w:eastAsia="Times New Roman" w:hAnsi="Arial" w:cs="Arial"/>
        </w:rPr>
        <w:t>s body is irreversibly altered by medical procedures in an attempt to impose a gender identity without the full, free and informed consent of the child in accordance with the age and maturity of the child and guided by the principle that, in all actions concerning children, the best interests of the child shall be a primary consideration.</w:t>
      </w:r>
      <w:r w:rsidRPr="00030F1B">
        <w:rPr>
          <w:rFonts w:ascii="Arial" w:hAnsi="Arial" w:cs="Arial"/>
          <w:sz w:val="20"/>
          <w:vertAlign w:val="superscript"/>
        </w:rPr>
        <w:endnoteReference w:id="212"/>
      </w:r>
      <w:proofErr w:type="gramEnd"/>
    </w:p>
    <w:p w14:paraId="447EB6C8" w14:textId="77777777" w:rsidR="00795B4D" w:rsidRPr="00446928" w:rsidRDefault="00795B4D" w:rsidP="00B8568F">
      <w:pPr>
        <w:pStyle w:val="SubmissionNormal"/>
        <w:numPr>
          <w:ilvl w:val="1"/>
          <w:numId w:val="32"/>
        </w:numPr>
        <w:spacing w:before="240" w:after="240" w:line="240" w:lineRule="auto"/>
        <w:rPr>
          <w:rFonts w:ascii="Arial" w:hAnsi="Arial" w:cs="Arial"/>
        </w:rPr>
      </w:pPr>
      <w:r w:rsidRPr="00446928">
        <w:rPr>
          <w:rFonts w:ascii="Arial" w:hAnsi="Arial" w:cs="Arial"/>
        </w:rPr>
        <w:t xml:space="preserve">In November 2017, the </w:t>
      </w:r>
      <w:r w:rsidRPr="00AE749E">
        <w:rPr>
          <w:rFonts w:ascii="Arial" w:hAnsi="Arial" w:cs="Arial"/>
          <w:i/>
        </w:rPr>
        <w:t>Yogyakarta Principles plus 10</w:t>
      </w:r>
      <w:r w:rsidRPr="00446928">
        <w:rPr>
          <w:rFonts w:ascii="Arial" w:hAnsi="Arial" w:cs="Arial"/>
        </w:rPr>
        <w:t xml:space="preserve"> </w:t>
      </w:r>
      <w:proofErr w:type="gramStart"/>
      <w:r w:rsidRPr="00446928">
        <w:rPr>
          <w:rFonts w:ascii="Arial" w:hAnsi="Arial" w:cs="Arial"/>
        </w:rPr>
        <w:t>were</w:t>
      </w:r>
      <w:proofErr w:type="gramEnd"/>
      <w:r w:rsidRPr="00446928">
        <w:rPr>
          <w:rFonts w:ascii="Arial" w:hAnsi="Arial" w:cs="Arial"/>
        </w:rPr>
        <w:t xml:space="preserve"> adopted. These additional principles and State recommendations recognise developments in the intervening ten years in understandings of the violence and </w:t>
      </w:r>
      <w:proofErr w:type="gramStart"/>
      <w:r w:rsidRPr="00446928">
        <w:rPr>
          <w:rFonts w:ascii="Arial" w:hAnsi="Arial" w:cs="Arial"/>
        </w:rPr>
        <w:t>discrimination affecting</w:t>
      </w:r>
      <w:proofErr w:type="gramEnd"/>
      <w:r w:rsidRPr="00446928">
        <w:rPr>
          <w:rFonts w:ascii="Arial" w:hAnsi="Arial" w:cs="Arial"/>
        </w:rPr>
        <w:t xml:space="preserve"> individuals on the grounds of sexual orientation and gender identity. They also go further in recognising the distinct yet intersecting grounds of gender expression and sex characteristics. </w:t>
      </w:r>
    </w:p>
    <w:p w14:paraId="4C36DD50" w14:textId="0A4C1729" w:rsidR="006075C2" w:rsidRDefault="00795B4D" w:rsidP="00B8568F">
      <w:pPr>
        <w:pStyle w:val="SubmissionNormal"/>
        <w:numPr>
          <w:ilvl w:val="1"/>
          <w:numId w:val="32"/>
        </w:numPr>
        <w:spacing w:before="240" w:after="240" w:line="240" w:lineRule="auto"/>
        <w:rPr>
          <w:rFonts w:ascii="Arial" w:hAnsi="Arial" w:cs="Arial"/>
        </w:rPr>
      </w:pPr>
      <w:r w:rsidRPr="00446928">
        <w:rPr>
          <w:rFonts w:ascii="Arial" w:hAnsi="Arial" w:cs="Arial"/>
        </w:rPr>
        <w:t>In the context of medical interventions, relevant additional principles include the right to bodily and mental integrity,</w:t>
      </w:r>
      <w:r w:rsidRPr="00030F1B">
        <w:rPr>
          <w:rFonts w:ascii="Arial" w:hAnsi="Arial" w:cs="Arial"/>
          <w:sz w:val="20"/>
          <w:vertAlign w:val="superscript"/>
        </w:rPr>
        <w:endnoteReference w:id="213"/>
      </w:r>
      <w:r w:rsidRPr="00446928">
        <w:rPr>
          <w:rFonts w:ascii="Arial" w:hAnsi="Arial" w:cs="Arial"/>
        </w:rPr>
        <w:t xml:space="preserve"> and the right to truth.</w:t>
      </w:r>
      <w:r w:rsidRPr="00030F1B">
        <w:rPr>
          <w:rFonts w:ascii="Arial" w:hAnsi="Arial" w:cs="Arial"/>
          <w:sz w:val="20"/>
          <w:vertAlign w:val="superscript"/>
        </w:rPr>
        <w:endnoteReference w:id="214"/>
      </w:r>
      <w:r w:rsidRPr="00446928">
        <w:rPr>
          <w:rFonts w:ascii="Arial" w:hAnsi="Arial" w:cs="Arial"/>
        </w:rPr>
        <w:t xml:space="preserve"> Additional State recommendations extend the original principles to the grounds of sex characteristics in relation to the right to freedom from torture and cruel, inhuman or degrading treatment or punishment,</w:t>
      </w:r>
      <w:r w:rsidRPr="00030F1B">
        <w:rPr>
          <w:rFonts w:ascii="Arial" w:hAnsi="Arial" w:cs="Arial"/>
          <w:sz w:val="20"/>
          <w:vertAlign w:val="superscript"/>
        </w:rPr>
        <w:endnoteReference w:id="215"/>
      </w:r>
      <w:r>
        <w:rPr>
          <w:rFonts w:ascii="Arial" w:hAnsi="Arial" w:cs="Arial"/>
          <w:sz w:val="20"/>
          <w:vertAlign w:val="superscript"/>
        </w:rPr>
        <w:t xml:space="preserve"> </w:t>
      </w:r>
      <w:r w:rsidRPr="00446928">
        <w:rPr>
          <w:rFonts w:ascii="Arial" w:hAnsi="Arial" w:cs="Arial"/>
        </w:rPr>
        <w:t>the right to the highest attainable standard of health,</w:t>
      </w:r>
      <w:r w:rsidRPr="00030F1B">
        <w:rPr>
          <w:rFonts w:ascii="Arial" w:hAnsi="Arial" w:cs="Arial"/>
          <w:sz w:val="20"/>
          <w:vertAlign w:val="superscript"/>
        </w:rPr>
        <w:endnoteReference w:id="216"/>
      </w:r>
      <w:r w:rsidRPr="00446928">
        <w:rPr>
          <w:rFonts w:ascii="Arial" w:hAnsi="Arial" w:cs="Arial"/>
        </w:rPr>
        <w:t xml:space="preserve"> and the right to found a family.</w:t>
      </w:r>
      <w:r w:rsidRPr="00030F1B">
        <w:rPr>
          <w:rFonts w:ascii="Arial" w:hAnsi="Arial" w:cs="Arial"/>
          <w:sz w:val="20"/>
          <w:vertAlign w:val="superscript"/>
        </w:rPr>
        <w:endnoteReference w:id="217"/>
      </w:r>
    </w:p>
    <w:p w14:paraId="0FF5E7FD" w14:textId="23C7E8F8" w:rsidR="00627E5B" w:rsidRPr="00CC525B" w:rsidRDefault="00627E5B" w:rsidP="0024684C">
      <w:pPr>
        <w:pStyle w:val="SubmissionNormal"/>
        <w:numPr>
          <w:ilvl w:val="0"/>
          <w:numId w:val="0"/>
        </w:numPr>
        <w:spacing w:before="240" w:after="240" w:line="240" w:lineRule="auto"/>
        <w:rPr>
          <w:rFonts w:ascii="Arial" w:hAnsi="Arial" w:cs="Arial"/>
          <w:lang w:val="en-US"/>
        </w:rPr>
      </w:pPr>
    </w:p>
    <w:sectPr w:rsidR="00627E5B" w:rsidRPr="00CC525B" w:rsidSect="00F4279A">
      <w:footerReference w:type="default" r:id="rId19"/>
      <w:endnotePr>
        <w:numFmt w:val="decimal"/>
      </w:endnotePr>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5A67C" w14:textId="77777777" w:rsidR="00C9464D" w:rsidRDefault="00C9464D" w:rsidP="00F14C6D">
      <w:r>
        <w:separator/>
      </w:r>
    </w:p>
  </w:endnote>
  <w:endnote w:type="continuationSeparator" w:id="0">
    <w:p w14:paraId="28F44888" w14:textId="77777777" w:rsidR="00C9464D" w:rsidRDefault="00C9464D" w:rsidP="00F14C6D">
      <w:r>
        <w:continuationSeparator/>
      </w:r>
    </w:p>
  </w:endnote>
  <w:endnote w:id="1">
    <w:p w14:paraId="79E5007A" w14:textId="64D81B31" w:rsidR="00C9464D" w:rsidRPr="004D2BDE" w:rsidRDefault="00C9464D" w:rsidP="00D51FE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{"citationID":"aJTeJFV6","properties":{"formattedCitation":"{\\rtf IA Hughes et al, \\uc0\\u8216{}Consensus Statement on Management of Intersex Disorders\\uc0\\u8217{} (2006) 2 {\\i{}Journal of Pediatric Urology} 148; Vic Government (Department of Health), \\uc0\\u8216{}Decision-Making Principles for the Care of Infants, Children and Adolescents with Intersex Conditions\\uc0\\u8217{}.}","plainCitation":"IA Hughes et al, ‘Consensus Statement on Management of Intersex Disorders’ (2006) 2 Journal of Pediatric Urology 148; Vic Government (Department of Health), ‘Decision-Making Principles for the Care of Infants, Children and Adolescents with Intersex Conditions’."},"citationItems":[{"id":249,"uris":["http://zotero.org/users/4317530/items/ACGC5RJK"],"uri":["http://zotero.org/users/4317530/items/ACGC5RJK"],"itemData":{"id":249,"type":"article-journal","title":"Consensus Statement on Management of intersex disorders","container-title":"Journal of Pediatric Urology","page":"148-162","volume":"2","DOI":"10.1016/j.jpurol.2006.03.004","author":[{"family":"Hughes","given":"I.A."},{"family":"Houk","given":"C"},{"family":"Ahmed","given":"S.F."},{"family":"Lee","given":"P.A."},{"family":"LWPES/ESPE Group","given":""}],"issued":{"date-parts":[["2006",5,23]]}}},{"id":454,"uris":["http://zotero.org/users/4317530/items/P4MDTIVS"],"uri":["http://zotero.org/users/4317530/items/P4MDTIVS"],"itemData":{"id":454,"type":"article","title":"Decision-making principles for the care of infants, children and adolescents with intersex conditions","author":[{"family":"Vic Government (Department of Health)","given":""}],"issued":{"date-parts":[["2013",2]]}}}],"schema":"https://github.com/citation-style-language/schema/raw/master/csl-citation.json"}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2 </w:t>
      </w:r>
      <w:r w:rsidRPr="004D2BDE">
        <w:rPr>
          <w:rFonts w:ascii="Arial" w:hAnsi="Arial" w:cs="Arial"/>
          <w:i/>
        </w:rPr>
        <w:t xml:space="preserve">Journal of Pediatric Urology </w:t>
      </w:r>
      <w:r w:rsidRPr="004D2BDE">
        <w:rPr>
          <w:rFonts w:ascii="Arial" w:hAnsi="Arial" w:cs="Arial"/>
        </w:rPr>
        <w:t xml:space="preserve">148, 149;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2; Tiffany Jones et al, </w:t>
      </w:r>
      <w:r w:rsidRPr="004D2BDE">
        <w:rPr>
          <w:rFonts w:ascii="Arial" w:hAnsi="Arial" w:cs="Arial"/>
          <w:i/>
        </w:rPr>
        <w:t>Intersex: stories and statistics from Australia</w:t>
      </w:r>
      <w:r w:rsidRPr="004D2BDE">
        <w:rPr>
          <w:rFonts w:ascii="Arial" w:hAnsi="Arial" w:cs="Arial"/>
        </w:rPr>
        <w:t xml:space="preserve"> (Open Book Publishers, 2016) 95</w:t>
      </w:r>
      <w:r w:rsidRPr="004D2BDE">
        <w:rPr>
          <w:rFonts w:ascii="Arial" w:hAnsi="Arial" w:cs="Arial"/>
          <w:color w:val="333333"/>
          <w:shd w:val="clear" w:color="auto" w:fill="FFFFFF"/>
        </w:rPr>
        <w:t>–</w:t>
      </w:r>
      <w:r w:rsidRPr="004D2BDE">
        <w:rPr>
          <w:rFonts w:ascii="Arial" w:hAnsi="Arial" w:cs="Arial"/>
        </w:rPr>
        <w:t>96.</w:t>
      </w:r>
      <w:r w:rsidRPr="004D2BDE">
        <w:rPr>
          <w:rFonts w:ascii="Arial" w:hAnsi="Arial" w:cs="Arial"/>
        </w:rPr>
        <w:fldChar w:fldCharType="end"/>
      </w:r>
      <w:r w:rsidRPr="004D2BDE">
        <w:rPr>
          <w:rFonts w:ascii="Arial" w:hAnsi="Arial" w:cs="Arial"/>
        </w:rPr>
        <w:t xml:space="preserve"> </w:t>
      </w:r>
    </w:p>
  </w:endnote>
  <w:endnote w:id="2">
    <w:p w14:paraId="43F948B9" w14:textId="661210A5"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Organisation Intersex International Australia, </w:t>
      </w:r>
      <w:r>
        <w:rPr>
          <w:rFonts w:ascii="Arial" w:hAnsi="Arial" w:cs="Arial"/>
        </w:rPr>
        <w:t>‘</w:t>
      </w:r>
      <w:r w:rsidRPr="004D2BDE">
        <w:rPr>
          <w:rFonts w:ascii="Arial" w:hAnsi="Arial" w:cs="Arial"/>
        </w:rPr>
        <w:t>Shadow Report Submission to the Committee on the Rights of Persons with Disabilities on the Situation of Intersex People in Australia</w:t>
      </w:r>
      <w:r>
        <w:rPr>
          <w:rFonts w:ascii="Arial" w:hAnsi="Arial" w:cs="Arial"/>
        </w:rPr>
        <w:t>’</w:t>
      </w:r>
      <w:r w:rsidRPr="004D2BDE">
        <w:rPr>
          <w:rFonts w:ascii="Arial" w:hAnsi="Arial" w:cs="Arial"/>
        </w:rPr>
        <w:t xml:space="preserve">, Submission to the Committee on the Rights of Persons with Disabilities, 8 June 2017. At </w:t>
      </w:r>
      <w:hyperlink r:id="rId1" w:history="1">
        <w:r w:rsidRPr="004D2BDE">
          <w:rPr>
            <w:rStyle w:val="Hyperlink"/>
            <w:rFonts w:ascii="Arial" w:hAnsi="Arial" w:cs="Arial"/>
          </w:rPr>
          <w:t>https://oii.org.au/wp-content/uploads/2017/06/OIIAU-CRPD-2017.pdf</w:t>
        </w:r>
      </w:hyperlink>
      <w:r w:rsidRPr="004D2BDE">
        <w:rPr>
          <w:rFonts w:ascii="Arial" w:hAnsi="Arial" w:cs="Arial"/>
        </w:rPr>
        <w:t xml:space="preserve"> (accessed 7 July 2017); Organisation Intersex International Australia, Submission No 23 to Senate Standing Committee on Community Affairs, </w:t>
      </w:r>
      <w:r w:rsidRPr="004D2BDE">
        <w:rPr>
          <w:rFonts w:ascii="Arial" w:hAnsi="Arial" w:cs="Arial"/>
          <w:i/>
        </w:rPr>
        <w:t>Involuntary or Coerced Sterilisation of People with Disabilities In Australia</w:t>
      </w:r>
      <w:r w:rsidRPr="004D2BDE">
        <w:rPr>
          <w:rFonts w:ascii="Arial" w:hAnsi="Arial" w:cs="Arial"/>
        </w:rPr>
        <w:t xml:space="preserve">, 15 February 2013. At </w:t>
      </w:r>
      <w:hyperlink r:id="rId2" w:history="1">
        <w:r w:rsidRPr="004D2BDE">
          <w:rPr>
            <w:rStyle w:val="Hyperlink"/>
            <w:rFonts w:ascii="Arial" w:hAnsi="Arial" w:cs="Arial"/>
          </w:rPr>
          <w:t>http://www.aph.gov.au/DocumentStore.ashx?id=14032f4c-c21b-465c-bf2b-85fee8adb3e3&amp;subId=16126</w:t>
        </w:r>
      </w:hyperlink>
      <w:r w:rsidRPr="004D2BDE">
        <w:rPr>
          <w:rFonts w:ascii="Arial" w:hAnsi="Arial" w:cs="Arial"/>
        </w:rPr>
        <w:t xml:space="preserve"> (accessed 17 January 2018).</w:t>
      </w:r>
    </w:p>
  </w:endnote>
  <w:endnote w:id="3">
    <w:p w14:paraId="4D67B44D" w14:textId="77777777"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At </w:t>
      </w:r>
      <w:hyperlink r:id="rId3"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4">
    <w:p w14:paraId="1E7CD8AC" w14:textId="77777777"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Australian Human Rights Commission, </w:t>
      </w:r>
      <w:r w:rsidRPr="004D2BDE">
        <w:rPr>
          <w:rFonts w:ascii="Arial" w:hAnsi="Arial" w:cs="Arial"/>
          <w:i/>
        </w:rPr>
        <w:t>Resilient Individuals: Sexual Orientation, Gender Identity &amp; Intersex Rights</w:t>
      </w:r>
      <w:r w:rsidRPr="004D2BDE">
        <w:rPr>
          <w:rFonts w:ascii="Arial" w:hAnsi="Arial" w:cs="Arial"/>
        </w:rPr>
        <w:t xml:space="preserve"> (2015). At </w:t>
      </w:r>
      <w:hyperlink r:id="rId4" w:history="1">
        <w:r w:rsidRPr="004D2BDE">
          <w:rPr>
            <w:rStyle w:val="Hyperlink"/>
            <w:rFonts w:ascii="Arial" w:hAnsi="Arial" w:cs="Arial"/>
          </w:rPr>
          <w:t>https://www.humanrights.gov.au/sites/default/files/document/publication/SOGII%20Rights%20Report%202015_Web_Version.pdf</w:t>
        </w:r>
      </w:hyperlink>
      <w:r w:rsidRPr="004D2BDE">
        <w:rPr>
          <w:rFonts w:ascii="Arial" w:hAnsi="Arial" w:cs="Arial"/>
        </w:rPr>
        <w:t xml:space="preserve"> (accessed 6 July 2017).</w:t>
      </w:r>
    </w:p>
  </w:endnote>
  <w:endnote w:id="5">
    <w:p w14:paraId="36910B23" w14:textId="77777777"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Australian Human Rights Commission, </w:t>
      </w:r>
      <w:r w:rsidRPr="004D2BDE">
        <w:rPr>
          <w:rFonts w:ascii="Arial" w:hAnsi="Arial" w:cs="Arial"/>
          <w:i/>
        </w:rPr>
        <w:t>Surgery on Intersex Infants and Human Rights</w:t>
      </w:r>
      <w:r w:rsidRPr="004D2BDE">
        <w:rPr>
          <w:rFonts w:ascii="Arial" w:hAnsi="Arial" w:cs="Arial"/>
        </w:rPr>
        <w:t xml:space="preserve"> (July 2009). At </w:t>
      </w:r>
      <w:hyperlink r:id="rId5" w:history="1">
        <w:r w:rsidRPr="004D2BDE">
          <w:rPr>
            <w:rStyle w:val="Hyperlink"/>
            <w:rFonts w:ascii="Arial" w:hAnsi="Arial" w:cs="Arial"/>
          </w:rPr>
          <w:t>https://www.humanrights.gov.au/surgery-intersex-infants-and-human-rights-2009</w:t>
        </w:r>
      </w:hyperlink>
      <w:r w:rsidRPr="004D2BDE">
        <w:rPr>
          <w:rFonts w:ascii="Arial" w:hAnsi="Arial" w:cs="Arial"/>
        </w:rPr>
        <w:t xml:space="preserve"> (accessed 22 June 2017).</w:t>
      </w:r>
    </w:p>
  </w:endnote>
  <w:endnote w:id="6">
    <w:p w14:paraId="75651095" w14:textId="77777777"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Australian Human Rights Commission, </w:t>
      </w:r>
      <w:r w:rsidRPr="004D2BDE">
        <w:rPr>
          <w:rFonts w:ascii="Arial" w:hAnsi="Arial" w:cs="Arial"/>
          <w:i/>
        </w:rPr>
        <w:t>Information for List of Issues — Australia</w:t>
      </w:r>
      <w:r w:rsidRPr="004D2BDE">
        <w:rPr>
          <w:rFonts w:ascii="Arial" w:hAnsi="Arial" w:cs="Arial"/>
        </w:rPr>
        <w:t xml:space="preserve">, Submission to UN Committee on Economic, Social and Cultural Rights (29 August 2016). At </w:t>
      </w:r>
      <w:hyperlink r:id="rId6" w:history="1">
        <w:r w:rsidRPr="004D2BDE">
          <w:rPr>
            <w:rStyle w:val="Hyperlink"/>
            <w:rFonts w:ascii="Arial" w:hAnsi="Arial" w:cs="Arial"/>
          </w:rPr>
          <w:t>https://rightstalk.humanrights.gov.au/sites/default/files/AHRC_ICESCR_LOI_2016.pdf</w:t>
        </w:r>
      </w:hyperlink>
      <w:r w:rsidRPr="004D2BDE">
        <w:rPr>
          <w:rFonts w:ascii="Arial" w:hAnsi="Arial" w:cs="Arial"/>
        </w:rPr>
        <w:t xml:space="preserve"> (accessed 7 July 2017).</w:t>
      </w:r>
    </w:p>
  </w:endnote>
  <w:endnote w:id="7">
    <w:p w14:paraId="413A2049" w14:textId="77777777"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At </w:t>
      </w:r>
      <w:hyperlink r:id="rId7" w:history="1">
        <w:r w:rsidRPr="004D2BDE">
          <w:rPr>
            <w:rStyle w:val="Hyperlink"/>
            <w:rFonts w:ascii="Arial" w:hAnsi="Arial" w:cs="Arial"/>
          </w:rPr>
          <w:t>http://www.aph.gov.au/Parliamentary_Business/Committees/Senate/Community_Affairs/Involuntary_Sterilisation/Sec_Report/~/media/Committees/Senate/committee/clac_ctte/involuntary_sterilisation/second_report/report.ashx</w:t>
        </w:r>
      </w:hyperlink>
      <w:r w:rsidRPr="004D2BDE">
        <w:rPr>
          <w:rFonts w:ascii="Arial" w:hAnsi="Arial" w:cs="Arial"/>
        </w:rPr>
        <w:t xml:space="preserve"> (accessed 26 June 2017).</w:t>
      </w:r>
    </w:p>
  </w:endnote>
  <w:endnote w:id="8">
    <w:p w14:paraId="1A014F75" w14:textId="77777777" w:rsidR="00C9464D" w:rsidRPr="004D2BDE" w:rsidRDefault="00C9464D" w:rsidP="00FE04CC">
      <w:pPr>
        <w:pStyle w:val="EndnoteText"/>
        <w:rPr>
          <w:rFonts w:ascii="Arial" w:hAnsi="Arial" w:cs="Arial"/>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8"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w:t>
      </w:r>
      <w:proofErr w:type="gramStart"/>
      <w:r w:rsidRPr="004D2BDE">
        <w:rPr>
          <w:rFonts w:ascii="Arial" w:hAnsi="Arial" w:cs="Arial"/>
        </w:rPr>
        <w:t>2</w:t>
      </w:r>
      <w:proofErr w:type="gramEnd"/>
      <w:r w:rsidRPr="004D2BDE">
        <w:rPr>
          <w:rFonts w:ascii="Arial" w:hAnsi="Arial" w:cs="Arial"/>
        </w:rPr>
        <w:t>.</w:t>
      </w:r>
    </w:p>
  </w:endnote>
  <w:endnote w:id="9">
    <w:p w14:paraId="6DF5699B" w14:textId="1B8C703B" w:rsidR="00C9464D" w:rsidRPr="004D2BDE" w:rsidRDefault="00C9464D" w:rsidP="00151FCE">
      <w:pPr>
        <w:pStyle w:val="EndnoteText"/>
        <w:rPr>
          <w:rFonts w:ascii="Arial" w:hAnsi="Arial" w:cs="Arial"/>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9"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17–22.</w:t>
      </w:r>
    </w:p>
  </w:endnote>
  <w:endnote w:id="10">
    <w:p w14:paraId="2293814E" w14:textId="461C2466" w:rsidR="00C9464D" w:rsidRPr="004D2BDE" w:rsidRDefault="00C9464D" w:rsidP="00446928">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lang w:val="en-US"/>
        </w:rPr>
        <w:t xml:space="preserve">See, for example, </w:t>
      </w:r>
      <w:r w:rsidRPr="004D2BDE">
        <w:rPr>
          <w:rFonts w:ascii="Arial" w:eastAsia="Times New Roman" w:hAnsi="Arial" w:cs="Arial"/>
        </w:rPr>
        <w:t xml:space="preserve">Committee on the Elimination of Discrimination against Women, </w:t>
      </w:r>
      <w:r w:rsidRPr="004D2BDE">
        <w:rPr>
          <w:rFonts w:ascii="Arial" w:eastAsia="Times New Roman" w:hAnsi="Arial" w:cs="Arial"/>
          <w:i/>
        </w:rPr>
        <w:t>Concluding Observations on Germany</w:t>
      </w:r>
      <w:r w:rsidRPr="004D2BDE">
        <w:rPr>
          <w:rFonts w:ascii="Arial" w:eastAsia="Times New Roman" w:hAnsi="Arial" w:cs="Arial"/>
        </w:rPr>
        <w:t xml:space="preserve">, UN Doc CEDAW/C/DEU/CO/7-8 (3 March 2017) [23]–[24]; Committee against Torture, </w:t>
      </w:r>
      <w:r w:rsidRPr="004D2BDE">
        <w:rPr>
          <w:rFonts w:ascii="Arial" w:eastAsia="Times New Roman" w:hAnsi="Arial" w:cs="Arial"/>
          <w:i/>
        </w:rPr>
        <w:t>Concluding observations on France</w:t>
      </w:r>
      <w:r w:rsidRPr="004D2BDE">
        <w:rPr>
          <w:rFonts w:ascii="Arial" w:eastAsia="Times New Roman" w:hAnsi="Arial" w:cs="Arial"/>
        </w:rPr>
        <w:t xml:space="preserve">, UN Doc CAT/C/FRA /CO/7 (10 June 2016) [34]–[35]; </w:t>
      </w:r>
      <w:r w:rsidRPr="004D2BDE">
        <w:rPr>
          <w:rFonts w:ascii="Arial" w:hAnsi="Arial" w:cs="Arial"/>
        </w:rPr>
        <w:t xml:space="preserve">Committee on the Rights of the Child, </w:t>
      </w:r>
      <w:r w:rsidRPr="004D2BDE">
        <w:rPr>
          <w:rFonts w:ascii="Arial" w:hAnsi="Arial" w:cs="Arial"/>
          <w:i/>
        </w:rPr>
        <w:t>Concluding observations on Ireland</w:t>
      </w:r>
      <w:r w:rsidRPr="004D2BDE">
        <w:rPr>
          <w:rFonts w:ascii="Arial" w:hAnsi="Arial" w:cs="Arial"/>
        </w:rPr>
        <w:t>, UN Doc CRC/C/IRL/CO/3-4 (1</w:t>
      </w:r>
      <w:r>
        <w:rPr>
          <w:rFonts w:ascii="Arial" w:hAnsi="Arial" w:cs="Arial"/>
        </w:rPr>
        <w:t> </w:t>
      </w:r>
      <w:r w:rsidRPr="004D2BDE">
        <w:rPr>
          <w:rFonts w:ascii="Arial" w:hAnsi="Arial" w:cs="Arial"/>
        </w:rPr>
        <w:t>March 2016) [39]–[40].</w:t>
      </w:r>
      <w:proofErr w:type="gramEnd"/>
    </w:p>
  </w:endnote>
  <w:endnote w:id="11">
    <w:p w14:paraId="08302B68" w14:textId="47FF4369" w:rsidR="00C9464D" w:rsidRPr="004D2BDE" w:rsidRDefault="00C9464D" w:rsidP="00446928">
      <w:pPr>
        <w:autoSpaceDE w:val="0"/>
        <w:autoSpaceDN w:val="0"/>
        <w:adjustRightInd w:val="0"/>
        <w:spacing w:after="0"/>
        <w:rPr>
          <w:rFonts w:ascii="Arial" w:hAnsi="Arial" w:cs="Arial"/>
          <w:sz w:val="20"/>
          <w:szCs w:val="20"/>
        </w:rPr>
      </w:pPr>
      <w:r w:rsidRPr="004D2BDE">
        <w:rPr>
          <w:rStyle w:val="EndnoteReference"/>
          <w:rFonts w:cs="Arial"/>
          <w:szCs w:val="20"/>
        </w:rPr>
        <w:endnoteRef/>
      </w:r>
      <w:r w:rsidRPr="004D2BDE">
        <w:rPr>
          <w:rFonts w:ascii="Arial" w:hAnsi="Arial" w:cs="Arial"/>
          <w:sz w:val="20"/>
          <w:szCs w:val="20"/>
        </w:rPr>
        <w:t xml:space="preserve"> Juan E. Méndez, </w:t>
      </w:r>
      <w:r w:rsidRPr="004D2BDE">
        <w:rPr>
          <w:rFonts w:ascii="Arial" w:hAnsi="Arial" w:cs="Arial"/>
          <w:i/>
          <w:sz w:val="20"/>
          <w:szCs w:val="20"/>
        </w:rPr>
        <w:t xml:space="preserve">Report of the Special Rapporteur on torture and other cruel, inhuman or degrading treatment or punishment, </w:t>
      </w:r>
      <w:r w:rsidRPr="004D2BDE">
        <w:rPr>
          <w:rFonts w:ascii="Arial" w:hAnsi="Arial" w:cs="Arial"/>
          <w:sz w:val="20"/>
          <w:szCs w:val="20"/>
        </w:rPr>
        <w:t xml:space="preserve">UN Doc A/HRC/22/53 (1 February 2013). At </w:t>
      </w:r>
      <w:hyperlink r:id="rId10" w:history="1">
        <w:r w:rsidRPr="00D40C1D">
          <w:rPr>
            <w:rStyle w:val="Hyperlink"/>
            <w:rFonts w:ascii="Arial" w:hAnsi="Arial" w:cs="Arial"/>
            <w:sz w:val="20"/>
            <w:szCs w:val="20"/>
          </w:rPr>
          <w:t>http://daccess-ods.un.org/access.nsf/Get?Open&amp;DS=A/HRC/22/53&amp;Lang=E</w:t>
        </w:r>
      </w:hyperlink>
      <w:r>
        <w:rPr>
          <w:rFonts w:ascii="Arial" w:hAnsi="Arial" w:cs="Arial"/>
          <w:sz w:val="20"/>
          <w:szCs w:val="20"/>
        </w:rPr>
        <w:t xml:space="preserve"> </w:t>
      </w:r>
      <w:r w:rsidRPr="004D2BDE">
        <w:rPr>
          <w:rFonts w:ascii="Arial" w:hAnsi="Arial" w:cs="Arial"/>
          <w:sz w:val="20"/>
          <w:szCs w:val="20"/>
        </w:rPr>
        <w:t>(accessed 7 July 2017).</w:t>
      </w:r>
    </w:p>
  </w:endnote>
  <w:endnote w:id="12">
    <w:p w14:paraId="65E8D484" w14:textId="77777777" w:rsidR="00C9464D" w:rsidRPr="004D2BDE" w:rsidRDefault="00C9464D" w:rsidP="0044692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lang w:val="en-US"/>
        </w:rPr>
        <w:t xml:space="preserve">Committee on Economic, Social and Cultural Rights, </w:t>
      </w:r>
      <w:r w:rsidRPr="004D2BDE">
        <w:rPr>
          <w:rFonts w:ascii="Arial" w:hAnsi="Arial" w:cs="Arial"/>
          <w:i/>
          <w:lang w:val="en-US"/>
        </w:rPr>
        <w:t>Concluding Observations on Australia</w:t>
      </w:r>
      <w:r w:rsidRPr="004D2BDE">
        <w:rPr>
          <w:rFonts w:ascii="Arial" w:hAnsi="Arial" w:cs="Arial"/>
          <w:lang w:val="en-US"/>
        </w:rPr>
        <w:t>, UN Doc E/C/12/AUS/CO/5 (23 June 2017) [49]</w:t>
      </w:r>
      <w:r w:rsidRPr="004D2BDE">
        <w:rPr>
          <w:rFonts w:ascii="Arial" w:hAnsi="Arial" w:cs="Arial"/>
        </w:rPr>
        <w:t>–</w:t>
      </w:r>
      <w:r w:rsidRPr="004D2BDE">
        <w:rPr>
          <w:rFonts w:ascii="Arial" w:hAnsi="Arial" w:cs="Arial"/>
          <w:lang w:val="en-US"/>
        </w:rPr>
        <w:t>[50].</w:t>
      </w:r>
    </w:p>
  </w:endnote>
  <w:endnote w:id="13">
    <w:p w14:paraId="6BC1DFB1" w14:textId="77777777" w:rsidR="00C9464D" w:rsidRPr="004D2BDE" w:rsidRDefault="00C9464D" w:rsidP="00446928">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Committee, </w:t>
      </w:r>
      <w:r w:rsidRPr="004D2BDE">
        <w:rPr>
          <w:rFonts w:ascii="Arial" w:hAnsi="Arial" w:cs="Arial"/>
          <w:i/>
        </w:rPr>
        <w:t>Concluding observations on the sixth periodic report of Australia</w:t>
      </w:r>
      <w:r w:rsidRPr="004D2BDE">
        <w:rPr>
          <w:rFonts w:ascii="Arial" w:hAnsi="Arial" w:cs="Arial"/>
        </w:rPr>
        <w:t xml:space="preserve">, UN Doc CCPR/C/AUS/CO/6 (9 November 2017) </w:t>
      </w:r>
      <w:r w:rsidRPr="004D2BDE">
        <w:rPr>
          <w:rFonts w:ascii="Arial" w:hAnsi="Arial" w:cs="Arial"/>
          <w:lang w:val="en-US"/>
        </w:rPr>
        <w:t>[25]</w:t>
      </w:r>
      <w:r w:rsidRPr="004D2BDE">
        <w:rPr>
          <w:rFonts w:ascii="Arial" w:hAnsi="Arial" w:cs="Arial"/>
        </w:rPr>
        <w:t>–</w:t>
      </w:r>
      <w:r w:rsidRPr="004D2BDE">
        <w:rPr>
          <w:rFonts w:ascii="Arial" w:hAnsi="Arial" w:cs="Arial"/>
          <w:lang w:val="en-US"/>
        </w:rPr>
        <w:t>[26].</w:t>
      </w:r>
    </w:p>
  </w:endnote>
  <w:endnote w:id="14">
    <w:p w14:paraId="3AE60BEF" w14:textId="77777777" w:rsidR="00C9464D" w:rsidRPr="004D2BDE" w:rsidRDefault="00C9464D" w:rsidP="00553099">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42.</w:t>
      </w:r>
    </w:p>
  </w:endnote>
  <w:endnote w:id="15">
    <w:p w14:paraId="2A71F79C" w14:textId="6717241C"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Claudia </w:t>
      </w:r>
      <w:proofErr w:type="spellStart"/>
      <w:r w:rsidRPr="004D2BDE">
        <w:rPr>
          <w:rFonts w:ascii="Arial" w:hAnsi="Arial" w:cs="Arial"/>
        </w:rPr>
        <w:t>Wiesemann</w:t>
      </w:r>
      <w:proofErr w:type="spellEnd"/>
      <w:r w:rsidRPr="004D2BDE">
        <w:rPr>
          <w:rFonts w:ascii="Arial" w:hAnsi="Arial" w:cs="Arial"/>
        </w:rPr>
        <w:t xml:space="preserve"> et al, </w:t>
      </w:r>
      <w:r>
        <w:rPr>
          <w:rFonts w:ascii="Arial" w:hAnsi="Arial" w:cs="Arial"/>
        </w:rPr>
        <w:t>‘</w:t>
      </w:r>
      <w:r w:rsidRPr="004D2BDE">
        <w:rPr>
          <w:rFonts w:ascii="Arial" w:hAnsi="Arial" w:cs="Arial"/>
        </w:rPr>
        <w:t>Ethical principles and recommendations for the medical management of differences of sex development (DSD)/intersex in children and adolescents</w:t>
      </w:r>
      <w:r>
        <w:rPr>
          <w:rFonts w:ascii="Arial" w:hAnsi="Arial" w:cs="Arial"/>
        </w:rPr>
        <w:t>’</w:t>
      </w:r>
      <w:r w:rsidRPr="004D2BDE">
        <w:rPr>
          <w:rFonts w:ascii="Arial" w:hAnsi="Arial" w:cs="Arial"/>
        </w:rPr>
        <w:t xml:space="preserve"> (2010) 169 </w:t>
      </w:r>
      <w:r w:rsidRPr="004D2BDE">
        <w:rPr>
          <w:rFonts w:ascii="Arial" w:hAnsi="Arial" w:cs="Arial"/>
          <w:i/>
        </w:rPr>
        <w:t xml:space="preserve">European Journal of </w:t>
      </w:r>
      <w:proofErr w:type="spellStart"/>
      <w:r w:rsidRPr="004D2BDE">
        <w:rPr>
          <w:rFonts w:ascii="Arial" w:hAnsi="Arial" w:cs="Arial"/>
          <w:i/>
        </w:rPr>
        <w:t>Pediatrics</w:t>
      </w:r>
      <w:proofErr w:type="spellEnd"/>
      <w:r w:rsidRPr="004D2BDE">
        <w:rPr>
          <w:rFonts w:ascii="Arial" w:hAnsi="Arial" w:cs="Arial"/>
        </w:rPr>
        <w:t xml:space="preserve"> 671; Ellen K. </w:t>
      </w:r>
      <w:proofErr w:type="spellStart"/>
      <w:r w:rsidRPr="004D2BDE">
        <w:rPr>
          <w:rFonts w:ascii="Arial" w:hAnsi="Arial" w:cs="Arial"/>
        </w:rPr>
        <w:t>Feder</w:t>
      </w:r>
      <w:proofErr w:type="spellEnd"/>
      <w:r w:rsidRPr="004D2BDE">
        <w:rPr>
          <w:rFonts w:ascii="Arial" w:hAnsi="Arial" w:cs="Arial"/>
        </w:rPr>
        <w:t xml:space="preserve">, </w:t>
      </w:r>
      <w:r w:rsidRPr="004D2BDE">
        <w:rPr>
          <w:rFonts w:ascii="Arial" w:hAnsi="Arial" w:cs="Arial"/>
          <w:i/>
        </w:rPr>
        <w:t>Making Sense of Intersex: Changing Ethical Perspectives in Biomedicine</w:t>
      </w:r>
      <w:r w:rsidRPr="004D2BDE">
        <w:rPr>
          <w:rFonts w:ascii="Arial" w:hAnsi="Arial" w:cs="Arial"/>
        </w:rPr>
        <w:t xml:space="preserve"> (Indiana University Press, 2014).</w:t>
      </w:r>
    </w:p>
  </w:endnote>
  <w:endnote w:id="16">
    <w:p w14:paraId="69F9D5EC" w14:textId="064A1FC1"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Lynn H. Gillam et al, </w:t>
      </w:r>
      <w:r>
        <w:rPr>
          <w:rFonts w:ascii="Arial" w:hAnsi="Arial" w:cs="Arial"/>
        </w:rPr>
        <w:t>‘</w:t>
      </w:r>
      <w:r w:rsidRPr="004D2BDE">
        <w:rPr>
          <w:rFonts w:ascii="Arial" w:hAnsi="Arial" w:cs="Arial"/>
        </w:rPr>
        <w:t>Ethical Principles for the Management of Infants with Disorders of Sex Development</w:t>
      </w:r>
      <w:r>
        <w:rPr>
          <w:rFonts w:ascii="Arial" w:hAnsi="Arial" w:cs="Arial"/>
        </w:rPr>
        <w:t>’</w:t>
      </w:r>
      <w:r w:rsidRPr="004D2BDE">
        <w:rPr>
          <w:rFonts w:ascii="Arial" w:hAnsi="Arial" w:cs="Arial"/>
        </w:rPr>
        <w:t xml:space="preserve"> (2010) 74 </w:t>
      </w:r>
      <w:r w:rsidRPr="004D2BDE">
        <w:rPr>
          <w:rFonts w:ascii="Arial" w:hAnsi="Arial" w:cs="Arial"/>
          <w:i/>
        </w:rPr>
        <w:t>Hormone Research in Paediatrics</w:t>
      </w:r>
      <w:r w:rsidRPr="004D2BDE">
        <w:rPr>
          <w:rFonts w:ascii="Arial" w:hAnsi="Arial" w:cs="Arial"/>
        </w:rPr>
        <w:t xml:space="preserve"> 412.</w:t>
      </w:r>
    </w:p>
  </w:endnote>
  <w:endnote w:id="17">
    <w:p w14:paraId="05D7BF4A" w14:textId="0F0E9BCC"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w:t>
      </w:r>
    </w:p>
  </w:endnote>
  <w:endnote w:id="18">
    <w:p w14:paraId="247AC901" w14:textId="77777777" w:rsidR="00C9464D" w:rsidRPr="004D2BDE" w:rsidRDefault="00C9464D"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General Assembly, </w:t>
      </w:r>
      <w:r w:rsidRPr="004D2BDE">
        <w:rPr>
          <w:rFonts w:ascii="Arial" w:hAnsi="Arial" w:cs="Arial"/>
          <w:i/>
        </w:rPr>
        <w:t>National Institutions for the Promotion and Protection of Human Rights</w:t>
      </w:r>
      <w:r w:rsidRPr="004D2BDE">
        <w:rPr>
          <w:rFonts w:ascii="Arial" w:hAnsi="Arial" w:cs="Arial"/>
        </w:rPr>
        <w:t>, GA Res 48/134, 85</w:t>
      </w:r>
      <w:r w:rsidRPr="004D2BDE">
        <w:rPr>
          <w:rFonts w:ascii="Arial" w:hAnsi="Arial" w:cs="Arial"/>
          <w:vertAlign w:val="superscript"/>
        </w:rPr>
        <w:t>th</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A/RES/48/134 (20 December 1993) [3(a)]. At</w:t>
      </w:r>
      <w:r w:rsidRPr="004D2BDE">
        <w:rPr>
          <w:rFonts w:ascii="Arial" w:hAnsi="Arial" w:cs="Arial"/>
          <w:i/>
        </w:rPr>
        <w:t xml:space="preserve"> </w:t>
      </w:r>
      <w:hyperlink r:id="rId11" w:history="1">
        <w:r w:rsidRPr="004D2BDE">
          <w:rPr>
            <w:rStyle w:val="Hyperlink"/>
            <w:rFonts w:ascii="Arial" w:hAnsi="Arial" w:cs="Arial"/>
          </w:rPr>
          <w:t>http://www.ohchr.org/EN/ProfessionalInterest/Pages/StatusOfNationalInstitutions.aspx</w:t>
        </w:r>
      </w:hyperlink>
      <w:r w:rsidRPr="004D2BDE">
        <w:rPr>
          <w:rFonts w:ascii="Arial" w:hAnsi="Arial" w:cs="Arial"/>
        </w:rPr>
        <w:t xml:space="preserve"> (accessed 15 June 2017).</w:t>
      </w:r>
    </w:p>
  </w:endnote>
  <w:endnote w:id="19">
    <w:p w14:paraId="157DF9F7" w14:textId="7464D9A8" w:rsidR="00C9464D" w:rsidRPr="004D2BDE" w:rsidRDefault="00C9464D"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w:t>
      </w:r>
      <w:r>
        <w:rPr>
          <w:rFonts w:ascii="Arial" w:hAnsi="Arial" w:cs="Arial"/>
        </w:rPr>
        <w:t xml:space="preserve">United Nations </w:t>
      </w:r>
      <w:r w:rsidRPr="004D2BDE">
        <w:rPr>
          <w:rFonts w:ascii="Arial" w:hAnsi="Arial" w:cs="Arial"/>
        </w:rPr>
        <w:t>High Commissioner</w:t>
      </w:r>
      <w:r w:rsidRPr="00AE749E">
        <w:rPr>
          <w:rFonts w:ascii="Arial" w:hAnsi="Arial" w:cs="Arial"/>
        </w:rPr>
        <w:t xml:space="preserve"> </w:t>
      </w:r>
      <w:r>
        <w:rPr>
          <w:rFonts w:ascii="Arial" w:hAnsi="Arial" w:cs="Arial"/>
        </w:rPr>
        <w:t xml:space="preserve">on </w:t>
      </w:r>
      <w:r w:rsidRPr="004D2BDE">
        <w:rPr>
          <w:rFonts w:ascii="Arial" w:hAnsi="Arial" w:cs="Arial"/>
        </w:rPr>
        <w:t xml:space="preserve">Human Rights, </w:t>
      </w:r>
      <w:r w:rsidRPr="004D2BDE">
        <w:rPr>
          <w:rFonts w:ascii="Arial" w:hAnsi="Arial" w:cs="Arial"/>
          <w:i/>
        </w:rPr>
        <w:t>Intersex Factsheet</w:t>
      </w:r>
      <w:r w:rsidRPr="004D2BDE">
        <w:rPr>
          <w:rFonts w:ascii="Arial" w:hAnsi="Arial" w:cs="Arial"/>
        </w:rPr>
        <w:t xml:space="preserve">, 4 September 2015. At:  </w:t>
      </w:r>
      <w:hyperlink r:id="rId12" w:history="1">
        <w:r w:rsidRPr="004D2BDE">
          <w:rPr>
            <w:rStyle w:val="Hyperlink"/>
            <w:rFonts w:ascii="Arial" w:hAnsi="Arial" w:cs="Arial"/>
          </w:rPr>
          <w:t>http://www.ohchr.org/Documents/Issues/Discrimination/LGBT/FactSheets/UNFE_FactSheet_Intersex_EN.pdf</w:t>
        </w:r>
      </w:hyperlink>
      <w:r w:rsidRPr="004D2BDE">
        <w:rPr>
          <w:rFonts w:ascii="Arial" w:hAnsi="Arial" w:cs="Arial"/>
        </w:rPr>
        <w:t xml:space="preserve"> (Accessed 7 July 2017).</w:t>
      </w:r>
    </w:p>
  </w:endnote>
  <w:endnote w:id="20">
    <w:p w14:paraId="1CEB40F7" w14:textId="77777777" w:rsidR="00C9464D" w:rsidRPr="004D2BDE" w:rsidRDefault="00C9464D"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Australian Human Rights Commission Act 1986 </w:t>
      </w:r>
      <w:r w:rsidRPr="004D2BDE">
        <w:rPr>
          <w:rFonts w:ascii="Arial" w:hAnsi="Arial" w:cs="Arial"/>
        </w:rPr>
        <w:t>(</w:t>
      </w:r>
      <w:proofErr w:type="spellStart"/>
      <w:r w:rsidRPr="004D2BDE">
        <w:rPr>
          <w:rFonts w:ascii="Arial" w:hAnsi="Arial" w:cs="Arial"/>
        </w:rPr>
        <w:t>Cth</w:t>
      </w:r>
      <w:proofErr w:type="spellEnd"/>
      <w:r w:rsidRPr="004D2BDE">
        <w:rPr>
          <w:rFonts w:ascii="Arial" w:hAnsi="Arial" w:cs="Arial"/>
        </w:rPr>
        <w:t>) s 11(1</w:t>
      </w:r>
      <w:proofErr w:type="gramStart"/>
      <w:r w:rsidRPr="004D2BDE">
        <w:rPr>
          <w:rFonts w:ascii="Arial" w:hAnsi="Arial" w:cs="Arial"/>
        </w:rPr>
        <w:t>)(</w:t>
      </w:r>
      <w:proofErr w:type="gramEnd"/>
      <w:r w:rsidRPr="004D2BDE">
        <w:rPr>
          <w:rFonts w:ascii="Arial" w:hAnsi="Arial" w:cs="Arial"/>
        </w:rPr>
        <w:t>k).</w:t>
      </w:r>
    </w:p>
  </w:endnote>
  <w:endnote w:id="21">
    <w:p w14:paraId="0827FB1B" w14:textId="77777777" w:rsidR="00C9464D" w:rsidRPr="004D2BDE" w:rsidRDefault="00C9464D"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Sex Discrimination Act 1984 </w:t>
      </w:r>
      <w:r w:rsidRPr="004D2BDE">
        <w:rPr>
          <w:rFonts w:ascii="Arial" w:hAnsi="Arial" w:cs="Arial"/>
        </w:rPr>
        <w:t>(</w:t>
      </w:r>
      <w:proofErr w:type="spellStart"/>
      <w:r w:rsidRPr="004D2BDE">
        <w:rPr>
          <w:rFonts w:ascii="Arial" w:hAnsi="Arial" w:cs="Arial"/>
        </w:rPr>
        <w:t>Cth</w:t>
      </w:r>
      <w:proofErr w:type="spellEnd"/>
      <w:r w:rsidRPr="004D2BDE">
        <w:rPr>
          <w:rFonts w:ascii="Arial" w:hAnsi="Arial" w:cs="Arial"/>
        </w:rPr>
        <w:t>) s 5AC.</w:t>
      </w:r>
    </w:p>
  </w:endnote>
  <w:endnote w:id="22">
    <w:p w14:paraId="00D8F734" w14:textId="77777777" w:rsidR="00C9464D" w:rsidRPr="004D2BDE" w:rsidRDefault="00C9464D" w:rsidP="001E763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Sex Discrimination Act 1984 </w:t>
      </w:r>
      <w:r w:rsidRPr="004D2BDE">
        <w:rPr>
          <w:rFonts w:ascii="Arial" w:hAnsi="Arial" w:cs="Arial"/>
        </w:rPr>
        <w:t>(</w:t>
      </w:r>
      <w:proofErr w:type="spellStart"/>
      <w:r w:rsidRPr="004D2BDE">
        <w:rPr>
          <w:rFonts w:ascii="Arial" w:hAnsi="Arial" w:cs="Arial"/>
        </w:rPr>
        <w:t>Cth</w:t>
      </w:r>
      <w:proofErr w:type="spellEnd"/>
      <w:r w:rsidRPr="004D2BDE">
        <w:rPr>
          <w:rFonts w:ascii="Arial" w:hAnsi="Arial" w:cs="Arial"/>
        </w:rPr>
        <w:t>) s 48(g).</w:t>
      </w:r>
    </w:p>
  </w:endnote>
  <w:endnote w:id="23">
    <w:p w14:paraId="099C8303" w14:textId="6BE5686A"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2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149; Disorder of Sex Development multidisciplinary team Royal Children</w:t>
      </w:r>
      <w:r>
        <w:rPr>
          <w:rFonts w:ascii="Arial" w:hAnsi="Arial" w:cs="Arial"/>
        </w:rPr>
        <w:t>’</w:t>
      </w:r>
      <w:r w:rsidRPr="004D2BDE">
        <w:rPr>
          <w:rFonts w:ascii="Arial" w:hAnsi="Arial" w:cs="Arial"/>
        </w:rPr>
        <w:t xml:space="preserve">s Hospital Melbourne, Submission No 92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xml:space="preserve">, 10 July 2013, 1–8; Organisation Intersex International Australia, Submission No 23.3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xml:space="preserve">, 30 June 2013, 6; Tiffany Jones et al, </w:t>
      </w:r>
      <w:r w:rsidRPr="004D2BDE">
        <w:rPr>
          <w:rFonts w:ascii="Arial" w:hAnsi="Arial" w:cs="Arial"/>
          <w:i/>
        </w:rPr>
        <w:t>Intersex: stories and statistics from Australia</w:t>
      </w:r>
      <w:r w:rsidRPr="004D2BDE">
        <w:rPr>
          <w:rFonts w:ascii="Arial" w:hAnsi="Arial" w:cs="Arial"/>
        </w:rPr>
        <w:t xml:space="preserve"> (Open Book Publishers, 2016) 59</w:t>
      </w:r>
      <w:r w:rsidRPr="004D2BDE">
        <w:rPr>
          <w:rFonts w:ascii="Arial" w:hAnsi="Arial" w:cs="Arial"/>
          <w:color w:val="333333"/>
          <w:shd w:val="clear" w:color="auto" w:fill="FFFFFF"/>
        </w:rPr>
        <w:t>–</w:t>
      </w:r>
      <w:r w:rsidRPr="004D2BDE">
        <w:rPr>
          <w:rFonts w:ascii="Arial" w:hAnsi="Arial" w:cs="Arial"/>
        </w:rPr>
        <w:t>60.</w:t>
      </w:r>
      <w:proofErr w:type="gramEnd"/>
    </w:p>
  </w:endnote>
  <w:endnote w:id="24">
    <w:p w14:paraId="6C5810F6" w14:textId="414A6BDD"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{"citationID":"aJTeJFV6","properties":{"formattedCitation":"{\\rtf IA Hughes et al, \\uc0\\u8216{}Consensus Statement on Management of Intersex Disorders\\uc0\\u8217{} (2006) 2 {\\i{}Journal of Pediatric Urology} 148; Vic Government (Department of Health), \\uc0\\u8216{}Decision-Making Principles for the Care of Infants, Children and Adolescents with Intersex Conditions\\uc0\\u8217{}.}","plainCitation":"IA Hughes et al, ‘Consensus Statement on Management of Intersex Disorders’ (2006) 2 Journal of Pediatric Urology 148; Vic Government (Department of Health), ‘Decision-Making Principles for the Care of Infants, Children and Adolescents with Intersex Conditions’."},"citationItems":[{"id":249,"uris":["http://zotero.org/users/4317530/items/ACGC5RJK"],"uri":["http://zotero.org/users/4317530/items/ACGC5RJK"],"itemData":{"id":249,"type":"article-journal","title":"Consensus Statement on Management of intersex disorders","container-title":"Journal of Pediatric Urology","page":"148-162","volume":"2","DOI":"10.1016/j.jpurol.2006.03.004","author":[{"family":"Hughes","given":"I.A."},{"family":"Houk","given":"C"},{"family":"Ahmed","given":"S.F."},{"family":"Lee","given":"P.A."},{"family":"LWPES/ESPE Group","given":""}],"issued":{"date-parts":[["2006",5,23]]}}},{"id":454,"uris":["http://zotero.org/users/4317530/items/P4MDTIVS"],"uri":["http://zotero.org/users/4317530/items/P4MDTIVS"],"itemData":{"id":454,"type":"article","title":"Decision-making principles for the care of infants, children and adolescents with intersex conditions","author":[{"family":"Vic Government (Department of Health)","given":""}],"issued":{"date-parts":[["2013",2]]}}}],"schema":"https://github.com/citation-style-language/schema/raw/master/csl-citation.json"}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2 </w:t>
      </w:r>
      <w:r w:rsidRPr="004D2BDE">
        <w:rPr>
          <w:rFonts w:ascii="Arial" w:hAnsi="Arial" w:cs="Arial"/>
          <w:i/>
        </w:rPr>
        <w:t xml:space="preserve">Journal of Pediatric Urology </w:t>
      </w:r>
      <w:r w:rsidRPr="004D2BDE">
        <w:rPr>
          <w:rFonts w:ascii="Arial" w:hAnsi="Arial" w:cs="Arial"/>
        </w:rPr>
        <w:t xml:space="preserve">148, 149;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2; Tiffany Jones et al, </w:t>
      </w:r>
      <w:r w:rsidRPr="004D2BDE">
        <w:rPr>
          <w:rFonts w:ascii="Arial" w:hAnsi="Arial" w:cs="Arial"/>
          <w:i/>
        </w:rPr>
        <w:t>Intersex: stories and statistics from Australia</w:t>
      </w:r>
      <w:r w:rsidRPr="004D2BDE">
        <w:rPr>
          <w:rFonts w:ascii="Arial" w:hAnsi="Arial" w:cs="Arial"/>
        </w:rPr>
        <w:t xml:space="preserve"> (Open Book Publishers, 2016) 95</w:t>
      </w:r>
      <w:r w:rsidRPr="004D2BDE">
        <w:rPr>
          <w:rFonts w:ascii="Arial" w:hAnsi="Arial" w:cs="Arial"/>
          <w:color w:val="333333"/>
          <w:shd w:val="clear" w:color="auto" w:fill="FFFFFF"/>
        </w:rPr>
        <w:t>–</w:t>
      </w:r>
      <w:r w:rsidRPr="004D2BDE">
        <w:rPr>
          <w:rFonts w:ascii="Arial" w:hAnsi="Arial" w:cs="Arial"/>
        </w:rPr>
        <w:t>96.</w:t>
      </w:r>
      <w:r w:rsidRPr="004D2BDE">
        <w:rPr>
          <w:rFonts w:ascii="Arial" w:hAnsi="Arial" w:cs="Arial"/>
        </w:rPr>
        <w:fldChar w:fldCharType="end"/>
      </w:r>
      <w:r w:rsidRPr="004D2BDE">
        <w:rPr>
          <w:rFonts w:ascii="Arial" w:hAnsi="Arial" w:cs="Arial"/>
        </w:rPr>
        <w:t xml:space="preserve"> </w:t>
      </w:r>
    </w:p>
  </w:endnote>
  <w:endnote w:id="25">
    <w:p w14:paraId="3599BED0" w14:textId="77777777"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{"citationID":"IzmsLdBS","properties":{"formattedCitation":"{\\rtf OII, {\\i{}Public Statement by the Third International Intersex Forum} (1 December 2013) &lt;http://oii.org.au/24241/public-statement-by-the-third-international-intersex-forum/&gt;; UN OHCHR, \\uc0\\u8216{}UN Intersex Fact Sheet: Free and Equal Campaign\\uc0\\u8217{}.}","plainCitation":"OII, Public Statement by the Third International Intersex Forum (1 December 2013) &lt;http://oii.org.au/24241/public-statement-by-the-third-international-intersex-forum/&gt;; UN OHCHR, ‘UN Intersex Fact Sheet: Free and Equal Campaign’."},"citationItems":[{"id":457,"uris":["http://zotero.org/users/4317530/items/N8HQ66KP"],"uri":["http://zotero.org/users/4317530/items/N8HQ66KP"],"itemData":{"id":457,"type":"webpage","title":"Public statement by the Third International Intersex Forum","URL":"http://oii.org.au/24241/public-statement-by-the-third-international-intersex-forum/","author":[{"family":"OII","given":""}],"issued":{"date-parts":[["2013",12,1]]}}},{"id":269,"uris":["http://zotero.org/users/4317530/items/C4AZJTF6"],"uri":["http://zotero.org/users/4317530/items/C4AZJTF6"],"itemData":{"id":269,"type":"article","title":"UN Intersex fact sheet: Free and equal campaign","author":[{"family":"UN OHCHR","given":""}],"issued":{"date-parts":[["2015",9]]}}}],"schema":"https://github.com/citation-style-language/schema/raw/master/csl-citation.json"}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Organisation Intersex International Australia, </w:t>
      </w:r>
      <w:r w:rsidRPr="004D2BDE">
        <w:rPr>
          <w:rFonts w:ascii="Arial" w:hAnsi="Arial" w:cs="Arial"/>
          <w:i/>
          <w:iCs/>
        </w:rPr>
        <w:t>Public Statement by the Third International Intersex Forum</w:t>
      </w:r>
      <w:r w:rsidRPr="004D2BDE">
        <w:rPr>
          <w:rFonts w:ascii="Arial" w:hAnsi="Arial" w:cs="Arial"/>
        </w:rPr>
        <w:t xml:space="preserve"> (1 December 2013). At http://oii.org.au/24241/public-statement-by-the-third-international-intersex-forum/ (accessed 17 January 2018);</w:t>
      </w:r>
      <w:r w:rsidRPr="004D2BDE">
        <w:rPr>
          <w:rFonts w:ascii="Arial" w:hAnsi="Arial" w:cs="Arial"/>
        </w:rPr>
        <w:fldChar w:fldCharType="end"/>
      </w:r>
      <w:r w:rsidRPr="004D2BDE">
        <w:rPr>
          <w:rFonts w:ascii="Arial" w:hAnsi="Arial" w:cs="Arial"/>
        </w:rPr>
        <w:t xml:space="preserve"> Office of the United Nations High Commissioner for Human Rights, </w:t>
      </w:r>
      <w:r w:rsidRPr="004D2BDE">
        <w:rPr>
          <w:rFonts w:ascii="Arial" w:hAnsi="Arial" w:cs="Arial"/>
          <w:i/>
        </w:rPr>
        <w:t>Free &amp; Equal campaign: Intersex Fact Sheet</w:t>
      </w:r>
      <w:r w:rsidRPr="004D2BDE">
        <w:rPr>
          <w:rFonts w:ascii="Arial" w:hAnsi="Arial" w:cs="Arial"/>
        </w:rPr>
        <w:t xml:space="preserve"> (5 September 2015). At </w:t>
      </w:r>
      <w:hyperlink r:id="rId13" w:history="1">
        <w:r w:rsidRPr="004D2BDE">
          <w:rPr>
            <w:rStyle w:val="Hyperlink"/>
            <w:rFonts w:ascii="Arial" w:hAnsi="Arial" w:cs="Arial"/>
          </w:rPr>
          <w:t>https://unfe.org/system/unfe-65-Intersex_Factsheet_ENGLISH.pdf</w:t>
        </w:r>
      </w:hyperlink>
      <w:r w:rsidRPr="004D2BDE">
        <w:rPr>
          <w:rFonts w:ascii="Arial" w:hAnsi="Arial" w:cs="Arial"/>
        </w:rPr>
        <w:t xml:space="preserve"> (accessed 18 January 2018).</w:t>
      </w:r>
    </w:p>
  </w:endnote>
  <w:endnote w:id="26">
    <w:p w14:paraId="459898B2" w14:textId="77777777"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12 and 70; Organisation Intersex International Australia, Submission No 23.4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xml:space="preserve">, 29 August 2013, 1; Organisation Intersex International Australia, Black et al, </w:t>
      </w:r>
      <w:r w:rsidRPr="004D2BDE">
        <w:rPr>
          <w:rFonts w:ascii="Arial" w:hAnsi="Arial" w:cs="Arial"/>
          <w:i/>
        </w:rPr>
        <w:t>Darlington Statement</w:t>
      </w:r>
      <w:r w:rsidRPr="004D2BDE">
        <w:rPr>
          <w:rFonts w:ascii="Arial" w:hAnsi="Arial" w:cs="Arial"/>
        </w:rPr>
        <w:t xml:space="preserve"> (10 March 2017) [3]. At </w:t>
      </w:r>
      <w:hyperlink r:id="rId14"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27">
    <w:p w14:paraId="3A30C005" w14:textId="54B0561A"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w:t>
      </w:r>
    </w:p>
  </w:endnote>
  <w:endnote w:id="28">
    <w:p w14:paraId="33EDEF02" w14:textId="4F9B4D7E"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 xml:space="preserve">148, 149–150; </w:t>
      </w:r>
      <w:proofErr w:type="spellStart"/>
      <w:r w:rsidRPr="004D2BDE">
        <w:rPr>
          <w:rFonts w:ascii="Arial" w:hAnsi="Arial" w:cs="Arial"/>
        </w:rPr>
        <w:t>Georgiann</w:t>
      </w:r>
      <w:proofErr w:type="spellEnd"/>
      <w:r w:rsidRPr="004D2BDE">
        <w:rPr>
          <w:rFonts w:ascii="Arial" w:hAnsi="Arial" w:cs="Arial"/>
        </w:rPr>
        <w:t xml:space="preserve"> Davis, </w:t>
      </w:r>
      <w:r w:rsidRPr="004D2BDE">
        <w:rPr>
          <w:rFonts w:ascii="Arial" w:hAnsi="Arial" w:cs="Arial"/>
          <w:i/>
        </w:rPr>
        <w:t>Contesting Intersex: The Dubious Diagnosis</w:t>
      </w:r>
      <w:r w:rsidRPr="004D2BDE">
        <w:rPr>
          <w:rFonts w:ascii="Arial" w:hAnsi="Arial" w:cs="Arial"/>
        </w:rPr>
        <w:t xml:space="preserve"> (New York University Press, 2015) 46. </w:t>
      </w:r>
    </w:p>
  </w:endnote>
  <w:endnote w:id="29">
    <w:p w14:paraId="3F7E292E" w14:textId="09E4BFB4"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148, 149.</w:t>
      </w:r>
    </w:p>
  </w:endnote>
  <w:endnote w:id="30">
    <w:p w14:paraId="4F8911E9" w14:textId="316E9A84"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158, 159.</w:t>
      </w:r>
    </w:p>
  </w:endnote>
  <w:endnote w:id="31">
    <w:p w14:paraId="622D7CE0" w14:textId="34ACE163"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M Carpenter &amp; M Cabral (</w:t>
      </w:r>
      <w:proofErr w:type="spellStart"/>
      <w:proofErr w:type="gramStart"/>
      <w:r w:rsidRPr="004D2BDE">
        <w:rPr>
          <w:rFonts w:ascii="Arial" w:hAnsi="Arial" w:cs="Arial"/>
        </w:rPr>
        <w:t>eds</w:t>
      </w:r>
      <w:proofErr w:type="spellEnd"/>
      <w:proofErr w:type="gramEnd"/>
      <w:r w:rsidRPr="004D2BDE">
        <w:rPr>
          <w:rFonts w:ascii="Arial" w:hAnsi="Arial" w:cs="Arial"/>
        </w:rPr>
        <w:t xml:space="preserve">), </w:t>
      </w:r>
      <w:r w:rsidRPr="004D2BDE">
        <w:rPr>
          <w:rFonts w:ascii="Arial" w:hAnsi="Arial" w:cs="Arial"/>
          <w:i/>
        </w:rPr>
        <w:t xml:space="preserve">Intersex Issues in the International Classification of Diseases: A Revision </w:t>
      </w:r>
      <w:r w:rsidRPr="004D2BDE">
        <w:rPr>
          <w:rFonts w:ascii="Arial" w:hAnsi="Arial" w:cs="Arial"/>
        </w:rPr>
        <w:t xml:space="preserve">(2015). At </w:t>
      </w:r>
      <w:hyperlink r:id="rId15" w:history="1">
        <w:r w:rsidRPr="004D2BDE">
          <w:rPr>
            <w:rStyle w:val="Hyperlink"/>
            <w:rFonts w:ascii="Arial" w:hAnsi="Arial" w:cs="Arial"/>
          </w:rPr>
          <w:t>https://globaltransaction.files.wordpress.com/2015/10/intersex-issues-in-the-icd.pdf</w:t>
        </w:r>
      </w:hyperlink>
      <w:r w:rsidRPr="004D2BDE">
        <w:rPr>
          <w:rFonts w:ascii="Arial" w:hAnsi="Arial" w:cs="Arial"/>
        </w:rPr>
        <w:t xml:space="preserve"> (accessed 17</w:t>
      </w:r>
      <w:r>
        <w:rPr>
          <w:rFonts w:ascii="Arial" w:hAnsi="Arial" w:cs="Arial"/>
        </w:rPr>
        <w:t> </w:t>
      </w:r>
      <w:r w:rsidRPr="004D2BDE">
        <w:rPr>
          <w:rFonts w:ascii="Arial" w:hAnsi="Arial" w:cs="Arial"/>
        </w:rPr>
        <w:t>January 2018)</w:t>
      </w:r>
      <w:proofErr w:type="gramStart"/>
      <w:r w:rsidRPr="004D2BDE">
        <w:rPr>
          <w:rFonts w:ascii="Arial" w:hAnsi="Arial" w:cs="Arial"/>
        </w:rPr>
        <w:t>;</w:t>
      </w:r>
      <w:proofErr w:type="gramEnd"/>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21.</w:t>
      </w:r>
    </w:p>
  </w:endnote>
  <w:endnote w:id="32">
    <w:p w14:paraId="28498502" w14:textId="77777777" w:rsidR="00C9464D" w:rsidRPr="004D2BDE" w:rsidRDefault="00C9464D" w:rsidP="004C439C">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(October 2013) 27 [2.20].</w:t>
      </w:r>
    </w:p>
  </w:endnote>
  <w:endnote w:id="33">
    <w:p w14:paraId="15C8143A" w14:textId="4C121018"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95</w:t>
      </w:r>
      <w:r w:rsidRPr="004D2BDE">
        <w:rPr>
          <w:rFonts w:ascii="Arial" w:hAnsi="Arial" w:cs="Arial"/>
          <w:color w:val="333333"/>
          <w:shd w:val="clear" w:color="auto" w:fill="FFFFFF"/>
        </w:rPr>
        <w:t>–97.</w:t>
      </w:r>
    </w:p>
  </w:endnote>
  <w:endnote w:id="34">
    <w:p w14:paraId="321B3521" w14:textId="77777777" w:rsidR="00C9464D" w:rsidRPr="004D2BDE" w:rsidRDefault="00C9464D"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 7; </w:t>
      </w:r>
      <w:r w:rsidRPr="004D2BDE">
        <w:rPr>
          <w:rFonts w:ascii="Arial" w:hAnsi="Arial" w:cs="Arial"/>
          <w:i/>
        </w:rPr>
        <w:t>Convention Against Torture and Other Cruel, Inhuman or Degrading Treatment or Punishment</w:t>
      </w:r>
      <w:r w:rsidRPr="004D2BDE">
        <w:rPr>
          <w:rFonts w:ascii="Arial" w:hAnsi="Arial" w:cs="Arial"/>
        </w:rPr>
        <w:t xml:space="preserve">, opened for signature 10 December 1984, 1465 UNTS 85 (entered into force 26 June 1987) art 2(1);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37(a);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 5.</w:t>
      </w:r>
      <w:proofErr w:type="gramEnd"/>
      <w:r w:rsidRPr="004D2BDE">
        <w:rPr>
          <w:rFonts w:ascii="Arial" w:hAnsi="Arial" w:cs="Arial"/>
        </w:rPr>
        <w:t xml:space="preserve"> </w:t>
      </w:r>
    </w:p>
  </w:endnote>
  <w:endnote w:id="35">
    <w:p w14:paraId="0FCB3982" w14:textId="77777777" w:rsidR="00C9464D" w:rsidRPr="004D2BDE" w:rsidRDefault="00C9464D"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 9(1);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 3.</w:t>
      </w:r>
    </w:p>
  </w:endnote>
  <w:endnote w:id="36">
    <w:p w14:paraId="3BACFC33" w14:textId="5BC9CD61" w:rsidR="00C9464D" w:rsidRPr="004D2BDE" w:rsidRDefault="00C9464D" w:rsidP="004A6CE4">
      <w:pPr>
        <w:pStyle w:val="EndnoteText"/>
        <w:rPr>
          <w:rFonts w:ascii="Arial" w:hAnsi="Arial" w:cs="Arial"/>
          <w:iCs/>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iCs/>
        </w:rPr>
        <w:t>International Covenant on Economic, Social and Cultural Rights</w:t>
      </w:r>
      <w:r w:rsidRPr="004D2BDE">
        <w:rPr>
          <w:rFonts w:ascii="Arial" w:hAnsi="Arial" w:cs="Arial"/>
          <w:iCs/>
        </w:rPr>
        <w:t xml:space="preserve">, opened for signature 16 December 1966, 993 UNTS 3 (entered into force 3 January 1976) art 12(1);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24;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w:t>
      </w:r>
      <w:r>
        <w:rPr>
          <w:rFonts w:ascii="Arial" w:hAnsi="Arial" w:cs="Arial"/>
        </w:rPr>
        <w:t> </w:t>
      </w:r>
      <w:r w:rsidRPr="004D2BDE">
        <w:rPr>
          <w:rFonts w:ascii="Arial" w:hAnsi="Arial" w:cs="Arial"/>
        </w:rPr>
        <w:t xml:space="preserve">December 1948) art 25(1);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25.</w:t>
      </w:r>
      <w:proofErr w:type="gramEnd"/>
    </w:p>
  </w:endnote>
  <w:endnote w:id="37">
    <w:p w14:paraId="5061731A" w14:textId="7C36974E"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 xml:space="preserve">opened for signature 30 March 2007, 2515 UNTS 3 (entered into force 3 May 2008) art 16; </w:t>
      </w:r>
      <w:r w:rsidRPr="004D2BDE">
        <w:rPr>
          <w:rFonts w:ascii="Arial" w:hAnsi="Arial" w:cs="Arial"/>
          <w:i/>
        </w:rPr>
        <w:t xml:space="preserve"> Convention on the Rights of the Child</w:t>
      </w:r>
      <w:r w:rsidRPr="004D2BDE">
        <w:rPr>
          <w:rFonts w:ascii="Arial" w:hAnsi="Arial" w:cs="Arial"/>
        </w:rPr>
        <w:t>, opened for signature 20 November 1989, 1577 UNTS 3 (entered into force 2 September 1990) art 19.</w:t>
      </w:r>
    </w:p>
  </w:endnote>
  <w:endnote w:id="38">
    <w:p w14:paraId="23344924" w14:textId="002AA7E7" w:rsidR="00C9464D" w:rsidRPr="004D2BDE" w:rsidRDefault="00C9464D"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arts 2(1), 3, 24(1) and 26; </w:t>
      </w:r>
      <w:r w:rsidRPr="004D2BDE">
        <w:rPr>
          <w:rFonts w:ascii="Arial" w:hAnsi="Arial" w:cs="Arial"/>
          <w:i/>
          <w:iCs/>
        </w:rPr>
        <w:t>International Covenant on Economic, Social and Cultural Rights</w:t>
      </w:r>
      <w:r w:rsidRPr="004D2BDE">
        <w:rPr>
          <w:rFonts w:ascii="Arial" w:hAnsi="Arial" w:cs="Arial"/>
          <w:iCs/>
        </w:rPr>
        <w:t>, opened for signature 16 December 1966, 993 UNTS 3 (entered into force 3</w:t>
      </w:r>
      <w:r>
        <w:rPr>
          <w:rFonts w:ascii="Arial" w:hAnsi="Arial" w:cs="Arial"/>
          <w:iCs/>
        </w:rPr>
        <w:t> </w:t>
      </w:r>
      <w:r w:rsidRPr="004D2BDE">
        <w:rPr>
          <w:rFonts w:ascii="Arial" w:hAnsi="Arial" w:cs="Arial"/>
          <w:iCs/>
        </w:rPr>
        <w:t xml:space="preserve">January 1976) art 2;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2(1);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arts 2 and 7.</w:t>
      </w:r>
      <w:proofErr w:type="gramEnd"/>
    </w:p>
  </w:endnote>
  <w:endnote w:id="39">
    <w:p w14:paraId="1FA00D2E" w14:textId="1202E118" w:rsidR="00C9464D" w:rsidRPr="004D2BDE" w:rsidRDefault="00C9464D"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16(1); </w:t>
      </w:r>
      <w:r w:rsidRPr="004D2BDE">
        <w:rPr>
          <w:rFonts w:ascii="Arial" w:hAnsi="Arial" w:cs="Arial"/>
          <w:i/>
        </w:rPr>
        <w:t>International Covenant on Civil and Political Rights</w:t>
      </w:r>
      <w:r w:rsidRPr="004D2BDE">
        <w:rPr>
          <w:rFonts w:ascii="Arial" w:hAnsi="Arial" w:cs="Arial"/>
        </w:rPr>
        <w:t xml:space="preserve">, opened for signature 16 December 1966, 999 UNTS 171 (entered into force 23 March 1976) art 17(1);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w:t>
      </w:r>
      <w:r>
        <w:rPr>
          <w:rFonts w:ascii="Arial" w:hAnsi="Arial" w:cs="Arial"/>
        </w:rPr>
        <w:t> </w:t>
      </w:r>
      <w:r w:rsidRPr="004D2BDE">
        <w:rPr>
          <w:rFonts w:ascii="Arial" w:hAnsi="Arial" w:cs="Arial"/>
        </w:rPr>
        <w:t>December 1948) art 12.</w:t>
      </w:r>
      <w:proofErr w:type="gramEnd"/>
    </w:p>
  </w:endnote>
  <w:endnote w:id="40">
    <w:p w14:paraId="0C9BC0F9" w14:textId="77777777" w:rsidR="00C9464D" w:rsidRPr="004D2BDE" w:rsidRDefault="00C9464D" w:rsidP="004A6CE4">
      <w:pPr>
        <w:pStyle w:val="EndnoteText"/>
        <w:rPr>
          <w:rFonts w:ascii="Arial" w:hAnsi="Arial" w:cs="Arial"/>
        </w:rPr>
      </w:pPr>
      <w:r w:rsidRPr="004D2BDE">
        <w:rPr>
          <w:rStyle w:val="EndnoteReference"/>
          <w:rFonts w:eastAsia="MS Mincho" w:cs="Arial"/>
        </w:rPr>
        <w:endnoteRef/>
      </w:r>
      <w:r w:rsidRPr="004D2BDE">
        <w:rPr>
          <w:rFonts w:ascii="Arial" w:hAnsi="Arial" w:cs="Arial"/>
        </w:rPr>
        <w:t xml:space="preserve"> </w:t>
      </w:r>
      <w:r w:rsidRPr="004D2BDE">
        <w:rPr>
          <w:rFonts w:ascii="Arial" w:eastAsia="MS Mincho" w:hAnsi="Arial" w:cs="Arial"/>
          <w:i/>
        </w:rPr>
        <w:t>International Covenant on Civil and Political Rights</w:t>
      </w:r>
      <w:r w:rsidRPr="004D2BDE">
        <w:rPr>
          <w:rFonts w:ascii="Arial" w:eastAsia="MS Mincho" w:hAnsi="Arial" w:cs="Arial"/>
        </w:rPr>
        <w:t xml:space="preserve">, opened for signature 16 December 1966, 999 UNTS 171 (entered into force 23 March 1976) art 17(2);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17.</w:t>
      </w:r>
    </w:p>
  </w:endnote>
  <w:endnote w:id="41">
    <w:p w14:paraId="759183FE" w14:textId="77777777" w:rsidR="00C9464D" w:rsidRPr="004D2BDE" w:rsidRDefault="00C9464D"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eastAsia="MS Mincho" w:hAnsi="Arial" w:cs="Arial"/>
          <w:i/>
        </w:rPr>
        <w:t>International Covenant on Civil and Political Rights</w:t>
      </w:r>
      <w:r w:rsidRPr="004D2BDE">
        <w:rPr>
          <w:rFonts w:ascii="Arial" w:eastAsia="MS Mincho" w:hAnsi="Arial" w:cs="Arial"/>
        </w:rPr>
        <w:t xml:space="preserve">, opened for signature 16 December 1966, 999 UNTS 171 (entered into force 23 March 1976) art 23(2); </w:t>
      </w:r>
      <w:r w:rsidRPr="004D2BDE">
        <w:rPr>
          <w:rFonts w:ascii="Arial" w:hAnsi="Arial" w:cs="Arial"/>
          <w:i/>
        </w:rPr>
        <w:t>Universal Declaration of Human Rights</w:t>
      </w:r>
      <w:r w:rsidRPr="004D2BDE">
        <w:rPr>
          <w:rFonts w:ascii="Arial" w:hAnsi="Arial" w:cs="Arial"/>
        </w:rPr>
        <w:t>, GA Res 217A (III), UN GAOR, 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183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plen</w:t>
      </w:r>
      <w:proofErr w:type="spellEnd"/>
      <w:r w:rsidRPr="004D2BDE">
        <w:rPr>
          <w:rFonts w:ascii="Arial" w:hAnsi="Arial" w:cs="Arial"/>
        </w:rPr>
        <w:t xml:space="preserve"> </w:t>
      </w:r>
      <w:proofErr w:type="spellStart"/>
      <w:r w:rsidRPr="004D2BDE">
        <w:rPr>
          <w:rFonts w:ascii="Arial" w:hAnsi="Arial" w:cs="Arial"/>
        </w:rPr>
        <w:t>mtg</w:t>
      </w:r>
      <w:proofErr w:type="spellEnd"/>
      <w:r w:rsidRPr="004D2BDE">
        <w:rPr>
          <w:rFonts w:ascii="Arial" w:hAnsi="Arial" w:cs="Arial"/>
        </w:rPr>
        <w:t>, UN Doc A/810 (10 December 1948) art 16(1).</w:t>
      </w:r>
    </w:p>
  </w:endnote>
  <w:endnote w:id="42">
    <w:p w14:paraId="5909D33A" w14:textId="77777777" w:rsidR="00C9464D" w:rsidRPr="004D2BDE" w:rsidRDefault="00C9464D" w:rsidP="004A6CE4">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12.</w:t>
      </w:r>
    </w:p>
  </w:endnote>
  <w:endnote w:id="43">
    <w:p w14:paraId="6B01E0C7" w14:textId="77777777" w:rsidR="00C9464D" w:rsidRPr="004D2BDE" w:rsidRDefault="00C9464D" w:rsidP="004A6CE4">
      <w:pPr>
        <w:pStyle w:val="EndnoteText"/>
        <w:rPr>
          <w:rFonts w:ascii="Arial" w:hAnsi="Arial" w:cs="Arial"/>
        </w:rPr>
      </w:pPr>
      <w:r w:rsidRPr="004D2BDE">
        <w:rPr>
          <w:rFonts w:ascii="Arial" w:hAnsi="Arial" w:cs="Arial"/>
          <w:vertAlign w:val="superscript"/>
        </w:rPr>
        <w:endnoteRef/>
      </w:r>
      <w:r w:rsidRPr="004D2BDE">
        <w:rPr>
          <w:rFonts w:ascii="Arial" w:hAnsi="Arial" w:cs="Arial"/>
          <w:vertAlign w:val="superscript"/>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8.</w:t>
      </w:r>
    </w:p>
  </w:endnote>
  <w:endnote w:id="44">
    <w:p w14:paraId="5B2717B6" w14:textId="77777777" w:rsidR="00C9464D" w:rsidRPr="004D2BDE" w:rsidRDefault="00C9464D" w:rsidP="004A6CE4">
      <w:pPr>
        <w:pStyle w:val="EndnoteText"/>
        <w:rPr>
          <w:rFonts w:ascii="Arial" w:hAnsi="Arial" w:cs="Arial"/>
          <w:iCs/>
        </w:rPr>
      </w:pPr>
      <w:r w:rsidRPr="004D2BDE">
        <w:rPr>
          <w:rFonts w:ascii="Arial" w:hAnsi="Arial" w:cs="Arial"/>
          <w:vertAlign w:val="superscript"/>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xml:space="preserve">, opened for signature 20 November 1989, 1577 UNTS 3 (entered into force 2 September 1990) art 3;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7.</w:t>
      </w:r>
    </w:p>
  </w:endnote>
  <w:endnote w:id="45">
    <w:p w14:paraId="74AB3EAF" w14:textId="77777777" w:rsidR="00C9464D" w:rsidRPr="004D2BDE" w:rsidRDefault="00C9464D" w:rsidP="004A6CE4">
      <w:pPr>
        <w:pStyle w:val="EndnoteText"/>
        <w:rPr>
          <w:rFonts w:ascii="Arial" w:hAnsi="Arial" w:cs="Arial"/>
        </w:rPr>
      </w:pPr>
      <w:r w:rsidRPr="004D2BDE">
        <w:rPr>
          <w:rFonts w:ascii="Arial" w:hAnsi="Arial" w:cs="Arial"/>
          <w:vertAlign w:val="superscript"/>
        </w:rPr>
        <w:endnoteRef/>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6(2).</w:t>
      </w:r>
    </w:p>
  </w:endnote>
  <w:endnote w:id="46">
    <w:p w14:paraId="6D51BFD5" w14:textId="5B85E85B" w:rsidR="00C9464D" w:rsidRPr="004D2BDE" w:rsidRDefault="00C9464D" w:rsidP="00B24817">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Committee on the Rights of the Child, </w:t>
      </w:r>
      <w:r w:rsidRPr="004D2BDE">
        <w:rPr>
          <w:rFonts w:ascii="Arial" w:hAnsi="Arial" w:cs="Arial"/>
          <w:i/>
        </w:rPr>
        <w:t>Concluding Observations on the Combined Fourth to Fifth Periodic Reports of Chile</w:t>
      </w:r>
      <w:r w:rsidRPr="004D2BDE">
        <w:rPr>
          <w:rFonts w:ascii="Arial" w:hAnsi="Arial" w:cs="Arial"/>
        </w:rPr>
        <w:t>, UN Doc CRC/C/CHL/CO/4-5 (29 October 2015)</w:t>
      </w:r>
      <w:r w:rsidRPr="004D2BDE">
        <w:rPr>
          <w:rFonts w:ascii="Arial" w:eastAsia="Times New Roman" w:hAnsi="Arial" w:cs="Arial"/>
        </w:rPr>
        <w:t xml:space="preserve"> [48]</w:t>
      </w:r>
      <w:r w:rsidRPr="004D2BDE">
        <w:rPr>
          <w:rFonts w:ascii="Arial" w:hAnsi="Arial" w:cs="Arial"/>
          <w:iCs/>
        </w:rPr>
        <w:t>–[</w:t>
      </w:r>
      <w:r w:rsidRPr="004D2BDE">
        <w:rPr>
          <w:rFonts w:ascii="Arial" w:eastAsia="Times New Roman" w:hAnsi="Arial" w:cs="Arial"/>
        </w:rPr>
        <w:t>49]</w:t>
      </w:r>
      <w:r w:rsidRPr="004D2BDE">
        <w:rPr>
          <w:rFonts w:ascii="Arial" w:hAnsi="Arial" w:cs="Arial"/>
        </w:rPr>
        <w:t xml:space="preserve">; </w:t>
      </w:r>
      <w:r w:rsidRPr="004D2BDE">
        <w:rPr>
          <w:rFonts w:ascii="Arial" w:eastAsia="Times New Roman" w:hAnsi="Arial" w:cs="Arial"/>
        </w:rPr>
        <w:t xml:space="preserve">Committee on Rights of Persons with Disabilities, </w:t>
      </w:r>
      <w:r w:rsidRPr="004D2BDE">
        <w:rPr>
          <w:rFonts w:ascii="Arial" w:eastAsia="Times New Roman" w:hAnsi="Arial" w:cs="Arial"/>
          <w:i/>
        </w:rPr>
        <w:t>Concluding observations on Italy</w:t>
      </w:r>
      <w:r w:rsidRPr="004D2BDE">
        <w:rPr>
          <w:rFonts w:ascii="Arial" w:eastAsia="Times New Roman" w:hAnsi="Arial" w:cs="Arial"/>
        </w:rPr>
        <w:t>, UN Doc CRPD/C/ITA/CO/1 (31 August 2016) [45]</w:t>
      </w:r>
      <w:r w:rsidRPr="004D2BDE">
        <w:rPr>
          <w:rFonts w:ascii="Arial" w:hAnsi="Arial" w:cs="Arial"/>
          <w:iCs/>
        </w:rPr>
        <w:t>–[</w:t>
      </w:r>
      <w:r w:rsidRPr="004D2BDE">
        <w:rPr>
          <w:rFonts w:ascii="Arial" w:eastAsia="Times New Roman" w:hAnsi="Arial" w:cs="Arial"/>
        </w:rPr>
        <w:t>46].</w:t>
      </w:r>
    </w:p>
  </w:endnote>
  <w:endnote w:id="47">
    <w:p w14:paraId="0E4E7898" w14:textId="2C34C6C1" w:rsidR="00C9464D" w:rsidRPr="004D2BDE" w:rsidRDefault="00C9464D" w:rsidP="00833EFF">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principles 32, 37.</w:t>
      </w:r>
    </w:p>
  </w:endnote>
  <w:endnote w:id="48">
    <w:p w14:paraId="0777CD6A" w14:textId="77777777" w:rsidR="00C9464D" w:rsidRPr="004D2BDE" w:rsidRDefault="00C9464D"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 14.</w:t>
      </w:r>
    </w:p>
  </w:endnote>
  <w:endnote w:id="49">
    <w:p w14:paraId="0B1AE5DA" w14:textId="77777777" w:rsidR="00C9464D" w:rsidRPr="004D2BDE" w:rsidRDefault="00C9464D"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 14(2)</w:t>
      </w:r>
      <w:r w:rsidRPr="004D2BDE">
        <w:rPr>
          <w:rFonts w:ascii="Arial" w:hAnsi="Arial" w:cs="Arial"/>
          <w:iCs/>
        </w:rPr>
        <w:t>–</w:t>
      </w:r>
      <w:r w:rsidRPr="004D2BDE">
        <w:rPr>
          <w:rFonts w:ascii="Arial" w:hAnsi="Arial" w:cs="Arial"/>
        </w:rPr>
        <w:t>(3).</w:t>
      </w:r>
    </w:p>
  </w:endnote>
  <w:endnote w:id="50">
    <w:p w14:paraId="6E29B58A" w14:textId="77777777" w:rsidR="00C9464D" w:rsidRPr="004D2BDE" w:rsidRDefault="00C9464D"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 14.</w:t>
      </w:r>
    </w:p>
  </w:endnote>
  <w:endnote w:id="51">
    <w:p w14:paraId="42BB446D" w14:textId="7B46DD98"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Gender Identity, Gender Expression and Sex Characteristics Act</w:t>
      </w:r>
      <w:r w:rsidRPr="004D2BDE">
        <w:rPr>
          <w:rFonts w:ascii="Arial" w:hAnsi="Arial" w:cs="Arial"/>
        </w:rPr>
        <w:t xml:space="preserve"> (Malta) Act No XI of 2015, arts 16(4) and</w:t>
      </w:r>
      <w:r>
        <w:rPr>
          <w:rFonts w:ascii="Arial" w:hAnsi="Arial" w:cs="Arial"/>
        </w:rPr>
        <w:t> </w:t>
      </w:r>
      <w:r w:rsidRPr="004D2BDE">
        <w:rPr>
          <w:rFonts w:ascii="Arial" w:hAnsi="Arial" w:cs="Arial"/>
        </w:rPr>
        <w:t>(6).</w:t>
      </w:r>
    </w:p>
  </w:endnote>
  <w:endnote w:id="52">
    <w:p w14:paraId="2F60BA6D" w14:textId="77777777" w:rsidR="00C9464D" w:rsidRPr="004D2BDE" w:rsidRDefault="00C9464D"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Circular No. 18 (Chile) 22 December 2015. At </w:t>
      </w:r>
      <w:hyperlink r:id="rId16" w:history="1">
        <w:r w:rsidRPr="004D2BDE">
          <w:rPr>
            <w:rStyle w:val="Hyperlink"/>
            <w:rFonts w:ascii="Arial" w:hAnsi="Arial" w:cs="Arial"/>
          </w:rPr>
          <w:t>https://oii.org.au/wp-content/uploads/2013/01/Circular-08-22.12.15-Instruye-Sobre-Ciertos-Aspectos-de-la-atencion-de-Salud-a-Ninos-y-Ninas-Intersex.pdf</w:t>
        </w:r>
      </w:hyperlink>
      <w:r w:rsidRPr="004D2BDE">
        <w:rPr>
          <w:rFonts w:ascii="Arial" w:hAnsi="Arial" w:cs="Arial"/>
        </w:rPr>
        <w:t xml:space="preserve">. Unofficial English translation at: </w:t>
      </w:r>
      <w:hyperlink r:id="rId17" w:history="1">
        <w:r w:rsidRPr="004D2BDE">
          <w:rPr>
            <w:rStyle w:val="Hyperlink"/>
            <w:rFonts w:ascii="Arial" w:hAnsi="Arial" w:cs="Arial"/>
          </w:rPr>
          <w:t>https://oii.org.au/30250/chilean-ministry-stops-normalising/</w:t>
        </w:r>
      </w:hyperlink>
      <w:r w:rsidRPr="004D2BDE">
        <w:rPr>
          <w:rFonts w:ascii="Arial" w:hAnsi="Arial" w:cs="Arial"/>
        </w:rPr>
        <w:t xml:space="preserve"> (accessed 18 January 2018). </w:t>
      </w:r>
    </w:p>
  </w:endnote>
  <w:endnote w:id="53">
    <w:p w14:paraId="50785809" w14:textId="77777777" w:rsidR="00C9464D" w:rsidRPr="004D2BDE" w:rsidRDefault="00C9464D"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Circular No. 7 (Chile) 23 August 2016. At </w:t>
      </w:r>
      <w:hyperlink r:id="rId18" w:history="1">
        <w:r w:rsidRPr="004D2BDE">
          <w:rPr>
            <w:rStyle w:val="Hyperlink"/>
            <w:rFonts w:ascii="Arial" w:hAnsi="Arial" w:cs="Arial"/>
          </w:rPr>
          <w:t>https://oii.org.au/wp-content/uploads/2016/01/Circular7-20160823.pdf</w:t>
        </w:r>
      </w:hyperlink>
      <w:r w:rsidRPr="004D2BDE">
        <w:rPr>
          <w:rFonts w:ascii="Arial" w:hAnsi="Arial" w:cs="Arial"/>
        </w:rPr>
        <w:t xml:space="preserve"> (accessed 18 January 2018).</w:t>
      </w:r>
    </w:p>
  </w:endnote>
  <w:endnote w:id="54">
    <w:p w14:paraId="33D628B6" w14:textId="77777777" w:rsidR="00C9464D" w:rsidRPr="004D2BDE" w:rsidRDefault="00C9464D" w:rsidP="00D217BF">
      <w:pPr>
        <w:pStyle w:val="EndnoteText"/>
        <w:rPr>
          <w:rFonts w:ascii="Arial" w:hAnsi="Arial" w:cs="Arial"/>
        </w:rPr>
      </w:pPr>
      <w:r w:rsidRPr="004D2BDE">
        <w:rPr>
          <w:rStyle w:val="EndnoteReference"/>
          <w:rFonts w:cs="Arial"/>
        </w:rPr>
        <w:endnoteRef/>
      </w:r>
      <w:r w:rsidRPr="004D2BDE">
        <w:rPr>
          <w:rFonts w:ascii="Arial" w:hAnsi="Arial" w:cs="Arial"/>
        </w:rPr>
        <w:t xml:space="preserve"> Circular No. 7 (Chile) 23 August 2016. At </w:t>
      </w:r>
      <w:hyperlink r:id="rId19" w:history="1">
        <w:r w:rsidRPr="004D2BDE">
          <w:rPr>
            <w:rStyle w:val="Hyperlink"/>
            <w:rFonts w:ascii="Arial" w:hAnsi="Arial" w:cs="Arial"/>
          </w:rPr>
          <w:t>https://oii.org.au/wp-content/uploads/2016/01/Circular7-20160823.pdf</w:t>
        </w:r>
      </w:hyperlink>
      <w:r w:rsidRPr="004D2BDE">
        <w:rPr>
          <w:rFonts w:ascii="Arial" w:hAnsi="Arial" w:cs="Arial"/>
        </w:rPr>
        <w:t xml:space="preserve"> (accessed 18 January 2018).</w:t>
      </w:r>
    </w:p>
  </w:endnote>
  <w:endnote w:id="55">
    <w:p w14:paraId="15CC88BF" w14:textId="77777777" w:rsidR="00C9464D" w:rsidRPr="004D2BDE" w:rsidRDefault="00C9464D" w:rsidP="00CB39D0">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w:t>
      </w:r>
      <w:proofErr w:type="spellStart"/>
      <w:r w:rsidRPr="004D2BDE">
        <w:rPr>
          <w:rFonts w:ascii="Arial" w:hAnsi="Arial" w:cs="Arial"/>
          <w:i/>
        </w:rPr>
        <w:t>Sentencia</w:t>
      </w:r>
      <w:proofErr w:type="spellEnd"/>
      <w:r w:rsidRPr="004D2BDE">
        <w:rPr>
          <w:rFonts w:ascii="Arial" w:hAnsi="Arial" w:cs="Arial"/>
          <w:i/>
        </w:rPr>
        <w:t xml:space="preserve"> No.T-477/95</w:t>
      </w:r>
      <w:r w:rsidRPr="004D2BDE">
        <w:rPr>
          <w:rFonts w:ascii="Arial" w:hAnsi="Arial" w:cs="Arial"/>
        </w:rPr>
        <w:t xml:space="preserve"> [1995] Corte </w:t>
      </w:r>
      <w:proofErr w:type="spellStart"/>
      <w:r w:rsidRPr="004D2BDE">
        <w:rPr>
          <w:rFonts w:ascii="Arial" w:hAnsi="Arial" w:cs="Arial"/>
        </w:rPr>
        <w:t>Constitucional</w:t>
      </w:r>
      <w:proofErr w:type="spellEnd"/>
      <w:r w:rsidRPr="004D2BDE">
        <w:rPr>
          <w:rFonts w:ascii="Arial" w:hAnsi="Arial" w:cs="Arial"/>
        </w:rPr>
        <w:t xml:space="preserve"> de Colombia [Constitutional Court of Colombia]; </w:t>
      </w:r>
      <w:proofErr w:type="spellStart"/>
      <w:r w:rsidRPr="004D2BDE">
        <w:rPr>
          <w:rFonts w:ascii="Arial" w:hAnsi="Arial" w:cs="Arial"/>
          <w:i/>
        </w:rPr>
        <w:t>Sentencia</w:t>
      </w:r>
      <w:proofErr w:type="spellEnd"/>
      <w:r w:rsidRPr="004D2BDE">
        <w:rPr>
          <w:rFonts w:ascii="Arial" w:hAnsi="Arial" w:cs="Arial"/>
          <w:i/>
        </w:rPr>
        <w:t xml:space="preserve"> No. T-551/99</w:t>
      </w:r>
      <w:r w:rsidRPr="004D2BDE">
        <w:rPr>
          <w:rFonts w:ascii="Arial" w:hAnsi="Arial" w:cs="Arial"/>
        </w:rPr>
        <w:t xml:space="preserve"> [1999] Corte </w:t>
      </w:r>
      <w:proofErr w:type="spellStart"/>
      <w:r w:rsidRPr="004D2BDE">
        <w:rPr>
          <w:rFonts w:ascii="Arial" w:hAnsi="Arial" w:cs="Arial"/>
        </w:rPr>
        <w:t>Constitucional</w:t>
      </w:r>
      <w:proofErr w:type="spellEnd"/>
      <w:r w:rsidRPr="004D2BDE">
        <w:rPr>
          <w:rFonts w:ascii="Arial" w:hAnsi="Arial" w:cs="Arial"/>
        </w:rPr>
        <w:t xml:space="preserve"> de Colombia [Constitutional Court of Colombia].</w:t>
      </w:r>
    </w:p>
  </w:endnote>
  <w:endnote w:id="56">
    <w:p w14:paraId="3E9DF2BE" w14:textId="77777777" w:rsidR="00C9464D" w:rsidRPr="004D2BDE" w:rsidRDefault="00C9464D" w:rsidP="00CB39D0">
      <w:pPr>
        <w:pStyle w:val="EndnoteText"/>
        <w:rPr>
          <w:rFonts w:ascii="Arial" w:hAnsi="Arial" w:cs="Arial"/>
        </w:rPr>
      </w:pPr>
      <w:r w:rsidRPr="004D2BDE">
        <w:rPr>
          <w:rStyle w:val="EndnoteReference"/>
          <w:rFonts w:cs="Arial"/>
        </w:rPr>
        <w:endnoteRef/>
      </w:r>
      <w:r w:rsidRPr="004D2BDE">
        <w:rPr>
          <w:rFonts w:ascii="Arial" w:hAnsi="Arial" w:cs="Arial"/>
        </w:rPr>
        <w:t xml:space="preserve"> Julie A. Greenberg and Cheryl Chase, </w:t>
      </w:r>
      <w:r w:rsidRPr="004D2BDE">
        <w:rPr>
          <w:rFonts w:ascii="Arial" w:hAnsi="Arial" w:cs="Arial"/>
          <w:i/>
        </w:rPr>
        <w:t>Background of Colombia Decisions</w:t>
      </w:r>
      <w:r w:rsidRPr="004D2BDE">
        <w:rPr>
          <w:rFonts w:ascii="Arial" w:hAnsi="Arial" w:cs="Arial"/>
        </w:rPr>
        <w:t xml:space="preserve"> (1999) Intersex Society of North America. At </w:t>
      </w:r>
      <w:hyperlink r:id="rId20" w:history="1">
        <w:r w:rsidRPr="004D2BDE">
          <w:rPr>
            <w:rStyle w:val="Hyperlink"/>
            <w:rFonts w:ascii="Arial" w:hAnsi="Arial" w:cs="Arial"/>
          </w:rPr>
          <w:t>http://www.isna.org/node/21</w:t>
        </w:r>
      </w:hyperlink>
      <w:r w:rsidRPr="004D2BDE">
        <w:rPr>
          <w:rFonts w:ascii="Arial" w:hAnsi="Arial" w:cs="Arial"/>
        </w:rPr>
        <w:t xml:space="preserve"> (accessed 18 January 2018).</w:t>
      </w:r>
    </w:p>
  </w:endnote>
  <w:endnote w:id="57">
    <w:p w14:paraId="0E7B0007" w14:textId="251C7419" w:rsidR="00C9464D" w:rsidRPr="004D2BDE" w:rsidRDefault="00C9464D" w:rsidP="00350ECE">
      <w:pPr>
        <w:pStyle w:val="EndnoteText"/>
        <w:rPr>
          <w:rFonts w:ascii="Arial" w:hAnsi="Arial" w:cs="Arial"/>
        </w:rPr>
      </w:pPr>
      <w:r w:rsidRPr="004D2BDE">
        <w:rPr>
          <w:rStyle w:val="EndnoteReference"/>
          <w:rFonts w:cs="Arial"/>
        </w:rPr>
        <w:endnoteRef/>
      </w:r>
      <w:r w:rsidRPr="004D2BDE">
        <w:rPr>
          <w:rFonts w:ascii="Arial" w:hAnsi="Arial" w:cs="Arial"/>
        </w:rPr>
        <w:t xml:space="preserve"> Morgan Holmes, </w:t>
      </w:r>
      <w:r>
        <w:rPr>
          <w:rFonts w:ascii="Arial" w:hAnsi="Arial" w:cs="Arial"/>
        </w:rPr>
        <w:t>‘</w:t>
      </w:r>
      <w:r w:rsidRPr="004D2BDE">
        <w:rPr>
          <w:rFonts w:ascii="Arial" w:hAnsi="Arial" w:cs="Arial"/>
        </w:rPr>
        <w:t>Deciding Fate or Protecting a Developing Autonomy? Intersex Children and the Colombian Constitutional Court</w:t>
      </w:r>
      <w:r>
        <w:rPr>
          <w:rFonts w:ascii="Arial" w:hAnsi="Arial" w:cs="Arial"/>
        </w:rPr>
        <w:t>’</w:t>
      </w:r>
      <w:r w:rsidRPr="004D2BDE">
        <w:rPr>
          <w:rFonts w:ascii="Arial" w:hAnsi="Arial" w:cs="Arial"/>
        </w:rPr>
        <w:t xml:space="preserve"> in Paisley </w:t>
      </w:r>
      <w:proofErr w:type="spellStart"/>
      <w:r w:rsidRPr="004D2BDE">
        <w:rPr>
          <w:rFonts w:ascii="Arial" w:hAnsi="Arial" w:cs="Arial"/>
        </w:rPr>
        <w:t>Currah</w:t>
      </w:r>
      <w:proofErr w:type="spellEnd"/>
      <w:r w:rsidRPr="004D2BDE">
        <w:rPr>
          <w:rFonts w:ascii="Arial" w:hAnsi="Arial" w:cs="Arial"/>
        </w:rPr>
        <w:t xml:space="preserve">, Richard M. </w:t>
      </w:r>
      <w:proofErr w:type="spellStart"/>
      <w:r w:rsidRPr="004D2BDE">
        <w:rPr>
          <w:rFonts w:ascii="Arial" w:hAnsi="Arial" w:cs="Arial"/>
        </w:rPr>
        <w:t>Juang</w:t>
      </w:r>
      <w:proofErr w:type="spellEnd"/>
      <w:r w:rsidRPr="004D2BDE">
        <w:rPr>
          <w:rFonts w:ascii="Arial" w:hAnsi="Arial" w:cs="Arial"/>
        </w:rPr>
        <w:t>, and Shannon Price Minter (</w:t>
      </w:r>
      <w:proofErr w:type="spellStart"/>
      <w:proofErr w:type="gramStart"/>
      <w:r w:rsidRPr="004D2BDE">
        <w:rPr>
          <w:rFonts w:ascii="Arial" w:hAnsi="Arial" w:cs="Arial"/>
        </w:rPr>
        <w:t>eds</w:t>
      </w:r>
      <w:proofErr w:type="spellEnd"/>
      <w:proofErr w:type="gramEnd"/>
      <w:r w:rsidRPr="004D2BDE">
        <w:rPr>
          <w:rFonts w:ascii="Arial" w:hAnsi="Arial" w:cs="Arial"/>
        </w:rPr>
        <w:t xml:space="preserve">), </w:t>
      </w:r>
      <w:r w:rsidRPr="004D2BDE">
        <w:rPr>
          <w:rFonts w:ascii="Arial" w:hAnsi="Arial" w:cs="Arial"/>
          <w:i/>
        </w:rPr>
        <w:t>Transgender Rights</w:t>
      </w:r>
      <w:r w:rsidRPr="004D2BDE">
        <w:rPr>
          <w:rFonts w:ascii="Arial" w:hAnsi="Arial" w:cs="Arial"/>
        </w:rPr>
        <w:t xml:space="preserve"> (University of Minnesota Press, 2006) 102, 113 and 116.</w:t>
      </w:r>
    </w:p>
  </w:endnote>
  <w:endnote w:id="58">
    <w:p w14:paraId="1EE326F9" w14:textId="77777777" w:rsidR="00C9464D" w:rsidRPr="004D2BDE" w:rsidRDefault="00C9464D" w:rsidP="00CB39D0">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See, for example, </w:t>
      </w:r>
      <w:r w:rsidRPr="004D2BDE">
        <w:rPr>
          <w:rFonts w:ascii="Arial" w:hAnsi="Arial" w:cs="Arial"/>
          <w:i/>
        </w:rPr>
        <w:t xml:space="preserve">Re </w:t>
      </w:r>
      <w:proofErr w:type="spellStart"/>
      <w:r w:rsidRPr="004D2BDE">
        <w:rPr>
          <w:rFonts w:ascii="Arial" w:hAnsi="Arial" w:cs="Arial"/>
          <w:i/>
        </w:rPr>
        <w:t>Volling</w:t>
      </w:r>
      <w:proofErr w:type="spellEnd"/>
      <w:r w:rsidRPr="004D2BDE">
        <w:rPr>
          <w:rFonts w:ascii="Arial" w:hAnsi="Arial" w:cs="Arial"/>
        </w:rPr>
        <w:t xml:space="preserve"> (6 February 2008) Regional Court of Cologne (Germany). At: </w:t>
      </w:r>
      <w:hyperlink r:id="rId21" w:history="1">
        <w:r w:rsidRPr="004D2BDE">
          <w:rPr>
            <w:rStyle w:val="Hyperlink"/>
            <w:rFonts w:ascii="Arial" w:hAnsi="Arial" w:cs="Arial"/>
          </w:rPr>
          <w:t>https://www.icj.org/wp-content/uploads/2008/02/In-re-Volling-Regional-Court-Cologne-Germany-English.pdf</w:t>
        </w:r>
      </w:hyperlink>
      <w:r w:rsidRPr="004D2BDE">
        <w:rPr>
          <w:rFonts w:ascii="Arial" w:hAnsi="Arial" w:cs="Arial"/>
        </w:rPr>
        <w:t xml:space="preserve">; </w:t>
      </w:r>
      <w:r w:rsidRPr="004D2BDE">
        <w:rPr>
          <w:rFonts w:ascii="Arial" w:hAnsi="Arial" w:cs="Arial"/>
          <w:i/>
        </w:rPr>
        <w:t xml:space="preserve">Michaela </w:t>
      </w:r>
      <w:proofErr w:type="spellStart"/>
      <w:r w:rsidRPr="004D2BDE">
        <w:rPr>
          <w:rFonts w:ascii="Arial" w:hAnsi="Arial" w:cs="Arial"/>
          <w:i/>
        </w:rPr>
        <w:t>Raab</w:t>
      </w:r>
      <w:proofErr w:type="spellEnd"/>
      <w:r w:rsidRPr="004D2BDE">
        <w:rPr>
          <w:rFonts w:ascii="Arial" w:hAnsi="Arial" w:cs="Arial"/>
          <w:i/>
        </w:rPr>
        <w:t xml:space="preserve"> and Erlangen University Clinic</w:t>
      </w:r>
      <w:r w:rsidRPr="004D2BDE">
        <w:rPr>
          <w:rFonts w:ascii="Arial" w:hAnsi="Arial" w:cs="Arial"/>
        </w:rPr>
        <w:t>, Nuremburg-Furth (17 December 2015).</w:t>
      </w:r>
    </w:p>
  </w:endnote>
  <w:endnote w:id="59">
    <w:p w14:paraId="26C8E2BA" w14:textId="02DC5665" w:rsidR="00C9464D" w:rsidRPr="004D2BDE" w:rsidRDefault="00C9464D" w:rsidP="00707806">
      <w:pPr>
        <w:pStyle w:val="EndnoteText"/>
        <w:rPr>
          <w:rFonts w:ascii="Arial" w:hAnsi="Arial" w:cs="Arial"/>
          <w:caps/>
        </w:rPr>
      </w:pPr>
      <w:r w:rsidRPr="004D2BDE">
        <w:rPr>
          <w:rStyle w:val="EndnoteReference"/>
          <w:rFonts w:cs="Arial"/>
        </w:rPr>
        <w:endnoteRef/>
      </w:r>
      <w:r w:rsidRPr="004D2BDE">
        <w:rPr>
          <w:rFonts w:ascii="Arial" w:hAnsi="Arial" w:cs="Arial"/>
        </w:rPr>
        <w:t xml:space="preserve"> See, for example, </w:t>
      </w:r>
      <w:proofErr w:type="spellStart"/>
      <w:r w:rsidRPr="004D2BDE">
        <w:rPr>
          <w:rFonts w:ascii="Arial" w:hAnsi="Arial" w:cs="Arial"/>
        </w:rPr>
        <w:t>Hida</w:t>
      </w:r>
      <w:proofErr w:type="spellEnd"/>
      <w:r w:rsidRPr="004D2BDE">
        <w:rPr>
          <w:rFonts w:ascii="Arial" w:hAnsi="Arial" w:cs="Arial"/>
        </w:rPr>
        <w:t xml:space="preserve"> Viloria, Op-ed: Germany</w:t>
      </w:r>
      <w:r>
        <w:rPr>
          <w:rFonts w:ascii="Arial" w:hAnsi="Arial" w:cs="Arial"/>
        </w:rPr>
        <w:t>’</w:t>
      </w:r>
      <w:r w:rsidRPr="004D2BDE">
        <w:rPr>
          <w:rFonts w:ascii="Arial" w:hAnsi="Arial" w:cs="Arial"/>
        </w:rPr>
        <w:t xml:space="preserve">s Third-Gender Law Fails on Equality (6 November 2013) Advocate. At </w:t>
      </w:r>
      <w:hyperlink r:id="rId22" w:history="1">
        <w:r w:rsidRPr="004D2BDE">
          <w:rPr>
            <w:rStyle w:val="Hyperlink"/>
            <w:rFonts w:ascii="Arial" w:hAnsi="Arial" w:cs="Arial"/>
          </w:rPr>
          <w:t>https://www.advocate.com/commentary/2013/11/06/op-ed-germany%E2%80%99s-third-gender-law-fails-equality</w:t>
        </w:r>
      </w:hyperlink>
      <w:r w:rsidRPr="004D2BDE">
        <w:rPr>
          <w:rFonts w:ascii="Arial" w:hAnsi="Arial" w:cs="Arial"/>
        </w:rPr>
        <w:t xml:space="preserve"> (accessed 18 January 2018); Natalia Muller, </w:t>
      </w:r>
      <w:r w:rsidRPr="004D2BDE">
        <w:rPr>
          <w:rFonts w:ascii="Arial" w:hAnsi="Arial" w:cs="Arial"/>
          <w:i/>
        </w:rPr>
        <w:t>Third sex option on birth certificates</w:t>
      </w:r>
      <w:r w:rsidRPr="004D2BDE">
        <w:rPr>
          <w:rFonts w:ascii="Arial" w:hAnsi="Arial" w:cs="Arial"/>
        </w:rPr>
        <w:t xml:space="preserve"> (1</w:t>
      </w:r>
      <w:r>
        <w:rPr>
          <w:rFonts w:ascii="Arial" w:hAnsi="Arial" w:cs="Arial"/>
        </w:rPr>
        <w:t> </w:t>
      </w:r>
      <w:r w:rsidRPr="004D2BDE">
        <w:rPr>
          <w:rFonts w:ascii="Arial" w:hAnsi="Arial" w:cs="Arial"/>
        </w:rPr>
        <w:t xml:space="preserve">November 2013) Deutsche </w:t>
      </w:r>
      <w:proofErr w:type="spellStart"/>
      <w:r w:rsidRPr="004D2BDE">
        <w:rPr>
          <w:rFonts w:ascii="Arial" w:hAnsi="Arial" w:cs="Arial"/>
        </w:rPr>
        <w:t>Welle</w:t>
      </w:r>
      <w:proofErr w:type="spellEnd"/>
      <w:r w:rsidRPr="004D2BDE">
        <w:rPr>
          <w:rFonts w:ascii="Arial" w:hAnsi="Arial" w:cs="Arial"/>
        </w:rPr>
        <w:t xml:space="preserve">. At </w:t>
      </w:r>
      <w:hyperlink r:id="rId23" w:history="1">
        <w:r w:rsidRPr="004D2BDE">
          <w:rPr>
            <w:rStyle w:val="Hyperlink"/>
            <w:rFonts w:ascii="Arial" w:hAnsi="Arial" w:cs="Arial"/>
          </w:rPr>
          <w:t>http://www.dw.com/en/third-sex-option-on-birth-certificates/a-17193869</w:t>
        </w:r>
      </w:hyperlink>
      <w:r w:rsidRPr="004D2BDE">
        <w:rPr>
          <w:rFonts w:ascii="Arial" w:hAnsi="Arial" w:cs="Arial"/>
        </w:rPr>
        <w:t xml:space="preserve"> (accessed 18 January 2018). </w:t>
      </w:r>
    </w:p>
  </w:endnote>
  <w:endnote w:id="60">
    <w:p w14:paraId="3C033A04" w14:textId="020EF15D" w:rsidR="00C9464D" w:rsidRPr="004D2BDE" w:rsidRDefault="00C9464D" w:rsidP="00707806">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Commission of the City and County of San Francisco, </w:t>
      </w:r>
      <w:r w:rsidRPr="004D2BDE">
        <w:rPr>
          <w:rFonts w:ascii="Arial" w:hAnsi="Arial" w:cs="Arial"/>
          <w:i/>
        </w:rPr>
        <w:t xml:space="preserve">A human rights investigation into the medical </w:t>
      </w:r>
      <w:r>
        <w:rPr>
          <w:rFonts w:ascii="Arial" w:hAnsi="Arial" w:cs="Arial"/>
          <w:i/>
        </w:rPr>
        <w:t>“</w:t>
      </w:r>
      <w:r w:rsidRPr="004D2BDE">
        <w:rPr>
          <w:rFonts w:ascii="Arial" w:hAnsi="Arial" w:cs="Arial"/>
          <w:i/>
        </w:rPr>
        <w:t>normalization</w:t>
      </w:r>
      <w:r>
        <w:rPr>
          <w:rFonts w:ascii="Arial" w:hAnsi="Arial" w:cs="Arial"/>
          <w:i/>
        </w:rPr>
        <w:t>”</w:t>
      </w:r>
      <w:r w:rsidRPr="004D2BDE">
        <w:rPr>
          <w:rFonts w:ascii="Arial" w:hAnsi="Arial" w:cs="Arial"/>
          <w:i/>
        </w:rPr>
        <w:t xml:space="preserve"> of intersex people</w:t>
      </w:r>
      <w:r w:rsidRPr="004D2BDE">
        <w:rPr>
          <w:rFonts w:ascii="Arial" w:hAnsi="Arial" w:cs="Arial"/>
        </w:rPr>
        <w:t xml:space="preserve"> (28 April 2005). At </w:t>
      </w:r>
      <w:hyperlink r:id="rId24" w:tgtFrame="_blank" w:history="1">
        <w:r w:rsidRPr="004D2BDE">
          <w:rPr>
            <w:rStyle w:val="Hyperlink"/>
            <w:rFonts w:ascii="Arial" w:hAnsi="Arial" w:cs="Arial"/>
          </w:rPr>
          <w:t>https://oii.org.au/wp-content/uploads/2009/03/sfhrc_intersex_report.pdf</w:t>
        </w:r>
      </w:hyperlink>
      <w:r w:rsidRPr="004D2BDE">
        <w:rPr>
          <w:rFonts w:ascii="Arial" w:hAnsi="Arial" w:cs="Arial"/>
        </w:rPr>
        <w:t xml:space="preserve"> (accessed 18 January 2018). </w:t>
      </w:r>
    </w:p>
  </w:endnote>
  <w:endnote w:id="61">
    <w:p w14:paraId="393693C9" w14:textId="28E2BC65" w:rsidR="00C9464D" w:rsidRPr="004D2BDE" w:rsidRDefault="00C9464D" w:rsidP="00707806">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Commission of the City and County of San Francisco, </w:t>
      </w:r>
      <w:r w:rsidRPr="004D2BDE">
        <w:rPr>
          <w:rFonts w:ascii="Arial" w:hAnsi="Arial" w:cs="Arial"/>
          <w:i/>
        </w:rPr>
        <w:t xml:space="preserve">A human rights investigation into the medical </w:t>
      </w:r>
      <w:r>
        <w:rPr>
          <w:rFonts w:ascii="Arial" w:hAnsi="Arial" w:cs="Arial"/>
          <w:i/>
        </w:rPr>
        <w:t>“</w:t>
      </w:r>
      <w:r w:rsidRPr="004D2BDE">
        <w:rPr>
          <w:rFonts w:ascii="Arial" w:hAnsi="Arial" w:cs="Arial"/>
          <w:i/>
        </w:rPr>
        <w:t>normalization</w:t>
      </w:r>
      <w:r>
        <w:rPr>
          <w:rFonts w:ascii="Arial" w:hAnsi="Arial" w:cs="Arial"/>
          <w:i/>
        </w:rPr>
        <w:t>”</w:t>
      </w:r>
      <w:r w:rsidRPr="004D2BDE">
        <w:rPr>
          <w:rFonts w:ascii="Arial" w:hAnsi="Arial" w:cs="Arial"/>
          <w:i/>
        </w:rPr>
        <w:t xml:space="preserve"> of intersex people</w:t>
      </w:r>
      <w:r w:rsidRPr="004D2BDE">
        <w:rPr>
          <w:rFonts w:ascii="Arial" w:hAnsi="Arial" w:cs="Arial"/>
        </w:rPr>
        <w:t xml:space="preserve"> (28 April 2005) 25.</w:t>
      </w:r>
    </w:p>
  </w:endnote>
  <w:endnote w:id="62">
    <w:p w14:paraId="2B57263A" w14:textId="7E22587C"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Commission of the City and County of San Francisco, </w:t>
      </w:r>
      <w:r w:rsidRPr="004D2BDE">
        <w:rPr>
          <w:rFonts w:ascii="Arial" w:hAnsi="Arial" w:cs="Arial"/>
          <w:i/>
        </w:rPr>
        <w:t xml:space="preserve">A human rights investigation into the medical </w:t>
      </w:r>
      <w:r>
        <w:rPr>
          <w:rFonts w:ascii="Arial" w:hAnsi="Arial" w:cs="Arial"/>
          <w:i/>
        </w:rPr>
        <w:t>“</w:t>
      </w:r>
      <w:r w:rsidRPr="004D2BDE">
        <w:rPr>
          <w:rFonts w:ascii="Arial" w:hAnsi="Arial" w:cs="Arial"/>
          <w:i/>
        </w:rPr>
        <w:t>normalization</w:t>
      </w:r>
      <w:r>
        <w:rPr>
          <w:rFonts w:ascii="Arial" w:hAnsi="Arial" w:cs="Arial"/>
          <w:i/>
        </w:rPr>
        <w:t>”</w:t>
      </w:r>
      <w:r w:rsidRPr="004D2BDE">
        <w:rPr>
          <w:rFonts w:ascii="Arial" w:hAnsi="Arial" w:cs="Arial"/>
          <w:i/>
        </w:rPr>
        <w:t xml:space="preserve"> of intersex people</w:t>
      </w:r>
      <w:r w:rsidRPr="004D2BDE">
        <w:rPr>
          <w:rFonts w:ascii="Arial" w:hAnsi="Arial" w:cs="Arial"/>
        </w:rPr>
        <w:t xml:space="preserve"> (28 April 2005) 27.</w:t>
      </w:r>
    </w:p>
  </w:endnote>
  <w:endnote w:id="63">
    <w:p w14:paraId="72FFCCF5" w14:textId="77777777"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German Ethics Council, </w:t>
      </w:r>
      <w:r w:rsidRPr="004D2BDE">
        <w:rPr>
          <w:rFonts w:ascii="Arial" w:hAnsi="Arial" w:cs="Arial"/>
          <w:i/>
        </w:rPr>
        <w:t>Intersexuality: Opinion</w:t>
      </w:r>
      <w:r w:rsidRPr="004D2BDE">
        <w:rPr>
          <w:rFonts w:ascii="Arial" w:hAnsi="Arial" w:cs="Arial"/>
        </w:rPr>
        <w:t xml:space="preserve"> (23 February 2012) 164.</w:t>
      </w:r>
    </w:p>
  </w:endnote>
  <w:endnote w:id="64">
    <w:p w14:paraId="791A3A21" w14:textId="4EA140CF"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NEK-CNE Swiss National Advisory Commission on Biomedical Ethics, </w:t>
      </w:r>
      <w:proofErr w:type="gramStart"/>
      <w:r w:rsidRPr="004D2BDE">
        <w:rPr>
          <w:rFonts w:ascii="Arial" w:hAnsi="Arial" w:cs="Arial"/>
          <w:i/>
        </w:rPr>
        <w:t>On</w:t>
      </w:r>
      <w:proofErr w:type="gramEnd"/>
      <w:r w:rsidRPr="004D2BDE">
        <w:rPr>
          <w:rFonts w:ascii="Arial" w:hAnsi="Arial" w:cs="Arial"/>
          <w:i/>
        </w:rPr>
        <w:t xml:space="preserve"> the management of differences of sex development: Ethical issues relating to </w:t>
      </w:r>
      <w:r>
        <w:rPr>
          <w:rFonts w:ascii="Arial" w:hAnsi="Arial" w:cs="Arial"/>
          <w:i/>
        </w:rPr>
        <w:t>“</w:t>
      </w:r>
      <w:r w:rsidRPr="004D2BDE">
        <w:rPr>
          <w:rFonts w:ascii="Arial" w:hAnsi="Arial" w:cs="Arial"/>
          <w:i/>
        </w:rPr>
        <w:t>intersexuality</w:t>
      </w:r>
      <w:r>
        <w:rPr>
          <w:rFonts w:ascii="Arial" w:hAnsi="Arial" w:cs="Arial"/>
          <w:i/>
        </w:rPr>
        <w:t>”</w:t>
      </w:r>
      <w:r w:rsidRPr="004D2BDE">
        <w:rPr>
          <w:rFonts w:ascii="Arial" w:hAnsi="Arial" w:cs="Arial"/>
          <w:i/>
        </w:rPr>
        <w:t xml:space="preserve"> </w:t>
      </w:r>
      <w:r w:rsidRPr="004D2BDE">
        <w:rPr>
          <w:rFonts w:ascii="Arial" w:hAnsi="Arial" w:cs="Arial"/>
          <w:i/>
          <w:iCs/>
        </w:rPr>
        <w:t>– Opinion No. 20/2012</w:t>
      </w:r>
      <w:r w:rsidRPr="004D2BDE">
        <w:rPr>
          <w:rFonts w:ascii="Arial" w:hAnsi="Arial" w:cs="Arial"/>
          <w:iCs/>
        </w:rPr>
        <w:t xml:space="preserve"> (31 August 2012).</w:t>
      </w:r>
    </w:p>
  </w:endnote>
  <w:endnote w:id="65">
    <w:p w14:paraId="07DCB287" w14:textId="47C29293"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NEK-CNE Swiss National Advisory Commission on Biomedical Ethics, </w:t>
      </w:r>
      <w:proofErr w:type="gramStart"/>
      <w:r w:rsidRPr="004D2BDE">
        <w:rPr>
          <w:rFonts w:ascii="Arial" w:hAnsi="Arial" w:cs="Arial"/>
          <w:i/>
        </w:rPr>
        <w:t>On</w:t>
      </w:r>
      <w:proofErr w:type="gramEnd"/>
      <w:r w:rsidRPr="004D2BDE">
        <w:rPr>
          <w:rFonts w:ascii="Arial" w:hAnsi="Arial" w:cs="Arial"/>
          <w:i/>
        </w:rPr>
        <w:t xml:space="preserve"> the management of differences of sex development: Ethical issues relating to </w:t>
      </w:r>
      <w:r>
        <w:rPr>
          <w:rFonts w:ascii="Arial" w:hAnsi="Arial" w:cs="Arial"/>
          <w:i/>
        </w:rPr>
        <w:t>“</w:t>
      </w:r>
      <w:r w:rsidRPr="004D2BDE">
        <w:rPr>
          <w:rFonts w:ascii="Arial" w:hAnsi="Arial" w:cs="Arial"/>
          <w:i/>
        </w:rPr>
        <w:t>intersexuality</w:t>
      </w:r>
      <w:r>
        <w:rPr>
          <w:rFonts w:ascii="Arial" w:hAnsi="Arial" w:cs="Arial"/>
          <w:i/>
        </w:rPr>
        <w:t>”</w:t>
      </w:r>
      <w:r w:rsidRPr="004D2BDE">
        <w:rPr>
          <w:rFonts w:ascii="Arial" w:hAnsi="Arial" w:cs="Arial"/>
          <w:i/>
        </w:rPr>
        <w:t xml:space="preserve"> </w:t>
      </w:r>
      <w:r w:rsidRPr="004D2BDE">
        <w:rPr>
          <w:rFonts w:ascii="Arial" w:hAnsi="Arial" w:cs="Arial"/>
          <w:i/>
          <w:iCs/>
        </w:rPr>
        <w:t>– Opinion No. 20/2012</w:t>
      </w:r>
      <w:r w:rsidRPr="004D2BDE">
        <w:rPr>
          <w:rFonts w:ascii="Arial" w:hAnsi="Arial" w:cs="Arial"/>
          <w:iCs/>
        </w:rPr>
        <w:t xml:space="preserve"> (31 August 2012) 18.</w:t>
      </w:r>
    </w:p>
  </w:endnote>
  <w:endnote w:id="66">
    <w:p w14:paraId="7BB8E847" w14:textId="2D76A9E5"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NEK-CNE Swiss National Advisory Commission on Biomedical Ethics, </w:t>
      </w:r>
      <w:proofErr w:type="gramStart"/>
      <w:r w:rsidRPr="004D2BDE">
        <w:rPr>
          <w:rFonts w:ascii="Arial" w:hAnsi="Arial" w:cs="Arial"/>
          <w:i/>
        </w:rPr>
        <w:t>On</w:t>
      </w:r>
      <w:proofErr w:type="gramEnd"/>
      <w:r w:rsidRPr="004D2BDE">
        <w:rPr>
          <w:rFonts w:ascii="Arial" w:hAnsi="Arial" w:cs="Arial"/>
          <w:i/>
        </w:rPr>
        <w:t xml:space="preserve"> the management of differences of sex development: Ethical issues relating to </w:t>
      </w:r>
      <w:r>
        <w:rPr>
          <w:rFonts w:ascii="Arial" w:hAnsi="Arial" w:cs="Arial"/>
          <w:i/>
        </w:rPr>
        <w:t>“</w:t>
      </w:r>
      <w:r w:rsidRPr="004D2BDE">
        <w:rPr>
          <w:rFonts w:ascii="Arial" w:hAnsi="Arial" w:cs="Arial"/>
          <w:i/>
        </w:rPr>
        <w:t>intersexuality</w:t>
      </w:r>
      <w:r>
        <w:rPr>
          <w:rFonts w:ascii="Arial" w:hAnsi="Arial" w:cs="Arial"/>
          <w:i/>
        </w:rPr>
        <w:t>”</w:t>
      </w:r>
      <w:r w:rsidRPr="004D2BDE">
        <w:rPr>
          <w:rFonts w:ascii="Arial" w:hAnsi="Arial" w:cs="Arial"/>
          <w:i/>
        </w:rPr>
        <w:t xml:space="preserve"> </w:t>
      </w:r>
      <w:r w:rsidRPr="004D2BDE">
        <w:rPr>
          <w:rFonts w:ascii="Arial" w:hAnsi="Arial" w:cs="Arial"/>
          <w:i/>
          <w:iCs/>
        </w:rPr>
        <w:t>– Opinion No. 20/2012</w:t>
      </w:r>
      <w:r w:rsidRPr="004D2BDE">
        <w:rPr>
          <w:rFonts w:ascii="Arial" w:hAnsi="Arial" w:cs="Arial"/>
          <w:iCs/>
        </w:rPr>
        <w:t xml:space="preserve"> (31 August 2012) 18.</w:t>
      </w:r>
    </w:p>
  </w:endnote>
  <w:endnote w:id="67">
    <w:p w14:paraId="040A6334" w14:textId="2EB9BD8A"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Council of Europe Parliamentary Assembly, </w:t>
      </w:r>
      <w:r w:rsidRPr="004D2BDE">
        <w:rPr>
          <w:rFonts w:ascii="Arial" w:hAnsi="Arial" w:cs="Arial"/>
          <w:i/>
        </w:rPr>
        <w:t>Children</w:t>
      </w:r>
      <w:r>
        <w:rPr>
          <w:rFonts w:ascii="Arial" w:hAnsi="Arial" w:cs="Arial"/>
          <w:i/>
        </w:rPr>
        <w:t>’</w:t>
      </w:r>
      <w:r w:rsidRPr="004D2BDE">
        <w:rPr>
          <w:rFonts w:ascii="Arial" w:hAnsi="Arial" w:cs="Arial"/>
          <w:i/>
        </w:rPr>
        <w:t>s right to physical integrity</w:t>
      </w:r>
      <w:r w:rsidRPr="004D2BDE">
        <w:rPr>
          <w:rFonts w:ascii="Arial" w:hAnsi="Arial" w:cs="Arial"/>
        </w:rPr>
        <w:t xml:space="preserve"> (Doc. 13297, 6 September 2013) 15.</w:t>
      </w:r>
    </w:p>
  </w:endnote>
  <w:endnote w:id="68">
    <w:p w14:paraId="7DA7E082" w14:textId="77777777" w:rsidR="00C9464D" w:rsidRPr="004D2BDE" w:rsidRDefault="00C9464D" w:rsidP="005F2202">
      <w:pPr>
        <w:pStyle w:val="EndnoteText"/>
        <w:rPr>
          <w:rFonts w:ascii="Arial" w:hAnsi="Arial" w:cs="Arial"/>
        </w:rPr>
      </w:pPr>
      <w:r w:rsidRPr="004D2BDE">
        <w:rPr>
          <w:rStyle w:val="EndnoteReference"/>
          <w:rFonts w:cs="Arial"/>
        </w:rPr>
        <w:endnoteRef/>
      </w:r>
      <w:r w:rsidRPr="004D2BDE">
        <w:rPr>
          <w:rFonts w:ascii="Arial" w:hAnsi="Arial" w:cs="Arial"/>
        </w:rPr>
        <w:t xml:space="preserve"> Council of Europe, </w:t>
      </w:r>
      <w:r w:rsidRPr="004D2BDE">
        <w:rPr>
          <w:rFonts w:ascii="Arial" w:hAnsi="Arial" w:cs="Arial"/>
          <w:i/>
        </w:rPr>
        <w:t>Human rights and intersex people: Issue paper</w:t>
      </w:r>
      <w:r w:rsidRPr="004D2BDE">
        <w:rPr>
          <w:rFonts w:ascii="Arial" w:hAnsi="Arial" w:cs="Arial"/>
        </w:rPr>
        <w:t xml:space="preserve"> (2</w:t>
      </w:r>
      <w:r w:rsidRPr="004D2BDE">
        <w:rPr>
          <w:rFonts w:ascii="Arial" w:hAnsi="Arial" w:cs="Arial"/>
          <w:vertAlign w:val="superscript"/>
        </w:rPr>
        <w:t>nd</w:t>
      </w:r>
      <w:r w:rsidRPr="004D2BDE">
        <w:rPr>
          <w:rFonts w:ascii="Arial" w:hAnsi="Arial" w:cs="Arial"/>
        </w:rPr>
        <w:t xml:space="preserve"> </w:t>
      </w:r>
      <w:proofErr w:type="spellStart"/>
      <w:proofErr w:type="gramStart"/>
      <w:r w:rsidRPr="004D2BDE">
        <w:rPr>
          <w:rFonts w:ascii="Arial" w:hAnsi="Arial" w:cs="Arial"/>
        </w:rPr>
        <w:t>ed</w:t>
      </w:r>
      <w:proofErr w:type="spellEnd"/>
      <w:proofErr w:type="gramEnd"/>
      <w:r w:rsidRPr="004D2BDE">
        <w:rPr>
          <w:rFonts w:ascii="Arial" w:hAnsi="Arial" w:cs="Arial"/>
        </w:rPr>
        <w:t>, September 2015).</w:t>
      </w:r>
    </w:p>
  </w:endnote>
  <w:endnote w:id="69">
    <w:p w14:paraId="6199AF18" w14:textId="01BA6CF3"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spellStart"/>
      <w:r w:rsidRPr="004D2BDE">
        <w:rPr>
          <w:rFonts w:ascii="Arial" w:hAnsi="Arial" w:cs="Arial"/>
        </w:rPr>
        <w:t>Kavot</w:t>
      </w:r>
      <w:proofErr w:type="spellEnd"/>
      <w:r w:rsidRPr="004D2BDE">
        <w:rPr>
          <w:rFonts w:ascii="Arial" w:hAnsi="Arial" w:cs="Arial"/>
        </w:rPr>
        <w:t xml:space="preserve"> </w:t>
      </w:r>
      <w:proofErr w:type="spellStart"/>
      <w:r w:rsidRPr="004D2BDE">
        <w:rPr>
          <w:rFonts w:ascii="Arial" w:hAnsi="Arial" w:cs="Arial"/>
        </w:rPr>
        <w:t>Zillén</w:t>
      </w:r>
      <w:proofErr w:type="spellEnd"/>
      <w:r w:rsidRPr="004D2BDE">
        <w:rPr>
          <w:rFonts w:ascii="Arial" w:hAnsi="Arial" w:cs="Arial"/>
        </w:rPr>
        <w:t xml:space="preserve"> et al, </w:t>
      </w:r>
      <w:r w:rsidRPr="004D2BDE">
        <w:rPr>
          <w:rFonts w:ascii="Arial" w:hAnsi="Arial" w:cs="Arial"/>
          <w:i/>
        </w:rPr>
        <w:t xml:space="preserve">The Rights of Children in Biomedicine: Challenges posed by scientific advances and uncertainties </w:t>
      </w:r>
      <w:r w:rsidRPr="004D2BDE">
        <w:rPr>
          <w:rFonts w:ascii="Arial" w:hAnsi="Arial" w:cs="Arial"/>
        </w:rPr>
        <w:t>(11 January 2017) 40</w:t>
      </w:r>
      <w:r w:rsidRPr="004D2BDE">
        <w:rPr>
          <w:rFonts w:ascii="Arial" w:hAnsi="Arial" w:cs="Arial"/>
          <w:iCs/>
        </w:rPr>
        <w:t>–</w:t>
      </w:r>
      <w:r w:rsidRPr="004D2BDE">
        <w:rPr>
          <w:rFonts w:ascii="Arial" w:hAnsi="Arial" w:cs="Arial"/>
        </w:rPr>
        <w:t>45.</w:t>
      </w:r>
    </w:p>
  </w:endnote>
  <w:endnote w:id="70">
    <w:p w14:paraId="22B823A6" w14:textId="062048DB"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United Nations High Commissioner for Human Rights, </w:t>
      </w:r>
      <w:r w:rsidRPr="004D2BDE">
        <w:rPr>
          <w:rFonts w:ascii="Arial" w:hAnsi="Arial" w:cs="Arial"/>
          <w:i/>
        </w:rPr>
        <w:t>Born Free and Equal: Sexual orientation and gender identity in international human rights law</w:t>
      </w:r>
      <w:r w:rsidRPr="004D2BDE">
        <w:rPr>
          <w:rFonts w:ascii="Arial" w:hAnsi="Arial" w:cs="Arial"/>
        </w:rPr>
        <w:t xml:space="preserve">, UN Doc HR/PUB/12/06 (September 2012) 10. At </w:t>
      </w:r>
      <w:hyperlink r:id="rId25" w:history="1">
        <w:r>
          <w:rPr>
            <w:rStyle w:val="Hyperlink"/>
            <w:rFonts w:ascii="Arial" w:hAnsi="Arial" w:cs="Arial"/>
          </w:rPr>
          <w:t>http://www.ohchr.org/Documents/Publications/BornFreeAndEqualLowRes.pdf</w:t>
        </w:r>
      </w:hyperlink>
      <w:r w:rsidRPr="004D2BDE">
        <w:rPr>
          <w:rFonts w:ascii="Arial" w:hAnsi="Arial" w:cs="Arial"/>
        </w:rPr>
        <w:t xml:space="preserve"> (accessed 18 January 2018).</w:t>
      </w:r>
    </w:p>
  </w:endnote>
  <w:endnote w:id="71">
    <w:p w14:paraId="5BDFCA7B" w14:textId="77777777"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United Nations High Commissioner for Human Rights, </w:t>
      </w:r>
      <w:r w:rsidRPr="004D2BDE">
        <w:rPr>
          <w:rFonts w:ascii="Arial" w:hAnsi="Arial" w:cs="Arial"/>
          <w:i/>
        </w:rPr>
        <w:t>Free &amp; Equal campaign: Intersex Fact Sheet</w:t>
      </w:r>
      <w:r w:rsidRPr="004D2BDE">
        <w:rPr>
          <w:rFonts w:ascii="Arial" w:hAnsi="Arial" w:cs="Arial"/>
        </w:rPr>
        <w:t xml:space="preserve"> (5 September 2015). At </w:t>
      </w:r>
      <w:hyperlink r:id="rId26" w:history="1">
        <w:r w:rsidRPr="004D2BDE">
          <w:rPr>
            <w:rStyle w:val="Hyperlink"/>
            <w:rFonts w:ascii="Arial" w:hAnsi="Arial" w:cs="Arial"/>
          </w:rPr>
          <w:t>https://unfe.org/system/unfe-65-Intersex_Factsheet_ENGLISH.pdf</w:t>
        </w:r>
      </w:hyperlink>
      <w:r w:rsidRPr="004D2BDE">
        <w:rPr>
          <w:rFonts w:ascii="Arial" w:hAnsi="Arial" w:cs="Arial"/>
        </w:rPr>
        <w:t xml:space="preserve"> (accessed 18 January 2018).</w:t>
      </w:r>
    </w:p>
  </w:endnote>
  <w:endnote w:id="72">
    <w:p w14:paraId="1B0C0EBC" w14:textId="5EABFBA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United Nations High Commissioner for Human Rights, </w:t>
      </w:r>
      <w:r w:rsidRPr="004D2BDE">
        <w:rPr>
          <w:rFonts w:ascii="Arial" w:hAnsi="Arial" w:cs="Arial"/>
          <w:i/>
        </w:rPr>
        <w:t>Intersex Awareness Day – Wednesday 26 October</w:t>
      </w:r>
      <w:r w:rsidRPr="004D2BDE">
        <w:rPr>
          <w:rFonts w:ascii="Arial" w:hAnsi="Arial" w:cs="Arial"/>
        </w:rPr>
        <w:t xml:space="preserve"> (24 October 2016) </w:t>
      </w:r>
      <w:proofErr w:type="gramStart"/>
      <w:r>
        <w:rPr>
          <w:rFonts w:ascii="Arial" w:hAnsi="Arial" w:cs="Arial"/>
        </w:rPr>
        <w:t>At</w:t>
      </w:r>
      <w:proofErr w:type="gramEnd"/>
      <w:r>
        <w:rPr>
          <w:rFonts w:ascii="Arial" w:hAnsi="Arial" w:cs="Arial"/>
        </w:rPr>
        <w:t xml:space="preserve"> </w:t>
      </w:r>
      <w:hyperlink r:id="rId27" w:history="1">
        <w:r w:rsidRPr="00D40C1D">
          <w:rPr>
            <w:rStyle w:val="Hyperlink"/>
            <w:rFonts w:ascii="Arial" w:hAnsi="Arial" w:cs="Arial"/>
          </w:rPr>
          <w:t>http://www.ohchr.org/EN/NewsEvents/Pages/DisplayNews.aspx?NewsID=20739&amp;LangID=E</w:t>
        </w:r>
      </w:hyperlink>
      <w:r w:rsidRPr="004D2BDE">
        <w:rPr>
          <w:rFonts w:ascii="Arial" w:hAnsi="Arial" w:cs="Arial"/>
        </w:rPr>
        <w:t>.</w:t>
      </w:r>
    </w:p>
  </w:endnote>
  <w:endnote w:id="73">
    <w:p w14:paraId="47E6D84F" w14:textId="77777777" w:rsidR="00C9464D" w:rsidRPr="004D2BDE" w:rsidRDefault="00C9464D" w:rsidP="00632AAF">
      <w:pPr>
        <w:pStyle w:val="EndnoteText"/>
        <w:rPr>
          <w:rFonts w:ascii="Arial" w:hAnsi="Arial" w:cs="Arial"/>
        </w:rPr>
      </w:pPr>
      <w:r w:rsidRPr="004D2BDE">
        <w:rPr>
          <w:rStyle w:val="EndnoteReference"/>
          <w:rFonts w:cs="Arial"/>
        </w:rPr>
        <w:endnoteRef/>
      </w:r>
      <w:r w:rsidRPr="004D2BDE">
        <w:rPr>
          <w:rFonts w:ascii="Arial" w:hAnsi="Arial" w:cs="Arial"/>
        </w:rPr>
        <w:t xml:space="preserve"> New Zealand Human Rights Commission, </w:t>
      </w:r>
      <w:r w:rsidRPr="004D2BDE">
        <w:rPr>
          <w:rFonts w:ascii="Arial" w:hAnsi="Arial" w:cs="Arial"/>
          <w:i/>
        </w:rPr>
        <w:t>Intersex Roundtable Report 2016: The practice of genital normalisation on intersex children in Aotearoa New Zealand</w:t>
      </w:r>
      <w:r w:rsidRPr="004D2BDE">
        <w:rPr>
          <w:rFonts w:ascii="Arial" w:hAnsi="Arial" w:cs="Arial"/>
        </w:rPr>
        <w:t xml:space="preserve"> (November 2016) 1.</w:t>
      </w:r>
    </w:p>
  </w:endnote>
  <w:endnote w:id="74">
    <w:p w14:paraId="7E052B15" w14:textId="22979216" w:rsidR="00C9464D" w:rsidRPr="004D2BDE" w:rsidRDefault="00C9464D" w:rsidP="00632AAF">
      <w:pPr>
        <w:pStyle w:val="EndnoteText"/>
        <w:rPr>
          <w:rFonts w:ascii="Arial" w:hAnsi="Arial" w:cs="Arial"/>
        </w:rPr>
      </w:pPr>
      <w:r w:rsidRPr="004D2BDE">
        <w:rPr>
          <w:rStyle w:val="EndnoteReference"/>
          <w:rFonts w:cs="Arial"/>
        </w:rPr>
        <w:endnoteRef/>
      </w:r>
      <w:r w:rsidRPr="004D2BDE">
        <w:rPr>
          <w:rFonts w:ascii="Arial" w:hAnsi="Arial" w:cs="Arial"/>
        </w:rPr>
        <w:t xml:space="preserve"> New Zealand Human Rights Commission, </w:t>
      </w:r>
      <w:r w:rsidRPr="004D2BDE">
        <w:rPr>
          <w:rFonts w:ascii="Arial" w:hAnsi="Arial" w:cs="Arial"/>
          <w:i/>
        </w:rPr>
        <w:t xml:space="preserve">Intersex Roundtable Report 2017: Ending the practice of genital normalisation on intersex children in Aotearoa New Zealand </w:t>
      </w:r>
      <w:r w:rsidRPr="004D2BDE">
        <w:rPr>
          <w:rFonts w:ascii="Arial" w:hAnsi="Arial" w:cs="Arial"/>
        </w:rPr>
        <w:t>(March 2018) 5.</w:t>
      </w:r>
    </w:p>
  </w:endnote>
  <w:endnote w:id="75">
    <w:p w14:paraId="43400032" w14:textId="3EB2DF2F"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Watch and </w:t>
      </w:r>
      <w:proofErr w:type="spellStart"/>
      <w:r w:rsidRPr="004D2BDE">
        <w:rPr>
          <w:rFonts w:ascii="Arial" w:hAnsi="Arial" w:cs="Arial"/>
        </w:rPr>
        <w:t>InterACT</w:t>
      </w:r>
      <w:proofErr w:type="spellEnd"/>
      <w:r w:rsidRPr="004D2BDE">
        <w:rPr>
          <w:rFonts w:ascii="Arial" w:hAnsi="Arial" w:cs="Arial"/>
        </w:rPr>
        <w:t xml:space="preserve">, </w:t>
      </w:r>
      <w:r>
        <w:rPr>
          <w:rFonts w:ascii="Arial" w:hAnsi="Arial" w:cs="Arial"/>
          <w:i/>
        </w:rPr>
        <w:t>“</w:t>
      </w:r>
      <w:r w:rsidRPr="004D2BDE">
        <w:rPr>
          <w:rFonts w:ascii="Arial" w:hAnsi="Arial" w:cs="Arial"/>
          <w:i/>
        </w:rPr>
        <w:t xml:space="preserve">I Want to Be </w:t>
      </w:r>
      <w:proofErr w:type="gramStart"/>
      <w:r w:rsidRPr="004D2BDE">
        <w:rPr>
          <w:rFonts w:ascii="Arial" w:hAnsi="Arial" w:cs="Arial"/>
          <w:i/>
        </w:rPr>
        <w:t>Like</w:t>
      </w:r>
      <w:proofErr w:type="gramEnd"/>
      <w:r w:rsidRPr="004D2BDE">
        <w:rPr>
          <w:rFonts w:ascii="Arial" w:hAnsi="Arial" w:cs="Arial"/>
          <w:i/>
        </w:rPr>
        <w:t xml:space="preserve"> Nature made Me</w:t>
      </w:r>
      <w:r>
        <w:rPr>
          <w:rFonts w:ascii="Arial" w:hAnsi="Arial" w:cs="Arial"/>
          <w:i/>
        </w:rPr>
        <w:t>”</w:t>
      </w:r>
      <w:r w:rsidRPr="004D2BDE">
        <w:rPr>
          <w:rFonts w:ascii="Arial" w:hAnsi="Arial" w:cs="Arial"/>
          <w:i/>
        </w:rPr>
        <w:t xml:space="preserve"> </w:t>
      </w:r>
      <w:r w:rsidRPr="004D2BDE">
        <w:rPr>
          <w:rFonts w:ascii="Arial" w:hAnsi="Arial" w:cs="Arial"/>
          <w:i/>
          <w:iCs/>
        </w:rPr>
        <w:t>– Medically Unnecessary Surgeries on Intersex Children in the US</w:t>
      </w:r>
      <w:r w:rsidRPr="004D2BDE">
        <w:rPr>
          <w:rFonts w:ascii="Arial" w:hAnsi="Arial" w:cs="Arial"/>
          <w:iCs/>
        </w:rPr>
        <w:t xml:space="preserve"> (25 July 2017). At </w:t>
      </w:r>
      <w:hyperlink r:id="rId28" w:history="1">
        <w:r w:rsidRPr="004D2BDE">
          <w:rPr>
            <w:rStyle w:val="Hyperlink"/>
            <w:rFonts w:ascii="Arial" w:hAnsi="Arial" w:cs="Arial"/>
            <w:iCs/>
          </w:rPr>
          <w:t>https://www.hrw.org/news/2017/07/25/us-harmful-surgery-intersex-children</w:t>
        </w:r>
      </w:hyperlink>
      <w:r w:rsidRPr="004D2BDE">
        <w:rPr>
          <w:rFonts w:ascii="Arial" w:hAnsi="Arial" w:cs="Arial"/>
          <w:iCs/>
        </w:rPr>
        <w:t xml:space="preserve"> (accessed 18 January 2018); Human Rights Watch, </w:t>
      </w:r>
      <w:r w:rsidRPr="004D2BDE">
        <w:rPr>
          <w:rFonts w:ascii="Arial" w:hAnsi="Arial" w:cs="Arial"/>
          <w:i/>
          <w:iCs/>
        </w:rPr>
        <w:t>A Changing Paradigm: US Medical Provider Discomfort with Intersex Care Practices</w:t>
      </w:r>
      <w:r w:rsidRPr="004D2BDE">
        <w:rPr>
          <w:rFonts w:ascii="Arial" w:hAnsi="Arial" w:cs="Arial"/>
          <w:iCs/>
        </w:rPr>
        <w:t xml:space="preserve"> (26 October 2017). At </w:t>
      </w:r>
      <w:hyperlink r:id="rId29" w:history="1">
        <w:r w:rsidRPr="004D2BDE">
          <w:rPr>
            <w:rStyle w:val="Hyperlink"/>
            <w:rFonts w:ascii="Arial" w:hAnsi="Arial" w:cs="Arial"/>
            <w:iCs/>
          </w:rPr>
          <w:t>https://www.hrw.org/report/2017/10/26/changing-paradigm/us-medical-provider-discomfort-intersex-care-practices</w:t>
        </w:r>
      </w:hyperlink>
      <w:r w:rsidRPr="004D2BDE">
        <w:rPr>
          <w:rFonts w:ascii="Arial" w:hAnsi="Arial" w:cs="Arial"/>
          <w:iCs/>
        </w:rPr>
        <w:t xml:space="preserve"> (accessed 18 January 2018). </w:t>
      </w:r>
    </w:p>
  </w:endnote>
  <w:endnote w:id="76">
    <w:p w14:paraId="34207D6C" w14:textId="77777777" w:rsidR="00C9464D" w:rsidRPr="004D2BDE" w:rsidRDefault="00C9464D" w:rsidP="00C202A1">
      <w:pPr>
        <w:pStyle w:val="EndnoteText"/>
        <w:rPr>
          <w:rFonts w:ascii="Arial" w:hAnsi="Arial" w:cs="Arial"/>
        </w:rPr>
      </w:pPr>
      <w:r w:rsidRPr="004D2BDE">
        <w:rPr>
          <w:rStyle w:val="EndnoteReference"/>
          <w:rFonts w:cs="Arial"/>
        </w:rPr>
        <w:endnoteRef/>
      </w:r>
      <w:r w:rsidRPr="004D2BDE">
        <w:rPr>
          <w:rFonts w:ascii="Arial" w:hAnsi="Arial" w:cs="Arial"/>
        </w:rPr>
        <w:t xml:space="preserve"> Amnesty International, </w:t>
      </w:r>
      <w:r w:rsidRPr="004D2BDE">
        <w:rPr>
          <w:rFonts w:ascii="Arial" w:hAnsi="Arial" w:cs="Arial"/>
          <w:i/>
        </w:rPr>
        <w:t>First, Do No Harm: Ensuring the rights of children born intersex</w:t>
      </w:r>
      <w:r w:rsidRPr="004D2BDE">
        <w:rPr>
          <w:rFonts w:ascii="Arial" w:hAnsi="Arial" w:cs="Arial"/>
        </w:rPr>
        <w:t xml:space="preserve"> (May 2017). At </w:t>
      </w:r>
      <w:hyperlink r:id="rId30" w:history="1">
        <w:r w:rsidRPr="004D2BDE">
          <w:rPr>
            <w:rStyle w:val="Hyperlink"/>
            <w:rFonts w:ascii="Arial" w:hAnsi="Arial" w:cs="Arial"/>
          </w:rPr>
          <w:t>https://www.amnesty.org/en/latest/campaigns/2017/05/intersex-rights/</w:t>
        </w:r>
      </w:hyperlink>
      <w:r w:rsidRPr="004D2BDE">
        <w:rPr>
          <w:rFonts w:ascii="Arial" w:hAnsi="Arial" w:cs="Arial"/>
        </w:rPr>
        <w:t xml:space="preserve"> (accessed 18 January 2018). </w:t>
      </w:r>
    </w:p>
  </w:endnote>
  <w:endnote w:id="77">
    <w:p w14:paraId="18AC9A36" w14:textId="5C806A9A"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Claudia </w:t>
      </w:r>
      <w:proofErr w:type="spellStart"/>
      <w:r w:rsidRPr="004D2BDE">
        <w:rPr>
          <w:rFonts w:ascii="Arial" w:hAnsi="Arial" w:cs="Arial"/>
        </w:rPr>
        <w:t>Wiesemann</w:t>
      </w:r>
      <w:proofErr w:type="spellEnd"/>
      <w:r w:rsidRPr="004D2BDE">
        <w:rPr>
          <w:rFonts w:ascii="Arial" w:hAnsi="Arial" w:cs="Arial"/>
        </w:rPr>
        <w:t xml:space="preserve"> et al, </w:t>
      </w:r>
      <w:r>
        <w:rPr>
          <w:rFonts w:ascii="Arial" w:hAnsi="Arial" w:cs="Arial"/>
        </w:rPr>
        <w:t>‘</w:t>
      </w:r>
      <w:r w:rsidRPr="004D2BDE">
        <w:rPr>
          <w:rFonts w:ascii="Arial" w:hAnsi="Arial" w:cs="Arial"/>
        </w:rPr>
        <w:t>Ethical principles and recommendations for the medical management of differences of sex development (DSD)/intersex in children and adolescents</w:t>
      </w:r>
      <w:r>
        <w:rPr>
          <w:rFonts w:ascii="Arial" w:hAnsi="Arial" w:cs="Arial"/>
        </w:rPr>
        <w:t>’</w:t>
      </w:r>
      <w:r w:rsidRPr="004D2BDE">
        <w:rPr>
          <w:rFonts w:ascii="Arial" w:hAnsi="Arial" w:cs="Arial"/>
        </w:rPr>
        <w:t xml:space="preserve"> (2010) 169 </w:t>
      </w:r>
      <w:r w:rsidRPr="004D2BDE">
        <w:rPr>
          <w:rFonts w:ascii="Arial" w:hAnsi="Arial" w:cs="Arial"/>
          <w:i/>
        </w:rPr>
        <w:t xml:space="preserve">European Journal of </w:t>
      </w:r>
      <w:proofErr w:type="spellStart"/>
      <w:r w:rsidRPr="004D2BDE">
        <w:rPr>
          <w:rFonts w:ascii="Arial" w:hAnsi="Arial" w:cs="Arial"/>
          <w:i/>
        </w:rPr>
        <w:t>Pediatrics</w:t>
      </w:r>
      <w:proofErr w:type="spellEnd"/>
      <w:r w:rsidRPr="004D2BDE">
        <w:rPr>
          <w:rFonts w:ascii="Arial" w:hAnsi="Arial" w:cs="Arial"/>
        </w:rPr>
        <w:t xml:space="preserve"> 671.</w:t>
      </w:r>
    </w:p>
  </w:endnote>
  <w:endnote w:id="78">
    <w:p w14:paraId="293D99A1" w14:textId="743E19DA"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82.</w:t>
      </w:r>
    </w:p>
  </w:endnote>
  <w:endnote w:id="79">
    <w:p w14:paraId="1090455D" w14:textId="01EAA65D"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Phyllis W. </w:t>
      </w:r>
      <w:proofErr w:type="spellStart"/>
      <w:r w:rsidRPr="004D2BDE">
        <w:rPr>
          <w:rFonts w:ascii="Arial" w:hAnsi="Arial" w:cs="Arial"/>
        </w:rPr>
        <w:t>Speiser</w:t>
      </w:r>
      <w:proofErr w:type="spellEnd"/>
      <w:r w:rsidRPr="004D2BDE">
        <w:rPr>
          <w:rFonts w:ascii="Arial" w:hAnsi="Arial" w:cs="Arial"/>
        </w:rPr>
        <w:t xml:space="preserve"> et al, </w:t>
      </w:r>
      <w:r>
        <w:rPr>
          <w:rFonts w:ascii="Arial" w:hAnsi="Arial" w:cs="Arial"/>
        </w:rPr>
        <w:t>‘</w:t>
      </w:r>
      <w:r w:rsidRPr="004D2BDE">
        <w:rPr>
          <w:rFonts w:ascii="Arial" w:hAnsi="Arial" w:cs="Arial"/>
        </w:rPr>
        <w:t>Congenital Adrenal Hyperplasia Due to Steroid 21-Hydroxylase Deficiency: An Endocrine Society Clinical Practice Guideline</w:t>
      </w:r>
      <w:r>
        <w:rPr>
          <w:rFonts w:ascii="Arial" w:hAnsi="Arial" w:cs="Arial"/>
        </w:rPr>
        <w:t>’</w:t>
      </w:r>
      <w:r w:rsidRPr="004D2BDE">
        <w:rPr>
          <w:rFonts w:ascii="Arial" w:hAnsi="Arial" w:cs="Arial"/>
        </w:rPr>
        <w:t xml:space="preserve"> (2010) 95 </w:t>
      </w:r>
      <w:r w:rsidRPr="004D2BDE">
        <w:rPr>
          <w:rFonts w:ascii="Arial" w:hAnsi="Arial" w:cs="Arial"/>
          <w:i/>
        </w:rPr>
        <w:t>The Journal of Clinical Endocrinology and Metabolism</w:t>
      </w:r>
      <w:r w:rsidRPr="004D2BDE">
        <w:rPr>
          <w:rFonts w:ascii="Arial" w:hAnsi="Arial" w:cs="Arial"/>
        </w:rPr>
        <w:t xml:space="preserve"> 4133.</w:t>
      </w:r>
    </w:p>
  </w:endnote>
  <w:endnote w:id="80">
    <w:p w14:paraId="5268B6C9" w14:textId="0BBC50CF"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Claus H </w:t>
      </w:r>
      <w:proofErr w:type="spellStart"/>
      <w:r w:rsidRPr="004D2BDE">
        <w:rPr>
          <w:rFonts w:ascii="Arial" w:hAnsi="Arial" w:cs="Arial"/>
        </w:rPr>
        <w:t>Gravholt</w:t>
      </w:r>
      <w:proofErr w:type="spellEnd"/>
      <w:r w:rsidRPr="004D2BDE">
        <w:rPr>
          <w:rFonts w:ascii="Arial" w:hAnsi="Arial" w:cs="Arial"/>
        </w:rPr>
        <w:t xml:space="preserve"> et al, </w:t>
      </w:r>
      <w:r>
        <w:rPr>
          <w:rFonts w:ascii="Arial" w:hAnsi="Arial" w:cs="Arial"/>
        </w:rPr>
        <w:t>‘</w:t>
      </w:r>
      <w:r w:rsidRPr="004D2BDE">
        <w:rPr>
          <w:rFonts w:ascii="Arial" w:hAnsi="Arial" w:cs="Arial"/>
        </w:rPr>
        <w:t>Clinical practice guidelines for the care of girls and women with Turner syndrome: proceedings from the 2016 Cincinnati International Turner Syndrome Meeting</w:t>
      </w:r>
      <w:r>
        <w:rPr>
          <w:rFonts w:ascii="Arial" w:hAnsi="Arial" w:cs="Arial"/>
        </w:rPr>
        <w:t>’</w:t>
      </w:r>
      <w:r w:rsidRPr="004D2BDE">
        <w:rPr>
          <w:rFonts w:ascii="Arial" w:hAnsi="Arial" w:cs="Arial"/>
        </w:rPr>
        <w:t xml:space="preserve"> (2017) 177 </w:t>
      </w:r>
      <w:r w:rsidRPr="004D2BDE">
        <w:rPr>
          <w:rFonts w:ascii="Arial" w:hAnsi="Arial" w:cs="Arial"/>
          <w:i/>
        </w:rPr>
        <w:t>European Journal of Endocrinology</w:t>
      </w:r>
      <w:r w:rsidRPr="004D2BDE">
        <w:rPr>
          <w:rFonts w:ascii="Arial" w:hAnsi="Arial" w:cs="Arial"/>
        </w:rPr>
        <w:t xml:space="preserve"> G1.</w:t>
      </w:r>
    </w:p>
  </w:endnote>
  <w:endnote w:id="81">
    <w:p w14:paraId="7EBC6E79" w14:textId="37F20AB4" w:rsidR="00C9464D" w:rsidRPr="004D2BDE" w:rsidRDefault="00C9464D" w:rsidP="0040685C">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S. Faisal Ahmed et al, </w:t>
      </w:r>
      <w:r>
        <w:rPr>
          <w:rFonts w:ascii="Arial" w:hAnsi="Arial" w:cs="Arial"/>
        </w:rPr>
        <w:t>‘</w:t>
      </w:r>
      <w:r w:rsidRPr="004D2BDE">
        <w:rPr>
          <w:rFonts w:ascii="Arial" w:hAnsi="Arial" w:cs="Arial"/>
        </w:rPr>
        <w:t>Society for Endocrinology UK guidance on the initial evaluation of an infant or an adolescent with a suspected disorder of sex development</w:t>
      </w:r>
      <w:r>
        <w:rPr>
          <w:rFonts w:ascii="Arial" w:hAnsi="Arial" w:cs="Arial"/>
        </w:rPr>
        <w:t>’</w:t>
      </w:r>
      <w:r w:rsidRPr="004D2BDE">
        <w:rPr>
          <w:rFonts w:ascii="Arial" w:hAnsi="Arial" w:cs="Arial"/>
        </w:rPr>
        <w:t xml:space="preserve"> (2015) 84 (Revised 2015) </w:t>
      </w:r>
      <w:r w:rsidRPr="004D2BDE">
        <w:rPr>
          <w:rFonts w:ascii="Arial" w:hAnsi="Arial" w:cs="Arial"/>
          <w:i/>
        </w:rPr>
        <w:t xml:space="preserve">Clinical Endocrinology </w:t>
      </w:r>
      <w:r w:rsidRPr="004D2BDE">
        <w:rPr>
          <w:rFonts w:ascii="Arial" w:hAnsi="Arial" w:cs="Arial"/>
        </w:rPr>
        <w:t>771.</w:t>
      </w:r>
    </w:p>
  </w:endnote>
  <w:endnote w:id="82">
    <w:p w14:paraId="760438A4" w14:textId="5AC03141" w:rsidR="00C9464D" w:rsidRPr="004D2BDE" w:rsidRDefault="00C9464D"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I.A.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w:t>
      </w:r>
      <w:r w:rsidRPr="004D2BDE">
        <w:rPr>
          <w:rFonts w:ascii="Arial" w:hAnsi="Arial" w:cs="Arial"/>
        </w:rPr>
        <w:t xml:space="preserve"> 148.</w:t>
      </w:r>
    </w:p>
  </w:endnote>
  <w:endnote w:id="83">
    <w:p w14:paraId="3C288880" w14:textId="2960F662" w:rsidR="00C9464D" w:rsidRPr="004D2BDE" w:rsidRDefault="00C9464D"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{"citationID":"DSCniMaa","properties":{"formattedCitation":"{\\rtf Christopher P Houk et al, \\uc0\\u8216{}Summary of Consensus Statement on Intersex Disorders and Their Management\\uc0\\u8217{} (2006) 118(2) {\\i{}Pediatrics: Official Journal of the American Academy of Pediatrics} 753, 158\\uc0\\u8211{}159.}","plainCitation":"Christopher P Houk et al, ‘Summary of Consensus Statement on Intersex Disorders and Their Management’ (2006) 118(2) Pediatrics: Official Journal of the American Academy of Pediatrics 753, 158–159."},"citationItems":[{"id":265,"uris":["http://zotero.org/users/4317530/items/RURUCWBJ"],"uri":["http://zotero.org/users/4317530/items/RURUCWBJ"],"itemData":{"id":265,"type":"article-journal","title":"Summary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Participants","given":""}],"issued":{"date-parts":[["2006",8]]}},"locator":"158-159"}],"schema":"https://github.com/citation-style-language/schema/raw/master/csl-citation.json"}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Christopher P Houk et al, </w:t>
      </w:r>
      <w:r>
        <w:rPr>
          <w:rFonts w:ascii="Arial" w:hAnsi="Arial" w:cs="Arial"/>
        </w:rPr>
        <w:t>‘</w:t>
      </w:r>
      <w:r w:rsidRPr="004D2BDE">
        <w:rPr>
          <w:rFonts w:ascii="Arial" w:hAnsi="Arial" w:cs="Arial"/>
        </w:rPr>
        <w:t>Summary of Consensus Statement on Intersex Disorders and Their Management</w:t>
      </w:r>
      <w:r>
        <w:rPr>
          <w:rFonts w:ascii="Arial" w:hAnsi="Arial" w:cs="Arial"/>
        </w:rPr>
        <w:t>’</w:t>
      </w:r>
      <w:r w:rsidRPr="004D2BDE">
        <w:rPr>
          <w:rFonts w:ascii="Arial" w:hAnsi="Arial" w:cs="Arial"/>
        </w:rPr>
        <w:t xml:space="preserve"> (2006) 118(2) </w:t>
      </w:r>
      <w:r w:rsidRPr="004D2BDE">
        <w:rPr>
          <w:rFonts w:ascii="Arial" w:hAnsi="Arial" w:cs="Arial"/>
          <w:i/>
          <w:iCs/>
        </w:rPr>
        <w:t>Pediatrics</w:t>
      </w:r>
      <w:r w:rsidRPr="004D2BDE">
        <w:rPr>
          <w:rFonts w:ascii="Arial" w:hAnsi="Arial" w:cs="Arial"/>
        </w:rPr>
        <w:t xml:space="preserve"> 753, 754</w:t>
      </w:r>
      <w:r w:rsidRPr="004D2BDE">
        <w:rPr>
          <w:rFonts w:ascii="Arial" w:hAnsi="Arial" w:cs="Arial"/>
          <w:iCs/>
        </w:rPr>
        <w:t>–7</w:t>
      </w:r>
      <w:r w:rsidRPr="004D2BDE">
        <w:rPr>
          <w:rFonts w:ascii="Arial" w:hAnsi="Arial" w:cs="Arial"/>
        </w:rPr>
        <w:t>55.</w:t>
      </w:r>
      <w:r w:rsidRPr="004D2BDE">
        <w:rPr>
          <w:rFonts w:ascii="Arial" w:hAnsi="Arial" w:cs="Arial"/>
        </w:rPr>
        <w:fldChar w:fldCharType="end"/>
      </w:r>
    </w:p>
  </w:endnote>
  <w:endnote w:id="84">
    <w:p w14:paraId="486C881B" w14:textId="12E67A36" w:rsidR="00C9464D" w:rsidRPr="004D2BDE" w:rsidRDefault="00C9464D"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Morgan Carpenter, </w:t>
      </w:r>
      <w:r>
        <w:rPr>
          <w:rFonts w:ascii="Arial" w:hAnsi="Arial" w:cs="Arial"/>
        </w:rPr>
        <w:t>‘</w:t>
      </w:r>
      <w:proofErr w:type="gramStart"/>
      <w:r w:rsidRPr="004D2BDE">
        <w:rPr>
          <w:rFonts w:ascii="Arial" w:hAnsi="Arial" w:cs="Arial"/>
        </w:rPr>
        <w:t>The</w:t>
      </w:r>
      <w:proofErr w:type="gramEnd"/>
      <w:r w:rsidRPr="004D2BDE">
        <w:rPr>
          <w:rFonts w:ascii="Arial" w:hAnsi="Arial" w:cs="Arial"/>
        </w:rPr>
        <w:t xml:space="preserve"> human rights of intersex people: addressing harmful practices and rhetoric of change</w:t>
      </w:r>
      <w:r>
        <w:rPr>
          <w:rFonts w:ascii="Arial" w:hAnsi="Arial" w:cs="Arial"/>
        </w:rPr>
        <w:t>’</w:t>
      </w:r>
      <w:r w:rsidRPr="004D2BDE">
        <w:rPr>
          <w:rFonts w:ascii="Arial" w:hAnsi="Arial" w:cs="Arial"/>
        </w:rPr>
        <w:t xml:space="preserve"> (2016) 24(47) </w:t>
      </w:r>
      <w:r w:rsidRPr="004D2BDE">
        <w:rPr>
          <w:rFonts w:ascii="Arial" w:hAnsi="Arial" w:cs="Arial"/>
          <w:i/>
        </w:rPr>
        <w:t>Reproductive Health matters</w:t>
      </w:r>
      <w:r w:rsidRPr="004D2BDE">
        <w:rPr>
          <w:rFonts w:ascii="Arial" w:hAnsi="Arial" w:cs="Arial"/>
        </w:rPr>
        <w:t xml:space="preserve"> 74, 75</w:t>
      </w:r>
      <w:r w:rsidRPr="004D2BDE">
        <w:rPr>
          <w:rFonts w:ascii="Arial" w:hAnsi="Arial" w:cs="Arial"/>
          <w:iCs/>
        </w:rPr>
        <w:t>–</w:t>
      </w:r>
      <w:r w:rsidRPr="004D2BDE">
        <w:rPr>
          <w:rFonts w:ascii="Arial" w:hAnsi="Arial" w:cs="Arial"/>
        </w:rPr>
        <w:t>76.</w:t>
      </w:r>
    </w:p>
  </w:endnote>
  <w:endnote w:id="85">
    <w:p w14:paraId="1A3A3308" w14:textId="4276E46E" w:rsidR="00C9464D" w:rsidRPr="004D2BDE" w:rsidRDefault="00C9464D" w:rsidP="00131BA9">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158, 176.</w:t>
      </w:r>
    </w:p>
  </w:endnote>
  <w:endnote w:id="86">
    <w:p w14:paraId="2F90F318" w14:textId="77777777" w:rsidR="00C9464D" w:rsidRPr="004D2BDE" w:rsidRDefault="00C9464D"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Malta Declaration</w:t>
      </w:r>
      <w:r w:rsidRPr="004D2BDE">
        <w:rPr>
          <w:rFonts w:ascii="Arial" w:hAnsi="Arial" w:cs="Arial"/>
        </w:rPr>
        <w:t xml:space="preserve"> (1 December 2013) OII Europe </w:t>
      </w:r>
      <w:r w:rsidRPr="004D2BDE">
        <w:rPr>
          <w:rFonts w:ascii="Arial" w:hAnsi="Arial" w:cs="Arial"/>
          <w:iCs/>
        </w:rPr>
        <w:t>– Organisation Intersex International Europe. At</w:t>
      </w:r>
      <w:r w:rsidRPr="004D2BDE">
        <w:rPr>
          <w:rFonts w:ascii="Arial" w:hAnsi="Arial" w:cs="Arial"/>
        </w:rPr>
        <w:t xml:space="preserve"> </w:t>
      </w:r>
      <w:hyperlink r:id="rId31" w:history="1">
        <w:r w:rsidRPr="004D2BDE">
          <w:rPr>
            <w:rStyle w:val="Hyperlink"/>
            <w:rFonts w:ascii="Arial" w:hAnsi="Arial" w:cs="Arial"/>
          </w:rPr>
          <w:t>https://oiieurope.org/malta-declaration/</w:t>
        </w:r>
      </w:hyperlink>
      <w:r w:rsidRPr="004D2BDE">
        <w:rPr>
          <w:rFonts w:ascii="Arial" w:hAnsi="Arial" w:cs="Arial"/>
        </w:rPr>
        <w:t xml:space="preserve"> (accessed 18 January 2018).</w:t>
      </w:r>
    </w:p>
  </w:endnote>
  <w:endnote w:id="87">
    <w:p w14:paraId="6A9233B1" w14:textId="2B98DAC4" w:rsidR="00C9464D" w:rsidRPr="004D2BDE" w:rsidRDefault="00C9464D"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At </w:t>
      </w:r>
      <w:hyperlink r:id="rId32" w:history="1">
        <w:r w:rsidRPr="004D2BDE">
          <w:rPr>
            <w:rStyle w:val="Hyperlink"/>
            <w:rFonts w:ascii="Arial" w:hAnsi="Arial" w:cs="Arial"/>
          </w:rPr>
          <w:t>https://oii.org.au/darlington-statement/</w:t>
        </w:r>
      </w:hyperlink>
      <w:r w:rsidRPr="004D2BDE">
        <w:rPr>
          <w:rFonts w:ascii="Arial" w:hAnsi="Arial" w:cs="Arial"/>
        </w:rPr>
        <w:t xml:space="preserve"> (accessed 6</w:t>
      </w:r>
      <w:r>
        <w:rPr>
          <w:rFonts w:ascii="Arial" w:hAnsi="Arial" w:cs="Arial"/>
        </w:rPr>
        <w:t> </w:t>
      </w:r>
      <w:r w:rsidRPr="004D2BDE">
        <w:rPr>
          <w:rFonts w:ascii="Arial" w:hAnsi="Arial" w:cs="Arial"/>
        </w:rPr>
        <w:t>July 2017).</w:t>
      </w:r>
    </w:p>
  </w:endnote>
  <w:endnote w:id="88">
    <w:p w14:paraId="3E91DF4C" w14:textId="77777777" w:rsidR="00C9464D" w:rsidRPr="004D2BDE" w:rsidRDefault="00C9464D"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Statement of the </w:t>
      </w:r>
      <w:proofErr w:type="gramStart"/>
      <w:r w:rsidRPr="004D2BDE">
        <w:rPr>
          <w:rFonts w:ascii="Arial" w:hAnsi="Arial" w:cs="Arial"/>
          <w:i/>
        </w:rPr>
        <w:t>1</w:t>
      </w:r>
      <w:r w:rsidRPr="004D2BDE">
        <w:rPr>
          <w:rFonts w:ascii="Arial" w:hAnsi="Arial" w:cs="Arial"/>
          <w:i/>
          <w:vertAlign w:val="superscript"/>
        </w:rPr>
        <w:t>st</w:t>
      </w:r>
      <w:proofErr w:type="gramEnd"/>
      <w:r w:rsidRPr="004D2BDE">
        <w:rPr>
          <w:rFonts w:ascii="Arial" w:hAnsi="Arial" w:cs="Arial"/>
          <w:i/>
        </w:rPr>
        <w:t xml:space="preserve"> European Intersex Community Event (Vienna, 30</w:t>
      </w:r>
      <w:r w:rsidRPr="004D2BDE">
        <w:rPr>
          <w:rFonts w:ascii="Arial" w:hAnsi="Arial" w:cs="Arial"/>
          <w:iCs/>
        </w:rPr>
        <w:t>–</w:t>
      </w:r>
      <w:r w:rsidRPr="004D2BDE">
        <w:rPr>
          <w:rFonts w:ascii="Arial" w:hAnsi="Arial" w:cs="Arial"/>
          <w:i/>
          <w:iCs/>
        </w:rPr>
        <w:t>31</w:t>
      </w:r>
      <w:r w:rsidRPr="004D2BDE">
        <w:rPr>
          <w:rFonts w:ascii="Arial" w:hAnsi="Arial" w:cs="Arial"/>
          <w:i/>
          <w:iCs/>
          <w:vertAlign w:val="superscript"/>
        </w:rPr>
        <w:t>st</w:t>
      </w:r>
      <w:r w:rsidRPr="004D2BDE">
        <w:rPr>
          <w:rFonts w:ascii="Arial" w:hAnsi="Arial" w:cs="Arial"/>
          <w:i/>
          <w:iCs/>
        </w:rPr>
        <w:t xml:space="preserve"> of March 2017)</w:t>
      </w:r>
      <w:r w:rsidRPr="004D2BDE">
        <w:rPr>
          <w:rFonts w:ascii="Arial" w:hAnsi="Arial" w:cs="Arial"/>
          <w:iCs/>
        </w:rPr>
        <w:t xml:space="preserve"> (20 April 2017) </w:t>
      </w:r>
      <w:r w:rsidRPr="004D2BDE">
        <w:rPr>
          <w:rFonts w:ascii="Arial" w:hAnsi="Arial" w:cs="Arial"/>
        </w:rPr>
        <w:t xml:space="preserve">OII Europe </w:t>
      </w:r>
      <w:r w:rsidRPr="004D2BDE">
        <w:rPr>
          <w:rFonts w:ascii="Arial" w:hAnsi="Arial" w:cs="Arial"/>
          <w:iCs/>
        </w:rPr>
        <w:t xml:space="preserve">– Organisation Intersex International Europe. At </w:t>
      </w:r>
      <w:hyperlink r:id="rId33" w:history="1">
        <w:r w:rsidRPr="004D2BDE">
          <w:rPr>
            <w:rStyle w:val="Hyperlink"/>
            <w:rFonts w:ascii="Arial" w:hAnsi="Arial" w:cs="Arial"/>
            <w:iCs/>
          </w:rPr>
          <w:t>https://oiieurope.org/statement-1st-european-intersex-community-event-vienna-30st-31st-march-2017/</w:t>
        </w:r>
      </w:hyperlink>
      <w:r w:rsidRPr="004D2BDE">
        <w:rPr>
          <w:rFonts w:ascii="Arial" w:hAnsi="Arial" w:cs="Arial"/>
          <w:iCs/>
        </w:rPr>
        <w:t xml:space="preserve"> (accessed 18 January 2018).</w:t>
      </w:r>
    </w:p>
  </w:endnote>
  <w:endnote w:id="89">
    <w:p w14:paraId="74DF30C7" w14:textId="77777777" w:rsidR="00C9464D" w:rsidRPr="004D2BDE" w:rsidRDefault="00C9464D" w:rsidP="00E5374C">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{"citationID":"AfGHJ8Ra","properties":{"formattedCitation":"{\\rtf {\\i{}Public Statement by the African Intersex Movement} (14 December 2017) Astraea Lesbian Foundation For Justice &lt;https://www.astraeafoundation.org/stories/public-statement-african-intersex-movement/&gt;.}","plainCitation":"Public Statement by the African Intersex Movement (14 December 2017) Astraea Lesbian Foundation For Justice &lt;https://www.astraeafoundation.org/stories/public-statement-african-intersex-movement/&gt;."},"citationItems":[{"id":959,"uris":["http://zotero.org/users/4317530/items/QLJ9DW85"],"uri":["http://zotero.org/users/4317530/items/QLJ9DW85"],"itemData":{"id":959,"type":"webpage","title":"Public Statement by the African Intersex Movement","container-title":"Astraea Lesbian Foundation For Justice","abstract":"Between the 24th and 26th November 2017, the First African Intersex Meeting took place in Johannesburg, South Africa. Participants drafted a Public Statement to extend demands aiming to end discrimination against intersex people in Africa, and to ensure the right of bodily integrity, physical autonomy and self-determination.","URL":"https://www.astraeafoundation.org/stories/public-statement-african-intersex-movement/","issued":{"date-parts":[["2017",12,14]]},"accessed":{"date-parts":[["2017",12,20]]}}}],"schema":"https://github.com/citation-style-language/schema/raw/master/csl-citation.json"} </w:instrText>
      </w:r>
      <w:r w:rsidRPr="004D2BDE">
        <w:rPr>
          <w:rFonts w:ascii="Arial" w:hAnsi="Arial" w:cs="Arial"/>
        </w:rPr>
        <w:fldChar w:fldCharType="separate"/>
      </w:r>
      <w:r w:rsidRPr="004D2BDE">
        <w:rPr>
          <w:rFonts w:ascii="Arial" w:hAnsi="Arial" w:cs="Arial"/>
          <w:i/>
          <w:iCs/>
        </w:rPr>
        <w:t>Public Statement by the African Intersex Movement</w:t>
      </w:r>
      <w:r w:rsidRPr="004D2BDE">
        <w:rPr>
          <w:rFonts w:ascii="Arial" w:hAnsi="Arial" w:cs="Arial"/>
        </w:rPr>
        <w:t xml:space="preserve"> (14 December 2017) Astraea Lesbian Foundation For Justice. At https://www.astraeafoundation.org/stories/public-statement-african-intersex-movement/</w:t>
      </w:r>
      <w:r w:rsidRPr="004D2BDE">
        <w:rPr>
          <w:rFonts w:ascii="Arial" w:hAnsi="Arial" w:cs="Arial"/>
        </w:rPr>
        <w:fldChar w:fldCharType="end"/>
      </w:r>
      <w:r w:rsidRPr="004D2BDE">
        <w:rPr>
          <w:rFonts w:ascii="Arial" w:hAnsi="Arial" w:cs="Arial"/>
        </w:rPr>
        <w:t xml:space="preserve"> (accessed 10 January 2018). </w:t>
      </w:r>
    </w:p>
  </w:endnote>
  <w:endnote w:id="90">
    <w:p w14:paraId="64E86DE7" w14:textId="5FAB9FD3"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Intersex Asia – Asia</w:t>
      </w:r>
      <w:r>
        <w:rPr>
          <w:rFonts w:ascii="Arial" w:hAnsi="Arial" w:cs="Arial"/>
          <w:i/>
        </w:rPr>
        <w:t>’</w:t>
      </w:r>
      <w:r w:rsidRPr="004D2BDE">
        <w:rPr>
          <w:rFonts w:ascii="Arial" w:hAnsi="Arial" w:cs="Arial"/>
          <w:i/>
        </w:rPr>
        <w:t>s regional intersex network – set up at Asian Intersex Forum</w:t>
      </w:r>
      <w:r w:rsidRPr="004D2BDE">
        <w:rPr>
          <w:rFonts w:ascii="Arial" w:hAnsi="Arial" w:cs="Arial"/>
        </w:rPr>
        <w:t xml:space="preserve"> (14 February 2018) Astraea Lesbian Foundation </w:t>
      </w:r>
      <w:proofErr w:type="gramStart"/>
      <w:r w:rsidRPr="004D2BDE">
        <w:rPr>
          <w:rFonts w:ascii="Arial" w:hAnsi="Arial" w:cs="Arial"/>
        </w:rPr>
        <w:t>For</w:t>
      </w:r>
      <w:proofErr w:type="gramEnd"/>
      <w:r w:rsidRPr="004D2BDE">
        <w:rPr>
          <w:rFonts w:ascii="Arial" w:hAnsi="Arial" w:cs="Arial"/>
        </w:rPr>
        <w:t xml:space="preserve"> Justice. At </w:t>
      </w:r>
      <w:hyperlink r:id="rId34" w:history="1">
        <w:r w:rsidRPr="004D2BDE">
          <w:rPr>
            <w:rStyle w:val="Hyperlink"/>
            <w:rFonts w:ascii="Arial" w:hAnsi="Arial" w:cs="Arial"/>
          </w:rPr>
          <w:t>https://www.astraeafoundation.org/stories/first-asian-intersex-forum/</w:t>
        </w:r>
      </w:hyperlink>
      <w:r w:rsidRPr="004D2BDE">
        <w:rPr>
          <w:rFonts w:ascii="Arial" w:hAnsi="Arial" w:cs="Arial"/>
        </w:rPr>
        <w:t xml:space="preserve"> (accessed 16 February 2018).</w:t>
      </w:r>
    </w:p>
  </w:endnote>
  <w:endnote w:id="91">
    <w:p w14:paraId="5DF0F2C1" w14:textId="77777777" w:rsidR="00C9464D" w:rsidRPr="004D2BDE" w:rsidRDefault="00C9464D"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29.</w:t>
      </w:r>
    </w:p>
  </w:endnote>
  <w:endnote w:id="92">
    <w:p w14:paraId="5B94A2B5" w14:textId="70317CDB" w:rsidR="00C9464D" w:rsidRPr="004D2BDE" w:rsidRDefault="00C9464D"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Council of Europe, </w:t>
      </w:r>
      <w:r w:rsidRPr="004D2BDE">
        <w:rPr>
          <w:rFonts w:ascii="Arial" w:hAnsi="Arial" w:cs="Arial"/>
          <w:i/>
        </w:rPr>
        <w:t>Human rights and intersex people: Issue paper</w:t>
      </w:r>
      <w:r w:rsidRPr="004D2BDE">
        <w:rPr>
          <w:rFonts w:ascii="Arial" w:hAnsi="Arial" w:cs="Arial"/>
        </w:rPr>
        <w:t xml:space="preserve"> (2</w:t>
      </w:r>
      <w:r w:rsidRPr="004D2BDE">
        <w:rPr>
          <w:rFonts w:ascii="Arial" w:hAnsi="Arial" w:cs="Arial"/>
          <w:vertAlign w:val="superscript"/>
        </w:rPr>
        <w:t>nd</w:t>
      </w:r>
      <w:r w:rsidRPr="004D2BDE">
        <w:rPr>
          <w:rFonts w:ascii="Arial" w:hAnsi="Arial" w:cs="Arial"/>
        </w:rPr>
        <w:t xml:space="preserve"> </w:t>
      </w:r>
      <w:proofErr w:type="spellStart"/>
      <w:proofErr w:type="gramStart"/>
      <w:r w:rsidRPr="004D2BDE">
        <w:rPr>
          <w:rFonts w:ascii="Arial" w:hAnsi="Arial" w:cs="Arial"/>
        </w:rPr>
        <w:t>ed</w:t>
      </w:r>
      <w:proofErr w:type="spellEnd"/>
      <w:proofErr w:type="gramEnd"/>
      <w:r w:rsidRPr="004D2BDE">
        <w:rPr>
          <w:rFonts w:ascii="Arial" w:hAnsi="Arial" w:cs="Arial"/>
        </w:rPr>
        <w:t xml:space="preserve">, September 2015) 14; Morgan Carpenter, </w:t>
      </w:r>
      <w:r>
        <w:rPr>
          <w:rFonts w:ascii="Arial" w:hAnsi="Arial" w:cs="Arial"/>
        </w:rPr>
        <w:t>‘</w:t>
      </w:r>
      <w:r w:rsidRPr="004D2BDE">
        <w:rPr>
          <w:rFonts w:ascii="Arial" w:hAnsi="Arial" w:cs="Arial"/>
        </w:rPr>
        <w:t>The human rights of intersex people: addressing harmful practices and rhetoric of change</w:t>
      </w:r>
      <w:r>
        <w:rPr>
          <w:rFonts w:ascii="Arial" w:hAnsi="Arial" w:cs="Arial"/>
        </w:rPr>
        <w:t>’</w:t>
      </w:r>
      <w:r w:rsidRPr="004D2BDE">
        <w:rPr>
          <w:rFonts w:ascii="Arial" w:hAnsi="Arial" w:cs="Arial"/>
        </w:rPr>
        <w:t xml:space="preserve"> (2016) 24(47) </w:t>
      </w:r>
      <w:r w:rsidRPr="004D2BDE">
        <w:rPr>
          <w:rFonts w:ascii="Arial" w:hAnsi="Arial" w:cs="Arial"/>
          <w:i/>
        </w:rPr>
        <w:t>Reproductive Health matters</w:t>
      </w:r>
      <w:r w:rsidRPr="004D2BDE">
        <w:rPr>
          <w:rFonts w:ascii="Arial" w:hAnsi="Arial" w:cs="Arial"/>
        </w:rPr>
        <w:t xml:space="preserve"> 74, 79.</w:t>
      </w:r>
    </w:p>
  </w:endnote>
  <w:endnote w:id="93">
    <w:p w14:paraId="610D05FA" w14:textId="281F50A0" w:rsidR="00C9464D" w:rsidRPr="004D2BDE" w:rsidRDefault="00C9464D"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Committee on the Rights of the Child, </w:t>
      </w:r>
      <w:r w:rsidRPr="004D2BDE">
        <w:rPr>
          <w:rFonts w:ascii="Arial" w:hAnsi="Arial" w:cs="Arial"/>
          <w:i/>
        </w:rPr>
        <w:t>Concluding observations on the combined third to fifth periodic reports of Nepal</w:t>
      </w:r>
      <w:r w:rsidRPr="004D2BDE">
        <w:rPr>
          <w:rFonts w:ascii="Arial" w:hAnsi="Arial" w:cs="Arial"/>
        </w:rPr>
        <w:t>, UN Doc CRC/C/NPL/CO/3</w:t>
      </w:r>
      <w:r w:rsidRPr="004D2BDE">
        <w:rPr>
          <w:rFonts w:ascii="Arial" w:hAnsi="Arial" w:cs="Arial"/>
          <w:iCs/>
        </w:rPr>
        <w:t>–</w:t>
      </w:r>
      <w:r w:rsidRPr="004D2BDE">
        <w:rPr>
          <w:rFonts w:ascii="Arial" w:hAnsi="Arial" w:cs="Arial"/>
        </w:rPr>
        <w:t>5 (8 July 2016) [41]</w:t>
      </w:r>
      <w:r w:rsidRPr="004D2BDE">
        <w:rPr>
          <w:rFonts w:ascii="Arial" w:hAnsi="Arial" w:cs="Arial"/>
          <w:iCs/>
        </w:rPr>
        <w:t>–</w:t>
      </w:r>
      <w:r w:rsidRPr="004D2BDE">
        <w:rPr>
          <w:rFonts w:ascii="Arial" w:hAnsi="Arial" w:cs="Arial"/>
        </w:rPr>
        <w:t xml:space="preserve">[42]; Committee on the Rights of the Child, </w:t>
      </w:r>
      <w:r w:rsidRPr="004D2BDE">
        <w:rPr>
          <w:rFonts w:ascii="Arial" w:hAnsi="Arial" w:cs="Arial"/>
          <w:i/>
        </w:rPr>
        <w:t>Concluding observations on the fifth periodic report of the United Kingdom of Great Britain and Northern Ireland</w:t>
      </w:r>
      <w:r w:rsidRPr="004D2BDE">
        <w:rPr>
          <w:rFonts w:ascii="Arial" w:hAnsi="Arial" w:cs="Arial"/>
        </w:rPr>
        <w:t>, UN Doc CRC/C/GBR/CO/5 (3 June 2016) [45]</w:t>
      </w:r>
      <w:r w:rsidRPr="004D2BDE">
        <w:rPr>
          <w:rFonts w:ascii="Arial" w:hAnsi="Arial" w:cs="Arial"/>
          <w:iCs/>
        </w:rPr>
        <w:t>–</w:t>
      </w:r>
      <w:r w:rsidRPr="004D2BDE">
        <w:rPr>
          <w:rFonts w:ascii="Arial" w:hAnsi="Arial" w:cs="Arial"/>
        </w:rPr>
        <w:t xml:space="preserve">[46]; Committee on the Elimination of Discrimination against Women, </w:t>
      </w:r>
      <w:r w:rsidRPr="004D2BDE">
        <w:rPr>
          <w:rFonts w:ascii="Arial" w:hAnsi="Arial" w:cs="Arial"/>
          <w:i/>
        </w:rPr>
        <w:t>Concluding observations on the combined fourth and fifth periodic reports of Switzerland</w:t>
      </w:r>
      <w:r w:rsidRPr="004D2BDE">
        <w:rPr>
          <w:rFonts w:ascii="Arial" w:hAnsi="Arial" w:cs="Arial"/>
        </w:rPr>
        <w:t>, UN Doc CEDAW/C/CHE/CO/4</w:t>
      </w:r>
      <w:r w:rsidRPr="004D2BDE">
        <w:rPr>
          <w:rFonts w:ascii="Arial" w:hAnsi="Arial" w:cs="Arial"/>
          <w:iCs/>
        </w:rPr>
        <w:t>–</w:t>
      </w:r>
      <w:r w:rsidRPr="004D2BDE">
        <w:rPr>
          <w:rFonts w:ascii="Arial" w:hAnsi="Arial" w:cs="Arial"/>
        </w:rPr>
        <w:t>5 (25 November 2016) [25]</w:t>
      </w:r>
      <w:r w:rsidRPr="004D2BDE">
        <w:rPr>
          <w:rFonts w:ascii="Arial" w:hAnsi="Arial" w:cs="Arial"/>
          <w:iCs/>
        </w:rPr>
        <w:t>–</w:t>
      </w:r>
      <w:r w:rsidRPr="004D2BDE">
        <w:rPr>
          <w:rFonts w:ascii="Arial" w:hAnsi="Arial" w:cs="Arial"/>
        </w:rPr>
        <w:t>[25].</w:t>
      </w:r>
      <w:r w:rsidRPr="004D2BDE">
        <w:rPr>
          <w:rFonts w:ascii="Arial" w:eastAsia="Times New Roman" w:hAnsi="Arial" w:cs="Arial"/>
        </w:rPr>
        <w:t xml:space="preserve">Committee on the Elimination of Discrimination against Women, </w:t>
      </w:r>
      <w:r w:rsidRPr="004D2BDE">
        <w:rPr>
          <w:rFonts w:ascii="Arial" w:eastAsia="Times New Roman" w:hAnsi="Arial" w:cs="Arial"/>
          <w:i/>
        </w:rPr>
        <w:t>Concluding Observations on Germany</w:t>
      </w:r>
      <w:r w:rsidRPr="004D2BDE">
        <w:rPr>
          <w:rFonts w:ascii="Arial" w:eastAsia="Times New Roman" w:hAnsi="Arial" w:cs="Arial"/>
        </w:rPr>
        <w:t xml:space="preserve">, UN Doc CEDAW/C/DEU/CO/7-8 (3 March 2017) [23]–[24]; Committee against Torture, </w:t>
      </w:r>
      <w:r w:rsidRPr="004D2BDE">
        <w:rPr>
          <w:rFonts w:ascii="Arial" w:eastAsia="Times New Roman" w:hAnsi="Arial" w:cs="Arial"/>
          <w:i/>
        </w:rPr>
        <w:t>Concluding observations on France</w:t>
      </w:r>
      <w:r w:rsidRPr="004D2BDE">
        <w:rPr>
          <w:rFonts w:ascii="Arial" w:eastAsia="Times New Roman" w:hAnsi="Arial" w:cs="Arial"/>
        </w:rPr>
        <w:t>, UN Doc CAT/C/FRA /CO/7 (10 June 2016) [34]–[35].</w:t>
      </w:r>
      <w:proofErr w:type="gramEnd"/>
    </w:p>
  </w:endnote>
  <w:endnote w:id="94">
    <w:p w14:paraId="21A43197" w14:textId="68C1BBB8" w:rsidR="00C9464D" w:rsidRPr="004D2BDE" w:rsidRDefault="00C9464D"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Office of the United Nations High Commissioner for Human Rights, </w:t>
      </w:r>
      <w:r w:rsidRPr="004D2BDE">
        <w:rPr>
          <w:rFonts w:ascii="Arial" w:hAnsi="Arial" w:cs="Arial"/>
          <w:i/>
        </w:rPr>
        <w:t>Free &amp; Equal campaign: Intersex Fact Sheet</w:t>
      </w:r>
      <w:r w:rsidRPr="004D2BDE">
        <w:rPr>
          <w:rFonts w:ascii="Arial" w:hAnsi="Arial" w:cs="Arial"/>
        </w:rPr>
        <w:t xml:space="preserve"> (5 September 2015). At </w:t>
      </w:r>
      <w:hyperlink r:id="rId35" w:history="1">
        <w:r w:rsidRPr="004D2BDE">
          <w:rPr>
            <w:rStyle w:val="Hyperlink"/>
            <w:rFonts w:ascii="Arial" w:hAnsi="Arial" w:cs="Arial"/>
          </w:rPr>
          <w:t>https://unfe.org/system/unfe-65-Intersex_Factsheet_ENGLISH.pdf</w:t>
        </w:r>
      </w:hyperlink>
      <w:r w:rsidRPr="004D2BDE">
        <w:rPr>
          <w:rFonts w:ascii="Arial" w:hAnsi="Arial" w:cs="Arial"/>
        </w:rPr>
        <w:t xml:space="preserve"> (accessed 18 January 2018); United Nations General Assembly, </w:t>
      </w:r>
      <w:r w:rsidRPr="004D2BDE">
        <w:rPr>
          <w:rFonts w:ascii="Arial" w:hAnsi="Arial" w:cs="Arial"/>
          <w:i/>
        </w:rPr>
        <w:t xml:space="preserve">Right of everyone to the enjoyment of the highest attainable standard of physical and mental </w:t>
      </w:r>
      <w:r w:rsidRPr="004D2BDE">
        <w:rPr>
          <w:rFonts w:ascii="Arial" w:hAnsi="Arial" w:cs="Arial"/>
        </w:rPr>
        <w:t xml:space="preserve">health, UN Doc A/70/213 (30 July 2015). At </w:t>
      </w:r>
      <w:hyperlink r:id="rId36" w:history="1">
        <w:r w:rsidRPr="004D2BDE">
          <w:rPr>
            <w:rStyle w:val="Hyperlink"/>
            <w:rFonts w:ascii="Arial" w:hAnsi="Arial" w:cs="Arial"/>
          </w:rPr>
          <w:t>http://www.un.org/en/ga/search/view_doc.asp?symbol=A/70/213</w:t>
        </w:r>
      </w:hyperlink>
      <w:r w:rsidRPr="004D2BDE">
        <w:rPr>
          <w:rFonts w:ascii="Arial" w:hAnsi="Arial" w:cs="Arial"/>
        </w:rPr>
        <w:t xml:space="preserve"> (accessed 19</w:t>
      </w:r>
      <w:r>
        <w:rPr>
          <w:rFonts w:ascii="Arial" w:hAnsi="Arial" w:cs="Arial"/>
        </w:rPr>
        <w:t> </w:t>
      </w:r>
      <w:r w:rsidRPr="004D2BDE">
        <w:rPr>
          <w:rFonts w:ascii="Arial" w:hAnsi="Arial" w:cs="Arial"/>
        </w:rPr>
        <w:t xml:space="preserve">January 2018); Juan E. Méndez, </w:t>
      </w:r>
      <w:r w:rsidRPr="004D2BDE">
        <w:rPr>
          <w:rFonts w:ascii="Arial" w:hAnsi="Arial" w:cs="Arial"/>
          <w:i/>
        </w:rPr>
        <w:t xml:space="preserve">Report of the Special Rapporteur on torture and other cruel, inhuman or degrading treatment or punishment, </w:t>
      </w:r>
      <w:r w:rsidRPr="004D2BDE">
        <w:rPr>
          <w:rFonts w:ascii="Arial" w:hAnsi="Arial" w:cs="Arial"/>
        </w:rPr>
        <w:t xml:space="preserve">UN Doc A/HRC/22/53 (1 February 2013). At </w:t>
      </w:r>
      <w:hyperlink r:id="rId37" w:history="1">
        <w:r w:rsidRPr="00C52F37">
          <w:rPr>
            <w:rStyle w:val="Hyperlink"/>
            <w:rFonts w:ascii="Arial" w:hAnsi="Arial" w:cs="Arial"/>
          </w:rPr>
          <w:t>http://daccess-ods.un.org/access.nsf/Get?Open&amp;DS=A/HRC/22/53&amp;Lang=E</w:t>
        </w:r>
      </w:hyperlink>
      <w:r w:rsidRPr="004D2BDE">
        <w:rPr>
          <w:rFonts w:ascii="Arial" w:hAnsi="Arial" w:cs="Arial"/>
        </w:rPr>
        <w:t xml:space="preserve"> (accessed 7 July 2017).</w:t>
      </w:r>
    </w:p>
  </w:endnote>
  <w:endnote w:id="95">
    <w:p w14:paraId="6D9361AC" w14:textId="19813D0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United Nations General Assembly, </w:t>
      </w:r>
      <w:r w:rsidRPr="004D2BDE">
        <w:rPr>
          <w:rFonts w:ascii="Arial" w:hAnsi="Arial" w:cs="Arial"/>
          <w:i/>
          <w:iCs/>
        </w:rPr>
        <w:t xml:space="preserve">Special Rapporteur on the right of everyone to the enjoyment of the highest attainable standard of physical and mental health, </w:t>
      </w:r>
      <w:r w:rsidRPr="004D2BDE">
        <w:rPr>
          <w:rFonts w:ascii="Arial" w:hAnsi="Arial" w:cs="Arial"/>
          <w:iCs/>
        </w:rPr>
        <w:t>UN Doc</w:t>
      </w:r>
      <w:r w:rsidRPr="004D2BDE">
        <w:rPr>
          <w:rFonts w:ascii="Arial" w:hAnsi="Arial" w:cs="Arial"/>
          <w:i/>
          <w:iCs/>
        </w:rPr>
        <w:t xml:space="preserve"> </w:t>
      </w:r>
      <w:r w:rsidRPr="004D2BDE">
        <w:rPr>
          <w:rFonts w:ascii="Arial" w:hAnsi="Arial" w:cs="Arial"/>
        </w:rPr>
        <w:t xml:space="preserve">A/64/272 (10 August 2009). At </w:t>
      </w:r>
      <w:hyperlink r:id="rId38" w:history="1">
        <w:r w:rsidRPr="004D2BDE">
          <w:rPr>
            <w:rStyle w:val="Hyperlink"/>
            <w:rFonts w:ascii="Arial" w:hAnsi="Arial" w:cs="Arial"/>
          </w:rPr>
          <w:t>http://www.hr-dp.org/files/2015/06/08/GA_Annual_report,_2009.pdf</w:t>
        </w:r>
      </w:hyperlink>
      <w:r w:rsidRPr="004D2BDE">
        <w:rPr>
          <w:rFonts w:ascii="Arial" w:hAnsi="Arial" w:cs="Arial"/>
        </w:rPr>
        <w:t xml:space="preserve"> (accessed 18 January 2018).</w:t>
      </w:r>
    </w:p>
  </w:endnote>
  <w:endnote w:id="96">
    <w:p w14:paraId="53501B0C" w14:textId="32D446BE" w:rsidR="00C9464D" w:rsidRPr="004D2BDE" w:rsidRDefault="00C9464D" w:rsidP="00405960">
      <w:pPr>
        <w:autoSpaceDE w:val="0"/>
        <w:autoSpaceDN w:val="0"/>
        <w:adjustRightInd w:val="0"/>
        <w:spacing w:after="0"/>
        <w:rPr>
          <w:rFonts w:ascii="Arial" w:hAnsi="Arial" w:cs="Arial"/>
          <w:sz w:val="20"/>
          <w:szCs w:val="20"/>
        </w:rPr>
      </w:pPr>
      <w:r w:rsidRPr="004D2BDE">
        <w:rPr>
          <w:rStyle w:val="EndnoteReference"/>
          <w:rFonts w:cs="Arial"/>
          <w:szCs w:val="20"/>
        </w:rPr>
        <w:endnoteRef/>
      </w:r>
      <w:r w:rsidRPr="004D2BDE">
        <w:rPr>
          <w:rFonts w:ascii="Arial" w:hAnsi="Arial" w:cs="Arial"/>
          <w:sz w:val="20"/>
          <w:szCs w:val="20"/>
        </w:rPr>
        <w:t xml:space="preserve"> Juan E. Méndez, </w:t>
      </w:r>
      <w:r w:rsidRPr="004D2BDE">
        <w:rPr>
          <w:rFonts w:ascii="Arial" w:hAnsi="Arial" w:cs="Arial"/>
          <w:i/>
          <w:sz w:val="20"/>
          <w:szCs w:val="20"/>
        </w:rPr>
        <w:t xml:space="preserve">Report of the Special Rapporteur on torture and other cruel, inhuman or degrading treatment or punishment, </w:t>
      </w:r>
      <w:r w:rsidRPr="004D2BDE">
        <w:rPr>
          <w:rFonts w:ascii="Arial" w:hAnsi="Arial" w:cs="Arial"/>
          <w:sz w:val="20"/>
          <w:szCs w:val="20"/>
        </w:rPr>
        <w:t xml:space="preserve">UN Doc A/HRC/22/53 (1 February 2013). At </w:t>
      </w:r>
      <w:hyperlink r:id="rId39" w:history="1">
        <w:r w:rsidRPr="00C52F37">
          <w:rPr>
            <w:rStyle w:val="Hyperlink"/>
            <w:rFonts w:ascii="Arial" w:hAnsi="Arial" w:cs="Arial"/>
            <w:sz w:val="20"/>
            <w:szCs w:val="20"/>
          </w:rPr>
          <w:t>http://daccess-ods.un.org/access.nsf/Get?Open&amp;DS=A/HRC/22/53&amp;Lang=E</w:t>
        </w:r>
      </w:hyperlink>
      <w:r w:rsidRPr="004D2BDE">
        <w:rPr>
          <w:rFonts w:ascii="Arial" w:hAnsi="Arial" w:cs="Arial"/>
          <w:sz w:val="20"/>
          <w:szCs w:val="20"/>
        </w:rPr>
        <w:t xml:space="preserve"> (accessed 7 July 2017).</w:t>
      </w:r>
    </w:p>
  </w:endnote>
  <w:endnote w:id="97">
    <w:p w14:paraId="259B5928" w14:textId="77777777" w:rsidR="00C9464D" w:rsidRPr="004D2BDE" w:rsidRDefault="00C9464D" w:rsidP="00405960">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Charter of Human Rights and Responsibilities Act 2006 </w:t>
      </w:r>
      <w:r w:rsidRPr="004D2BDE">
        <w:rPr>
          <w:rFonts w:ascii="Arial" w:hAnsi="Arial" w:cs="Arial"/>
        </w:rPr>
        <w:t>(Vic) s 10(c).</w:t>
      </w:r>
    </w:p>
  </w:endnote>
  <w:endnote w:id="98">
    <w:p w14:paraId="4ABCAAB8" w14:textId="77777777"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lang w:val="en-US"/>
        </w:rPr>
        <w:t xml:space="preserve">See, for example, </w:t>
      </w:r>
      <w:r w:rsidRPr="004D2BDE">
        <w:rPr>
          <w:rFonts w:ascii="Arial" w:hAnsi="Arial" w:cs="Arial"/>
          <w:i/>
          <w:lang w:val="en-US"/>
        </w:rPr>
        <w:t>Consent to Medical Treatment and Palliative Care Act</w:t>
      </w:r>
      <w:r w:rsidRPr="004D2BDE">
        <w:rPr>
          <w:rFonts w:ascii="Arial" w:hAnsi="Arial" w:cs="Arial"/>
          <w:lang w:val="en-US"/>
        </w:rPr>
        <w:t xml:space="preserve"> 1995 (SA) s 6; </w:t>
      </w:r>
      <w:r w:rsidRPr="004D2BDE">
        <w:rPr>
          <w:rFonts w:ascii="Arial" w:hAnsi="Arial" w:cs="Arial"/>
          <w:i/>
          <w:lang w:val="en-US"/>
        </w:rPr>
        <w:t>Guardianship Act 1987</w:t>
      </w:r>
      <w:r w:rsidRPr="004D2BDE">
        <w:rPr>
          <w:rFonts w:ascii="Arial" w:hAnsi="Arial" w:cs="Arial"/>
          <w:lang w:val="en-US"/>
        </w:rPr>
        <w:t xml:space="preserve"> (NSW) s 34; </w:t>
      </w:r>
      <w:r w:rsidRPr="004D2BDE">
        <w:rPr>
          <w:rFonts w:ascii="Arial" w:hAnsi="Arial" w:cs="Arial"/>
          <w:i/>
          <w:lang w:val="en-US"/>
        </w:rPr>
        <w:t>Guardianship and Administration Act 1986</w:t>
      </w:r>
      <w:r w:rsidRPr="004D2BDE">
        <w:rPr>
          <w:rFonts w:ascii="Arial" w:hAnsi="Arial" w:cs="Arial"/>
          <w:lang w:val="en-US"/>
        </w:rPr>
        <w:t xml:space="preserve"> (Vic) s 36(1); </w:t>
      </w:r>
      <w:r w:rsidRPr="004D2BDE">
        <w:rPr>
          <w:rFonts w:ascii="Arial" w:hAnsi="Arial" w:cs="Arial"/>
          <w:i/>
          <w:lang w:val="en-US"/>
        </w:rPr>
        <w:t>Guardianship and Administration Act 2000</w:t>
      </w:r>
      <w:r w:rsidRPr="004D2BDE">
        <w:rPr>
          <w:rFonts w:ascii="Arial" w:hAnsi="Arial" w:cs="Arial"/>
          <w:lang w:val="en-US"/>
        </w:rPr>
        <w:t xml:space="preserve"> (</w:t>
      </w:r>
      <w:proofErr w:type="spellStart"/>
      <w:r w:rsidRPr="004D2BDE">
        <w:rPr>
          <w:rFonts w:ascii="Arial" w:hAnsi="Arial" w:cs="Arial"/>
          <w:lang w:val="en-US"/>
        </w:rPr>
        <w:t>Qld</w:t>
      </w:r>
      <w:proofErr w:type="spellEnd"/>
      <w:r w:rsidRPr="004D2BDE">
        <w:rPr>
          <w:rFonts w:ascii="Arial" w:hAnsi="Arial" w:cs="Arial"/>
          <w:lang w:val="en-US"/>
        </w:rPr>
        <w:t xml:space="preserve">) s 80C; </w:t>
      </w:r>
      <w:r w:rsidRPr="004D2BDE">
        <w:rPr>
          <w:rFonts w:ascii="Arial" w:hAnsi="Arial" w:cs="Arial"/>
          <w:i/>
          <w:lang w:val="en-US"/>
        </w:rPr>
        <w:t>Guardianship and Management of Property Act 1991</w:t>
      </w:r>
      <w:r w:rsidRPr="004D2BDE">
        <w:rPr>
          <w:rFonts w:ascii="Arial" w:hAnsi="Arial" w:cs="Arial"/>
          <w:lang w:val="en-US"/>
        </w:rPr>
        <w:t xml:space="preserve"> (ACT) s 5; </w:t>
      </w:r>
      <w:r w:rsidRPr="004D2BDE">
        <w:rPr>
          <w:rFonts w:ascii="Arial" w:hAnsi="Arial" w:cs="Arial"/>
          <w:i/>
          <w:lang w:val="en-US"/>
        </w:rPr>
        <w:t>Guardianship of Adults Act 2016</w:t>
      </w:r>
      <w:r w:rsidRPr="004D2BDE">
        <w:rPr>
          <w:rFonts w:ascii="Arial" w:hAnsi="Arial" w:cs="Arial"/>
          <w:lang w:val="en-US"/>
        </w:rPr>
        <w:t xml:space="preserve"> (NT) s 5; </w:t>
      </w:r>
      <w:r w:rsidRPr="004D2BDE">
        <w:rPr>
          <w:rFonts w:ascii="Arial" w:hAnsi="Arial" w:cs="Arial"/>
          <w:i/>
          <w:lang w:val="en-US"/>
        </w:rPr>
        <w:t xml:space="preserve">Guardianship and Administration Act 1995 </w:t>
      </w:r>
      <w:r w:rsidRPr="004D2BDE">
        <w:rPr>
          <w:rFonts w:ascii="Arial" w:hAnsi="Arial" w:cs="Arial"/>
          <w:lang w:val="en-US"/>
        </w:rPr>
        <w:t>(</w:t>
      </w:r>
      <w:proofErr w:type="spellStart"/>
      <w:r w:rsidRPr="004D2BDE">
        <w:rPr>
          <w:rFonts w:ascii="Arial" w:hAnsi="Arial" w:cs="Arial"/>
          <w:lang w:val="en-US"/>
        </w:rPr>
        <w:t>Tas</w:t>
      </w:r>
      <w:proofErr w:type="spellEnd"/>
      <w:r w:rsidRPr="004D2BDE">
        <w:rPr>
          <w:rFonts w:ascii="Arial" w:hAnsi="Arial" w:cs="Arial"/>
          <w:lang w:val="en-US"/>
        </w:rPr>
        <w:t>) s 38.</w:t>
      </w:r>
      <w:proofErr w:type="gramEnd"/>
      <w:r w:rsidRPr="004D2BDE">
        <w:rPr>
          <w:rFonts w:ascii="Arial" w:hAnsi="Arial" w:cs="Arial"/>
          <w:lang w:val="en-US"/>
        </w:rPr>
        <w:t xml:space="preserve"> </w:t>
      </w:r>
    </w:p>
  </w:endnote>
  <w:endnote w:id="99">
    <w:p w14:paraId="39F14D4F" w14:textId="0922A845"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iCs/>
          <w:shd w:val="clear" w:color="auto" w:fill="FFFFFF"/>
        </w:rPr>
        <w:t>Rogers v Whitaker</w:t>
      </w:r>
      <w:r w:rsidRPr="004D2BDE">
        <w:rPr>
          <w:rFonts w:ascii="Arial" w:hAnsi="Arial" w:cs="Arial"/>
          <w:shd w:val="clear" w:color="auto" w:fill="FFFFFF"/>
        </w:rPr>
        <w:t> (1992) 175 CLR 479, 485 [15].</w:t>
      </w:r>
    </w:p>
  </w:endnote>
  <w:endnote w:id="100">
    <w:p w14:paraId="53B82300" w14:textId="77777777"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United Nations General Assembly, </w:t>
      </w:r>
      <w:r w:rsidRPr="004D2BDE">
        <w:rPr>
          <w:rFonts w:ascii="Arial" w:hAnsi="Arial" w:cs="Arial"/>
          <w:i/>
          <w:iCs/>
        </w:rPr>
        <w:t xml:space="preserve">Special Rapporteur on the right of everyone to the enjoyment of the highest attainable standard of physical and mental health, </w:t>
      </w:r>
      <w:r w:rsidRPr="004D2BDE">
        <w:rPr>
          <w:rFonts w:ascii="Arial" w:hAnsi="Arial" w:cs="Arial"/>
          <w:iCs/>
        </w:rPr>
        <w:t>UN Doc</w:t>
      </w:r>
      <w:r w:rsidRPr="004D2BDE">
        <w:rPr>
          <w:rFonts w:ascii="Arial" w:hAnsi="Arial" w:cs="Arial"/>
          <w:i/>
          <w:iCs/>
        </w:rPr>
        <w:t xml:space="preserve"> </w:t>
      </w:r>
      <w:r w:rsidRPr="004D2BDE">
        <w:rPr>
          <w:rFonts w:ascii="Arial" w:hAnsi="Arial" w:cs="Arial"/>
        </w:rPr>
        <w:t xml:space="preserve">A/64/272 (10 August 2009); Juan E. Méndez, </w:t>
      </w:r>
      <w:r w:rsidRPr="004D2BDE">
        <w:rPr>
          <w:rFonts w:ascii="Arial" w:hAnsi="Arial" w:cs="Arial"/>
          <w:i/>
        </w:rPr>
        <w:t xml:space="preserve">Report of the Special Rapporteur on torture and other cruel, inhuman or degrading treatment or punishment, </w:t>
      </w:r>
      <w:r w:rsidRPr="004D2BDE">
        <w:rPr>
          <w:rFonts w:ascii="Arial" w:hAnsi="Arial" w:cs="Arial"/>
        </w:rPr>
        <w:t>UN Doc A/HRC/22/53 (1 February 2013).</w:t>
      </w:r>
      <w:proofErr w:type="gramEnd"/>
    </w:p>
  </w:endnote>
  <w:endnote w:id="101">
    <w:p w14:paraId="10955E2B" w14:textId="2862EB00" w:rsidR="00C9464D" w:rsidRPr="004D2BDE" w:rsidRDefault="00C9464D" w:rsidP="00266332">
      <w:pPr>
        <w:pStyle w:val="SubmissionNormal"/>
        <w:numPr>
          <w:ilvl w:val="0"/>
          <w:numId w:val="0"/>
        </w:numPr>
        <w:spacing w:after="0"/>
        <w:rPr>
          <w:rFonts w:ascii="Arial" w:hAnsi="Arial" w:cs="Arial"/>
          <w:sz w:val="20"/>
          <w:szCs w:val="20"/>
        </w:rPr>
      </w:pPr>
      <w:r w:rsidRPr="004D2BDE">
        <w:rPr>
          <w:rStyle w:val="EndnoteReference"/>
          <w:rFonts w:eastAsia="MS Mincho" w:cs="Arial"/>
          <w:szCs w:val="20"/>
        </w:rPr>
        <w:endnoteRef/>
      </w:r>
      <w:r w:rsidRPr="004D2BDE">
        <w:rPr>
          <w:rFonts w:ascii="Arial" w:hAnsi="Arial" w:cs="Arial"/>
          <w:sz w:val="20"/>
          <w:szCs w:val="20"/>
        </w:rPr>
        <w:t xml:space="preserve"> </w:t>
      </w:r>
      <w:r w:rsidRPr="004D2BDE">
        <w:rPr>
          <w:rFonts w:ascii="Arial" w:hAnsi="Arial" w:cs="Arial"/>
          <w:i/>
          <w:sz w:val="20"/>
          <w:szCs w:val="20"/>
        </w:rPr>
        <w:t>Secretary, Department of Health and Community Services v JWB</w:t>
      </w:r>
      <w:r w:rsidRPr="004D2BDE">
        <w:rPr>
          <w:rFonts w:ascii="Arial" w:hAnsi="Arial" w:cs="Arial"/>
          <w:sz w:val="20"/>
          <w:szCs w:val="20"/>
        </w:rPr>
        <w:t xml:space="preserve"> (1992) 175 CLR 218 (</w:t>
      </w:r>
      <w:r>
        <w:rPr>
          <w:rFonts w:ascii="Arial" w:hAnsi="Arial" w:cs="Arial"/>
          <w:sz w:val="20"/>
          <w:szCs w:val="20"/>
        </w:rPr>
        <w:t>‘</w:t>
      </w:r>
      <w:r w:rsidRPr="004D2BDE">
        <w:rPr>
          <w:rFonts w:ascii="Arial" w:hAnsi="Arial" w:cs="Arial"/>
          <w:i/>
          <w:sz w:val="20"/>
          <w:szCs w:val="20"/>
        </w:rPr>
        <w:t>Marion</w:t>
      </w:r>
      <w:r>
        <w:rPr>
          <w:rFonts w:ascii="Arial" w:hAnsi="Arial" w:cs="Arial"/>
          <w:i/>
          <w:sz w:val="20"/>
          <w:szCs w:val="20"/>
        </w:rPr>
        <w:t>’</w:t>
      </w:r>
      <w:r w:rsidRPr="004D2BDE">
        <w:rPr>
          <w:rFonts w:ascii="Arial" w:hAnsi="Arial" w:cs="Arial"/>
          <w:i/>
          <w:sz w:val="20"/>
          <w:szCs w:val="20"/>
        </w:rPr>
        <w:t>s case</w:t>
      </w:r>
      <w:r>
        <w:rPr>
          <w:rFonts w:ascii="Arial" w:hAnsi="Arial" w:cs="Arial"/>
          <w:sz w:val="20"/>
          <w:szCs w:val="20"/>
        </w:rPr>
        <w:t>’</w:t>
      </w:r>
      <w:r w:rsidRPr="004D2BDE">
        <w:rPr>
          <w:rFonts w:ascii="Arial" w:hAnsi="Arial" w:cs="Arial"/>
          <w:sz w:val="20"/>
          <w:szCs w:val="20"/>
        </w:rPr>
        <w:t>)</w:t>
      </w:r>
      <w:proofErr w:type="gramStart"/>
      <w:r w:rsidRPr="004D2BDE">
        <w:rPr>
          <w:rFonts w:ascii="Arial" w:hAnsi="Arial" w:cs="Arial"/>
          <w:sz w:val="20"/>
          <w:szCs w:val="20"/>
        </w:rPr>
        <w:t>;</w:t>
      </w:r>
      <w:proofErr w:type="gramEnd"/>
      <w:r w:rsidRPr="004D2BDE">
        <w:rPr>
          <w:rFonts w:ascii="Arial" w:hAnsi="Arial" w:cs="Arial"/>
          <w:sz w:val="20"/>
          <w:szCs w:val="20"/>
        </w:rPr>
        <w:t xml:space="preserve"> </w:t>
      </w:r>
      <w:proofErr w:type="spellStart"/>
      <w:r w:rsidRPr="004D2BDE">
        <w:rPr>
          <w:rFonts w:ascii="Arial" w:hAnsi="Arial" w:cs="Arial"/>
          <w:i/>
          <w:iCs/>
          <w:sz w:val="20"/>
          <w:szCs w:val="20"/>
        </w:rPr>
        <w:t>Gillick</w:t>
      </w:r>
      <w:proofErr w:type="spellEnd"/>
      <w:r w:rsidRPr="004D2BDE">
        <w:rPr>
          <w:rFonts w:ascii="Arial" w:hAnsi="Arial" w:cs="Arial"/>
          <w:i/>
          <w:iCs/>
          <w:sz w:val="20"/>
          <w:szCs w:val="20"/>
        </w:rPr>
        <w:t xml:space="preserve"> v West Norfolk and </w:t>
      </w:r>
      <w:proofErr w:type="spellStart"/>
      <w:r w:rsidRPr="004D2BDE">
        <w:rPr>
          <w:rFonts w:ascii="Arial" w:hAnsi="Arial" w:cs="Arial"/>
          <w:i/>
          <w:iCs/>
          <w:sz w:val="20"/>
          <w:szCs w:val="20"/>
        </w:rPr>
        <w:t>Wisbech</w:t>
      </w:r>
      <w:proofErr w:type="spellEnd"/>
      <w:r w:rsidRPr="004D2BDE">
        <w:rPr>
          <w:rFonts w:ascii="Arial" w:hAnsi="Arial" w:cs="Arial"/>
          <w:i/>
          <w:iCs/>
          <w:sz w:val="20"/>
          <w:szCs w:val="20"/>
        </w:rPr>
        <w:t xml:space="preserve"> Area Health Authority </w:t>
      </w:r>
      <w:r w:rsidRPr="004D2BDE">
        <w:rPr>
          <w:rFonts w:ascii="Arial" w:hAnsi="Arial" w:cs="Arial"/>
          <w:sz w:val="20"/>
          <w:szCs w:val="20"/>
        </w:rPr>
        <w:t>[1986] AC 112.</w:t>
      </w:r>
    </w:p>
  </w:endnote>
  <w:endnote w:id="102">
    <w:p w14:paraId="02660C60" w14:textId="77777777"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Law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s 61C.</w:t>
      </w:r>
    </w:p>
  </w:endnote>
  <w:endnote w:id="103">
    <w:p w14:paraId="266B5F25" w14:textId="588661A9"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5.</w:t>
      </w:r>
    </w:p>
  </w:endnote>
  <w:endnote w:id="104">
    <w:p w14:paraId="1214E176" w14:textId="65A26B08"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Law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xml:space="preserve">) s 67ZC; </w:t>
      </w:r>
      <w:r w:rsidRPr="004D2BDE">
        <w:rPr>
          <w:rFonts w:ascii="Arial" w:hAnsi="Arial" w:cs="Arial"/>
          <w:i/>
        </w:rPr>
        <w:t>Marion</w:t>
      </w:r>
      <w:r>
        <w:rPr>
          <w:rFonts w:ascii="Arial" w:hAnsi="Arial" w:cs="Arial"/>
          <w:i/>
        </w:rPr>
        <w:t>’</w:t>
      </w:r>
      <w:r w:rsidRPr="004D2BDE">
        <w:rPr>
          <w:rFonts w:ascii="Arial" w:hAnsi="Arial" w:cs="Arial"/>
          <w:i/>
        </w:rPr>
        <w:t>s case</w:t>
      </w:r>
      <w:r w:rsidRPr="004D2BDE">
        <w:rPr>
          <w:rFonts w:ascii="Arial" w:hAnsi="Arial" w:cs="Arial"/>
        </w:rPr>
        <w:t xml:space="preserve"> (1992) 175 CLR 218, [48]</w:t>
      </w:r>
      <w:r w:rsidRPr="004D2BDE">
        <w:rPr>
          <w:rFonts w:ascii="Arial" w:hAnsi="Arial" w:cs="Arial"/>
          <w:iCs/>
        </w:rPr>
        <w:t>–</w:t>
      </w:r>
      <w:r w:rsidRPr="004D2BDE">
        <w:rPr>
          <w:rFonts w:ascii="Arial" w:hAnsi="Arial" w:cs="Arial"/>
        </w:rPr>
        <w:t>[49].</w:t>
      </w:r>
    </w:p>
  </w:endnote>
  <w:endnote w:id="105">
    <w:p w14:paraId="0B018F2F" w14:textId="3B089EED"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The Hon Diana Bryant, </w:t>
      </w:r>
      <w:r>
        <w:rPr>
          <w:rFonts w:ascii="Arial" w:hAnsi="Arial" w:cs="Arial"/>
        </w:rPr>
        <w:t>‘</w:t>
      </w:r>
      <w:proofErr w:type="gramStart"/>
      <w:r w:rsidRPr="004D2BDE">
        <w:rPr>
          <w:rFonts w:ascii="Arial" w:hAnsi="Arial" w:cs="Arial"/>
        </w:rPr>
        <w:t>It</w:t>
      </w:r>
      <w:r>
        <w:rPr>
          <w:rFonts w:ascii="Arial" w:hAnsi="Arial" w:cs="Arial"/>
        </w:rPr>
        <w:t>’</w:t>
      </w:r>
      <w:r w:rsidRPr="004D2BDE">
        <w:rPr>
          <w:rFonts w:ascii="Arial" w:hAnsi="Arial" w:cs="Arial"/>
        </w:rPr>
        <w:t>s</w:t>
      </w:r>
      <w:proofErr w:type="gramEnd"/>
      <w:r w:rsidRPr="004D2BDE">
        <w:rPr>
          <w:rFonts w:ascii="Arial" w:hAnsi="Arial" w:cs="Arial"/>
        </w:rPr>
        <w:t xml:space="preserve"> My Body, Isn</w:t>
      </w:r>
      <w:r>
        <w:rPr>
          <w:rFonts w:ascii="Arial" w:hAnsi="Arial" w:cs="Arial"/>
        </w:rPr>
        <w:t>’</w:t>
      </w:r>
      <w:r w:rsidRPr="004D2BDE">
        <w:rPr>
          <w:rFonts w:ascii="Arial" w:hAnsi="Arial" w:cs="Arial"/>
        </w:rPr>
        <w:t>t It? Children, Medical Treatment and Human Rights</w:t>
      </w:r>
      <w:r>
        <w:rPr>
          <w:rFonts w:ascii="Arial" w:hAnsi="Arial" w:cs="Arial"/>
        </w:rPr>
        <w:t>’</w:t>
      </w:r>
      <w:r w:rsidRPr="004D2BDE">
        <w:rPr>
          <w:rFonts w:ascii="Arial" w:hAnsi="Arial" w:cs="Arial"/>
        </w:rPr>
        <w:t xml:space="preserve"> </w:t>
      </w:r>
      <w:r w:rsidRPr="004D2BDE">
        <w:rPr>
          <w:rFonts w:ascii="Arial" w:hAnsi="Arial" w:cs="Arial"/>
          <w:i/>
        </w:rPr>
        <w:t xml:space="preserve">Monash University Law Review </w:t>
      </w:r>
      <w:r w:rsidRPr="004D2BDE">
        <w:rPr>
          <w:rFonts w:ascii="Arial" w:hAnsi="Arial" w:cs="Arial"/>
        </w:rPr>
        <w:t>(2009) 35(2) 193, 198.</w:t>
      </w:r>
    </w:p>
  </w:endnote>
  <w:endnote w:id="106">
    <w:p w14:paraId="0C5FD2B0" w14:textId="77777777"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(1992) 175 CLR 218, [48]</w:t>
      </w:r>
      <w:r w:rsidRPr="004D2BDE">
        <w:rPr>
          <w:rFonts w:ascii="Arial" w:hAnsi="Arial" w:cs="Arial"/>
          <w:iCs/>
        </w:rPr>
        <w:t>–</w:t>
      </w:r>
      <w:r w:rsidRPr="004D2BDE">
        <w:rPr>
          <w:rFonts w:ascii="Arial" w:hAnsi="Arial" w:cs="Arial"/>
        </w:rPr>
        <w:t>[49].</w:t>
      </w:r>
    </w:p>
  </w:endnote>
  <w:endnote w:id="107">
    <w:p w14:paraId="533361FE" w14:textId="77777777"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Court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s 67ZC.</w:t>
      </w:r>
    </w:p>
  </w:endnote>
  <w:endnote w:id="108">
    <w:p w14:paraId="6AF063F5" w14:textId="77777777" w:rsidR="00C9464D" w:rsidRPr="004D2BDE" w:rsidRDefault="00C9464D" w:rsidP="00266332">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Family Court Act 1975</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s 60CC; Family</w:t>
      </w:r>
      <w:r w:rsidRPr="004D2BDE">
        <w:rPr>
          <w:rFonts w:ascii="Arial" w:hAnsi="Arial" w:cs="Arial"/>
          <w:i/>
        </w:rPr>
        <w:t xml:space="preserve"> Law Rules 2004</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r 4.09.</w:t>
      </w:r>
    </w:p>
  </w:endnote>
  <w:endnote w:id="109">
    <w:p w14:paraId="44DCD874" w14:textId="66FC6AA5" w:rsidR="00C9464D" w:rsidRPr="004D2BDE" w:rsidRDefault="00C9464D" w:rsidP="00B42525">
      <w:pPr>
        <w:pStyle w:val="EndnoteText"/>
        <w:rPr>
          <w:rFonts w:ascii="Arial" w:hAnsi="Arial" w:cs="Arial"/>
          <w:color w:val="59308C"/>
          <w:u w:val="single"/>
          <w:shd w:val="clear" w:color="auto" w:fill="FFFFFF"/>
        </w:rPr>
      </w:pPr>
      <w:r w:rsidRPr="004D2BDE">
        <w:rPr>
          <w:rStyle w:val="EndnoteReference"/>
          <w:rFonts w:cs="Arial"/>
        </w:rPr>
        <w:endnoteRef/>
      </w:r>
      <w:r w:rsidRPr="004D2BDE">
        <w:rPr>
          <w:rFonts w:ascii="Arial" w:hAnsi="Arial" w:cs="Arial"/>
        </w:rPr>
        <w:t xml:space="preserve"> </w:t>
      </w:r>
      <w:r w:rsidRPr="004D2BDE">
        <w:rPr>
          <w:rFonts w:ascii="Arial" w:hAnsi="Arial" w:cs="Arial"/>
          <w:iCs/>
        </w:rPr>
        <w:t xml:space="preserve">Committee on the Rights of the Child, </w:t>
      </w:r>
      <w:r w:rsidRPr="004D2BDE">
        <w:rPr>
          <w:rFonts w:ascii="Arial" w:hAnsi="Arial" w:cs="Arial"/>
          <w:i/>
          <w:iCs/>
        </w:rPr>
        <w:t>General Comment No 14: On the Right of the Child to Have His or Her Best Interests Taken as a Primary Consideration (art. 3, para.1)</w:t>
      </w:r>
      <w:r w:rsidRPr="004D2BDE">
        <w:rPr>
          <w:rFonts w:ascii="Arial" w:hAnsi="Arial" w:cs="Arial"/>
          <w:iCs/>
        </w:rPr>
        <w:t>, 62</w:t>
      </w:r>
      <w:r w:rsidRPr="004D2BDE">
        <w:rPr>
          <w:rFonts w:ascii="Arial" w:hAnsi="Arial" w:cs="Arial"/>
          <w:iCs/>
          <w:vertAlign w:val="superscript"/>
        </w:rPr>
        <w:t>nd</w:t>
      </w:r>
      <w:r w:rsidRPr="004D2BDE">
        <w:rPr>
          <w:rFonts w:ascii="Arial" w:hAnsi="Arial" w:cs="Arial"/>
          <w:iCs/>
        </w:rPr>
        <w:t xml:space="preserve"> </w:t>
      </w:r>
      <w:proofErr w:type="spellStart"/>
      <w:r w:rsidRPr="004D2BDE">
        <w:rPr>
          <w:rFonts w:ascii="Arial" w:hAnsi="Arial" w:cs="Arial"/>
          <w:iCs/>
        </w:rPr>
        <w:t>sess</w:t>
      </w:r>
      <w:proofErr w:type="spellEnd"/>
      <w:r w:rsidRPr="004D2BDE">
        <w:rPr>
          <w:rFonts w:ascii="Arial" w:hAnsi="Arial" w:cs="Arial"/>
          <w:iCs/>
        </w:rPr>
        <w:t>, UN Doc CRC/C/GC/14 (29</w:t>
      </w:r>
      <w:r>
        <w:rPr>
          <w:rFonts w:ascii="Arial" w:hAnsi="Arial" w:cs="Arial"/>
          <w:iCs/>
        </w:rPr>
        <w:t> </w:t>
      </w:r>
      <w:r w:rsidRPr="004D2BDE">
        <w:rPr>
          <w:rFonts w:ascii="Arial" w:hAnsi="Arial" w:cs="Arial"/>
          <w:iCs/>
        </w:rPr>
        <w:t xml:space="preserve">May 2013) [34]. At </w:t>
      </w:r>
      <w:hyperlink r:id="rId40" w:history="1">
        <w:r w:rsidRPr="004D2BDE">
          <w:rPr>
            <w:rStyle w:val="Hyperlink"/>
            <w:rFonts w:ascii="Arial" w:hAnsi="Arial" w:cs="Arial"/>
            <w:iCs/>
          </w:rPr>
          <w:t>http://undocs.org/CRC/C/GC/14</w:t>
        </w:r>
      </w:hyperlink>
      <w:r w:rsidRPr="004D2BDE">
        <w:rPr>
          <w:rFonts w:ascii="Arial" w:hAnsi="Arial" w:cs="Arial"/>
          <w:iCs/>
        </w:rPr>
        <w:t xml:space="preserve"> (accessed 18 January 2018).</w:t>
      </w:r>
    </w:p>
  </w:endnote>
  <w:endnote w:id="110">
    <w:p w14:paraId="2E430791" w14:textId="77777777" w:rsidR="00C9464D" w:rsidRPr="004D2BDE" w:rsidRDefault="00C9464D"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32(e).</w:t>
      </w:r>
    </w:p>
  </w:endnote>
  <w:endnote w:id="111">
    <w:p w14:paraId="45139D08" w14:textId="6EC443C6" w:rsidR="00C9464D" w:rsidRPr="004D2BDE" w:rsidRDefault="00C9464D"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Re Alex: Hormonal Treatment for Gender Identity Dysphoria</w:t>
      </w:r>
      <w:r w:rsidRPr="004D2BDE">
        <w:rPr>
          <w:rFonts w:ascii="Arial" w:hAnsi="Arial" w:cs="Arial"/>
        </w:rPr>
        <w:t xml:space="preserve"> [2004] </w:t>
      </w:r>
      <w:proofErr w:type="spellStart"/>
      <w:r w:rsidRPr="004D2BDE">
        <w:rPr>
          <w:rFonts w:ascii="Arial" w:hAnsi="Arial" w:cs="Arial"/>
        </w:rPr>
        <w:t>FamCA</w:t>
      </w:r>
      <w:proofErr w:type="spellEnd"/>
      <w:r w:rsidRPr="004D2BDE">
        <w:rPr>
          <w:rFonts w:ascii="Arial" w:hAnsi="Arial" w:cs="Arial"/>
        </w:rPr>
        <w:t xml:space="preserve"> 297 [154]; The Hon Diana Bryant, </w:t>
      </w:r>
      <w:r>
        <w:rPr>
          <w:rFonts w:ascii="Arial" w:hAnsi="Arial" w:cs="Arial"/>
        </w:rPr>
        <w:t>‘</w:t>
      </w:r>
      <w:r w:rsidRPr="004D2BDE">
        <w:rPr>
          <w:rFonts w:ascii="Arial" w:hAnsi="Arial" w:cs="Arial"/>
        </w:rPr>
        <w:t>It</w:t>
      </w:r>
      <w:r>
        <w:rPr>
          <w:rFonts w:ascii="Arial" w:hAnsi="Arial" w:cs="Arial"/>
        </w:rPr>
        <w:t>’</w:t>
      </w:r>
      <w:r w:rsidRPr="004D2BDE">
        <w:rPr>
          <w:rFonts w:ascii="Arial" w:hAnsi="Arial" w:cs="Arial"/>
        </w:rPr>
        <w:t>s My Body, Isn</w:t>
      </w:r>
      <w:r>
        <w:rPr>
          <w:rFonts w:ascii="Arial" w:hAnsi="Arial" w:cs="Arial"/>
        </w:rPr>
        <w:t>’</w:t>
      </w:r>
      <w:r w:rsidRPr="004D2BDE">
        <w:rPr>
          <w:rFonts w:ascii="Arial" w:hAnsi="Arial" w:cs="Arial"/>
        </w:rPr>
        <w:t xml:space="preserve">t </w:t>
      </w:r>
      <w:proofErr w:type="gramStart"/>
      <w:r w:rsidRPr="004D2BDE">
        <w:rPr>
          <w:rFonts w:ascii="Arial" w:hAnsi="Arial" w:cs="Arial"/>
        </w:rPr>
        <w:t>It</w:t>
      </w:r>
      <w:proofErr w:type="gramEnd"/>
      <w:r w:rsidRPr="004D2BDE">
        <w:rPr>
          <w:rFonts w:ascii="Arial" w:hAnsi="Arial" w:cs="Arial"/>
        </w:rPr>
        <w:t>? Children, Medical Treatment and Human Rights</w:t>
      </w:r>
      <w:r>
        <w:rPr>
          <w:rFonts w:ascii="Arial" w:hAnsi="Arial" w:cs="Arial"/>
        </w:rPr>
        <w:t>’</w:t>
      </w:r>
      <w:r w:rsidRPr="004D2BDE">
        <w:rPr>
          <w:rFonts w:ascii="Arial" w:hAnsi="Arial" w:cs="Arial"/>
        </w:rPr>
        <w:t xml:space="preserve"> </w:t>
      </w:r>
      <w:r w:rsidRPr="004D2BDE">
        <w:rPr>
          <w:rFonts w:ascii="Arial" w:hAnsi="Arial" w:cs="Arial"/>
          <w:i/>
        </w:rPr>
        <w:t xml:space="preserve">Monash University Law Review </w:t>
      </w:r>
      <w:r w:rsidRPr="004D2BDE">
        <w:rPr>
          <w:rFonts w:ascii="Arial" w:hAnsi="Arial" w:cs="Arial"/>
        </w:rPr>
        <w:t>(2009) 35(2) 193, 199.</w:t>
      </w:r>
    </w:p>
  </w:endnote>
  <w:endnote w:id="112">
    <w:p w14:paraId="5A26C753" w14:textId="6BC3B55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14 (2013) on the rights of the child to have his or her best interests taken as a primary consideration (art. 3, para.1)</w:t>
      </w:r>
      <w:r w:rsidRPr="004D2BDE">
        <w:rPr>
          <w:rFonts w:ascii="Arial" w:hAnsi="Arial" w:cs="Arial"/>
        </w:rPr>
        <w:t>, UN Doc CRC/C/GC/14 (29 May 2013) [4].</w:t>
      </w:r>
    </w:p>
  </w:endnote>
  <w:endnote w:id="113">
    <w:p w14:paraId="506F42FC" w14:textId="514FA855"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14 (2013) on the rights of the child to have his or her best interests taken as a primary consideration (art. 3, para.1)</w:t>
      </w:r>
      <w:r w:rsidRPr="004D2BDE">
        <w:rPr>
          <w:rFonts w:ascii="Arial" w:hAnsi="Arial" w:cs="Arial"/>
        </w:rPr>
        <w:t>, UN Doc CRC/C/GC/14 (29 May 2013) [4].</w:t>
      </w:r>
    </w:p>
  </w:endnote>
  <w:endnote w:id="114">
    <w:p w14:paraId="40B5ED53" w14:textId="3CF3AF47"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14 (2013) on the rights of the child to have his or her best interests taken as a primary consideration (art. 3, para.1)</w:t>
      </w:r>
      <w:r w:rsidRPr="004D2BDE">
        <w:rPr>
          <w:rFonts w:ascii="Arial" w:hAnsi="Arial" w:cs="Arial"/>
        </w:rPr>
        <w:t>, UN Doc CRC/C/GC/14 (29 May 2013) [77].</w:t>
      </w:r>
    </w:p>
  </w:endnote>
  <w:endnote w:id="115">
    <w:p w14:paraId="0DB9645F" w14:textId="77777777" w:rsidR="00C9464D" w:rsidRPr="004D2BDE" w:rsidRDefault="00C9464D"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99.</w:t>
      </w:r>
    </w:p>
  </w:endnote>
  <w:endnote w:id="116">
    <w:p w14:paraId="17A7ACD3" w14:textId="77777777" w:rsidR="00C9464D" w:rsidRPr="004D2BDE" w:rsidRDefault="00C9464D"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99. </w:t>
      </w:r>
    </w:p>
  </w:endnote>
  <w:endnote w:id="117">
    <w:p w14:paraId="0572D7BF" w14:textId="77777777" w:rsidR="00C9464D" w:rsidRPr="004D2BDE" w:rsidRDefault="00C9464D" w:rsidP="00B42525">
      <w:pPr>
        <w:pStyle w:val="EndnoteText"/>
        <w:rPr>
          <w:rFonts w:ascii="Arial" w:hAnsi="Arial" w:cs="Arial"/>
        </w:rPr>
      </w:pPr>
      <w:r w:rsidRPr="004D2BDE">
        <w:rPr>
          <w:rStyle w:val="EndnoteReference"/>
          <w:rFonts w:cs="Arial"/>
          <w:i/>
        </w:rPr>
        <w:endnoteRef/>
      </w:r>
      <w:r w:rsidRPr="004D2BDE">
        <w:rPr>
          <w:rFonts w:ascii="Arial" w:hAnsi="Arial" w:cs="Arial"/>
          <w:i/>
        </w:rPr>
        <w:t xml:space="preserve"> </w:t>
      </w:r>
      <w:r w:rsidRPr="004D2BDE">
        <w:rPr>
          <w:rFonts w:ascii="Arial" w:hAnsi="Arial" w:cs="Arial"/>
        </w:rPr>
        <w:t xml:space="preserve">National LGBTI Health Alliance, Submission No 60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12 March 2013, 2.</w:t>
      </w:r>
    </w:p>
  </w:endnote>
  <w:endnote w:id="118">
    <w:p w14:paraId="71AC1982" w14:textId="77777777" w:rsidR="00C9464D" w:rsidRPr="004D2BDE" w:rsidRDefault="00C9464D"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Organisation Intersex International Australia, Submission No 23.1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8 March 2013, 15.</w:t>
      </w:r>
    </w:p>
  </w:endnote>
  <w:endnote w:id="119">
    <w:p w14:paraId="4A53655A" w14:textId="77777777" w:rsidR="00C9464D" w:rsidRPr="004D2BDE" w:rsidRDefault="00C9464D" w:rsidP="00B42525">
      <w:pPr>
        <w:pStyle w:val="EndnoteText"/>
        <w:rPr>
          <w:rFonts w:ascii="Arial" w:hAnsi="Arial" w:cs="Arial"/>
        </w:rPr>
      </w:pPr>
      <w:r w:rsidRPr="004D2BDE">
        <w:rPr>
          <w:rStyle w:val="EndnoteReference"/>
          <w:rFonts w:cs="Arial"/>
        </w:rPr>
        <w:endnoteRef/>
      </w:r>
      <w:r w:rsidRPr="004D2BDE">
        <w:rPr>
          <w:rFonts w:ascii="Arial" w:hAnsi="Arial" w:cs="Arial"/>
        </w:rPr>
        <w:t xml:space="preserve">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5.</w:t>
      </w:r>
    </w:p>
  </w:endnote>
  <w:endnote w:id="120">
    <w:p w14:paraId="4A4D883F" w14:textId="29E37E83"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The Royal </w:t>
      </w:r>
      <w:proofErr w:type="gramStart"/>
      <w:r w:rsidRPr="004D2BDE">
        <w:rPr>
          <w:rFonts w:ascii="Arial" w:hAnsi="Arial" w:cs="Arial"/>
        </w:rPr>
        <w:t>Children</w:t>
      </w:r>
      <w:r>
        <w:rPr>
          <w:rFonts w:ascii="Arial" w:hAnsi="Arial" w:cs="Arial"/>
        </w:rPr>
        <w:t>’</w:t>
      </w:r>
      <w:r w:rsidRPr="004D2BDE">
        <w:rPr>
          <w:rFonts w:ascii="Arial" w:hAnsi="Arial" w:cs="Arial"/>
        </w:rPr>
        <w:t>s</w:t>
      </w:r>
      <w:proofErr w:type="gramEnd"/>
      <w:r w:rsidRPr="004D2BDE">
        <w:rPr>
          <w:rFonts w:ascii="Arial" w:hAnsi="Arial" w:cs="Arial"/>
        </w:rPr>
        <w:t xml:space="preserve"> Hospital Melbourne, Submission No 92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10 July 2013, 7.</w:t>
      </w:r>
    </w:p>
  </w:endnote>
  <w:endnote w:id="121">
    <w:p w14:paraId="096A3278" w14:textId="703972B7" w:rsidR="00C9464D" w:rsidRPr="004D2BDE" w:rsidRDefault="00C9464D" w:rsidP="00A70EBD">
      <w:pPr>
        <w:pStyle w:val="EndnoteText"/>
        <w:rPr>
          <w:rFonts w:ascii="Arial" w:hAnsi="Arial" w:cs="Arial"/>
        </w:rPr>
      </w:pPr>
      <w:r w:rsidRPr="004D2BDE">
        <w:rPr>
          <w:rStyle w:val="EndnoteReference"/>
          <w:rFonts w:cs="Arial"/>
        </w:rPr>
        <w:endnoteRef/>
      </w:r>
      <w:r w:rsidRPr="004D2BDE">
        <w:rPr>
          <w:rFonts w:ascii="Arial" w:hAnsi="Arial" w:cs="Arial"/>
        </w:rPr>
        <w:t xml:space="preserve"> Chloe Hanna, Michele A O</w:t>
      </w:r>
      <w:r>
        <w:rPr>
          <w:rFonts w:ascii="Arial" w:hAnsi="Arial" w:cs="Arial"/>
        </w:rPr>
        <w:t>’</w:t>
      </w:r>
      <w:r w:rsidRPr="004D2BDE">
        <w:rPr>
          <w:rFonts w:ascii="Arial" w:hAnsi="Arial" w:cs="Arial"/>
        </w:rPr>
        <w:t xml:space="preserve">Connell and Sonia R Grover, </w:t>
      </w:r>
      <w:r>
        <w:rPr>
          <w:rFonts w:ascii="Arial" w:hAnsi="Arial" w:cs="Arial"/>
        </w:rPr>
        <w:t>‘</w:t>
      </w:r>
      <w:r w:rsidRPr="004D2BDE">
        <w:rPr>
          <w:rFonts w:ascii="Arial" w:hAnsi="Arial" w:cs="Arial"/>
        </w:rPr>
        <w:t>Differences of Sex Development Clinical Coordinator role – an Australian first</w:t>
      </w:r>
      <w:r>
        <w:rPr>
          <w:rFonts w:ascii="Arial" w:hAnsi="Arial" w:cs="Arial"/>
        </w:rPr>
        <w:t>’</w:t>
      </w:r>
      <w:r w:rsidRPr="004D2BDE">
        <w:rPr>
          <w:rFonts w:ascii="Arial" w:hAnsi="Arial" w:cs="Arial"/>
        </w:rPr>
        <w:t xml:space="preserve"> (Poster, 2017).</w:t>
      </w:r>
    </w:p>
  </w:endnote>
  <w:endnote w:id="122">
    <w:p w14:paraId="570CC8FD" w14:textId="1FFA96FC"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7.</w:t>
      </w:r>
    </w:p>
  </w:endnote>
  <w:endnote w:id="123">
    <w:p w14:paraId="2087300E" w14:textId="4A82C059"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[23]. At </w:t>
      </w:r>
      <w:hyperlink r:id="rId41"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24">
    <w:p w14:paraId="7F217B5B" w14:textId="7C79B5DC" w:rsidR="00C9464D" w:rsidRPr="004D2BDE" w:rsidRDefault="00C9464D" w:rsidP="00A05FF2">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158, 160.</w:t>
      </w:r>
    </w:p>
  </w:endnote>
  <w:endnote w:id="125">
    <w:p w14:paraId="41AE1551" w14:textId="3604404B"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[16]. At </w:t>
      </w:r>
      <w:hyperlink r:id="rId42"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26">
    <w:p w14:paraId="27DCAFC5"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[22]. At </w:t>
      </w:r>
      <w:hyperlink r:id="rId43"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27">
    <w:p w14:paraId="4A89B636"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w:t>
      </w:r>
    </w:p>
  </w:endnote>
  <w:endnote w:id="128">
    <w:p w14:paraId="2020184D"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[53]</w:t>
      </w:r>
      <w:r w:rsidRPr="004D2BDE">
        <w:rPr>
          <w:rFonts w:ascii="Arial" w:hAnsi="Arial" w:cs="Arial"/>
          <w:iCs/>
        </w:rPr>
        <w:t>–</w:t>
      </w:r>
      <w:r w:rsidRPr="004D2BDE">
        <w:rPr>
          <w:rFonts w:ascii="Arial" w:hAnsi="Arial" w:cs="Arial"/>
        </w:rPr>
        <w:t>[55].</w:t>
      </w:r>
    </w:p>
  </w:endnote>
  <w:endnote w:id="129">
    <w:p w14:paraId="0A50FDEB"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[2014] </w:t>
      </w:r>
      <w:proofErr w:type="spellStart"/>
      <w:r w:rsidRPr="004D2BDE">
        <w:rPr>
          <w:rFonts w:ascii="Arial" w:hAnsi="Arial" w:cs="Arial"/>
        </w:rPr>
        <w:t>FamCA</w:t>
      </w:r>
      <w:proofErr w:type="spellEnd"/>
      <w:r w:rsidRPr="004D2BDE">
        <w:rPr>
          <w:rFonts w:ascii="Arial" w:hAnsi="Arial" w:cs="Arial"/>
        </w:rPr>
        <w:t xml:space="preserve"> 208.</w:t>
      </w:r>
    </w:p>
  </w:endnote>
  <w:endnote w:id="130">
    <w:p w14:paraId="6029DFD5" w14:textId="3DC5233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i/>
        </w:rPr>
        <w:t xml:space="preserve"> </w:t>
      </w:r>
      <w:r w:rsidRPr="004D2BDE">
        <w:rPr>
          <w:rFonts w:ascii="Arial" w:hAnsi="Arial" w:cs="Arial"/>
        </w:rPr>
        <w:t xml:space="preserve">[2010] </w:t>
      </w:r>
      <w:proofErr w:type="spellStart"/>
      <w:r w:rsidRPr="004D2BDE">
        <w:rPr>
          <w:rFonts w:ascii="Arial" w:hAnsi="Arial" w:cs="Arial"/>
        </w:rPr>
        <w:t>FamCA</w:t>
      </w:r>
      <w:proofErr w:type="spellEnd"/>
      <w:r w:rsidRPr="004D2BDE">
        <w:rPr>
          <w:rFonts w:ascii="Arial" w:hAnsi="Arial" w:cs="Arial"/>
        </w:rPr>
        <w:t xml:space="preserve"> 948.</w:t>
      </w:r>
    </w:p>
  </w:endnote>
  <w:endnote w:id="131">
    <w:p w14:paraId="417CE8D0"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[2].</w:t>
      </w:r>
    </w:p>
  </w:endnote>
  <w:endnote w:id="132">
    <w:p w14:paraId="6FFC45C2"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[16].</w:t>
      </w:r>
    </w:p>
  </w:endnote>
  <w:endnote w:id="133">
    <w:p w14:paraId="3C0D0748"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[55].</w:t>
      </w:r>
    </w:p>
  </w:endnote>
  <w:endnote w:id="134">
    <w:p w14:paraId="5ADD2CE5"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eastAsia="Times New Roman" w:hAnsi="Arial" w:cs="Arial"/>
          <w:i/>
          <w:iCs/>
        </w:rPr>
        <w:t xml:space="preserve">Re: Lesley (Special Medical Procedure) </w:t>
      </w:r>
      <w:r w:rsidRPr="004D2BDE">
        <w:rPr>
          <w:rFonts w:ascii="Arial" w:eastAsia="Times New Roman" w:hAnsi="Arial" w:cs="Arial"/>
        </w:rPr>
        <w:t xml:space="preserve">[2008] </w:t>
      </w:r>
      <w:proofErr w:type="spellStart"/>
      <w:r w:rsidRPr="004D2BDE">
        <w:rPr>
          <w:rFonts w:ascii="Arial" w:eastAsia="Times New Roman" w:hAnsi="Arial" w:cs="Arial"/>
        </w:rPr>
        <w:t>FamCA</w:t>
      </w:r>
      <w:proofErr w:type="spellEnd"/>
      <w:r w:rsidRPr="004D2BDE">
        <w:rPr>
          <w:rFonts w:ascii="Arial" w:eastAsia="Times New Roman" w:hAnsi="Arial" w:cs="Arial"/>
        </w:rPr>
        <w:t xml:space="preserve"> 1226, [34].</w:t>
      </w:r>
    </w:p>
  </w:endnote>
  <w:endnote w:id="135">
    <w:p w14:paraId="34F5B188" w14:textId="77777777" w:rsidR="00C9464D" w:rsidRPr="004D2BDE" w:rsidRDefault="00C9464D" w:rsidP="00237B58">
      <w:pPr>
        <w:pStyle w:val="EndnoteText"/>
        <w:rPr>
          <w:rFonts w:ascii="Arial" w:hAnsi="Arial" w:cs="Arial"/>
        </w:rPr>
      </w:pPr>
      <w:r w:rsidRPr="004D2BDE">
        <w:rPr>
          <w:rStyle w:val="EndnoteReference"/>
          <w:rFonts w:cs="Arial"/>
        </w:rPr>
        <w:endnoteRef/>
      </w:r>
      <w:r w:rsidRPr="004D2BDE">
        <w:rPr>
          <w:rFonts w:ascii="Arial" w:hAnsi="Arial" w:cs="Arial"/>
        </w:rPr>
        <w:t xml:space="preserve"> (1992) 175 CLR 218, [48]</w:t>
      </w:r>
      <w:r w:rsidRPr="004D2BDE">
        <w:rPr>
          <w:rFonts w:ascii="Arial" w:hAnsi="Arial" w:cs="Arial"/>
          <w:iCs/>
        </w:rPr>
        <w:t>–</w:t>
      </w:r>
      <w:r w:rsidRPr="004D2BDE">
        <w:rPr>
          <w:rFonts w:ascii="Arial" w:hAnsi="Arial" w:cs="Arial"/>
        </w:rPr>
        <w:t>[49].</w:t>
      </w:r>
    </w:p>
  </w:endnote>
  <w:endnote w:id="136">
    <w:p w14:paraId="7A993BCE" w14:textId="6DB97E79"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Marion</w:t>
      </w:r>
      <w:r>
        <w:rPr>
          <w:rFonts w:ascii="Arial" w:hAnsi="Arial" w:cs="Arial"/>
          <w:i/>
        </w:rPr>
        <w:t>’</w:t>
      </w:r>
      <w:r w:rsidRPr="004D2BDE">
        <w:rPr>
          <w:rFonts w:ascii="Arial" w:hAnsi="Arial" w:cs="Arial"/>
          <w:i/>
        </w:rPr>
        <w:t>s case</w:t>
      </w:r>
      <w:r w:rsidRPr="004D2BDE">
        <w:rPr>
          <w:rFonts w:ascii="Arial" w:hAnsi="Arial" w:cs="Arial"/>
        </w:rPr>
        <w:t xml:space="preserve"> (1992) 175 CLR 218, [48]</w:t>
      </w:r>
      <w:r w:rsidRPr="004D2BDE">
        <w:rPr>
          <w:rFonts w:ascii="Arial" w:hAnsi="Arial" w:cs="Arial"/>
          <w:iCs/>
        </w:rPr>
        <w:t>.</w:t>
      </w:r>
    </w:p>
  </w:endnote>
  <w:endnote w:id="137">
    <w:p w14:paraId="0E0585E8" w14:textId="3F7D1A3D" w:rsidR="00C9464D" w:rsidRPr="004D2BDE" w:rsidRDefault="00C9464D"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{"citationID":"6lnrTO09","properties":{"formattedCitation":"{\\rtf Vic Government (Department of Health), above n 18, 19; \\uc0\\u8216{}APEG, Submission to Senate Inquiry, Updated.Pdf\\uc0\\u8217{} 4.}","plainCitation":"Vic Government (Department of Health), above n 18, 19; ‘APEG, Submission to Senate Inquiry, Updated.Pdf’ 4."},"citationItems":[{"id":454,"uris":["http://zotero.org/users/4317530/items/P4MDTIVS"],"uri":["http://zotero.org/users/4317530/items/P4MDTIVS"],"itemData":{"id":454,"type":"article","title":"Decision-making principles for the care of infants, children and adolescents with intersex conditions","author":[{"family":"Vic Government (Department of Health)","given":""}],"issued":{"date-parts":[["2013",2]]}},"locator":"19"},{"id":924,"uris":["http://zotero.org/users/4317530/items/LQGAZGFJ"],"uri":["http://zotero.org/users/4317530/items/LQGAZGFJ"],"itemData":{"id":924,"type":"article","title":"APEG, submission to senate inquiry, updated.pdf"},"locator":"4"}],"schema":"https://github.com/citation-style-language/schema/raw/master/csl-citation.json"}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 </w:t>
      </w:r>
      <w:r w:rsidRPr="004D2BDE">
        <w:rPr>
          <w:rFonts w:ascii="Arial" w:hAnsi="Arial" w:cs="Arial"/>
        </w:rPr>
        <w:fldChar w:fldCharType="end"/>
      </w:r>
      <w:r w:rsidRPr="004D2BDE">
        <w:rPr>
          <w:rFonts w:ascii="Arial" w:hAnsi="Arial" w:cs="Arial"/>
        </w:rPr>
        <w:t xml:space="preserve">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4.</w:t>
      </w:r>
    </w:p>
  </w:endnote>
  <w:endnote w:id="138">
    <w:p w14:paraId="2D3867C6" w14:textId="45A943D7" w:rsidR="00C9464D" w:rsidRPr="004D2BDE" w:rsidRDefault="00C9464D"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{"citationID":"DSCniMaa","properties":{"formattedCitation":"{\\rtf Christopher P Houk et al, \\uc0\\u8216{}Summary of Consensus Statement on Intersex Disorders and Their Management\\uc0\\u8217{} (2006) 118(2) {\\i{}Pediatrics: Official Journal of the American Academy of Pediatrics} 753, 158\\uc0\\u8211{}159.}","plainCitation":"Christopher P Houk et al, ‘Summary of Consensus Statement on Intersex Disorders and Their Management’ (2006) 118(2) Pediatrics: Official Journal of the American Academy of Pediatrics 753, 158–159."},"citationItems":[{"id":265,"uris":["http://zotero.org/users/4317530/items/RURUCWBJ"],"uri":["http://zotero.org/users/4317530/items/RURUCWBJ"],"itemData":{"id":265,"type":"article-journal","title":"Summary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Participants","given":""}],"issued":{"date-parts":[["2006",8]]}},"locator":"158-159"}],"schema":"https://github.com/citation-style-language/schema/raw/master/csl-citation.json"}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Christopher P Houk et al, </w:t>
      </w:r>
      <w:r>
        <w:rPr>
          <w:rFonts w:ascii="Arial" w:hAnsi="Arial" w:cs="Arial"/>
        </w:rPr>
        <w:t>‘</w:t>
      </w:r>
      <w:r w:rsidRPr="004D2BDE">
        <w:rPr>
          <w:rFonts w:ascii="Arial" w:hAnsi="Arial" w:cs="Arial"/>
        </w:rPr>
        <w:t>Summary of Consensus Statement on Intersex Disorders and Their Management</w:t>
      </w:r>
      <w:r>
        <w:rPr>
          <w:rFonts w:ascii="Arial" w:hAnsi="Arial" w:cs="Arial"/>
        </w:rPr>
        <w:t>’</w:t>
      </w:r>
      <w:r w:rsidRPr="004D2BDE">
        <w:rPr>
          <w:rFonts w:ascii="Arial" w:hAnsi="Arial" w:cs="Arial"/>
        </w:rPr>
        <w:t xml:space="preserve"> (2006) 118(2) </w:t>
      </w:r>
      <w:r w:rsidRPr="004D2BDE">
        <w:rPr>
          <w:rFonts w:ascii="Arial" w:hAnsi="Arial" w:cs="Arial"/>
          <w:i/>
          <w:iCs/>
        </w:rPr>
        <w:t>Pediatrics</w:t>
      </w:r>
      <w:r w:rsidRPr="004D2BDE">
        <w:rPr>
          <w:rFonts w:ascii="Arial" w:hAnsi="Arial" w:cs="Arial"/>
        </w:rPr>
        <w:t xml:space="preserve"> 753, 755.</w:t>
      </w:r>
      <w:r w:rsidRPr="004D2BDE">
        <w:rPr>
          <w:rFonts w:ascii="Arial" w:hAnsi="Arial" w:cs="Arial"/>
        </w:rPr>
        <w:fldChar w:fldCharType="end"/>
      </w:r>
    </w:p>
  </w:endnote>
  <w:endnote w:id="139">
    <w:p w14:paraId="3DE62F16" w14:textId="3FE69B8E" w:rsidR="00C9464D" w:rsidRPr="004D2BDE" w:rsidRDefault="00C9464D"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w:t>
      </w:r>
    </w:p>
  </w:endnote>
  <w:endnote w:id="140">
    <w:p w14:paraId="59D4F409" w14:textId="2A4BE91B" w:rsidR="00C9464D" w:rsidRPr="004D2BDE" w:rsidRDefault="00C9464D"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{"citationID":"DSCniMaa","properties":{"formattedCitation":"{\\rtf Christopher P Houk et al, \\uc0\\u8216{}Summary of Consensus Statement on Intersex Disorders and Their Management\\uc0\\u8217{} (2006) 118(2) {\\i{}Pediatrics: Official Journal of the American Academy of Pediatrics} 753, 158\\uc0\\u8211{}159.}","plainCitation":"Christopher P Houk et al, ‘Summary of Consensus Statement on Intersex Disorders and Their Management’ (2006) 118(2) Pediatrics: Official Journal of the American Academy of Pediatrics 753, 158–159."},"citationItems":[{"id":265,"uris":["http://zotero.org/users/4317530/items/RURUCWBJ"],"uri":["http://zotero.org/users/4317530/items/RURUCWBJ"],"itemData":{"id":265,"type":"article-journal","title":"Summary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Participants","given":""}],"issued":{"date-parts":[["2006",8]]}},"locator":"158-159"}],"schema":"https://github.com/citation-style-language/schema/raw/master/csl-citation.json"}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Christopher P Houk et al, </w:t>
      </w:r>
      <w:r>
        <w:rPr>
          <w:rFonts w:ascii="Arial" w:hAnsi="Arial" w:cs="Arial"/>
        </w:rPr>
        <w:t>‘</w:t>
      </w:r>
      <w:r w:rsidRPr="004D2BDE">
        <w:rPr>
          <w:rFonts w:ascii="Arial" w:hAnsi="Arial" w:cs="Arial"/>
        </w:rPr>
        <w:t>Summary of Consensus Statement on Intersex Disorders and Their Management</w:t>
      </w:r>
      <w:r>
        <w:rPr>
          <w:rFonts w:ascii="Arial" w:hAnsi="Arial" w:cs="Arial"/>
        </w:rPr>
        <w:t>’</w:t>
      </w:r>
      <w:r w:rsidRPr="004D2BDE">
        <w:rPr>
          <w:rFonts w:ascii="Arial" w:hAnsi="Arial" w:cs="Arial"/>
        </w:rPr>
        <w:t xml:space="preserve"> (2006) 118(2) </w:t>
      </w:r>
      <w:r w:rsidRPr="004D2BDE">
        <w:rPr>
          <w:rFonts w:ascii="Arial" w:hAnsi="Arial" w:cs="Arial"/>
          <w:i/>
          <w:iCs/>
        </w:rPr>
        <w:t>Pediatrics</w:t>
      </w:r>
      <w:r w:rsidRPr="004D2BDE">
        <w:rPr>
          <w:rFonts w:ascii="Arial" w:hAnsi="Arial" w:cs="Arial"/>
        </w:rPr>
        <w:t xml:space="preserve"> 753, 755.</w:t>
      </w:r>
      <w:r w:rsidRPr="004D2BDE">
        <w:rPr>
          <w:rFonts w:ascii="Arial" w:hAnsi="Arial" w:cs="Arial"/>
        </w:rPr>
        <w:fldChar w:fldCharType="end"/>
      </w:r>
      <w:r w:rsidRPr="004D2BDE">
        <w:rPr>
          <w:rFonts w:ascii="Arial" w:hAnsi="Arial" w:cs="Arial"/>
        </w:rPr>
        <w:fldChar w:fldCharType="begin"/>
      </w:r>
      <w:r w:rsidRPr="004D2BDE">
        <w:rPr>
          <w:rFonts w:ascii="Arial" w:hAnsi="Arial" w:cs="Arial"/>
        </w:rPr>
        <w:instrText xml:space="preserve"> ADDIN ZOTERO_ITEM CSL_CITATION {"citationID":"qh9otyAy","properties":{"formattedCitation":"Houk et al, above n 82, 755.","plainCitation":"Houk et al, above n 82, 755."},"citationItems":[{"id":265,"uris":["http://zotero.org/users/4317530/items/RURUCWBJ"],"uri":["http://zotero.org/users/4317530/items/RURUCWBJ"],"itemData":{"id":265,"type":"article-journal","title":"Summary of consensus statement on intersex disorders and their management","container-title":"Pediatrics: Official Journal of the American Academy of Pediatrics","page":"753-757","volume":"118","issue":"2","DOI":"10.1542/peds.2006-0737","author":[{"family":"Houk","given":"Christopher P."},{"family":"Hughes","given":"Ieuan A."},{"family":"Ahmed","given":"S. Faisal"},{"family":"Lee","given":"Peter A."},{"family":"International Intersex Consensus Conference Participants","given":""}],"issued":{"date-parts":[["2006",8]]}},"locator":"755"}],"schema":"https://github.com/citation-style-language/schema/raw/master/csl-citation.json"} </w:instrText>
      </w:r>
      <w:r w:rsidRPr="004D2BDE">
        <w:rPr>
          <w:rFonts w:ascii="Arial" w:hAnsi="Arial" w:cs="Arial"/>
        </w:rPr>
        <w:fldChar w:fldCharType="end"/>
      </w:r>
    </w:p>
  </w:endnote>
  <w:endnote w:id="141">
    <w:p w14:paraId="6F68FD1C" w14:textId="420E1157" w:rsidR="00C9464D" w:rsidRPr="004D2BDE" w:rsidRDefault="00C9464D"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w:t>
      </w:r>
    </w:p>
  </w:endnote>
  <w:endnote w:id="142">
    <w:p w14:paraId="5C56E4EB" w14:textId="77777777" w:rsidR="00C9464D" w:rsidRPr="004D2BDE" w:rsidRDefault="00C9464D" w:rsidP="002F0F3D">
      <w:pPr>
        <w:pStyle w:val="EndnoteText"/>
        <w:rPr>
          <w:rFonts w:ascii="Arial" w:hAnsi="Arial" w:cs="Arial"/>
        </w:rPr>
      </w:pPr>
      <w:r w:rsidRPr="004D2BDE">
        <w:rPr>
          <w:rStyle w:val="EndnoteReference"/>
          <w:rFonts w:cs="Arial"/>
        </w:rPr>
        <w:endnoteRef/>
      </w:r>
      <w:r w:rsidRPr="004D2BDE">
        <w:rPr>
          <w:rFonts w:ascii="Arial" w:hAnsi="Arial" w:cs="Arial"/>
        </w:rPr>
        <w:t xml:space="preserve">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4.</w:t>
      </w:r>
    </w:p>
  </w:endnote>
  <w:endnote w:id="143">
    <w:p w14:paraId="3A7EE1CB" w14:textId="77777777" w:rsidR="00C9464D" w:rsidRPr="004D2BDE" w:rsidRDefault="00C9464D"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[2].</w:t>
      </w:r>
    </w:p>
  </w:endnote>
  <w:endnote w:id="144">
    <w:p w14:paraId="3B9BFCDB" w14:textId="3F20F4FA" w:rsidR="00C9464D" w:rsidRPr="004D2BDE" w:rsidRDefault="00C9464D"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Jillian Lloyd et al, </w:t>
      </w:r>
      <w:r>
        <w:rPr>
          <w:rFonts w:ascii="Arial" w:hAnsi="Arial" w:cs="Arial"/>
        </w:rPr>
        <w:t>‘</w:t>
      </w:r>
      <w:r w:rsidRPr="004D2BDE">
        <w:rPr>
          <w:rFonts w:ascii="Arial" w:hAnsi="Arial" w:cs="Arial"/>
        </w:rPr>
        <w:t xml:space="preserve">Female genital appearance: </w:t>
      </w:r>
      <w:r>
        <w:rPr>
          <w:rFonts w:ascii="Arial" w:hAnsi="Arial" w:cs="Arial"/>
        </w:rPr>
        <w:t>“</w:t>
      </w:r>
      <w:r w:rsidRPr="004D2BDE">
        <w:rPr>
          <w:rFonts w:ascii="Arial" w:hAnsi="Arial" w:cs="Arial"/>
        </w:rPr>
        <w:t>normality</w:t>
      </w:r>
      <w:r>
        <w:rPr>
          <w:rFonts w:ascii="Arial" w:hAnsi="Arial" w:cs="Arial"/>
        </w:rPr>
        <w:t>”</w:t>
      </w:r>
      <w:r w:rsidRPr="004D2BDE">
        <w:rPr>
          <w:rFonts w:ascii="Arial" w:hAnsi="Arial" w:cs="Arial"/>
        </w:rPr>
        <w:t xml:space="preserve"> unfolds</w:t>
      </w:r>
      <w:r>
        <w:rPr>
          <w:rFonts w:ascii="Arial" w:hAnsi="Arial" w:cs="Arial"/>
        </w:rPr>
        <w:t>’</w:t>
      </w:r>
      <w:r w:rsidRPr="004D2BDE">
        <w:rPr>
          <w:rFonts w:ascii="Arial" w:hAnsi="Arial" w:cs="Arial"/>
        </w:rPr>
        <w:t xml:space="preserve"> (2004) 112(5) </w:t>
      </w:r>
      <w:r w:rsidRPr="004D2BDE">
        <w:rPr>
          <w:rFonts w:ascii="Arial" w:hAnsi="Arial" w:cs="Arial"/>
          <w:i/>
        </w:rPr>
        <w:t>BJOG: An International Journal of Obstetrics &amp; Gynaecology</w:t>
      </w:r>
      <w:r w:rsidRPr="004D2BDE">
        <w:rPr>
          <w:rFonts w:ascii="Arial" w:hAnsi="Arial" w:cs="Arial"/>
        </w:rPr>
        <w:t xml:space="preserve"> 643, 646.</w:t>
      </w:r>
    </w:p>
  </w:endnote>
  <w:endnote w:id="145">
    <w:p w14:paraId="74133A57" w14:textId="77777777" w:rsidR="00C9464D" w:rsidRPr="004D2BDE" w:rsidRDefault="00C9464D"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Re: Kaitlin</w:t>
      </w:r>
      <w:r w:rsidRPr="004D2BDE">
        <w:rPr>
          <w:rFonts w:ascii="Arial" w:hAnsi="Arial" w:cs="Arial"/>
        </w:rPr>
        <w:t xml:space="preserve"> [2017] </w:t>
      </w:r>
      <w:proofErr w:type="spellStart"/>
      <w:r w:rsidRPr="004D2BDE">
        <w:rPr>
          <w:rFonts w:ascii="Arial" w:hAnsi="Arial" w:cs="Arial"/>
        </w:rPr>
        <w:t>FamCA</w:t>
      </w:r>
      <w:proofErr w:type="spellEnd"/>
      <w:r w:rsidRPr="004D2BDE">
        <w:rPr>
          <w:rFonts w:ascii="Arial" w:hAnsi="Arial" w:cs="Arial"/>
        </w:rPr>
        <w:t xml:space="preserve"> 83, [5]</w:t>
      </w:r>
      <w:r w:rsidRPr="004D2BDE">
        <w:rPr>
          <w:rFonts w:ascii="Arial" w:hAnsi="Arial" w:cs="Arial"/>
          <w:iCs/>
        </w:rPr>
        <w:t>–</w:t>
      </w:r>
      <w:r w:rsidRPr="004D2BDE">
        <w:rPr>
          <w:rFonts w:ascii="Arial" w:hAnsi="Arial" w:cs="Arial"/>
        </w:rPr>
        <w:t>[6] and [19].</w:t>
      </w:r>
    </w:p>
  </w:endnote>
  <w:endnote w:id="146">
    <w:p w14:paraId="164DDB29" w14:textId="77777777" w:rsidR="00C9464D" w:rsidRPr="004D2BDE" w:rsidRDefault="00C9464D"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Organisation Intersex International Australia, Submission No 23.1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8 March 2013, 6</w:t>
      </w:r>
      <w:r w:rsidRPr="004D2BDE">
        <w:rPr>
          <w:rFonts w:ascii="Arial" w:hAnsi="Arial" w:cs="Arial"/>
          <w:iCs/>
        </w:rPr>
        <w:t>–</w:t>
      </w:r>
      <w:r w:rsidRPr="004D2BDE">
        <w:rPr>
          <w:rFonts w:ascii="Arial" w:hAnsi="Arial" w:cs="Arial"/>
        </w:rPr>
        <w:t>7.</w:t>
      </w:r>
      <w:r w:rsidRPr="004D2BDE">
        <w:rPr>
          <w:rFonts w:ascii="Arial" w:hAnsi="Arial" w:cs="Arial"/>
        </w:rPr>
        <w:fldChar w:fldCharType="begin"/>
      </w:r>
      <w:r w:rsidRPr="004D2BDE">
        <w:rPr>
          <w:rFonts w:ascii="Arial" w:hAnsi="Arial" w:cs="Arial"/>
        </w:rPr>
        <w:instrText xml:space="preserve"> ADDIN ZOTERO_ITEM CSL_CITATION {"citationID":"peE3AYd7","properties":{"formattedCitation":"{\\rtf \\uc0\\u8216{}OII Australia Submission 23.1.Pdf\\uc0\\u8217{} 6\\uc0\\u8211{}7.}","plainCitation":"‘OII Australia Submission 23.1.Pdf’ 6–7."},"citationItems":[{"id":931,"uris":["http://zotero.org/users/4317530/items/LA9LRCBC"],"uri":["http://zotero.org/users/4317530/items/LA9LRCBC"],"itemData":{"id":931,"type":"article","title":"OII Australia submission 23.1.pdf"},"locator":"6-7"}],"schema":"https://github.com/citation-style-language/schema/raw/master/csl-citation.json"} </w:instrText>
      </w:r>
      <w:r w:rsidRPr="004D2BDE">
        <w:rPr>
          <w:rFonts w:ascii="Arial" w:hAnsi="Arial" w:cs="Arial"/>
        </w:rPr>
        <w:fldChar w:fldCharType="end"/>
      </w:r>
    </w:p>
  </w:endnote>
  <w:endnote w:id="147">
    <w:p w14:paraId="43AFC2DC" w14:textId="77777777" w:rsidR="00C9464D" w:rsidRPr="004D2BDE" w:rsidRDefault="00C9464D" w:rsidP="0024357B">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Organisation Intersex International Australia, Submission No 23.4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29 August 2013, 3.</w:t>
      </w:r>
    </w:p>
  </w:endnote>
  <w:endnote w:id="148">
    <w:p w14:paraId="1E1B1B21" w14:textId="41D71C44" w:rsidR="00C9464D" w:rsidRPr="004D2BDE" w:rsidRDefault="00C9464D" w:rsidP="0024357B">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148, 154.</w:t>
      </w:r>
    </w:p>
  </w:endnote>
  <w:endnote w:id="149">
    <w:p w14:paraId="76FBA2A5" w14:textId="44539B3F" w:rsidR="00C9464D" w:rsidRPr="004D2BDE" w:rsidRDefault="00C9464D" w:rsidP="0024357B">
      <w:pPr>
        <w:pStyle w:val="SubmissionNormal"/>
        <w:numPr>
          <w:ilvl w:val="0"/>
          <w:numId w:val="0"/>
        </w:numPr>
        <w:spacing w:after="0"/>
        <w:rPr>
          <w:rFonts w:ascii="Arial" w:hAnsi="Arial" w:cs="Arial"/>
          <w:color w:val="FF0000"/>
          <w:sz w:val="20"/>
          <w:szCs w:val="20"/>
        </w:rPr>
      </w:pPr>
      <w:r w:rsidRPr="004D2BDE">
        <w:rPr>
          <w:rStyle w:val="EndnoteReference"/>
          <w:rFonts w:cs="Arial"/>
          <w:szCs w:val="20"/>
        </w:rPr>
        <w:endnoteRef/>
      </w:r>
      <w:r w:rsidRPr="004D2BDE">
        <w:rPr>
          <w:rFonts w:ascii="Arial" w:hAnsi="Arial" w:cs="Arial"/>
          <w:sz w:val="20"/>
          <w:szCs w:val="20"/>
        </w:rPr>
        <w:t xml:space="preserve"> The Royal </w:t>
      </w:r>
      <w:proofErr w:type="gramStart"/>
      <w:r w:rsidRPr="004D2BDE">
        <w:rPr>
          <w:rFonts w:ascii="Arial" w:hAnsi="Arial" w:cs="Arial"/>
          <w:sz w:val="20"/>
          <w:szCs w:val="20"/>
        </w:rPr>
        <w:t>Children</w:t>
      </w:r>
      <w:r>
        <w:rPr>
          <w:rFonts w:ascii="Arial" w:hAnsi="Arial" w:cs="Arial"/>
          <w:sz w:val="20"/>
          <w:szCs w:val="20"/>
        </w:rPr>
        <w:t>’</w:t>
      </w:r>
      <w:r w:rsidRPr="004D2BDE">
        <w:rPr>
          <w:rFonts w:ascii="Arial" w:hAnsi="Arial" w:cs="Arial"/>
          <w:sz w:val="20"/>
          <w:szCs w:val="20"/>
        </w:rPr>
        <w:t>s</w:t>
      </w:r>
      <w:proofErr w:type="gramEnd"/>
      <w:r w:rsidRPr="004D2BDE">
        <w:rPr>
          <w:rFonts w:ascii="Arial" w:hAnsi="Arial" w:cs="Arial"/>
          <w:sz w:val="20"/>
          <w:szCs w:val="20"/>
        </w:rPr>
        <w:t xml:space="preserve"> Hospital Melbourne, Submission No 92 to Senate Standing Committee on Community Affairs, </w:t>
      </w:r>
      <w:r w:rsidRPr="004D2BDE">
        <w:rPr>
          <w:rFonts w:ascii="Arial" w:hAnsi="Arial" w:cs="Arial"/>
          <w:i/>
          <w:sz w:val="20"/>
          <w:szCs w:val="20"/>
        </w:rPr>
        <w:t>Involuntary or coerced sterilisation of intersex people in Australia</w:t>
      </w:r>
      <w:r w:rsidRPr="004D2BDE">
        <w:rPr>
          <w:rFonts w:ascii="Arial" w:hAnsi="Arial" w:cs="Arial"/>
          <w:sz w:val="20"/>
          <w:szCs w:val="20"/>
        </w:rPr>
        <w:t>, 10 July 2013, 2.</w:t>
      </w:r>
    </w:p>
  </w:endnote>
  <w:endnote w:id="150">
    <w:p w14:paraId="6E0A39C2" w14:textId="77777777" w:rsidR="00C9464D" w:rsidRPr="004D2BDE" w:rsidRDefault="00C9464D" w:rsidP="002435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{"citationID":"TTSxAdsK","properties":{"formattedCitation":"{\\rtf \\uc0\\u8216{}APEG, Submission to Senate Inquiry, Updated.Pdf\\uc0\\u8217{}, above n 125, 4.}","plainCitation":"‘APEG, Submission to Senate Inquiry, Updated.Pdf’, above n 125, 4."},"citationItems":[{"id":924,"uris":["http://zotero.org/users/4317530/items/LQGAZGFJ"],"uri":["http://zotero.org/users/4317530/items/LQGAZGFJ"],"itemData":{"id":924,"type":"article","title":"APEG, submission to senate inquiry, updated.pdf"},"locator":"4"}],"schema":"https://github.com/citation-style-language/schema/raw/master/csl-citation.json"} </w:instrText>
      </w:r>
      <w:r w:rsidRPr="004D2BDE">
        <w:rPr>
          <w:rFonts w:ascii="Arial" w:hAnsi="Arial" w:cs="Arial"/>
        </w:rPr>
        <w:fldChar w:fldCharType="end"/>
      </w:r>
      <w:r w:rsidRPr="004D2BDE">
        <w:rPr>
          <w:rFonts w:ascii="Arial" w:hAnsi="Arial" w:cs="Arial"/>
        </w:rPr>
        <w:t xml:space="preserve">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4.</w:t>
      </w:r>
    </w:p>
  </w:endnote>
  <w:endnote w:id="151">
    <w:p w14:paraId="5BACE6F5" w14:textId="77777777" w:rsidR="00C9464D" w:rsidRPr="004D2BDE" w:rsidRDefault="00C9464D" w:rsidP="0024357B">
      <w:pPr>
        <w:spacing w:after="0" w:line="240" w:lineRule="auto"/>
        <w:rPr>
          <w:rFonts w:ascii="Arial" w:hAnsi="Arial" w:cs="Arial"/>
          <w:sz w:val="20"/>
          <w:szCs w:val="20"/>
        </w:rPr>
      </w:pPr>
      <w:r w:rsidRPr="004D2BDE">
        <w:rPr>
          <w:rStyle w:val="EndnoteReference"/>
          <w:rFonts w:cs="Arial"/>
          <w:szCs w:val="20"/>
        </w:rPr>
        <w:endnoteRef/>
      </w:r>
      <w:r w:rsidRPr="004D2BDE">
        <w:rPr>
          <w:rFonts w:ascii="Arial" w:hAnsi="Arial" w:cs="Arial"/>
          <w:sz w:val="20"/>
          <w:szCs w:val="20"/>
        </w:rPr>
        <w:t xml:space="preserve"> Senate Community Affairs References Committee, Parliament of Australia, </w:t>
      </w:r>
      <w:r w:rsidRPr="004D2BDE">
        <w:rPr>
          <w:rFonts w:ascii="Arial" w:hAnsi="Arial" w:cs="Arial"/>
          <w:i/>
          <w:sz w:val="20"/>
          <w:szCs w:val="20"/>
        </w:rPr>
        <w:t>Involuntary or coerced sterilisation of intersex people in Australia</w:t>
      </w:r>
      <w:r w:rsidRPr="004D2BDE">
        <w:rPr>
          <w:rFonts w:ascii="Arial" w:hAnsi="Arial" w:cs="Arial"/>
          <w:sz w:val="20"/>
          <w:szCs w:val="20"/>
        </w:rPr>
        <w:t xml:space="preserve"> (2013) 88</w:t>
      </w:r>
      <w:r w:rsidRPr="004D2BDE">
        <w:rPr>
          <w:rFonts w:ascii="Arial" w:hAnsi="Arial" w:cs="Arial"/>
          <w:iCs/>
          <w:sz w:val="20"/>
          <w:szCs w:val="20"/>
        </w:rPr>
        <w:t>–</w:t>
      </w:r>
      <w:r w:rsidRPr="004D2BDE">
        <w:rPr>
          <w:rFonts w:ascii="Arial" w:hAnsi="Arial" w:cs="Arial"/>
          <w:sz w:val="20"/>
          <w:szCs w:val="20"/>
        </w:rPr>
        <w:t>92.</w:t>
      </w:r>
    </w:p>
  </w:endnote>
  <w:endnote w:id="152">
    <w:p w14:paraId="2264799E" w14:textId="1A86E070"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19.</w:t>
      </w:r>
    </w:p>
  </w:endnote>
  <w:endnote w:id="153">
    <w:p w14:paraId="2F8A6272" w14:textId="6C6933A6"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88</w:t>
      </w:r>
      <w:r w:rsidRPr="004D2BDE">
        <w:rPr>
          <w:rFonts w:ascii="Arial" w:hAnsi="Arial" w:cs="Arial"/>
          <w:iCs/>
        </w:rPr>
        <w:t>–</w:t>
      </w:r>
      <w:r w:rsidRPr="004D2BDE">
        <w:rPr>
          <w:rFonts w:ascii="Arial" w:hAnsi="Arial" w:cs="Arial"/>
        </w:rPr>
        <w:t>92.</w:t>
      </w:r>
    </w:p>
  </w:endnote>
  <w:endnote w:id="154">
    <w:p w14:paraId="6B3343C7" w14:textId="2BF64846"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Phyllis W. </w:t>
      </w:r>
      <w:proofErr w:type="spellStart"/>
      <w:r w:rsidRPr="004D2BDE">
        <w:rPr>
          <w:rFonts w:ascii="Arial" w:hAnsi="Arial" w:cs="Arial"/>
        </w:rPr>
        <w:t>Speiser</w:t>
      </w:r>
      <w:proofErr w:type="spellEnd"/>
      <w:r w:rsidRPr="004D2BDE">
        <w:rPr>
          <w:rFonts w:ascii="Arial" w:hAnsi="Arial" w:cs="Arial"/>
        </w:rPr>
        <w:t xml:space="preserve"> et al, </w:t>
      </w:r>
      <w:r>
        <w:rPr>
          <w:rFonts w:ascii="Arial" w:hAnsi="Arial" w:cs="Arial"/>
        </w:rPr>
        <w:t>‘</w:t>
      </w:r>
      <w:r w:rsidRPr="004D2BDE">
        <w:rPr>
          <w:rFonts w:ascii="Arial" w:hAnsi="Arial" w:cs="Arial"/>
        </w:rPr>
        <w:t>Congenital Adrenal Hyperplasia Due to Steroid 21-Hydroxylase Deficiency: An Endocrine Society Clinical Practice Guideline</w:t>
      </w:r>
      <w:r>
        <w:rPr>
          <w:rFonts w:ascii="Arial" w:hAnsi="Arial" w:cs="Arial"/>
        </w:rPr>
        <w:t>’</w:t>
      </w:r>
      <w:r w:rsidRPr="004D2BDE">
        <w:rPr>
          <w:rFonts w:ascii="Arial" w:hAnsi="Arial" w:cs="Arial"/>
        </w:rPr>
        <w:t xml:space="preserve"> (2010) 95 </w:t>
      </w:r>
      <w:r w:rsidRPr="004D2BDE">
        <w:rPr>
          <w:rFonts w:ascii="Arial" w:hAnsi="Arial" w:cs="Arial"/>
          <w:i/>
        </w:rPr>
        <w:t>The Journal of Clinical Endocrinology and Metabolism</w:t>
      </w:r>
      <w:r w:rsidRPr="004D2BDE">
        <w:rPr>
          <w:rFonts w:ascii="Arial" w:hAnsi="Arial" w:cs="Arial"/>
        </w:rPr>
        <w:t xml:space="preserve"> 4133, 4143.</w:t>
      </w:r>
    </w:p>
  </w:endnote>
  <w:endnote w:id="155">
    <w:p w14:paraId="27DBB598" w14:textId="77777777" w:rsidR="00C9464D" w:rsidRPr="004D2BDE" w:rsidRDefault="00C9464D" w:rsidP="001703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Re: Carla (Medical Procedure) </w:t>
      </w:r>
      <w:r w:rsidRPr="004D2BDE">
        <w:rPr>
          <w:rFonts w:ascii="Arial" w:hAnsi="Arial" w:cs="Arial"/>
        </w:rPr>
        <w:t xml:space="preserve">[2016] </w:t>
      </w:r>
      <w:proofErr w:type="spellStart"/>
      <w:r w:rsidRPr="004D2BDE">
        <w:rPr>
          <w:rFonts w:ascii="Arial" w:hAnsi="Arial" w:cs="Arial"/>
        </w:rPr>
        <w:t>FamCA</w:t>
      </w:r>
      <w:proofErr w:type="spellEnd"/>
      <w:r w:rsidRPr="004D2BDE">
        <w:rPr>
          <w:rFonts w:ascii="Arial" w:hAnsi="Arial" w:cs="Arial"/>
        </w:rPr>
        <w:t xml:space="preserve"> 7, [30].</w:t>
      </w:r>
    </w:p>
  </w:endnote>
  <w:endnote w:id="156">
    <w:p w14:paraId="6D946266" w14:textId="1593C550"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World Health Organization, 46,XY disorder of sex development due to 17-beta-hydroxysteroid dehydrogenase 3 deficiency in </w:t>
      </w:r>
      <w:r w:rsidRPr="004D2BDE">
        <w:rPr>
          <w:rFonts w:ascii="Arial" w:hAnsi="Arial" w:cs="Arial"/>
          <w:i/>
          <w:iCs/>
        </w:rPr>
        <w:t>ICD-11 Beta Draft (Foundation)</w:t>
      </w:r>
      <w:r w:rsidRPr="004D2BDE">
        <w:rPr>
          <w:rFonts w:ascii="Arial" w:hAnsi="Arial" w:cs="Arial"/>
        </w:rPr>
        <w:t xml:space="preserve"> (2018).</w:t>
      </w:r>
    </w:p>
  </w:endnote>
  <w:endnote w:id="157">
    <w:p w14:paraId="3ABF5328" w14:textId="09F29CC8" w:rsidR="00C9464D" w:rsidRDefault="00C9464D">
      <w:pPr>
        <w:pStyle w:val="EndnoteText"/>
      </w:pPr>
      <w:r>
        <w:rPr>
          <w:rStyle w:val="EndnoteReference"/>
        </w:rPr>
        <w:endnoteRef/>
      </w:r>
      <w:r>
        <w:t xml:space="preserve"> </w:t>
      </w:r>
      <w:r w:rsidRPr="004D2BDE">
        <w:rPr>
          <w:rFonts w:ascii="Arial" w:hAnsi="Arial" w:cs="Arial"/>
        </w:rPr>
        <w:t xml:space="preserve">Mauro Cabral </w:t>
      </w:r>
      <w:proofErr w:type="spellStart"/>
      <w:r w:rsidRPr="004D2BDE">
        <w:rPr>
          <w:rFonts w:ascii="Arial" w:hAnsi="Arial" w:cs="Arial"/>
        </w:rPr>
        <w:t>Grinspan</w:t>
      </w:r>
      <w:proofErr w:type="spellEnd"/>
      <w:r w:rsidRPr="004D2BDE">
        <w:rPr>
          <w:rFonts w:ascii="Arial" w:hAnsi="Arial" w:cs="Arial"/>
        </w:rPr>
        <w:t xml:space="preserve"> and Morgan Carpenter, </w:t>
      </w:r>
      <w:r>
        <w:rPr>
          <w:rFonts w:ascii="Arial" w:hAnsi="Arial" w:cs="Arial"/>
        </w:rPr>
        <w:t>‘</w:t>
      </w:r>
      <w:r w:rsidRPr="004D2BDE">
        <w:rPr>
          <w:rFonts w:ascii="Arial" w:hAnsi="Arial" w:cs="Arial"/>
        </w:rPr>
        <w:t>Gendering the Lens: Critical Reflections on Gender, Hospitality and Torture</w:t>
      </w:r>
      <w:r>
        <w:rPr>
          <w:rFonts w:ascii="Arial" w:hAnsi="Arial" w:cs="Arial"/>
        </w:rPr>
        <w:t>’</w:t>
      </w:r>
      <w:r w:rsidRPr="004D2BDE">
        <w:rPr>
          <w:rFonts w:ascii="Arial" w:hAnsi="Arial" w:cs="Arial"/>
        </w:rPr>
        <w:t xml:space="preserve"> in </w:t>
      </w:r>
      <w:r w:rsidRPr="004D2BDE">
        <w:rPr>
          <w:rFonts w:ascii="Arial" w:hAnsi="Arial" w:cs="Arial"/>
          <w:i/>
        </w:rPr>
        <w:t xml:space="preserve">Gender Perspectives on Torture: Law and Practice </w:t>
      </w:r>
      <w:r w:rsidRPr="004D2BDE">
        <w:rPr>
          <w:rFonts w:ascii="Arial" w:hAnsi="Arial" w:cs="Arial"/>
        </w:rPr>
        <w:t>(American University Washington College of Law Centre for Human Rights and Humanitarian Law, 2018) 183, 188.</w:t>
      </w:r>
    </w:p>
  </w:endnote>
  <w:endnote w:id="158">
    <w:p w14:paraId="28692631" w14:textId="4691F1AA" w:rsidR="00C9464D" w:rsidRPr="004D2BDE" w:rsidRDefault="00C9464D" w:rsidP="0026384F">
      <w:pPr>
        <w:pStyle w:val="EndnoteText"/>
        <w:rPr>
          <w:rFonts w:ascii="Arial" w:hAnsi="Arial" w:cs="Arial"/>
        </w:rPr>
      </w:pPr>
      <w:r w:rsidRPr="004D2BDE">
        <w:rPr>
          <w:rStyle w:val="EndnoteReference"/>
          <w:rFonts w:cs="Arial"/>
        </w:rPr>
        <w:endnoteRef/>
      </w:r>
      <w:r w:rsidRPr="004D2BDE">
        <w:rPr>
          <w:rFonts w:ascii="Arial" w:hAnsi="Arial" w:cs="Arial"/>
        </w:rPr>
        <w:t xml:space="preserve"> Nina </w:t>
      </w:r>
      <w:proofErr w:type="spellStart"/>
      <w:r w:rsidRPr="004D2BDE">
        <w:rPr>
          <w:rFonts w:ascii="Arial" w:hAnsi="Arial" w:cs="Arial"/>
        </w:rPr>
        <w:t>Callens</w:t>
      </w:r>
      <w:proofErr w:type="spellEnd"/>
      <w:r w:rsidRPr="004D2BDE">
        <w:rPr>
          <w:rFonts w:ascii="Arial" w:hAnsi="Arial" w:cs="Arial"/>
        </w:rPr>
        <w:t xml:space="preserve"> et al, </w:t>
      </w:r>
      <w:r>
        <w:rPr>
          <w:rFonts w:ascii="Arial" w:hAnsi="Arial" w:cs="Arial"/>
        </w:rPr>
        <w:t>‘</w:t>
      </w:r>
      <w:r w:rsidRPr="004D2BDE">
        <w:rPr>
          <w:rFonts w:ascii="Arial" w:hAnsi="Arial" w:cs="Arial"/>
        </w:rPr>
        <w:t>An update on surgical and non-surgical treatments for vaginal hypoplasia</w:t>
      </w:r>
      <w:r>
        <w:rPr>
          <w:rFonts w:ascii="Arial" w:hAnsi="Arial" w:cs="Arial"/>
        </w:rPr>
        <w:t>’</w:t>
      </w:r>
      <w:r w:rsidRPr="004D2BDE">
        <w:rPr>
          <w:rFonts w:ascii="Arial" w:hAnsi="Arial" w:cs="Arial"/>
        </w:rPr>
        <w:t xml:space="preserve"> (2014) 20 </w:t>
      </w:r>
      <w:r w:rsidRPr="004D2BDE">
        <w:rPr>
          <w:rFonts w:ascii="Arial" w:hAnsi="Arial" w:cs="Arial"/>
          <w:i/>
        </w:rPr>
        <w:t xml:space="preserve">Human Reproduction Update </w:t>
      </w:r>
      <w:r w:rsidRPr="004D2BDE">
        <w:rPr>
          <w:rFonts w:ascii="Arial" w:hAnsi="Arial" w:cs="Arial"/>
        </w:rPr>
        <w:t>775, 788.</w:t>
      </w:r>
    </w:p>
  </w:endnote>
  <w:endnote w:id="159">
    <w:p w14:paraId="45E078B1" w14:textId="77A3D80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Sarah M. Creighton et al, </w:t>
      </w:r>
      <w:r>
        <w:rPr>
          <w:rFonts w:ascii="Arial" w:hAnsi="Arial" w:cs="Arial"/>
        </w:rPr>
        <w:t>‘</w:t>
      </w:r>
      <w:r w:rsidRPr="004D2BDE">
        <w:rPr>
          <w:rFonts w:ascii="Arial" w:hAnsi="Arial" w:cs="Arial"/>
        </w:rPr>
        <w:t>Childhood surgery for ambiguous genitalia: glimpses of practice changes or more of the same?</w:t>
      </w:r>
      <w:r>
        <w:rPr>
          <w:rFonts w:ascii="Arial" w:hAnsi="Arial" w:cs="Arial"/>
        </w:rPr>
        <w:t>’</w:t>
      </w:r>
      <w:r w:rsidRPr="004D2BDE">
        <w:rPr>
          <w:rFonts w:ascii="Arial" w:hAnsi="Arial" w:cs="Arial"/>
        </w:rPr>
        <w:t xml:space="preserve"> (2014) </w:t>
      </w:r>
      <w:proofErr w:type="gramStart"/>
      <w:r w:rsidRPr="004D2BDE">
        <w:rPr>
          <w:rFonts w:ascii="Arial" w:hAnsi="Arial" w:cs="Arial"/>
        </w:rPr>
        <w:t>5</w:t>
      </w:r>
      <w:proofErr w:type="gramEnd"/>
      <w:r w:rsidRPr="004D2BDE">
        <w:rPr>
          <w:rFonts w:ascii="Arial" w:hAnsi="Arial" w:cs="Arial"/>
        </w:rPr>
        <w:t xml:space="preserve"> </w:t>
      </w:r>
      <w:r w:rsidRPr="004D2BDE">
        <w:rPr>
          <w:rFonts w:ascii="Arial" w:hAnsi="Arial" w:cs="Arial"/>
          <w:i/>
        </w:rPr>
        <w:t>Psychology &amp; Sexuality</w:t>
      </w:r>
      <w:r w:rsidRPr="004D2BDE">
        <w:rPr>
          <w:rFonts w:ascii="Arial" w:hAnsi="Arial" w:cs="Arial"/>
        </w:rPr>
        <w:t xml:space="preserve"> 34, 39.</w:t>
      </w:r>
    </w:p>
  </w:endnote>
  <w:endnote w:id="160">
    <w:p w14:paraId="2AFBE547" w14:textId="77777777" w:rsidR="00C9464D" w:rsidRPr="004D2BDE" w:rsidRDefault="00C9464D" w:rsidP="0017037B">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[16], [22]. At </w:t>
      </w:r>
      <w:hyperlink r:id="rId44"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61">
    <w:p w14:paraId="01CAD50F" w14:textId="77777777" w:rsidR="00C9464D" w:rsidRPr="004D2BDE" w:rsidRDefault="00C9464D" w:rsidP="0017037B">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iCs/>
        </w:rPr>
        <w:t xml:space="preserve">Crimes Act 1900 </w:t>
      </w:r>
      <w:r w:rsidRPr="004D2BDE">
        <w:rPr>
          <w:rFonts w:ascii="Arial" w:hAnsi="Arial" w:cs="Arial"/>
        </w:rPr>
        <w:t>(ACT) s 73</w:t>
      </w:r>
      <w:r w:rsidRPr="004D2BDE">
        <w:rPr>
          <w:rFonts w:ascii="Arial" w:hAnsi="Arial" w:cs="Arial"/>
          <w:iCs/>
        </w:rPr>
        <w:t>–</w:t>
      </w:r>
      <w:r w:rsidRPr="004D2BDE">
        <w:rPr>
          <w:rFonts w:ascii="Arial" w:hAnsi="Arial" w:cs="Arial"/>
        </w:rPr>
        <w:t xml:space="preserve">77; </w:t>
      </w:r>
      <w:r w:rsidRPr="004D2BDE">
        <w:rPr>
          <w:rFonts w:ascii="Arial" w:hAnsi="Arial" w:cs="Arial"/>
          <w:i/>
          <w:iCs/>
        </w:rPr>
        <w:t xml:space="preserve">Crimes Act 1900 </w:t>
      </w:r>
      <w:r w:rsidRPr="004D2BDE">
        <w:rPr>
          <w:rFonts w:ascii="Arial" w:hAnsi="Arial" w:cs="Arial"/>
        </w:rPr>
        <w:t xml:space="preserve">(NSW) s 45, </w:t>
      </w:r>
      <w:r w:rsidRPr="004D2BDE">
        <w:rPr>
          <w:rFonts w:ascii="Arial" w:hAnsi="Arial" w:cs="Arial"/>
          <w:i/>
          <w:iCs/>
        </w:rPr>
        <w:t xml:space="preserve">Criminal Code Act </w:t>
      </w:r>
      <w:r w:rsidRPr="004D2BDE">
        <w:rPr>
          <w:rFonts w:ascii="Arial" w:hAnsi="Arial" w:cs="Arial"/>
        </w:rPr>
        <w:t>(NT) s 186A</w:t>
      </w:r>
      <w:r w:rsidRPr="004D2BDE">
        <w:rPr>
          <w:rFonts w:ascii="Arial" w:hAnsi="Arial" w:cs="Arial"/>
          <w:iCs/>
        </w:rPr>
        <w:t>–</w:t>
      </w:r>
      <w:r w:rsidRPr="004D2BDE">
        <w:rPr>
          <w:rFonts w:ascii="Arial" w:hAnsi="Arial" w:cs="Arial"/>
        </w:rPr>
        <w:t xml:space="preserve">186D; </w:t>
      </w:r>
      <w:r w:rsidRPr="004D2BDE">
        <w:rPr>
          <w:rFonts w:ascii="Arial" w:hAnsi="Arial" w:cs="Arial"/>
          <w:i/>
          <w:iCs/>
        </w:rPr>
        <w:t xml:space="preserve">Criminal Code 1899 </w:t>
      </w:r>
      <w:r w:rsidRPr="004D2BDE">
        <w:rPr>
          <w:rFonts w:ascii="Arial" w:hAnsi="Arial" w:cs="Arial"/>
        </w:rPr>
        <w:t>(Qld) s 323A</w:t>
      </w:r>
      <w:r w:rsidRPr="004D2BDE">
        <w:rPr>
          <w:rFonts w:ascii="Arial" w:hAnsi="Arial" w:cs="Arial"/>
          <w:iCs/>
        </w:rPr>
        <w:t>–</w:t>
      </w:r>
      <w:r w:rsidRPr="004D2BDE">
        <w:rPr>
          <w:rFonts w:ascii="Arial" w:hAnsi="Arial" w:cs="Arial"/>
        </w:rPr>
        <w:t xml:space="preserve">323B; </w:t>
      </w:r>
      <w:r w:rsidRPr="004D2BDE">
        <w:rPr>
          <w:rFonts w:ascii="Arial" w:hAnsi="Arial" w:cs="Arial"/>
          <w:i/>
          <w:iCs/>
        </w:rPr>
        <w:t xml:space="preserve">Criminal Law Consolidation Act 1935 </w:t>
      </w:r>
      <w:r w:rsidRPr="004D2BDE">
        <w:rPr>
          <w:rFonts w:ascii="Arial" w:hAnsi="Arial" w:cs="Arial"/>
        </w:rPr>
        <w:t>(SA) s 33</w:t>
      </w:r>
      <w:r w:rsidRPr="004D2BDE">
        <w:rPr>
          <w:rFonts w:ascii="Arial" w:hAnsi="Arial" w:cs="Arial"/>
          <w:iCs/>
        </w:rPr>
        <w:t>–</w:t>
      </w:r>
      <w:r w:rsidRPr="004D2BDE">
        <w:rPr>
          <w:rFonts w:ascii="Arial" w:hAnsi="Arial" w:cs="Arial"/>
        </w:rPr>
        <w:t xml:space="preserve">33B; </w:t>
      </w:r>
      <w:r w:rsidRPr="004D2BDE">
        <w:rPr>
          <w:rFonts w:ascii="Arial" w:hAnsi="Arial" w:cs="Arial"/>
          <w:i/>
          <w:iCs/>
        </w:rPr>
        <w:t xml:space="preserve">Crimes Act 1958 </w:t>
      </w:r>
      <w:r w:rsidRPr="004D2BDE">
        <w:rPr>
          <w:rFonts w:ascii="Arial" w:hAnsi="Arial" w:cs="Arial"/>
        </w:rPr>
        <w:t>(Vic) s 32</w:t>
      </w:r>
      <w:r w:rsidRPr="004D2BDE">
        <w:rPr>
          <w:rFonts w:ascii="Arial" w:hAnsi="Arial" w:cs="Arial"/>
          <w:iCs/>
        </w:rPr>
        <w:t>–</w:t>
      </w:r>
      <w:r w:rsidRPr="004D2BDE">
        <w:rPr>
          <w:rFonts w:ascii="Arial" w:hAnsi="Arial" w:cs="Arial"/>
        </w:rPr>
        <w:t xml:space="preserve">34A; </w:t>
      </w:r>
      <w:r w:rsidRPr="004D2BDE">
        <w:rPr>
          <w:rFonts w:ascii="Arial" w:hAnsi="Arial" w:cs="Arial"/>
          <w:i/>
          <w:iCs/>
        </w:rPr>
        <w:t xml:space="preserve">Criminal Code Act 1924 </w:t>
      </w:r>
      <w:r w:rsidRPr="004D2BDE">
        <w:rPr>
          <w:rFonts w:ascii="Arial" w:hAnsi="Arial" w:cs="Arial"/>
        </w:rPr>
        <w:t>(</w:t>
      </w:r>
      <w:proofErr w:type="spellStart"/>
      <w:r w:rsidRPr="004D2BDE">
        <w:rPr>
          <w:rFonts w:ascii="Arial" w:hAnsi="Arial" w:cs="Arial"/>
        </w:rPr>
        <w:t>Tas</w:t>
      </w:r>
      <w:proofErr w:type="spellEnd"/>
      <w:r w:rsidRPr="004D2BDE">
        <w:rPr>
          <w:rFonts w:ascii="Arial" w:hAnsi="Arial" w:cs="Arial"/>
        </w:rPr>
        <w:t xml:space="preserve">) </w:t>
      </w:r>
      <w:proofErr w:type="spellStart"/>
      <w:r w:rsidRPr="004D2BDE">
        <w:rPr>
          <w:rFonts w:ascii="Arial" w:hAnsi="Arial" w:cs="Arial"/>
        </w:rPr>
        <w:t>ss</w:t>
      </w:r>
      <w:proofErr w:type="spellEnd"/>
      <w:r w:rsidRPr="004D2BDE">
        <w:rPr>
          <w:rFonts w:ascii="Arial" w:hAnsi="Arial" w:cs="Arial"/>
        </w:rPr>
        <w:t xml:space="preserve"> 178A, 178B, 389 and </w:t>
      </w:r>
      <w:r w:rsidRPr="004D2BDE">
        <w:rPr>
          <w:rFonts w:ascii="Arial" w:hAnsi="Arial" w:cs="Arial"/>
          <w:i/>
          <w:iCs/>
        </w:rPr>
        <w:t xml:space="preserve">The Criminal Code </w:t>
      </w:r>
      <w:r w:rsidRPr="004D2BDE">
        <w:rPr>
          <w:rFonts w:ascii="Arial" w:hAnsi="Arial" w:cs="Arial"/>
        </w:rPr>
        <w:t>(WA) s 306.</w:t>
      </w:r>
    </w:p>
  </w:endnote>
  <w:endnote w:id="162">
    <w:p w14:paraId="302AC3E9" w14:textId="649C4544" w:rsidR="00C9464D" w:rsidRPr="004D2BDE" w:rsidRDefault="00C9464D" w:rsidP="0000626B">
      <w:pPr>
        <w:pStyle w:val="EndnoteText"/>
        <w:rPr>
          <w:rFonts w:ascii="Arial" w:hAnsi="Arial" w:cs="Arial"/>
        </w:rPr>
      </w:pPr>
      <w:r w:rsidRPr="004D2BDE">
        <w:rPr>
          <w:rStyle w:val="EndnoteReference"/>
          <w:rFonts w:cs="Arial"/>
        </w:rPr>
        <w:endnoteRef/>
      </w:r>
      <w:r w:rsidRPr="004D2BDE">
        <w:rPr>
          <w:rFonts w:ascii="Arial" w:hAnsi="Arial" w:cs="Arial"/>
        </w:rPr>
        <w:t xml:space="preserve">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176; Australasian Paediatric Endocrine Group, Submission No 88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27 June 2013, 5.</w:t>
      </w:r>
      <w:r w:rsidRPr="004D2BDE">
        <w:rPr>
          <w:rFonts w:ascii="Arial" w:eastAsia="Times New Roman" w:hAnsi="Arial" w:cs="Arial"/>
        </w:rPr>
        <w:t xml:space="preserve"> </w:t>
      </w:r>
    </w:p>
  </w:endnote>
  <w:endnote w:id="163">
    <w:p w14:paraId="1AAD1F6C" w14:textId="77777777" w:rsidR="00C9464D" w:rsidRPr="004D2BDE" w:rsidRDefault="00C9464D" w:rsidP="002E467D">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75.</w:t>
      </w:r>
    </w:p>
  </w:endnote>
  <w:endnote w:id="164">
    <w:p w14:paraId="7F591C1C" w14:textId="77777777" w:rsidR="00C9464D" w:rsidRPr="004D2BDE" w:rsidRDefault="00C9464D" w:rsidP="002E467D">
      <w:pPr>
        <w:pStyle w:val="EndnoteText"/>
        <w:rPr>
          <w:rFonts w:ascii="Arial" w:hAnsi="Arial" w:cs="Arial"/>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45"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17</w:t>
      </w:r>
      <w:r w:rsidRPr="004D2BDE">
        <w:rPr>
          <w:rFonts w:ascii="Arial" w:hAnsi="Arial" w:cs="Arial"/>
          <w:iCs/>
        </w:rPr>
        <w:t>–</w:t>
      </w:r>
      <w:r w:rsidRPr="004D2BDE">
        <w:rPr>
          <w:rFonts w:ascii="Arial" w:hAnsi="Arial" w:cs="Arial"/>
        </w:rPr>
        <w:t>18.</w:t>
      </w:r>
    </w:p>
  </w:endnote>
  <w:endnote w:id="165">
    <w:p w14:paraId="0B2813CD" w14:textId="566A0E04" w:rsidR="00C9464D" w:rsidRPr="004D2BDE" w:rsidRDefault="00C9464D" w:rsidP="002E467D">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14</w:t>
      </w:r>
      <w:r w:rsidRPr="004D2BDE">
        <w:rPr>
          <w:rFonts w:ascii="Arial" w:hAnsi="Arial" w:cs="Arial"/>
          <w:iCs/>
        </w:rPr>
        <w:t>–</w:t>
      </w:r>
      <w:r w:rsidRPr="004D2BDE">
        <w:rPr>
          <w:rFonts w:ascii="Arial" w:hAnsi="Arial" w:cs="Arial"/>
        </w:rPr>
        <w:t>15.</w:t>
      </w:r>
    </w:p>
  </w:endnote>
  <w:endnote w:id="166">
    <w:p w14:paraId="0018D87A" w14:textId="3CB15BB7" w:rsidR="00C9464D" w:rsidRPr="004D2BDE" w:rsidRDefault="00C9464D" w:rsidP="00511DEF">
      <w:pPr>
        <w:pStyle w:val="EndnoteText"/>
        <w:rPr>
          <w:rFonts w:ascii="Arial" w:hAnsi="Arial" w:cs="Arial"/>
        </w:rPr>
      </w:pPr>
      <w:r w:rsidRPr="004D2BDE">
        <w:rPr>
          <w:rStyle w:val="EndnoteReference"/>
          <w:rFonts w:cs="Arial"/>
        </w:rPr>
        <w:endnoteRef/>
      </w:r>
      <w:r w:rsidRPr="004D2BDE">
        <w:rPr>
          <w:rFonts w:ascii="Arial" w:hAnsi="Arial" w:cs="Arial"/>
        </w:rPr>
        <w:t xml:space="preserve">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4; I. A. Hughes et al, </w:t>
      </w:r>
      <w:r>
        <w:rPr>
          <w:rFonts w:ascii="Arial" w:hAnsi="Arial" w:cs="Arial"/>
        </w:rPr>
        <w:t>‘</w:t>
      </w:r>
      <w:r w:rsidRPr="004D2BDE">
        <w:rPr>
          <w:rFonts w:ascii="Arial" w:hAnsi="Arial" w:cs="Arial"/>
        </w:rPr>
        <w:t>Consensus statement on management of intersex disorders</w:t>
      </w:r>
      <w:r>
        <w:rPr>
          <w:rFonts w:ascii="Arial" w:hAnsi="Arial" w:cs="Arial"/>
        </w:rPr>
        <w:t>’</w:t>
      </w:r>
      <w:r w:rsidRPr="004D2BDE">
        <w:rPr>
          <w:rFonts w:ascii="Arial" w:hAnsi="Arial" w:cs="Arial"/>
        </w:rPr>
        <w:t xml:space="preserve"> (2006) </w:t>
      </w:r>
      <w:proofErr w:type="gramStart"/>
      <w:r w:rsidRPr="004D2BDE">
        <w:rPr>
          <w:rFonts w:ascii="Arial" w:hAnsi="Arial" w:cs="Arial"/>
        </w:rPr>
        <w:t>2</w:t>
      </w:r>
      <w:proofErr w:type="gramEnd"/>
      <w:r w:rsidRPr="004D2BDE">
        <w:rPr>
          <w:rFonts w:ascii="Arial" w:hAnsi="Arial" w:cs="Arial"/>
        </w:rPr>
        <w:t xml:space="preserve"> </w:t>
      </w:r>
      <w:r w:rsidRPr="004D2BDE">
        <w:rPr>
          <w:rFonts w:ascii="Arial" w:hAnsi="Arial" w:cs="Arial"/>
          <w:i/>
        </w:rPr>
        <w:t xml:space="preserve">Journal of </w:t>
      </w:r>
      <w:proofErr w:type="spellStart"/>
      <w:r w:rsidRPr="004D2BDE">
        <w:rPr>
          <w:rFonts w:ascii="Arial" w:hAnsi="Arial" w:cs="Arial"/>
          <w:i/>
        </w:rPr>
        <w:t>Pediatric</w:t>
      </w:r>
      <w:proofErr w:type="spellEnd"/>
      <w:r w:rsidRPr="004D2BDE">
        <w:rPr>
          <w:rFonts w:ascii="Arial" w:hAnsi="Arial" w:cs="Arial"/>
          <w:i/>
        </w:rPr>
        <w:t xml:space="preserve"> Urology </w:t>
      </w:r>
      <w:r w:rsidRPr="004D2BDE">
        <w:rPr>
          <w:rFonts w:ascii="Arial" w:hAnsi="Arial" w:cs="Arial"/>
        </w:rPr>
        <w:t>148, 151.</w:t>
      </w:r>
    </w:p>
  </w:endnote>
  <w:endnote w:id="167">
    <w:p w14:paraId="54357B23" w14:textId="77777777" w:rsidR="00C9464D" w:rsidRPr="004D2BDE" w:rsidRDefault="00C9464D" w:rsidP="00511DEF">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Commonwealth, </w:t>
      </w:r>
      <w:r w:rsidRPr="004D2BDE">
        <w:rPr>
          <w:rFonts w:ascii="Arial" w:hAnsi="Arial" w:cs="Arial"/>
          <w:i/>
          <w:iCs/>
        </w:rPr>
        <w:t xml:space="preserve">Parliamentary Debates, </w:t>
      </w:r>
      <w:r w:rsidRPr="004D2BDE">
        <w:rPr>
          <w:rFonts w:ascii="Arial" w:hAnsi="Arial" w:cs="Arial"/>
        </w:rPr>
        <w:t xml:space="preserve">Senate, 17 June 2015, 3755-3769 (Senator Fifield). At </w:t>
      </w:r>
      <w:hyperlink r:id="rId46" w:history="1">
        <w:r w:rsidRPr="004D2BDE">
          <w:rPr>
            <w:rStyle w:val="Hyperlink"/>
            <w:rFonts w:ascii="Arial" w:hAnsi="Arial" w:cs="Arial"/>
          </w:rPr>
          <w:t>http://parlinfo.aph.gov.au/parlInfo/search/display/display.w3p;query=Id%3A%22chamber%2Fhansards%2Fb72114df-d068-4aeb-8fd0-833d5a01f955%2F0164%22;src1=sm1</w:t>
        </w:r>
      </w:hyperlink>
      <w:r w:rsidRPr="004D2BDE">
        <w:rPr>
          <w:rFonts w:ascii="Arial" w:hAnsi="Arial" w:cs="Arial"/>
        </w:rPr>
        <w:t xml:space="preserve"> (accessed 17 January 2018) 18.</w:t>
      </w:r>
    </w:p>
  </w:endnote>
  <w:endnote w:id="168">
    <w:p w14:paraId="22C1DE1C" w14:textId="77777777" w:rsidR="00C9464D" w:rsidRPr="004D2BDE" w:rsidRDefault="00C9464D" w:rsidP="00511DEF">
      <w:pPr>
        <w:pStyle w:val="EndnoteText"/>
        <w:rPr>
          <w:rFonts w:ascii="Arial" w:hAnsi="Arial" w:cs="Arial"/>
        </w:rPr>
      </w:pPr>
      <w:r w:rsidRPr="004D2BDE">
        <w:rPr>
          <w:rStyle w:val="EndnoteReference"/>
          <w:rFonts w:cs="Arial"/>
        </w:rPr>
        <w:endnoteRef/>
      </w:r>
      <w:r w:rsidRPr="004D2BDE">
        <w:rPr>
          <w:rFonts w:ascii="Arial" w:hAnsi="Arial" w:cs="Arial"/>
        </w:rPr>
        <w:t xml:space="preserve"> Organisation Intersex International Australia, Submission No 23.1 to Senate Standing Committee on Community Affairs, </w:t>
      </w:r>
      <w:r w:rsidRPr="004D2BDE">
        <w:rPr>
          <w:rFonts w:ascii="Arial" w:hAnsi="Arial" w:cs="Arial"/>
          <w:i/>
        </w:rPr>
        <w:t>Involuntary or coerced sterilisation of intersex people in Australia</w:t>
      </w:r>
      <w:r w:rsidRPr="004D2BDE">
        <w:rPr>
          <w:rFonts w:ascii="Arial" w:hAnsi="Arial" w:cs="Arial"/>
        </w:rPr>
        <w:t>, 8 March 2013, 17.</w:t>
      </w:r>
      <w:r w:rsidRPr="004D2BDE">
        <w:rPr>
          <w:rFonts w:ascii="Arial" w:hAnsi="Arial" w:cs="Arial"/>
        </w:rPr>
        <w:fldChar w:fldCharType="begin"/>
      </w:r>
      <w:r w:rsidRPr="004D2BDE">
        <w:rPr>
          <w:rFonts w:ascii="Arial" w:hAnsi="Arial" w:cs="Arial"/>
        </w:rPr>
        <w:instrText xml:space="preserve"> ADDIN ZOTERO_ITEM CSL_CITATION {"citationID":"peE3AYd7","properties":{"formattedCitation":"{\\rtf \\uc0\\u8216{}OII Australia Submission 23.1.Pdf\\uc0\\u8217{} 6\\uc0\\u8211{}7.}","plainCitation":"‘OII Australia Submission 23.1.Pdf’ 6–7."},"citationItems":[{"id":931,"uris":["http://zotero.org/users/4317530/items/LA9LRCBC"],"uri":["http://zotero.org/users/4317530/items/LA9LRCBC"],"itemData":{"id":931,"type":"article","title":"OII Australia submission 23.1.pdf"},"locator":"6-7"}],"schema":"https://github.com/citation-style-language/schema/raw/master/csl-citation.json"} </w:instrText>
      </w:r>
      <w:r w:rsidRPr="004D2BDE">
        <w:rPr>
          <w:rFonts w:ascii="Arial" w:hAnsi="Arial" w:cs="Arial"/>
        </w:rPr>
        <w:fldChar w:fldCharType="end"/>
      </w:r>
    </w:p>
  </w:endnote>
  <w:endnote w:id="169">
    <w:p w14:paraId="3DAF56FF" w14:textId="5DDEEE21"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Sarah M. Creighton et al, </w:t>
      </w:r>
      <w:r>
        <w:rPr>
          <w:rFonts w:ascii="Arial" w:hAnsi="Arial" w:cs="Arial"/>
        </w:rPr>
        <w:t>‘</w:t>
      </w:r>
      <w:r w:rsidRPr="004D2BDE">
        <w:rPr>
          <w:rFonts w:ascii="Arial" w:hAnsi="Arial" w:cs="Arial"/>
        </w:rPr>
        <w:t>Childhood surgery for ambiguous genitalia: glimpses of practice changes or more of the same?</w:t>
      </w:r>
      <w:r>
        <w:rPr>
          <w:rFonts w:ascii="Arial" w:hAnsi="Arial" w:cs="Arial"/>
        </w:rPr>
        <w:t>’</w:t>
      </w:r>
      <w:r w:rsidRPr="004D2BDE">
        <w:rPr>
          <w:rFonts w:ascii="Arial" w:hAnsi="Arial" w:cs="Arial"/>
        </w:rPr>
        <w:t xml:space="preserve"> (2014) </w:t>
      </w:r>
      <w:proofErr w:type="gramStart"/>
      <w:r w:rsidRPr="004D2BDE">
        <w:rPr>
          <w:rFonts w:ascii="Arial" w:hAnsi="Arial" w:cs="Arial"/>
        </w:rPr>
        <w:t>5</w:t>
      </w:r>
      <w:proofErr w:type="gramEnd"/>
      <w:r w:rsidRPr="004D2BDE">
        <w:rPr>
          <w:rFonts w:ascii="Arial" w:hAnsi="Arial" w:cs="Arial"/>
        </w:rPr>
        <w:t xml:space="preserve"> </w:t>
      </w:r>
      <w:r w:rsidRPr="004D2BDE">
        <w:rPr>
          <w:rFonts w:ascii="Arial" w:hAnsi="Arial" w:cs="Arial"/>
          <w:i/>
        </w:rPr>
        <w:t>Psychology &amp; Sexuality</w:t>
      </w:r>
      <w:r w:rsidRPr="004D2BDE">
        <w:rPr>
          <w:rFonts w:ascii="Arial" w:hAnsi="Arial" w:cs="Arial"/>
        </w:rPr>
        <w:t xml:space="preserve"> 34, 41.</w:t>
      </w:r>
    </w:p>
  </w:endnote>
  <w:endnote w:id="170">
    <w:p w14:paraId="15BC4899" w14:textId="77777777" w:rsidR="00C9464D" w:rsidRPr="004D2BDE" w:rsidRDefault="00C9464D" w:rsidP="003E1349">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[23]. At </w:t>
      </w:r>
      <w:hyperlink r:id="rId47"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71">
    <w:p w14:paraId="7E66D94E" w14:textId="555750E5"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[44]. At </w:t>
      </w:r>
      <w:hyperlink r:id="rId48"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72">
    <w:p w14:paraId="3EEC6ED3" w14:textId="50743E5D"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spellStart"/>
      <w:r w:rsidRPr="004D2BDE">
        <w:rPr>
          <w:rFonts w:ascii="Arial" w:hAnsi="Arial" w:cs="Arial"/>
        </w:rPr>
        <w:t>Kavot</w:t>
      </w:r>
      <w:proofErr w:type="spellEnd"/>
      <w:r w:rsidRPr="004D2BDE">
        <w:rPr>
          <w:rFonts w:ascii="Arial" w:hAnsi="Arial" w:cs="Arial"/>
        </w:rPr>
        <w:t xml:space="preserve"> </w:t>
      </w:r>
      <w:proofErr w:type="spellStart"/>
      <w:r w:rsidRPr="004D2BDE">
        <w:rPr>
          <w:rFonts w:ascii="Arial" w:hAnsi="Arial" w:cs="Arial"/>
        </w:rPr>
        <w:t>Zillén</w:t>
      </w:r>
      <w:proofErr w:type="spellEnd"/>
      <w:r w:rsidRPr="004D2BDE">
        <w:rPr>
          <w:rFonts w:ascii="Arial" w:hAnsi="Arial" w:cs="Arial"/>
        </w:rPr>
        <w:t xml:space="preserve"> et al, </w:t>
      </w:r>
      <w:r w:rsidRPr="004D2BDE">
        <w:rPr>
          <w:rFonts w:ascii="Arial" w:hAnsi="Arial" w:cs="Arial"/>
          <w:i/>
        </w:rPr>
        <w:t xml:space="preserve">The Rights of Children in Biomedicine: Challenges posed by scientific advances and uncertainties </w:t>
      </w:r>
      <w:r w:rsidRPr="004D2BDE">
        <w:rPr>
          <w:rFonts w:ascii="Arial" w:hAnsi="Arial" w:cs="Arial"/>
        </w:rPr>
        <w:t>(11 January 2017) 44.</w:t>
      </w:r>
    </w:p>
  </w:endnote>
  <w:endnote w:id="173">
    <w:p w14:paraId="6E50FAEC" w14:textId="7075D455" w:rsidR="00C9464D" w:rsidRPr="004D2BDE" w:rsidRDefault="00C9464D" w:rsidP="009C7BBF">
      <w:pPr>
        <w:pStyle w:val="SubmissionNormal"/>
        <w:numPr>
          <w:ilvl w:val="0"/>
          <w:numId w:val="0"/>
        </w:numPr>
        <w:spacing w:after="0"/>
        <w:rPr>
          <w:rFonts w:ascii="Arial" w:hAnsi="Arial" w:cs="Arial"/>
          <w:color w:val="FF0000"/>
          <w:sz w:val="20"/>
          <w:szCs w:val="20"/>
        </w:rPr>
      </w:pPr>
      <w:r w:rsidRPr="004D2BDE">
        <w:rPr>
          <w:rStyle w:val="EndnoteReference"/>
          <w:rFonts w:eastAsia="MS Mincho" w:cs="Arial"/>
          <w:szCs w:val="20"/>
        </w:rPr>
        <w:endnoteRef/>
      </w:r>
      <w:r w:rsidRPr="004D2BDE">
        <w:rPr>
          <w:rFonts w:ascii="Arial" w:hAnsi="Arial" w:cs="Arial"/>
          <w:sz w:val="20"/>
          <w:szCs w:val="20"/>
        </w:rPr>
        <w:t xml:space="preserve"> </w:t>
      </w:r>
      <w:proofErr w:type="gramStart"/>
      <w:r w:rsidRPr="004D2BDE">
        <w:rPr>
          <w:rFonts w:ascii="Arial" w:hAnsi="Arial" w:cs="Arial"/>
          <w:sz w:val="20"/>
          <w:szCs w:val="20"/>
        </w:rPr>
        <w:t xml:space="preserve">Organisation Intersex International Australia, Submission No 23 to Senate Standing Committee on Community Affairs, </w:t>
      </w:r>
      <w:r w:rsidRPr="004D2BDE">
        <w:rPr>
          <w:rFonts w:ascii="Arial" w:hAnsi="Arial" w:cs="Arial"/>
          <w:i/>
          <w:sz w:val="20"/>
          <w:szCs w:val="20"/>
        </w:rPr>
        <w:t>Involuntary or Coerced Sterilisation of People with Disabilities In Australia</w:t>
      </w:r>
      <w:r w:rsidRPr="004D2BDE">
        <w:rPr>
          <w:rFonts w:ascii="Arial" w:hAnsi="Arial" w:cs="Arial"/>
          <w:sz w:val="20"/>
          <w:szCs w:val="20"/>
        </w:rPr>
        <w:t xml:space="preserve">, 15 February 2013, 4; Australasian Paediatric Endocrine Group, Submission No 88 to Senate Standing Committee on Community Affairs, </w:t>
      </w:r>
      <w:r w:rsidRPr="004D2BDE">
        <w:rPr>
          <w:rFonts w:ascii="Arial" w:hAnsi="Arial" w:cs="Arial"/>
          <w:i/>
          <w:sz w:val="20"/>
          <w:szCs w:val="20"/>
        </w:rPr>
        <w:t>Involuntary or coerced sterilisation of intersex people in Australia</w:t>
      </w:r>
      <w:r w:rsidRPr="004D2BDE">
        <w:rPr>
          <w:rFonts w:ascii="Arial" w:hAnsi="Arial" w:cs="Arial"/>
          <w:sz w:val="20"/>
          <w:szCs w:val="20"/>
        </w:rPr>
        <w:t>, 27 June 2013, 7</w:t>
      </w:r>
      <w:r w:rsidRPr="004D2BDE">
        <w:rPr>
          <w:rFonts w:ascii="Arial" w:hAnsi="Arial" w:cs="Arial"/>
          <w:color w:val="333333"/>
          <w:sz w:val="20"/>
          <w:szCs w:val="20"/>
          <w:shd w:val="clear" w:color="auto" w:fill="FFFFFF"/>
        </w:rPr>
        <w:t>–</w:t>
      </w:r>
      <w:r w:rsidRPr="004D2BDE">
        <w:rPr>
          <w:rFonts w:ascii="Arial" w:hAnsi="Arial" w:cs="Arial"/>
          <w:sz w:val="20"/>
          <w:szCs w:val="20"/>
        </w:rPr>
        <w:t>8; The Royal Children</w:t>
      </w:r>
      <w:r>
        <w:rPr>
          <w:rFonts w:ascii="Arial" w:hAnsi="Arial" w:cs="Arial"/>
          <w:sz w:val="20"/>
          <w:szCs w:val="20"/>
        </w:rPr>
        <w:t>’</w:t>
      </w:r>
      <w:r w:rsidRPr="004D2BDE">
        <w:rPr>
          <w:rFonts w:ascii="Arial" w:hAnsi="Arial" w:cs="Arial"/>
          <w:sz w:val="20"/>
          <w:szCs w:val="20"/>
        </w:rPr>
        <w:t xml:space="preserve">s Hospital Melbourne, Submission No 92 to Senate Standing Committee on Community Affairs, </w:t>
      </w:r>
      <w:r w:rsidRPr="004D2BDE">
        <w:rPr>
          <w:rFonts w:ascii="Arial" w:hAnsi="Arial" w:cs="Arial"/>
          <w:i/>
          <w:sz w:val="20"/>
          <w:szCs w:val="20"/>
        </w:rPr>
        <w:t>Involuntary or coerced sterilisation of intersex people in Australia</w:t>
      </w:r>
      <w:r w:rsidRPr="004D2BDE">
        <w:rPr>
          <w:rFonts w:ascii="Arial" w:hAnsi="Arial" w:cs="Arial"/>
          <w:sz w:val="20"/>
          <w:szCs w:val="20"/>
        </w:rPr>
        <w:t>, 10 July 2013, 6.</w:t>
      </w:r>
      <w:proofErr w:type="gramEnd"/>
    </w:p>
  </w:endnote>
  <w:endnote w:id="174">
    <w:p w14:paraId="5977E514" w14:textId="77777777" w:rsidR="00C9464D" w:rsidRPr="004D2BDE" w:rsidRDefault="00C9464D" w:rsidP="009C7BBF">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113.</w:t>
      </w:r>
    </w:p>
  </w:endnote>
  <w:endnote w:id="175">
    <w:p w14:paraId="6FA2F6E7" w14:textId="77777777" w:rsidR="00C9464D" w:rsidRPr="004D2BDE" w:rsidRDefault="00C9464D" w:rsidP="007B5A3E">
      <w:pPr>
        <w:pStyle w:val="Default"/>
        <w:rPr>
          <w:rFonts w:ascii="Arial" w:eastAsiaTheme="minorHAnsi" w:hAnsi="Arial" w:cs="Arial"/>
          <w:iCs/>
          <w:color w:val="auto"/>
          <w:sz w:val="20"/>
          <w:szCs w:val="20"/>
          <w:lang w:eastAsia="en-US"/>
        </w:rPr>
      </w:pPr>
      <w:r w:rsidRPr="004D2BDE">
        <w:rPr>
          <w:rStyle w:val="EndnoteReference"/>
          <w:rFonts w:cs="Arial"/>
          <w:szCs w:val="20"/>
        </w:rPr>
        <w:endnoteRef/>
      </w:r>
      <w:r w:rsidRPr="004D2BDE">
        <w:rPr>
          <w:rFonts w:ascii="Arial" w:hAnsi="Arial" w:cs="Arial"/>
          <w:sz w:val="20"/>
          <w:szCs w:val="20"/>
        </w:rPr>
        <w:t xml:space="preserve"> </w:t>
      </w:r>
      <w:r w:rsidRPr="004D2BDE">
        <w:rPr>
          <w:rFonts w:ascii="Arial" w:eastAsiaTheme="minorHAnsi" w:hAnsi="Arial" w:cs="Arial"/>
          <w:iCs/>
          <w:color w:val="auto"/>
          <w:sz w:val="20"/>
          <w:szCs w:val="20"/>
          <w:lang w:eastAsia="en-US"/>
        </w:rPr>
        <w:t xml:space="preserve">See, for example, Human Rights Committee, </w:t>
      </w:r>
      <w:r w:rsidRPr="004D2BDE">
        <w:rPr>
          <w:rFonts w:ascii="Arial" w:eastAsiaTheme="minorHAnsi" w:hAnsi="Arial" w:cs="Arial"/>
          <w:i/>
          <w:iCs/>
          <w:color w:val="auto"/>
          <w:sz w:val="20"/>
          <w:szCs w:val="20"/>
          <w:lang w:eastAsia="en-US"/>
        </w:rPr>
        <w:t>General Comment No 35: Article 9 (Liberty and Security of Person)</w:t>
      </w:r>
      <w:r w:rsidRPr="004D2BDE">
        <w:rPr>
          <w:rFonts w:ascii="Arial" w:eastAsiaTheme="minorHAnsi" w:hAnsi="Arial" w:cs="Arial"/>
          <w:iCs/>
          <w:color w:val="auto"/>
          <w:sz w:val="20"/>
          <w:szCs w:val="20"/>
          <w:lang w:eastAsia="en-US"/>
        </w:rPr>
        <w:t xml:space="preserve">, 112th </w:t>
      </w:r>
      <w:proofErr w:type="spellStart"/>
      <w:r w:rsidRPr="004D2BDE">
        <w:rPr>
          <w:rFonts w:ascii="Arial" w:eastAsiaTheme="minorHAnsi" w:hAnsi="Arial" w:cs="Arial"/>
          <w:iCs/>
          <w:color w:val="auto"/>
          <w:sz w:val="20"/>
          <w:szCs w:val="20"/>
          <w:lang w:eastAsia="en-US"/>
        </w:rPr>
        <w:t>sess</w:t>
      </w:r>
      <w:proofErr w:type="spellEnd"/>
      <w:r w:rsidRPr="004D2BDE">
        <w:rPr>
          <w:rFonts w:ascii="Arial" w:eastAsiaTheme="minorHAnsi" w:hAnsi="Arial" w:cs="Arial"/>
          <w:iCs/>
          <w:color w:val="auto"/>
          <w:sz w:val="20"/>
          <w:szCs w:val="20"/>
          <w:lang w:eastAsia="en-US"/>
        </w:rPr>
        <w:t xml:space="preserve">, UN Doc CCPR/C/GC/35 (16 December 2014) [3]; Human Rights Committee, </w:t>
      </w:r>
      <w:r w:rsidRPr="004D2BDE">
        <w:rPr>
          <w:rFonts w:ascii="Arial" w:eastAsiaTheme="minorHAnsi" w:hAnsi="Arial" w:cs="Arial"/>
          <w:i/>
          <w:iCs/>
          <w:color w:val="auto"/>
          <w:sz w:val="20"/>
          <w:szCs w:val="20"/>
          <w:lang w:eastAsia="en-US"/>
        </w:rPr>
        <w:t xml:space="preserve">General Comment No 28: Article 3 (The Equality of Rights </w:t>
      </w:r>
      <w:proofErr w:type="gramStart"/>
      <w:r w:rsidRPr="004D2BDE">
        <w:rPr>
          <w:rFonts w:ascii="Arial" w:eastAsiaTheme="minorHAnsi" w:hAnsi="Arial" w:cs="Arial"/>
          <w:i/>
          <w:iCs/>
          <w:color w:val="auto"/>
          <w:sz w:val="20"/>
          <w:szCs w:val="20"/>
          <w:lang w:eastAsia="en-US"/>
        </w:rPr>
        <w:t>Between</w:t>
      </w:r>
      <w:proofErr w:type="gramEnd"/>
      <w:r w:rsidRPr="004D2BDE">
        <w:rPr>
          <w:rFonts w:ascii="Arial" w:eastAsiaTheme="minorHAnsi" w:hAnsi="Arial" w:cs="Arial"/>
          <w:i/>
          <w:iCs/>
          <w:color w:val="auto"/>
          <w:sz w:val="20"/>
          <w:szCs w:val="20"/>
          <w:lang w:eastAsia="en-US"/>
        </w:rPr>
        <w:t xml:space="preserve"> Men and Women)</w:t>
      </w:r>
      <w:r w:rsidRPr="004D2BDE">
        <w:rPr>
          <w:rFonts w:ascii="Arial" w:eastAsiaTheme="minorHAnsi" w:hAnsi="Arial" w:cs="Arial"/>
          <w:iCs/>
          <w:color w:val="auto"/>
          <w:sz w:val="20"/>
          <w:szCs w:val="20"/>
          <w:lang w:eastAsia="en-US"/>
        </w:rPr>
        <w:t>, 68</w:t>
      </w:r>
      <w:r w:rsidRPr="004D2BDE">
        <w:rPr>
          <w:rFonts w:ascii="Arial" w:eastAsiaTheme="minorHAnsi" w:hAnsi="Arial" w:cs="Arial"/>
          <w:iCs/>
          <w:color w:val="auto"/>
          <w:sz w:val="20"/>
          <w:szCs w:val="20"/>
          <w:vertAlign w:val="superscript"/>
          <w:lang w:eastAsia="en-US"/>
        </w:rPr>
        <w:t>th</w:t>
      </w:r>
      <w:r w:rsidRPr="004D2BDE">
        <w:rPr>
          <w:rFonts w:ascii="Arial" w:eastAsiaTheme="minorHAnsi" w:hAnsi="Arial" w:cs="Arial"/>
          <w:iCs/>
          <w:color w:val="auto"/>
          <w:sz w:val="20"/>
          <w:szCs w:val="20"/>
          <w:lang w:eastAsia="en-US"/>
        </w:rPr>
        <w:t xml:space="preserve"> </w:t>
      </w:r>
      <w:proofErr w:type="spellStart"/>
      <w:r w:rsidRPr="004D2BDE">
        <w:rPr>
          <w:rFonts w:ascii="Arial" w:eastAsiaTheme="minorHAnsi" w:hAnsi="Arial" w:cs="Arial"/>
          <w:iCs/>
          <w:color w:val="auto"/>
          <w:sz w:val="20"/>
          <w:szCs w:val="20"/>
          <w:lang w:eastAsia="en-US"/>
        </w:rPr>
        <w:t>sess</w:t>
      </w:r>
      <w:proofErr w:type="spellEnd"/>
      <w:r w:rsidRPr="004D2BDE">
        <w:rPr>
          <w:rFonts w:ascii="Arial" w:eastAsiaTheme="minorHAnsi" w:hAnsi="Arial" w:cs="Arial"/>
          <w:iCs/>
          <w:color w:val="auto"/>
          <w:sz w:val="20"/>
          <w:szCs w:val="20"/>
          <w:lang w:eastAsia="en-US"/>
        </w:rPr>
        <w:t>, UN Doc CCPR/C/21/Rev.1/Add.10 [20].</w:t>
      </w:r>
    </w:p>
  </w:endnote>
  <w:endnote w:id="176">
    <w:p w14:paraId="59E6E8CA" w14:textId="77777777"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37.</w:t>
      </w:r>
    </w:p>
  </w:endnote>
  <w:endnote w:id="177">
    <w:p w14:paraId="0A7D6461" w14:textId="77777777"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105</w:t>
      </w:r>
      <w:r w:rsidRPr="004D2BDE">
        <w:rPr>
          <w:rFonts w:ascii="Arial" w:hAnsi="Arial" w:cs="Arial"/>
          <w:color w:val="333333"/>
          <w:shd w:val="clear" w:color="auto" w:fill="FFFFFF"/>
        </w:rPr>
        <w:t>–106</w:t>
      </w:r>
      <w:r w:rsidRPr="004D2BDE">
        <w:rPr>
          <w:rFonts w:ascii="Arial" w:hAnsi="Arial" w:cs="Arial"/>
        </w:rPr>
        <w:t>.</w:t>
      </w:r>
    </w:p>
  </w:endnote>
  <w:endnote w:id="178">
    <w:p w14:paraId="07808C4C" w14:textId="77777777"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Privacy Act 1988</w:t>
      </w:r>
      <w:r w:rsidRPr="004D2BDE">
        <w:rPr>
          <w:rFonts w:ascii="Arial" w:hAnsi="Arial" w:cs="Arial"/>
        </w:rPr>
        <w:t xml:space="preserve"> (</w:t>
      </w:r>
      <w:proofErr w:type="spellStart"/>
      <w:r w:rsidRPr="004D2BDE">
        <w:rPr>
          <w:rFonts w:ascii="Arial" w:hAnsi="Arial" w:cs="Arial"/>
        </w:rPr>
        <w:t>Cth</w:t>
      </w:r>
      <w:proofErr w:type="spellEnd"/>
      <w:r w:rsidRPr="004D2BDE">
        <w:rPr>
          <w:rFonts w:ascii="Arial" w:hAnsi="Arial" w:cs="Arial"/>
        </w:rPr>
        <w:t xml:space="preserve">) </w:t>
      </w:r>
      <w:proofErr w:type="spellStart"/>
      <w:r w:rsidRPr="004D2BDE">
        <w:rPr>
          <w:rFonts w:ascii="Arial" w:hAnsi="Arial" w:cs="Arial"/>
        </w:rPr>
        <w:t>sch</w:t>
      </w:r>
      <w:proofErr w:type="spellEnd"/>
      <w:r w:rsidRPr="004D2BDE">
        <w:rPr>
          <w:rFonts w:ascii="Arial" w:hAnsi="Arial" w:cs="Arial"/>
        </w:rPr>
        <w:t xml:space="preserve"> 1 s 12.3(a)</w:t>
      </w:r>
      <w:r w:rsidRPr="004D2BDE">
        <w:rPr>
          <w:rFonts w:ascii="Arial" w:hAnsi="Arial" w:cs="Arial"/>
          <w:color w:val="333333"/>
          <w:shd w:val="clear" w:color="auto" w:fill="FFFFFF"/>
        </w:rPr>
        <w:t>–</w:t>
      </w:r>
      <w:r w:rsidRPr="004D2BDE">
        <w:rPr>
          <w:rFonts w:ascii="Arial" w:hAnsi="Arial" w:cs="Arial"/>
        </w:rPr>
        <w:t>12.3(b).</w:t>
      </w:r>
    </w:p>
  </w:endnote>
  <w:endnote w:id="179">
    <w:p w14:paraId="6992F5C8" w14:textId="544316D4"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Australian Information Commissioner, </w:t>
      </w:r>
      <w:r w:rsidRPr="004D2BDE">
        <w:rPr>
          <w:rFonts w:ascii="Arial" w:hAnsi="Arial" w:cs="Arial"/>
          <w:i/>
        </w:rPr>
        <w:t xml:space="preserve">Chapter 12: AAP 12 </w:t>
      </w:r>
      <w:r w:rsidRPr="004D2BDE">
        <w:rPr>
          <w:rFonts w:ascii="Arial" w:hAnsi="Arial" w:cs="Arial"/>
          <w:color w:val="333333"/>
          <w:shd w:val="clear" w:color="auto" w:fill="FFFFFF"/>
        </w:rPr>
        <w:t>–</w:t>
      </w:r>
      <w:r w:rsidRPr="004D2BDE">
        <w:rPr>
          <w:rFonts w:ascii="Arial" w:hAnsi="Arial" w:cs="Arial"/>
          <w:i/>
        </w:rPr>
        <w:t xml:space="preserve"> Access to Personal Information</w:t>
      </w:r>
      <w:r w:rsidRPr="004D2BDE">
        <w:rPr>
          <w:rFonts w:ascii="Arial" w:hAnsi="Arial" w:cs="Arial"/>
        </w:rPr>
        <w:t xml:space="preserve"> (February 2014) [12.36]. At </w:t>
      </w:r>
      <w:hyperlink r:id="rId49" w:anchor="refusing-to-give-access-under-app-12-organisations" w:history="1">
        <w:r w:rsidRPr="004D2BDE">
          <w:rPr>
            <w:rStyle w:val="Hyperlink"/>
            <w:rFonts w:ascii="Arial" w:hAnsi="Arial" w:cs="Arial"/>
          </w:rPr>
          <w:t>https://www.oaic.gov.au/agencies-and-organisations/app-guidelines/chapter-12-app-12-access-to-personal-information#refusing-to-give-access-under-app-12-organisations</w:t>
        </w:r>
      </w:hyperlink>
      <w:r w:rsidRPr="004D2BDE">
        <w:rPr>
          <w:rFonts w:ascii="Arial" w:hAnsi="Arial" w:cs="Arial"/>
        </w:rPr>
        <w:t xml:space="preserve"> (accessed 18</w:t>
      </w:r>
      <w:r>
        <w:rPr>
          <w:rFonts w:ascii="Arial" w:hAnsi="Arial" w:cs="Arial"/>
        </w:rPr>
        <w:t> </w:t>
      </w:r>
      <w:r w:rsidRPr="004D2BDE">
        <w:rPr>
          <w:rFonts w:ascii="Arial" w:hAnsi="Arial" w:cs="Arial"/>
        </w:rPr>
        <w:t>January 2018).</w:t>
      </w:r>
    </w:p>
  </w:endnote>
  <w:endnote w:id="180">
    <w:p w14:paraId="41D1253C" w14:textId="5D0DF1A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w:t>
      </w:r>
      <w:r w:rsidRPr="004D2BDE">
        <w:rPr>
          <w:rFonts w:ascii="Arial" w:hAnsi="Arial" w:cs="Arial"/>
          <w:i/>
        </w:rPr>
        <w:t>Health Records (Privacy and Access) Act 1997</w:t>
      </w:r>
      <w:r w:rsidRPr="004D2BDE">
        <w:rPr>
          <w:rFonts w:ascii="Arial" w:hAnsi="Arial" w:cs="Arial"/>
        </w:rPr>
        <w:t xml:space="preserve"> (ACT) </w:t>
      </w:r>
      <w:proofErr w:type="spellStart"/>
      <w:r w:rsidRPr="004D2BDE">
        <w:rPr>
          <w:rFonts w:ascii="Arial" w:hAnsi="Arial" w:cs="Arial"/>
        </w:rPr>
        <w:t>sch</w:t>
      </w:r>
      <w:proofErr w:type="spellEnd"/>
      <w:r w:rsidRPr="004D2BDE">
        <w:rPr>
          <w:rFonts w:ascii="Arial" w:hAnsi="Arial" w:cs="Arial"/>
        </w:rPr>
        <w:t xml:space="preserve"> 1 principle 4.1; </w:t>
      </w:r>
      <w:r w:rsidRPr="004D2BDE">
        <w:rPr>
          <w:rFonts w:ascii="Arial" w:hAnsi="Arial" w:cs="Arial"/>
          <w:i/>
        </w:rPr>
        <w:t>Health Records and Information Privacy Act 2002</w:t>
      </w:r>
      <w:r w:rsidRPr="004D2BDE">
        <w:rPr>
          <w:rFonts w:ascii="Arial" w:hAnsi="Arial" w:cs="Arial"/>
        </w:rPr>
        <w:t xml:space="preserve"> (NSW) s 25; </w:t>
      </w:r>
      <w:r w:rsidRPr="004D2BDE">
        <w:rPr>
          <w:rFonts w:ascii="Arial" w:hAnsi="Arial" w:cs="Arial"/>
          <w:i/>
        </w:rPr>
        <w:t>Health Records Act 2001</w:t>
      </w:r>
      <w:r w:rsidRPr="004D2BDE">
        <w:rPr>
          <w:rFonts w:ascii="Arial" w:hAnsi="Arial" w:cs="Arial"/>
        </w:rPr>
        <w:t xml:space="preserve"> (Vic) </w:t>
      </w:r>
      <w:proofErr w:type="spellStart"/>
      <w:r w:rsidRPr="004D2BDE">
        <w:rPr>
          <w:rFonts w:ascii="Arial" w:hAnsi="Arial" w:cs="Arial"/>
        </w:rPr>
        <w:t>sch</w:t>
      </w:r>
      <w:proofErr w:type="spellEnd"/>
      <w:r w:rsidRPr="004D2BDE">
        <w:rPr>
          <w:rFonts w:ascii="Arial" w:hAnsi="Arial" w:cs="Arial"/>
        </w:rPr>
        <w:t xml:space="preserve"> 1 principle 4.2.</w:t>
      </w:r>
    </w:p>
  </w:endnote>
  <w:endnote w:id="181">
    <w:p w14:paraId="45EBE002" w14:textId="77777777" w:rsidR="00C9464D" w:rsidRPr="004D2BDE" w:rsidRDefault="00C9464D" w:rsidP="007B5A3E">
      <w:pPr>
        <w:pStyle w:val="EndnoteText"/>
        <w:rPr>
          <w:rFonts w:ascii="Arial" w:hAnsi="Arial" w:cs="Arial"/>
          <w:highlight w:val="yellow"/>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37, 110.</w:t>
      </w:r>
    </w:p>
  </w:endnote>
  <w:endnote w:id="182">
    <w:p w14:paraId="04FD8B37" w14:textId="176E9C63"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rPr>
        <w:fldChar w:fldCharType="begin"/>
      </w:r>
      <w:r w:rsidRPr="004D2BDE">
        <w:rPr>
          <w:rFonts w:ascii="Arial" w:hAnsi="Arial" w:cs="Arial"/>
        </w:rPr>
        <w:instrText xml:space="preserve"> ADDIN ZOTERO_ITEM CSL_CITATION {"citationID":"aRPeE43s","properties":{"formattedCitation":"{\\rtf S Creighton et al, \\uc0\\u8216{}Medical Photography: Ethics, Consent and the Intersex Patient\\uc0\\u8217{} (2002) 89(1) {\\i{}BJU International} 67.}","plainCitation":"S Creighton et al, ‘Medical Photography: Ethics, Consent and the Intersex Patient’ (2002) 89(1) BJU International 67."},"citationItems":[{"id":1210,"uris":["http://zotero.org/users/4317530/items/U942VDFR"],"uri":["http://zotero.org/users/4317530/items/U942VDFR"],"itemData":{"id":1210,"type":"article-journal","title":"Medical photography: ethics, consent and the intersex patient","container-title":"BJU International","page":"67-71","volume":"89","issue":"1","source":"Wiley Online Library","DOI":"10.1046/j.1464-410X.2002.02558.x","ISSN":"1464-410X","shortTitle":"Medical photography","language":"en","author":[{"family":"Creighton","given":"S."},{"family":"Alderson","given":"J."},{"family":"Brown","given":"S."},{"family":"Minto","given":"C.l."}],"issued":{"date-parts":[["2002",1,1]]}}}],"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S. Creighton et al, </w:t>
      </w:r>
      <w:r>
        <w:rPr>
          <w:rFonts w:ascii="Arial" w:hAnsi="Arial" w:cs="Arial"/>
        </w:rPr>
        <w:t>‘</w:t>
      </w:r>
      <w:r w:rsidRPr="004D2BDE">
        <w:rPr>
          <w:rFonts w:ascii="Arial" w:hAnsi="Arial" w:cs="Arial"/>
        </w:rPr>
        <w:t>Medical Photography: Ethics, Consent and the Intersex Patient</w:t>
      </w:r>
      <w:r>
        <w:rPr>
          <w:rFonts w:ascii="Arial" w:hAnsi="Arial" w:cs="Arial"/>
        </w:rPr>
        <w:t>’</w:t>
      </w:r>
      <w:r w:rsidRPr="004D2BDE">
        <w:rPr>
          <w:rFonts w:ascii="Arial" w:hAnsi="Arial" w:cs="Arial"/>
        </w:rPr>
        <w:t xml:space="preserve"> (2002) 89(1) </w:t>
      </w:r>
      <w:r w:rsidRPr="004D2BDE">
        <w:rPr>
          <w:rFonts w:ascii="Arial" w:hAnsi="Arial" w:cs="Arial"/>
          <w:i/>
          <w:iCs/>
        </w:rPr>
        <w:t>BJU International</w:t>
      </w:r>
      <w:r w:rsidRPr="004D2BDE">
        <w:rPr>
          <w:rFonts w:ascii="Arial" w:hAnsi="Arial" w:cs="Arial"/>
        </w:rPr>
        <w:t xml:space="preserve"> 67, 69</w:t>
      </w:r>
      <w:r w:rsidRPr="004D2BDE">
        <w:rPr>
          <w:rFonts w:ascii="Arial" w:hAnsi="Arial" w:cs="Arial"/>
          <w:color w:val="333333"/>
          <w:shd w:val="clear" w:color="auto" w:fill="FFFFFF"/>
        </w:rPr>
        <w:t>–</w:t>
      </w:r>
      <w:r w:rsidRPr="004D2BDE">
        <w:rPr>
          <w:rFonts w:ascii="Arial" w:hAnsi="Arial" w:cs="Arial"/>
        </w:rPr>
        <w:t>70</w:t>
      </w:r>
      <w:r w:rsidRPr="004D2BDE">
        <w:rPr>
          <w:rFonts w:ascii="Arial" w:hAnsi="Arial" w:cs="Arial"/>
        </w:rPr>
        <w:fldChar w:fldCharType="end"/>
      </w:r>
      <w:proofErr w:type="gramStart"/>
      <w:r w:rsidRPr="004D2BDE">
        <w:rPr>
          <w:rFonts w:ascii="Arial" w:hAnsi="Arial" w:cs="Arial"/>
        </w:rPr>
        <w:t>;</w:t>
      </w:r>
      <w:proofErr w:type="gramEnd"/>
      <w:r w:rsidRPr="004D2BDE">
        <w:rPr>
          <w:rFonts w:ascii="Arial" w:hAnsi="Arial" w:cs="Arial"/>
        </w:rPr>
        <w:t xml:space="preserve"> </w:t>
      </w:r>
      <w:proofErr w:type="spellStart"/>
      <w:r w:rsidRPr="004D2BDE">
        <w:rPr>
          <w:rFonts w:ascii="Arial" w:hAnsi="Arial" w:cs="Arial"/>
          <w:i/>
        </w:rPr>
        <w:t>Intersexion</w:t>
      </w:r>
      <w:proofErr w:type="spellEnd"/>
      <w:r w:rsidRPr="004D2BDE">
        <w:rPr>
          <w:rFonts w:ascii="Arial" w:hAnsi="Arial" w:cs="Arial"/>
        </w:rPr>
        <w:t xml:space="preserve"> (Directed by Grant </w:t>
      </w:r>
      <w:proofErr w:type="spellStart"/>
      <w:r w:rsidRPr="004D2BDE">
        <w:rPr>
          <w:rFonts w:ascii="Arial" w:hAnsi="Arial" w:cs="Arial"/>
        </w:rPr>
        <w:t>Lahood</w:t>
      </w:r>
      <w:proofErr w:type="spellEnd"/>
      <w:r w:rsidRPr="004D2BDE">
        <w:rPr>
          <w:rFonts w:ascii="Arial" w:hAnsi="Arial" w:cs="Arial"/>
        </w:rPr>
        <w:t>, Ponsonby Productions Limited, 2012)</w:t>
      </w:r>
      <w:r>
        <w:rPr>
          <w:rFonts w:ascii="Arial" w:hAnsi="Arial" w:cs="Arial"/>
        </w:rPr>
        <w:t xml:space="preserve">. </w:t>
      </w:r>
    </w:p>
  </w:endnote>
  <w:endnote w:id="183">
    <w:p w14:paraId="022C5DBD" w14:textId="77777777"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37(b).</w:t>
      </w:r>
    </w:p>
  </w:endnote>
  <w:endnote w:id="184">
    <w:p w14:paraId="7B14BDC0" w14:textId="77777777"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215.</w:t>
      </w:r>
    </w:p>
  </w:endnote>
  <w:endnote w:id="185">
    <w:p w14:paraId="65C06164" w14:textId="4D659DB8"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Senate Community Affairs References Committee, Parliament of Australia, </w:t>
      </w:r>
      <w:r w:rsidRPr="004D2BDE">
        <w:rPr>
          <w:rFonts w:ascii="Arial" w:hAnsi="Arial" w:cs="Arial"/>
          <w:i/>
        </w:rPr>
        <w:t>Involuntary or coerced sterilisation of intersex people in Australia</w:t>
      </w:r>
      <w:r w:rsidRPr="004D2BDE">
        <w:rPr>
          <w:rFonts w:ascii="Arial" w:hAnsi="Arial" w:cs="Arial"/>
        </w:rPr>
        <w:t xml:space="preserve"> (2013) 110; Victorian Government (Department of Health), </w:t>
      </w:r>
      <w:r>
        <w:rPr>
          <w:rFonts w:ascii="Arial" w:hAnsi="Arial" w:cs="Arial"/>
        </w:rPr>
        <w:t>‘</w:t>
      </w:r>
      <w:r w:rsidRPr="004D2BDE">
        <w:rPr>
          <w:rFonts w:ascii="Arial" w:hAnsi="Arial" w:cs="Arial"/>
        </w:rPr>
        <w:t>Decision-making principles for the care of infants, children and adolescents with intersex conditions</w:t>
      </w:r>
      <w:r>
        <w:rPr>
          <w:rFonts w:ascii="Arial" w:hAnsi="Arial" w:cs="Arial"/>
        </w:rPr>
        <w:t>’</w:t>
      </w:r>
      <w:r w:rsidRPr="004D2BDE">
        <w:rPr>
          <w:rFonts w:ascii="Arial" w:hAnsi="Arial" w:cs="Arial"/>
        </w:rPr>
        <w:t xml:space="preserve"> (February 2013), 8; Black et al, </w:t>
      </w:r>
      <w:r w:rsidRPr="004D2BDE">
        <w:rPr>
          <w:rFonts w:ascii="Arial" w:hAnsi="Arial" w:cs="Arial"/>
          <w:i/>
        </w:rPr>
        <w:t>Darlington Statement</w:t>
      </w:r>
      <w:r w:rsidRPr="004D2BDE">
        <w:rPr>
          <w:rFonts w:ascii="Arial" w:hAnsi="Arial" w:cs="Arial"/>
        </w:rPr>
        <w:t xml:space="preserve"> (10 March 2017) [39]</w:t>
      </w:r>
      <w:r w:rsidRPr="004D2BDE">
        <w:rPr>
          <w:rFonts w:ascii="Arial" w:hAnsi="Arial" w:cs="Arial"/>
          <w:i/>
        </w:rPr>
        <w:t>–</w:t>
      </w:r>
      <w:r w:rsidRPr="004D2BDE">
        <w:rPr>
          <w:rFonts w:ascii="Arial" w:hAnsi="Arial" w:cs="Arial"/>
        </w:rPr>
        <w:t xml:space="preserve">[46]. At </w:t>
      </w:r>
      <w:hyperlink r:id="rId50"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86">
    <w:p w14:paraId="36E9508C" w14:textId="199BDA9C" w:rsidR="00C9464D" w:rsidRPr="004D2BDE" w:rsidRDefault="00C9464D" w:rsidP="00F9715B">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S. Faisal Ahmed et al, </w:t>
      </w:r>
      <w:r>
        <w:rPr>
          <w:rFonts w:ascii="Arial" w:hAnsi="Arial" w:cs="Arial"/>
        </w:rPr>
        <w:t>‘</w:t>
      </w:r>
      <w:r w:rsidRPr="004D2BDE">
        <w:rPr>
          <w:rFonts w:ascii="Arial" w:hAnsi="Arial" w:cs="Arial"/>
        </w:rPr>
        <w:t>Society for Endocrinology UK guidance on the initial evaluation of an infant or an adolescent with a suspected disorder of sex development</w:t>
      </w:r>
      <w:r>
        <w:rPr>
          <w:rFonts w:ascii="Arial" w:hAnsi="Arial" w:cs="Arial"/>
        </w:rPr>
        <w:t>’</w:t>
      </w:r>
      <w:r w:rsidRPr="004D2BDE">
        <w:rPr>
          <w:rFonts w:ascii="Arial" w:hAnsi="Arial" w:cs="Arial"/>
        </w:rPr>
        <w:t xml:space="preserve"> (2015) 84 (Revised 2015) </w:t>
      </w:r>
      <w:r w:rsidRPr="004D2BDE">
        <w:rPr>
          <w:rFonts w:ascii="Arial" w:hAnsi="Arial" w:cs="Arial"/>
          <w:i/>
        </w:rPr>
        <w:t xml:space="preserve">Clinical Endocrinology </w:t>
      </w:r>
      <w:r w:rsidRPr="004D2BDE">
        <w:rPr>
          <w:rFonts w:ascii="Arial" w:hAnsi="Arial" w:cs="Arial"/>
        </w:rPr>
        <w:t xml:space="preserve">771, 774; Peter A. Lee et al, </w:t>
      </w:r>
      <w:r>
        <w:rPr>
          <w:rFonts w:ascii="Arial" w:hAnsi="Arial" w:cs="Arial"/>
        </w:rPr>
        <w:t>‘</w:t>
      </w:r>
      <w:r w:rsidRPr="004D2BDE">
        <w:rPr>
          <w:rFonts w:ascii="Arial" w:hAnsi="Arial" w:cs="Arial"/>
        </w:rPr>
        <w:t>Global Disorders of Sex Development Update since 2006: Perceptions, Approach and Care</w:t>
      </w:r>
      <w:r>
        <w:rPr>
          <w:rFonts w:ascii="Arial" w:hAnsi="Arial" w:cs="Arial"/>
        </w:rPr>
        <w:t>’</w:t>
      </w:r>
      <w:r w:rsidRPr="004D2BDE">
        <w:rPr>
          <w:rFonts w:ascii="Arial" w:hAnsi="Arial" w:cs="Arial"/>
        </w:rPr>
        <w:t xml:space="preserve"> (2016) 85 </w:t>
      </w:r>
      <w:r w:rsidRPr="004D2BDE">
        <w:rPr>
          <w:rFonts w:ascii="Arial" w:hAnsi="Arial" w:cs="Arial"/>
          <w:i/>
        </w:rPr>
        <w:t>Hormone Research in Paediatrics</w:t>
      </w:r>
      <w:r w:rsidRPr="004D2BDE">
        <w:rPr>
          <w:rFonts w:ascii="Arial" w:hAnsi="Arial" w:cs="Arial"/>
        </w:rPr>
        <w:t xml:space="preserve"> 158, 160.</w:t>
      </w:r>
      <w:proofErr w:type="gramEnd"/>
    </w:p>
  </w:endnote>
  <w:endnote w:id="187">
    <w:p w14:paraId="206526CD" w14:textId="77777777"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Tiffany Jones et al, </w:t>
      </w:r>
      <w:r w:rsidRPr="004D2BDE">
        <w:rPr>
          <w:rFonts w:ascii="Arial" w:hAnsi="Arial" w:cs="Arial"/>
          <w:i/>
        </w:rPr>
        <w:t>Intersex: stories and statistics from Australia</w:t>
      </w:r>
      <w:r w:rsidRPr="004D2BDE">
        <w:rPr>
          <w:rFonts w:ascii="Arial" w:hAnsi="Arial" w:cs="Arial"/>
        </w:rPr>
        <w:t xml:space="preserve"> (Open Book Publishers, 2016) 106.</w:t>
      </w:r>
    </w:p>
  </w:endnote>
  <w:endnote w:id="188">
    <w:p w14:paraId="647CB7FD" w14:textId="719FFB52" w:rsidR="00C9464D" w:rsidRPr="004D2BDE" w:rsidRDefault="00C9464D" w:rsidP="007B5A3E">
      <w:pPr>
        <w:pStyle w:val="EndnoteText"/>
        <w:rPr>
          <w:rFonts w:ascii="Arial" w:hAnsi="Arial" w:cs="Arial"/>
        </w:rPr>
      </w:pPr>
      <w:r w:rsidRPr="004D2BDE">
        <w:rPr>
          <w:rStyle w:val="EndnoteReference"/>
          <w:rFonts w:cs="Arial"/>
        </w:rPr>
        <w:endnoteRef/>
      </w:r>
      <w:r w:rsidRPr="004D2BDE">
        <w:rPr>
          <w:rFonts w:ascii="Arial" w:hAnsi="Arial" w:cs="Arial"/>
        </w:rPr>
        <w:t xml:space="preserve"> Black et al, </w:t>
      </w:r>
      <w:r w:rsidRPr="004D2BDE">
        <w:rPr>
          <w:rFonts w:ascii="Arial" w:hAnsi="Arial" w:cs="Arial"/>
          <w:i/>
        </w:rPr>
        <w:t>Darlington Statement</w:t>
      </w:r>
      <w:r w:rsidRPr="004D2BDE">
        <w:rPr>
          <w:rFonts w:ascii="Arial" w:hAnsi="Arial" w:cs="Arial"/>
        </w:rPr>
        <w:t xml:space="preserve"> (10 March 2017) preamble E. At </w:t>
      </w:r>
      <w:hyperlink r:id="rId51" w:history="1">
        <w:r w:rsidRPr="004D2BDE">
          <w:rPr>
            <w:rStyle w:val="Hyperlink"/>
            <w:rFonts w:ascii="Arial" w:hAnsi="Arial" w:cs="Arial"/>
          </w:rPr>
          <w:t>https://oii.org.au/darlington-statement/</w:t>
        </w:r>
      </w:hyperlink>
      <w:r w:rsidRPr="004D2BDE">
        <w:rPr>
          <w:rFonts w:ascii="Arial" w:hAnsi="Arial" w:cs="Arial"/>
        </w:rPr>
        <w:t xml:space="preserve"> (accessed 6 July 2017).</w:t>
      </w:r>
    </w:p>
  </w:endnote>
  <w:endnote w:id="189">
    <w:p w14:paraId="0A6AADEF" w14:textId="1D02C87A"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color w:val="000000" w:themeColor="text1"/>
        </w:rPr>
        <w:t>Convention on the Rights of Persons with Disabilities (Disability Convention</w:t>
      </w:r>
      <w:proofErr w:type="gramStart"/>
      <w:r w:rsidRPr="004D2BDE">
        <w:rPr>
          <w:rFonts w:ascii="Arial" w:hAnsi="Arial" w:cs="Arial"/>
          <w:i/>
          <w:color w:val="000000" w:themeColor="text1"/>
        </w:rPr>
        <w:t>),</w:t>
      </w:r>
      <w:proofErr w:type="gramEnd"/>
      <w:r w:rsidRPr="004D2BDE">
        <w:rPr>
          <w:rFonts w:ascii="Arial" w:hAnsi="Arial" w:cs="Arial"/>
          <w:i/>
          <w:color w:val="000000" w:themeColor="text1"/>
        </w:rPr>
        <w:t xml:space="preserve"> </w:t>
      </w:r>
      <w:r w:rsidRPr="004D2BDE">
        <w:rPr>
          <w:rFonts w:ascii="Arial" w:hAnsi="Arial" w:cs="Arial"/>
          <w:color w:val="000000" w:themeColor="text1"/>
        </w:rPr>
        <w:t>opened for signature 13</w:t>
      </w:r>
      <w:r>
        <w:rPr>
          <w:rFonts w:ascii="Arial" w:hAnsi="Arial" w:cs="Arial"/>
          <w:color w:val="000000" w:themeColor="text1"/>
        </w:rPr>
        <w:t> </w:t>
      </w:r>
      <w:r w:rsidRPr="004D2BDE">
        <w:rPr>
          <w:rFonts w:ascii="Arial" w:hAnsi="Arial" w:cs="Arial"/>
          <w:color w:val="000000" w:themeColor="text1"/>
        </w:rPr>
        <w:t>December 2006, 2515 UNTS 3 (entered into force 3 May 2008) Art 17.</w:t>
      </w:r>
    </w:p>
  </w:endnote>
  <w:endnote w:id="190">
    <w:p w14:paraId="30CE8BE0" w14:textId="1D5404DD"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Cs/>
        </w:rPr>
        <w:t xml:space="preserve">See, for example, Human Rights Committee, </w:t>
      </w:r>
      <w:r w:rsidRPr="004D2BDE">
        <w:rPr>
          <w:rFonts w:ascii="Arial" w:hAnsi="Arial" w:cs="Arial"/>
          <w:i/>
          <w:iCs/>
        </w:rPr>
        <w:t>General Comment No 35: Article 9 (Liberty and Security of Person)</w:t>
      </w:r>
      <w:r w:rsidRPr="004D2BDE">
        <w:rPr>
          <w:rFonts w:ascii="Arial" w:hAnsi="Arial" w:cs="Arial"/>
          <w:iCs/>
        </w:rPr>
        <w:t xml:space="preserve">, 112th </w:t>
      </w:r>
      <w:proofErr w:type="spellStart"/>
      <w:r w:rsidRPr="004D2BDE">
        <w:rPr>
          <w:rFonts w:ascii="Arial" w:hAnsi="Arial" w:cs="Arial"/>
          <w:iCs/>
        </w:rPr>
        <w:t>sess</w:t>
      </w:r>
      <w:proofErr w:type="spellEnd"/>
      <w:r w:rsidRPr="004D2BDE">
        <w:rPr>
          <w:rFonts w:ascii="Arial" w:hAnsi="Arial" w:cs="Arial"/>
          <w:iCs/>
        </w:rPr>
        <w:t xml:space="preserve">, UN Doc CCPR/C/GC/35 (16 December 2014) [3]; Human Rights Committee, </w:t>
      </w:r>
      <w:r w:rsidRPr="004D2BDE">
        <w:rPr>
          <w:rFonts w:ascii="Arial" w:hAnsi="Arial" w:cs="Arial"/>
          <w:i/>
          <w:iCs/>
        </w:rPr>
        <w:t xml:space="preserve">General Comment No 28: Article 3 (The Equality of Rights </w:t>
      </w:r>
      <w:proofErr w:type="gramStart"/>
      <w:r w:rsidRPr="004D2BDE">
        <w:rPr>
          <w:rFonts w:ascii="Arial" w:hAnsi="Arial" w:cs="Arial"/>
          <w:i/>
          <w:iCs/>
        </w:rPr>
        <w:t>Between</w:t>
      </w:r>
      <w:proofErr w:type="gramEnd"/>
      <w:r w:rsidRPr="004D2BDE">
        <w:rPr>
          <w:rFonts w:ascii="Arial" w:hAnsi="Arial" w:cs="Arial"/>
          <w:i/>
          <w:iCs/>
        </w:rPr>
        <w:t xml:space="preserve"> Men and Women)</w:t>
      </w:r>
      <w:r w:rsidRPr="004D2BDE">
        <w:rPr>
          <w:rFonts w:ascii="Arial" w:hAnsi="Arial" w:cs="Arial"/>
          <w:iCs/>
        </w:rPr>
        <w:t>, 68</w:t>
      </w:r>
      <w:r w:rsidRPr="004D2BDE">
        <w:rPr>
          <w:rFonts w:ascii="Arial" w:hAnsi="Arial" w:cs="Arial"/>
          <w:iCs/>
          <w:vertAlign w:val="superscript"/>
        </w:rPr>
        <w:t>th</w:t>
      </w:r>
      <w:r w:rsidRPr="004D2BDE">
        <w:rPr>
          <w:rFonts w:ascii="Arial" w:hAnsi="Arial" w:cs="Arial"/>
          <w:iCs/>
        </w:rPr>
        <w:t xml:space="preserve"> </w:t>
      </w:r>
      <w:proofErr w:type="spellStart"/>
      <w:r w:rsidRPr="004D2BDE">
        <w:rPr>
          <w:rFonts w:ascii="Arial" w:hAnsi="Arial" w:cs="Arial"/>
          <w:iCs/>
        </w:rPr>
        <w:t>sess</w:t>
      </w:r>
      <w:proofErr w:type="spellEnd"/>
      <w:r w:rsidRPr="004D2BDE">
        <w:rPr>
          <w:rFonts w:ascii="Arial" w:hAnsi="Arial" w:cs="Arial"/>
          <w:iCs/>
        </w:rPr>
        <w:t>, UN Doc CCPR/C/21/Rev.1/Add.10 [20].</w:t>
      </w:r>
    </w:p>
  </w:endnote>
  <w:endnote w:id="191">
    <w:p w14:paraId="1BF625E8" w14:textId="2C0681EE"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Committee on the Rights of the Child, </w:t>
      </w:r>
      <w:r w:rsidRPr="004D2BDE">
        <w:rPr>
          <w:rFonts w:ascii="Arial" w:hAnsi="Arial" w:cs="Arial"/>
          <w:i/>
        </w:rPr>
        <w:t xml:space="preserve">Concluding Observations on South Africa, </w:t>
      </w:r>
      <w:r w:rsidRPr="004D2BDE">
        <w:rPr>
          <w:rFonts w:ascii="Arial" w:hAnsi="Arial" w:cs="Arial"/>
        </w:rPr>
        <w:t>UN Doc CRC/C/ZAF/CO/2 (30 September 2016) [37]</w:t>
      </w:r>
      <w:r w:rsidRPr="004D2BDE">
        <w:rPr>
          <w:rFonts w:ascii="Arial" w:hAnsi="Arial" w:cs="Arial"/>
          <w:iCs/>
        </w:rPr>
        <w:t>–</w:t>
      </w:r>
      <w:r w:rsidRPr="004D2BDE">
        <w:rPr>
          <w:rFonts w:ascii="Arial" w:hAnsi="Arial" w:cs="Arial"/>
        </w:rPr>
        <w:t xml:space="preserve">[38]; </w:t>
      </w:r>
      <w:r w:rsidRPr="004D2BDE">
        <w:rPr>
          <w:rFonts w:ascii="Arial" w:eastAsia="Times New Roman" w:hAnsi="Arial" w:cs="Arial"/>
        </w:rPr>
        <w:t xml:space="preserve">Committee on Rights of Persons with Disabilities, </w:t>
      </w:r>
      <w:r w:rsidRPr="004D2BDE">
        <w:rPr>
          <w:rFonts w:ascii="Arial" w:eastAsia="Times New Roman" w:hAnsi="Arial" w:cs="Arial"/>
          <w:i/>
        </w:rPr>
        <w:t xml:space="preserve">Concluding observations on Italy, </w:t>
      </w:r>
      <w:r w:rsidRPr="004D2BDE">
        <w:rPr>
          <w:rFonts w:ascii="Arial" w:eastAsia="Times New Roman" w:hAnsi="Arial" w:cs="Arial"/>
        </w:rPr>
        <w:t>UN Doc CRPD/C/ITA/CO/1 (31 August 2016) [45]</w:t>
      </w:r>
      <w:r w:rsidRPr="004D2BDE">
        <w:rPr>
          <w:rFonts w:ascii="Arial" w:hAnsi="Arial" w:cs="Arial"/>
          <w:iCs/>
        </w:rPr>
        <w:t>–</w:t>
      </w:r>
      <w:r w:rsidRPr="004D2BDE">
        <w:rPr>
          <w:rFonts w:ascii="Arial" w:eastAsia="Times New Roman" w:hAnsi="Arial" w:cs="Arial"/>
        </w:rPr>
        <w:t xml:space="preserve">[46]; Committee on the Elimination of Discrimination against Women, </w:t>
      </w:r>
      <w:r w:rsidRPr="004D2BDE">
        <w:rPr>
          <w:rFonts w:ascii="Arial" w:eastAsia="Times New Roman" w:hAnsi="Arial" w:cs="Arial"/>
          <w:i/>
        </w:rPr>
        <w:t>Concluding observations on Switzerland</w:t>
      </w:r>
      <w:r w:rsidRPr="004D2BDE">
        <w:rPr>
          <w:rFonts w:ascii="Arial" w:eastAsia="Times New Roman" w:hAnsi="Arial" w:cs="Arial"/>
        </w:rPr>
        <w:t xml:space="preserve">, UN Doc CEDAW/C/CHE/CO/4-5 (18 November 2016) [25]; Committee against Torture, </w:t>
      </w:r>
      <w:r w:rsidRPr="004D2BDE">
        <w:rPr>
          <w:rFonts w:ascii="Arial" w:eastAsia="Times New Roman" w:hAnsi="Arial" w:cs="Arial"/>
          <w:i/>
        </w:rPr>
        <w:t>Concluding observations on France</w:t>
      </w:r>
      <w:r w:rsidRPr="004D2BDE">
        <w:rPr>
          <w:rFonts w:ascii="Arial" w:eastAsia="Times New Roman" w:hAnsi="Arial" w:cs="Arial"/>
        </w:rPr>
        <w:t>, UN Doc CAT/C/FRA /CO/7 (10 June 2016) [34]</w:t>
      </w:r>
      <w:r w:rsidRPr="004D2BDE">
        <w:rPr>
          <w:rFonts w:ascii="Arial" w:hAnsi="Arial" w:cs="Arial"/>
          <w:iCs/>
        </w:rPr>
        <w:t>–</w:t>
      </w:r>
      <w:r w:rsidRPr="004D2BDE">
        <w:rPr>
          <w:rFonts w:ascii="Arial" w:eastAsia="Times New Roman" w:hAnsi="Arial" w:cs="Arial"/>
        </w:rPr>
        <w:t xml:space="preserve">[35]; Committee on Economic, Social and Cultural Rights, </w:t>
      </w:r>
      <w:r w:rsidRPr="004D2BDE">
        <w:rPr>
          <w:rFonts w:ascii="Arial" w:eastAsia="Times New Roman" w:hAnsi="Arial" w:cs="Arial"/>
          <w:i/>
        </w:rPr>
        <w:t>Concluding observations on Germany</w:t>
      </w:r>
      <w:r w:rsidRPr="004D2BDE">
        <w:rPr>
          <w:rFonts w:ascii="Arial" w:eastAsia="Times New Roman" w:hAnsi="Arial" w:cs="Arial"/>
        </w:rPr>
        <w:t xml:space="preserve"> UN Doc E/C.12/ DEU/CO/5 (20 May 2011) [26].</w:t>
      </w:r>
      <w:proofErr w:type="gramEnd"/>
    </w:p>
  </w:endnote>
  <w:endnote w:id="192">
    <w:p w14:paraId="2F710A2B" w14:textId="77777777" w:rsidR="00C9464D" w:rsidRPr="004D2BDE" w:rsidRDefault="00C9464D"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 xml:space="preserve">Convention on the Rights of the </w:t>
      </w:r>
      <w:proofErr w:type="gramStart"/>
      <w:r w:rsidRPr="004D2BDE">
        <w:rPr>
          <w:rFonts w:ascii="Arial" w:hAnsi="Arial" w:cs="Arial"/>
          <w:i/>
        </w:rPr>
        <w:t>Child</w:t>
      </w:r>
      <w:r w:rsidRPr="004D2BDE">
        <w:rPr>
          <w:rFonts w:ascii="Arial" w:hAnsi="Arial" w:cs="Arial"/>
        </w:rPr>
        <w:t>,</w:t>
      </w:r>
      <w:proofErr w:type="gramEnd"/>
      <w:r w:rsidRPr="004D2BDE">
        <w:rPr>
          <w:rFonts w:ascii="Arial" w:hAnsi="Arial" w:cs="Arial"/>
        </w:rPr>
        <w:t xml:space="preserve"> opened for signature 20 November 1989, 1577 UNTS 3 (entered into force 2 September 1990).</w:t>
      </w:r>
    </w:p>
  </w:endnote>
  <w:endnote w:id="193">
    <w:p w14:paraId="174CEF03" w14:textId="5A076EC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20 (2016) on the implementation of the rights of the child during adolescence</w:t>
      </w:r>
      <w:r w:rsidRPr="004D2BDE">
        <w:rPr>
          <w:rFonts w:ascii="Arial" w:hAnsi="Arial" w:cs="Arial"/>
        </w:rPr>
        <w:t>, UN Doc CRC/C/GC/20 (6 December 2016) [34].</w:t>
      </w:r>
    </w:p>
  </w:endnote>
  <w:endnote w:id="194">
    <w:p w14:paraId="1E9FF0E9" w14:textId="77777777" w:rsidR="00C9464D" w:rsidRPr="004D2BDE" w:rsidRDefault="00C9464D"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Concluding Observations on New Zealand</w:t>
      </w:r>
      <w:r w:rsidRPr="004D2BDE">
        <w:rPr>
          <w:rFonts w:ascii="Arial" w:hAnsi="Arial" w:cs="Arial"/>
        </w:rPr>
        <w:t>, UN Doc CRC/C/NZL/CO/5 (21 October 2016) [25].</w:t>
      </w:r>
    </w:p>
  </w:endnote>
  <w:endnote w:id="195">
    <w:p w14:paraId="40244E3E" w14:textId="67926A47"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Committee on the Rights of the Child, </w:t>
      </w:r>
      <w:r w:rsidRPr="004D2BDE">
        <w:rPr>
          <w:rFonts w:ascii="Arial" w:hAnsi="Arial" w:cs="Arial"/>
          <w:i/>
        </w:rPr>
        <w:t>Concluding Observations on the Combined Fourth to Fifth Periodic Reports of Chile</w:t>
      </w:r>
      <w:r w:rsidRPr="004D2BDE">
        <w:rPr>
          <w:rFonts w:ascii="Arial" w:hAnsi="Arial" w:cs="Arial"/>
        </w:rPr>
        <w:t>, UN Doc CRC/C/CHL/CO/4-5 (29 October 2015);</w:t>
      </w:r>
      <w:r>
        <w:rPr>
          <w:rFonts w:ascii="Arial" w:hAnsi="Arial" w:cs="Arial"/>
        </w:rPr>
        <w:br/>
      </w:r>
      <w:r w:rsidRPr="004D2BDE">
        <w:rPr>
          <w:rFonts w:ascii="Arial" w:hAnsi="Arial" w:cs="Arial"/>
        </w:rPr>
        <w:t xml:space="preserve">Committee on the Rights of the Child, </w:t>
      </w:r>
      <w:r w:rsidRPr="004D2BDE">
        <w:rPr>
          <w:rFonts w:ascii="Arial" w:hAnsi="Arial" w:cs="Arial"/>
          <w:i/>
        </w:rPr>
        <w:t>Concluding observations on the fifth periodic report of France</w:t>
      </w:r>
      <w:r w:rsidRPr="004D2BDE">
        <w:rPr>
          <w:rFonts w:ascii="Arial" w:hAnsi="Arial" w:cs="Arial"/>
        </w:rPr>
        <w:t>, UN Doc CRC/C/FRA/CO/5 (date 2016).</w:t>
      </w:r>
    </w:p>
  </w:endnote>
  <w:endnote w:id="196">
    <w:p w14:paraId="1B960CFF" w14:textId="5F7BB25A"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the Rights of the Child, </w:t>
      </w:r>
      <w:r w:rsidRPr="004D2BDE">
        <w:rPr>
          <w:rFonts w:ascii="Arial" w:hAnsi="Arial" w:cs="Arial"/>
          <w:i/>
        </w:rPr>
        <w:t>General Comment No 13: The Right of the Child to Freedom from all Forms of Violence</w:t>
      </w:r>
      <w:r w:rsidRPr="004D2BDE">
        <w:rPr>
          <w:rFonts w:ascii="Arial" w:hAnsi="Arial" w:cs="Arial"/>
        </w:rPr>
        <w:t>, UN Doc CRC/C/GC/13 (18 April 2011) [29].</w:t>
      </w:r>
    </w:p>
  </w:endnote>
  <w:endnote w:id="197">
    <w:p w14:paraId="6EDE3145" w14:textId="77777777" w:rsidR="00C9464D" w:rsidRPr="004D2BDE" w:rsidRDefault="00C9464D" w:rsidP="00F97840">
      <w:pPr>
        <w:pStyle w:val="EndnoteText"/>
        <w:rPr>
          <w:rFonts w:ascii="Arial" w:hAnsi="Arial" w:cs="Arial"/>
        </w:rPr>
      </w:pPr>
      <w:r w:rsidRPr="004D2BDE">
        <w:rPr>
          <w:rStyle w:val="EndnoteReference"/>
          <w:rFonts w:cs="Arial"/>
        </w:rPr>
        <w:endnoteRef/>
      </w:r>
      <w:r w:rsidRPr="004D2BDE">
        <w:rPr>
          <w:rFonts w:ascii="Arial" w:hAnsi="Arial" w:cs="Arial"/>
        </w:rPr>
        <w:t xml:space="preserve"> </w:t>
      </w:r>
      <w:proofErr w:type="gramStart"/>
      <w:r w:rsidRPr="004D2BDE">
        <w:rPr>
          <w:rFonts w:ascii="Arial" w:hAnsi="Arial" w:cs="Arial"/>
        </w:rPr>
        <w:t xml:space="preserve">See, for example, Committee on the Rights of the Child, </w:t>
      </w:r>
      <w:r w:rsidRPr="004D2BDE">
        <w:rPr>
          <w:rFonts w:ascii="Arial" w:hAnsi="Arial" w:cs="Arial"/>
          <w:i/>
        </w:rPr>
        <w:t xml:space="preserve">Concluding Observations on South Africa </w:t>
      </w:r>
      <w:r w:rsidRPr="004D2BDE">
        <w:rPr>
          <w:rFonts w:ascii="Arial" w:hAnsi="Arial" w:cs="Arial"/>
        </w:rPr>
        <w:t>UN Doc CRC/C/ZAF/CO/2 (30 September 2016) [37]</w:t>
      </w:r>
      <w:r w:rsidRPr="004D2BDE">
        <w:rPr>
          <w:rFonts w:ascii="Arial" w:hAnsi="Arial" w:cs="Arial"/>
          <w:iCs/>
        </w:rPr>
        <w:t>–</w:t>
      </w:r>
      <w:r w:rsidRPr="004D2BDE">
        <w:rPr>
          <w:rFonts w:ascii="Arial" w:hAnsi="Arial" w:cs="Arial"/>
        </w:rPr>
        <w:t xml:space="preserve">[38]; </w:t>
      </w:r>
      <w:r w:rsidRPr="004D2BDE">
        <w:rPr>
          <w:rFonts w:ascii="Arial" w:eastAsia="Times New Roman" w:hAnsi="Arial" w:cs="Arial"/>
        </w:rPr>
        <w:t xml:space="preserve">Committee on Rights of Persons with Disabilities, </w:t>
      </w:r>
      <w:r w:rsidRPr="004D2BDE">
        <w:rPr>
          <w:rFonts w:ascii="Arial" w:eastAsia="Times New Roman" w:hAnsi="Arial" w:cs="Arial"/>
          <w:i/>
        </w:rPr>
        <w:t>Concluding observations on Italy</w:t>
      </w:r>
      <w:r w:rsidRPr="004D2BDE">
        <w:rPr>
          <w:rFonts w:ascii="Arial" w:eastAsia="Times New Roman" w:hAnsi="Arial" w:cs="Arial"/>
        </w:rPr>
        <w:t>, UN Doc CRPD/C/ITA/CO/1 (31 August 2016) [45]</w:t>
      </w:r>
      <w:r w:rsidRPr="004D2BDE">
        <w:rPr>
          <w:rFonts w:ascii="Arial" w:hAnsi="Arial" w:cs="Arial"/>
          <w:iCs/>
        </w:rPr>
        <w:t>–[</w:t>
      </w:r>
      <w:r w:rsidRPr="004D2BDE">
        <w:rPr>
          <w:rFonts w:ascii="Arial" w:eastAsia="Times New Roman" w:hAnsi="Arial" w:cs="Arial"/>
        </w:rPr>
        <w:t xml:space="preserve">46]; Committee on the Elimination of Discrimination against Women, </w:t>
      </w:r>
      <w:r w:rsidRPr="004D2BDE">
        <w:rPr>
          <w:rFonts w:ascii="Arial" w:eastAsia="Times New Roman" w:hAnsi="Arial" w:cs="Arial"/>
          <w:i/>
        </w:rPr>
        <w:t>Concluding observations on Switzerland</w:t>
      </w:r>
      <w:r w:rsidRPr="004D2BDE">
        <w:rPr>
          <w:rFonts w:ascii="Arial" w:eastAsia="Times New Roman" w:hAnsi="Arial" w:cs="Arial"/>
        </w:rPr>
        <w:t xml:space="preserve">, UN Doc CEDAW/C/CHE/CO/4-5 (18 November 2016) [25]; Committee against Torture, </w:t>
      </w:r>
      <w:r w:rsidRPr="004D2BDE">
        <w:rPr>
          <w:rFonts w:ascii="Arial" w:eastAsia="Times New Roman" w:hAnsi="Arial" w:cs="Arial"/>
          <w:i/>
        </w:rPr>
        <w:t>Concluding observations on France</w:t>
      </w:r>
      <w:r w:rsidRPr="004D2BDE">
        <w:rPr>
          <w:rFonts w:ascii="Arial" w:eastAsia="Times New Roman" w:hAnsi="Arial" w:cs="Arial"/>
        </w:rPr>
        <w:t>, UN Doc CAT/C/FRA /CO/7 (10 June 2016) [34]</w:t>
      </w:r>
      <w:r w:rsidRPr="004D2BDE">
        <w:rPr>
          <w:rFonts w:ascii="Arial" w:hAnsi="Arial" w:cs="Arial"/>
          <w:iCs/>
        </w:rPr>
        <w:t>–</w:t>
      </w:r>
      <w:r w:rsidRPr="004D2BDE">
        <w:rPr>
          <w:rFonts w:ascii="Arial" w:eastAsia="Times New Roman" w:hAnsi="Arial" w:cs="Arial"/>
        </w:rPr>
        <w:t xml:space="preserve">[35]; Committee on Economic, Social and Cultural Rights, </w:t>
      </w:r>
      <w:r w:rsidRPr="004D2BDE">
        <w:rPr>
          <w:rFonts w:ascii="Arial" w:eastAsia="Times New Roman" w:hAnsi="Arial" w:cs="Arial"/>
          <w:i/>
        </w:rPr>
        <w:t>Concluding observations on Germany</w:t>
      </w:r>
      <w:r w:rsidRPr="004D2BDE">
        <w:rPr>
          <w:rFonts w:ascii="Arial" w:eastAsia="Times New Roman" w:hAnsi="Arial" w:cs="Arial"/>
        </w:rPr>
        <w:t>, UN Doc E/C.12/ DEU/CO/5 (20 May 2011) [26].</w:t>
      </w:r>
      <w:proofErr w:type="gramEnd"/>
    </w:p>
  </w:endnote>
  <w:endnote w:id="198">
    <w:p w14:paraId="3EC2C679" w14:textId="5C9257C6"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See, for example, Committee Against Torture, </w:t>
      </w:r>
      <w:r w:rsidRPr="004D2BDE">
        <w:rPr>
          <w:rFonts w:ascii="Arial" w:hAnsi="Arial" w:cs="Arial"/>
          <w:i/>
        </w:rPr>
        <w:t>Concluding Observations on Germany</w:t>
      </w:r>
      <w:r w:rsidRPr="004D2BDE">
        <w:rPr>
          <w:rFonts w:ascii="Arial" w:hAnsi="Arial" w:cs="Arial"/>
        </w:rPr>
        <w:t xml:space="preserve">, UN Doc CAT/C/DEU/CO/5 (12 December 2011) [20]; Committee Against Torture, </w:t>
      </w:r>
      <w:r w:rsidRPr="004D2BDE">
        <w:rPr>
          <w:rFonts w:ascii="Arial" w:hAnsi="Arial" w:cs="Arial"/>
          <w:i/>
        </w:rPr>
        <w:t xml:space="preserve">Concluding Observations on Switzerland, </w:t>
      </w:r>
      <w:r w:rsidRPr="004D2BDE">
        <w:rPr>
          <w:rFonts w:ascii="Arial" w:hAnsi="Arial" w:cs="Arial"/>
        </w:rPr>
        <w:t>UN Doc</w:t>
      </w:r>
      <w:r w:rsidRPr="004D2BDE">
        <w:rPr>
          <w:rFonts w:ascii="Arial" w:hAnsi="Arial" w:cs="Arial"/>
          <w:i/>
        </w:rPr>
        <w:t xml:space="preserve"> </w:t>
      </w:r>
      <w:r w:rsidRPr="004D2BDE">
        <w:rPr>
          <w:rFonts w:ascii="Arial" w:hAnsi="Arial" w:cs="Arial"/>
        </w:rPr>
        <w:t>CAT/C/CHE/CO/7 (7 September 2015) [20].</w:t>
      </w:r>
    </w:p>
  </w:endnote>
  <w:endnote w:id="199">
    <w:p w14:paraId="77AA3C4C" w14:textId="77777777" w:rsidR="00C9464D" w:rsidRPr="004D2BDE" w:rsidRDefault="00C9464D"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Committee against Torture, </w:t>
      </w:r>
      <w:r w:rsidRPr="004D2BDE">
        <w:rPr>
          <w:rFonts w:ascii="Arial" w:hAnsi="Arial" w:cs="Arial"/>
          <w:i/>
        </w:rPr>
        <w:t>List of Issues Prior to Submission of the Sixth Period Report of Australia</w:t>
      </w:r>
      <w:r w:rsidRPr="004D2BDE">
        <w:rPr>
          <w:rFonts w:ascii="Arial" w:hAnsi="Arial" w:cs="Arial"/>
        </w:rPr>
        <w:t>, UN Doc</w:t>
      </w:r>
      <w:r w:rsidRPr="004D2BDE">
        <w:rPr>
          <w:rFonts w:ascii="Arial" w:hAnsi="Arial" w:cs="Arial"/>
          <w:i/>
        </w:rPr>
        <w:t xml:space="preserve"> </w:t>
      </w:r>
      <w:r w:rsidRPr="004D2BDE">
        <w:rPr>
          <w:rFonts w:ascii="Arial" w:hAnsi="Arial" w:cs="Arial"/>
        </w:rPr>
        <w:t>CAT/C/AUS/QPR/6 (9 January 2017) [26].</w:t>
      </w:r>
    </w:p>
  </w:endnote>
  <w:endnote w:id="200">
    <w:p w14:paraId="445F4E85" w14:textId="4229F285"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noProof/>
        </w:rPr>
        <w:t xml:space="preserve">Juan E. Méndez, </w:t>
      </w:r>
      <w:r w:rsidRPr="004D2BDE">
        <w:rPr>
          <w:rFonts w:ascii="Arial" w:hAnsi="Arial" w:cs="Arial"/>
          <w:i/>
          <w:noProof/>
        </w:rPr>
        <w:t xml:space="preserve">Report of the Special Rapporteur on Torture and other Cruel, Inhuman or Degrading Treatment or Punishment, </w:t>
      </w:r>
      <w:r w:rsidRPr="004D2BDE">
        <w:rPr>
          <w:rFonts w:ascii="Arial" w:hAnsi="Arial" w:cs="Arial"/>
          <w:noProof/>
        </w:rPr>
        <w:t>UN Doc A/HRC/22/53 (1 February 2013) [88].</w:t>
      </w:r>
    </w:p>
  </w:endnote>
  <w:endnote w:id="201">
    <w:p w14:paraId="5B32D60E" w14:textId="1F47A4AD"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noProof/>
        </w:rPr>
        <w:t>Juan E. Méndez,</w:t>
      </w:r>
      <w:r w:rsidRPr="004D2BDE">
        <w:rPr>
          <w:rFonts w:ascii="Arial" w:hAnsi="Arial" w:cs="Arial"/>
          <w:i/>
          <w:noProof/>
        </w:rPr>
        <w:t xml:space="preserve"> Report of the Special Rapportuer on Torture and other Cruel, Inhuman or Degrading Treatment or Punishment</w:t>
      </w:r>
      <w:r w:rsidRPr="004D2BDE">
        <w:rPr>
          <w:rFonts w:ascii="Arial" w:hAnsi="Arial" w:cs="Arial"/>
          <w:noProof/>
        </w:rPr>
        <w:t>, 31</w:t>
      </w:r>
      <w:r w:rsidRPr="004D2BDE">
        <w:rPr>
          <w:rFonts w:ascii="Arial" w:hAnsi="Arial" w:cs="Arial"/>
          <w:noProof/>
          <w:vertAlign w:val="superscript"/>
        </w:rPr>
        <w:t>st</w:t>
      </w:r>
      <w:r w:rsidRPr="004D2BDE">
        <w:rPr>
          <w:rFonts w:ascii="Arial" w:hAnsi="Arial" w:cs="Arial"/>
          <w:noProof/>
        </w:rPr>
        <w:t xml:space="preserve"> sess, UN Doc A/HRC/31/57 (5 January 2016) [48] and [50].</w:t>
      </w:r>
    </w:p>
  </w:endnote>
  <w:endnote w:id="202">
    <w:p w14:paraId="5DCDC497" w14:textId="17EF5A2E"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Office of the High Commissioner on Human Rights, </w:t>
      </w:r>
      <w:r w:rsidRPr="004D2BDE">
        <w:rPr>
          <w:rFonts w:ascii="Arial" w:hAnsi="Arial" w:cs="Arial"/>
          <w:i/>
        </w:rPr>
        <w:t xml:space="preserve">Discriminated and made Vulnerable: Young LGBT and Intersex People need Recognition and Protection of their Rights, International Day </w:t>
      </w:r>
      <w:proofErr w:type="gramStart"/>
      <w:r w:rsidRPr="004D2BDE">
        <w:rPr>
          <w:rFonts w:ascii="Arial" w:hAnsi="Arial" w:cs="Arial"/>
          <w:i/>
        </w:rPr>
        <w:t>Against</w:t>
      </w:r>
      <w:proofErr w:type="gramEnd"/>
      <w:r w:rsidRPr="004D2BDE">
        <w:rPr>
          <w:rFonts w:ascii="Arial" w:hAnsi="Arial" w:cs="Arial"/>
          <w:i/>
        </w:rPr>
        <w:t xml:space="preserve"> Homophobia, Biphobia and Transphobia </w:t>
      </w:r>
      <w:r w:rsidRPr="004D2BDE">
        <w:rPr>
          <w:rFonts w:ascii="Arial" w:hAnsi="Arial" w:cs="Arial"/>
        </w:rPr>
        <w:t xml:space="preserve">(13 May 2015). At </w:t>
      </w:r>
      <w:hyperlink r:id="rId52" w:history="1">
        <w:r w:rsidRPr="004D2BDE">
          <w:rPr>
            <w:rStyle w:val="Hyperlink"/>
            <w:rFonts w:ascii="Arial" w:hAnsi="Arial" w:cs="Arial"/>
          </w:rPr>
          <w:t>http://www.ohchr.org/EN/NewsEvents/Pages/DisplayNews.aspx?NewsID=15941&amp;LangID=E</w:t>
        </w:r>
      </w:hyperlink>
      <w:r w:rsidRPr="004D2BDE">
        <w:rPr>
          <w:rFonts w:ascii="Arial" w:hAnsi="Arial" w:cs="Arial"/>
        </w:rPr>
        <w:t xml:space="preserve"> (accessed 10</w:t>
      </w:r>
      <w:r>
        <w:rPr>
          <w:rFonts w:ascii="Arial" w:hAnsi="Arial" w:cs="Arial"/>
        </w:rPr>
        <w:t> </w:t>
      </w:r>
      <w:r w:rsidRPr="004D2BDE">
        <w:rPr>
          <w:rFonts w:ascii="Arial" w:hAnsi="Arial" w:cs="Arial"/>
        </w:rPr>
        <w:t>June 2017).</w:t>
      </w:r>
    </w:p>
  </w:endnote>
  <w:endnote w:id="203">
    <w:p w14:paraId="55C11B08" w14:textId="54AC0BCD"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iCs/>
        </w:rPr>
        <w:t>International Covenant on Economic, Social and Cultural Rights</w:t>
      </w:r>
      <w:r w:rsidRPr="004D2BDE">
        <w:rPr>
          <w:rFonts w:ascii="Arial" w:hAnsi="Arial" w:cs="Arial"/>
          <w:iCs/>
        </w:rPr>
        <w:t>, opened for signature 16 December 1966, 993 UNTS 3 (entered into force 3 January 1976) art 12.</w:t>
      </w:r>
    </w:p>
  </w:endnote>
  <w:endnote w:id="204">
    <w:p w14:paraId="3F008702" w14:textId="10377227"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rPr>
        <w:t>Convention on the Rights of the Child</w:t>
      </w:r>
      <w:r w:rsidRPr="004D2BDE">
        <w:rPr>
          <w:rFonts w:ascii="Arial" w:hAnsi="Arial" w:cs="Arial"/>
        </w:rPr>
        <w:t>, opened for signature 20 November 1989, 1577 UNTS 3 (entered into force 2 September 1990) art 24.</w:t>
      </w:r>
    </w:p>
  </w:endnote>
  <w:endnote w:id="205">
    <w:p w14:paraId="7BC60E32" w14:textId="362F0745"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t>
      </w:r>
      <w:r w:rsidRPr="004D2BDE">
        <w:rPr>
          <w:rFonts w:ascii="Arial" w:hAnsi="Arial" w:cs="Arial"/>
          <w:i/>
          <w:color w:val="000000" w:themeColor="text1"/>
        </w:rPr>
        <w:t xml:space="preserve">Convention on the Rights of Persons with Disabilities, </w:t>
      </w:r>
      <w:r w:rsidRPr="004D2BDE">
        <w:rPr>
          <w:rFonts w:ascii="Arial" w:hAnsi="Arial" w:cs="Arial"/>
          <w:color w:val="000000" w:themeColor="text1"/>
        </w:rPr>
        <w:t>opened for signature 30 March 2007, 2515 UNTS 3 (entered into force 3 May 2008) art 25.</w:t>
      </w:r>
    </w:p>
  </w:endnote>
  <w:endnote w:id="206">
    <w:p w14:paraId="5DD94242" w14:textId="77777777" w:rsidR="00C9464D" w:rsidRPr="004D2BDE" w:rsidRDefault="00C9464D" w:rsidP="008D4320">
      <w:pPr>
        <w:pStyle w:val="EndnoteText"/>
        <w:rPr>
          <w:rFonts w:ascii="Arial" w:hAnsi="Arial" w:cs="Arial"/>
        </w:rPr>
      </w:pPr>
      <w:r w:rsidRPr="004D2BDE">
        <w:rPr>
          <w:rStyle w:val="EndnoteReference"/>
          <w:rFonts w:cs="Arial"/>
        </w:rPr>
        <w:endnoteRef/>
      </w:r>
      <w:r w:rsidRPr="004D2BDE">
        <w:rPr>
          <w:rFonts w:ascii="Arial" w:hAnsi="Arial" w:cs="Arial"/>
        </w:rPr>
        <w:t xml:space="preserve"> United Nations Education, Scientific and Cultural Organization, </w:t>
      </w:r>
      <w:r w:rsidRPr="004D2BDE">
        <w:rPr>
          <w:rFonts w:ascii="Arial" w:hAnsi="Arial" w:cs="Arial"/>
          <w:i/>
        </w:rPr>
        <w:t>Universal Declaration on Bioethics and Human Rights</w:t>
      </w:r>
      <w:r w:rsidRPr="004D2BDE">
        <w:rPr>
          <w:rFonts w:ascii="Arial" w:hAnsi="Arial" w:cs="Arial"/>
        </w:rPr>
        <w:t>, General Conference, 33</w:t>
      </w:r>
      <w:r w:rsidRPr="004D2BDE">
        <w:rPr>
          <w:rFonts w:ascii="Arial" w:hAnsi="Arial" w:cs="Arial"/>
          <w:vertAlign w:val="superscript"/>
        </w:rPr>
        <w:t>rd</w:t>
      </w:r>
      <w:r w:rsidRPr="004D2BDE">
        <w:rPr>
          <w:rFonts w:ascii="Arial" w:hAnsi="Arial" w:cs="Arial"/>
        </w:rPr>
        <w:t xml:space="preserve"> </w:t>
      </w:r>
      <w:proofErr w:type="spellStart"/>
      <w:r w:rsidRPr="004D2BDE">
        <w:rPr>
          <w:rFonts w:ascii="Arial" w:hAnsi="Arial" w:cs="Arial"/>
        </w:rPr>
        <w:t>sess</w:t>
      </w:r>
      <w:proofErr w:type="spellEnd"/>
      <w:r w:rsidRPr="004D2BDE">
        <w:rPr>
          <w:rFonts w:ascii="Arial" w:hAnsi="Arial" w:cs="Arial"/>
        </w:rPr>
        <w:t xml:space="preserve">, </w:t>
      </w:r>
      <w:proofErr w:type="spellStart"/>
      <w:r w:rsidRPr="004D2BDE">
        <w:rPr>
          <w:rFonts w:ascii="Arial" w:hAnsi="Arial" w:cs="Arial"/>
        </w:rPr>
        <w:t>vol</w:t>
      </w:r>
      <w:proofErr w:type="spellEnd"/>
      <w:r w:rsidRPr="004D2BDE">
        <w:rPr>
          <w:rFonts w:ascii="Arial" w:hAnsi="Arial" w:cs="Arial"/>
        </w:rPr>
        <w:t xml:space="preserve"> 1 (3</w:t>
      </w:r>
      <w:r w:rsidRPr="004D2BDE">
        <w:rPr>
          <w:rFonts w:ascii="Arial" w:hAnsi="Arial" w:cs="Arial"/>
          <w:iCs/>
        </w:rPr>
        <w:t>–21 October 2005</w:t>
      </w:r>
      <w:r w:rsidRPr="004D2BDE">
        <w:rPr>
          <w:rFonts w:ascii="Arial" w:hAnsi="Arial" w:cs="Arial"/>
        </w:rPr>
        <w:t>) res 36,</w:t>
      </w:r>
      <w:r w:rsidRPr="004D2BDE">
        <w:rPr>
          <w:rFonts w:ascii="Arial" w:hAnsi="Arial" w:cs="Arial"/>
        </w:rPr>
        <w:fldChar w:fldCharType="begin"/>
      </w:r>
      <w:r w:rsidRPr="004D2BDE">
        <w:rPr>
          <w:rFonts w:ascii="Arial" w:hAnsi="Arial" w:cs="Arial"/>
        </w:rPr>
        <w:instrText xml:space="preserve"> ADDIN ZOTERO_ITEM CSL_CITATION {"citationID":"UPTgYW06","properties":{"formattedCitation":"{\\rtf UNESCO, \\uc0\\u8216{}Universal Declaration on Bioethics and Human Rights\\uc0\\u8217{} &lt;http://unesdoc.unesco.org/images/0014/001428/142825e.pdf#page=80&gt;.}","plainCitation":"UNESCO, ‘Universal Declaration on Bioethics and Human Rights’ &lt;http://unesdoc.unesco.org/images/0014/001428/142825e.pdf#page=80&gt;."},"citationItems":[{"id":1173,"uris":["http://zotero.org/users/4317530/items/YIKH4UQQ"],"uri":["http://zotero.org/users/4317530/items/YIKH4UQQ"],"itemData":{"id":1173,"type":"article","title":"Universal Declaration on Bioethics and Human Rights","URL":"http://unesdoc.unesco.org/images/0014/001428/142825e.pdf#page=80","author":[{"family":"UNESCO","given":""}],"issued":{"date-parts":[["2005",10,3]]},"accessed":{"date-parts":[["2018",1,5]]}}}],"schema":"https://github.com/citation-style-language/schema/raw/master/csl-citation.json"} </w:instrText>
      </w:r>
      <w:r w:rsidRPr="004D2BDE">
        <w:rPr>
          <w:rFonts w:ascii="Arial" w:hAnsi="Arial" w:cs="Arial"/>
        </w:rPr>
        <w:fldChar w:fldCharType="separate"/>
      </w:r>
      <w:r w:rsidRPr="004D2BDE">
        <w:rPr>
          <w:rFonts w:ascii="Arial" w:hAnsi="Arial" w:cs="Arial"/>
        </w:rPr>
        <w:t xml:space="preserve"> arts 6</w:t>
      </w:r>
      <w:r w:rsidRPr="004D2BDE">
        <w:rPr>
          <w:rFonts w:ascii="Arial" w:hAnsi="Arial" w:cs="Arial"/>
          <w:iCs/>
        </w:rPr>
        <w:t>–</w:t>
      </w:r>
      <w:r w:rsidRPr="004D2BDE">
        <w:rPr>
          <w:rFonts w:ascii="Arial" w:hAnsi="Arial" w:cs="Arial"/>
        </w:rPr>
        <w:t>7. At http://unesdoc.unesco.org/images/0014/001428/142825e.pdf#page=80</w:t>
      </w:r>
      <w:r w:rsidRPr="004D2BDE">
        <w:rPr>
          <w:rFonts w:ascii="Arial" w:hAnsi="Arial" w:cs="Arial"/>
        </w:rPr>
        <w:fldChar w:fldCharType="end"/>
      </w:r>
      <w:r w:rsidRPr="004D2BDE">
        <w:rPr>
          <w:rFonts w:ascii="Arial" w:hAnsi="Arial" w:cs="Arial"/>
        </w:rPr>
        <w:t xml:space="preserve"> (accessed 17 January 2018).</w:t>
      </w:r>
    </w:p>
  </w:endnote>
  <w:endnote w:id="207">
    <w:p w14:paraId="2C712B60" w14:textId="2C508EF6"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World Health Organisation, </w:t>
      </w:r>
      <w:r w:rsidRPr="004D2BDE">
        <w:rPr>
          <w:rFonts w:ascii="Arial" w:hAnsi="Arial" w:cs="Arial"/>
          <w:i/>
        </w:rPr>
        <w:t>Sexual health, human rights and the law</w:t>
      </w:r>
      <w:r w:rsidRPr="004D2BDE">
        <w:rPr>
          <w:rFonts w:ascii="Arial" w:hAnsi="Arial" w:cs="Arial"/>
        </w:rPr>
        <w:t xml:space="preserve"> (2015) 26.</w:t>
      </w:r>
    </w:p>
  </w:endnote>
  <w:endnote w:id="208">
    <w:p w14:paraId="7D10393A" w14:textId="6A16002B"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Committee on Economic Social and Cultural Rights, </w:t>
      </w:r>
      <w:r w:rsidRPr="004D2BDE">
        <w:rPr>
          <w:rFonts w:ascii="Arial" w:hAnsi="Arial" w:cs="Arial"/>
          <w:i/>
        </w:rPr>
        <w:t xml:space="preserve">Concluding Observations on the fifth periodic report of Australia, </w:t>
      </w:r>
      <w:r w:rsidRPr="004D2BDE">
        <w:rPr>
          <w:rFonts w:ascii="Arial" w:hAnsi="Arial" w:cs="Arial"/>
        </w:rPr>
        <w:t>UN Doc E/C.12/AUS/CO/5</w:t>
      </w:r>
      <w:r w:rsidRPr="004D2BDE">
        <w:rPr>
          <w:rFonts w:ascii="Arial" w:hAnsi="Arial" w:cs="Arial"/>
          <w:i/>
        </w:rPr>
        <w:t xml:space="preserve"> </w:t>
      </w:r>
      <w:r w:rsidRPr="004D2BDE">
        <w:rPr>
          <w:rFonts w:ascii="Arial" w:hAnsi="Arial" w:cs="Arial"/>
        </w:rPr>
        <w:t>(11 July 2017) [49]</w:t>
      </w:r>
      <w:r w:rsidRPr="004D2BDE">
        <w:rPr>
          <w:rFonts w:ascii="Arial" w:hAnsi="Arial" w:cs="Arial"/>
          <w:iCs/>
        </w:rPr>
        <w:t>–</w:t>
      </w:r>
      <w:r w:rsidRPr="004D2BDE">
        <w:rPr>
          <w:rFonts w:ascii="Arial" w:hAnsi="Arial" w:cs="Arial"/>
        </w:rPr>
        <w:t>[50].</w:t>
      </w:r>
    </w:p>
  </w:endnote>
  <w:endnote w:id="209">
    <w:p w14:paraId="5E14A21D" w14:textId="5BEE89AD" w:rsidR="00C9464D" w:rsidRPr="004D2BDE" w:rsidRDefault="00C9464D">
      <w:pPr>
        <w:pStyle w:val="EndnoteText"/>
        <w:rPr>
          <w:rFonts w:ascii="Arial" w:hAnsi="Arial" w:cs="Arial"/>
        </w:rPr>
      </w:pPr>
      <w:r w:rsidRPr="004D2BDE">
        <w:rPr>
          <w:rStyle w:val="EndnoteReference"/>
          <w:rFonts w:cs="Arial"/>
        </w:rPr>
        <w:endnoteRef/>
      </w:r>
      <w:r w:rsidRPr="004D2BDE">
        <w:rPr>
          <w:rFonts w:ascii="Arial" w:hAnsi="Arial" w:cs="Arial"/>
        </w:rPr>
        <w:t xml:space="preserve"> Human Rights Committee, </w:t>
      </w:r>
      <w:r w:rsidRPr="004D2BDE">
        <w:rPr>
          <w:rFonts w:ascii="Arial" w:hAnsi="Arial" w:cs="Arial"/>
          <w:i/>
        </w:rPr>
        <w:t>Concluding observations on the sixth periodic report of Australia</w:t>
      </w:r>
      <w:r w:rsidRPr="004D2BDE">
        <w:rPr>
          <w:rFonts w:ascii="Arial" w:hAnsi="Arial" w:cs="Arial"/>
        </w:rPr>
        <w:t>, UN Doc CCPR/C/AUS/CO/6 (9 November 2017) [25]</w:t>
      </w:r>
      <w:r w:rsidRPr="004D2BDE">
        <w:rPr>
          <w:rFonts w:ascii="Arial" w:hAnsi="Arial" w:cs="Arial"/>
          <w:iCs/>
        </w:rPr>
        <w:t>–</w:t>
      </w:r>
      <w:r w:rsidRPr="004D2BDE">
        <w:rPr>
          <w:rFonts w:ascii="Arial" w:hAnsi="Arial" w:cs="Arial"/>
        </w:rPr>
        <w:t>[26].</w:t>
      </w:r>
    </w:p>
  </w:endnote>
  <w:endnote w:id="210">
    <w:p w14:paraId="6FD52AEA"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International Commission of Jurists, </w:t>
      </w:r>
      <w:r w:rsidRPr="004D2BDE">
        <w:rPr>
          <w:rFonts w:ascii="Arial" w:hAnsi="Arial" w:cs="Arial"/>
          <w:i/>
        </w:rPr>
        <w:t>Yogyakarta Principles - Principles on the application of international human rights law in relation to sexual orientation and gender identity</w:t>
      </w:r>
      <w:r w:rsidRPr="004D2BDE">
        <w:rPr>
          <w:rFonts w:ascii="Arial" w:hAnsi="Arial" w:cs="Arial"/>
        </w:rPr>
        <w:t xml:space="preserve"> (March 2007) 7.</w:t>
      </w:r>
    </w:p>
  </w:endnote>
  <w:endnote w:id="211">
    <w:p w14:paraId="5FDC3F94" w14:textId="2A0A3F1E"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Michael O</w:t>
      </w:r>
      <w:r>
        <w:rPr>
          <w:rFonts w:ascii="Arial" w:hAnsi="Arial" w:cs="Arial"/>
        </w:rPr>
        <w:t>’</w:t>
      </w:r>
      <w:r w:rsidRPr="004D2BDE">
        <w:rPr>
          <w:rFonts w:ascii="Arial" w:hAnsi="Arial" w:cs="Arial"/>
        </w:rPr>
        <w:t xml:space="preserve">Flaherty, </w:t>
      </w:r>
      <w:r>
        <w:rPr>
          <w:rFonts w:ascii="Arial" w:hAnsi="Arial" w:cs="Arial"/>
        </w:rPr>
        <w:t>‘</w:t>
      </w:r>
      <w:r w:rsidRPr="004D2BDE">
        <w:rPr>
          <w:rFonts w:ascii="Arial" w:hAnsi="Arial" w:cs="Arial"/>
        </w:rPr>
        <w:t>The Yogyakarta Principles at Ten</w:t>
      </w:r>
      <w:r>
        <w:rPr>
          <w:rFonts w:ascii="Arial" w:hAnsi="Arial" w:cs="Arial"/>
        </w:rPr>
        <w:t>’</w:t>
      </w:r>
      <w:r w:rsidRPr="004D2BDE">
        <w:rPr>
          <w:rFonts w:ascii="Arial" w:hAnsi="Arial" w:cs="Arial"/>
        </w:rPr>
        <w:t xml:space="preserve"> (2015) 33(4) </w:t>
      </w:r>
      <w:r w:rsidRPr="004D2BDE">
        <w:rPr>
          <w:rFonts w:ascii="Arial" w:hAnsi="Arial" w:cs="Arial"/>
          <w:i/>
        </w:rPr>
        <w:t>Nordic Journal of Human Rights</w:t>
      </w:r>
      <w:r w:rsidRPr="004D2BDE">
        <w:rPr>
          <w:rFonts w:ascii="Arial" w:hAnsi="Arial" w:cs="Arial"/>
        </w:rPr>
        <w:t xml:space="preserve"> 280, 287</w:t>
      </w:r>
      <w:r w:rsidRPr="004D2BDE">
        <w:rPr>
          <w:rFonts w:ascii="Arial" w:hAnsi="Arial" w:cs="Arial"/>
          <w:iCs/>
        </w:rPr>
        <w:t>–</w:t>
      </w:r>
      <w:r w:rsidRPr="004D2BDE">
        <w:rPr>
          <w:rFonts w:ascii="Arial" w:hAnsi="Arial" w:cs="Arial"/>
        </w:rPr>
        <w:t>294.</w:t>
      </w:r>
    </w:p>
  </w:endnote>
  <w:endnote w:id="212">
    <w:p w14:paraId="1F7FF240"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International Commission of Jurists, </w:t>
      </w:r>
      <w:r w:rsidRPr="004D2BDE">
        <w:rPr>
          <w:rFonts w:ascii="Arial" w:hAnsi="Arial" w:cs="Arial"/>
          <w:i/>
        </w:rPr>
        <w:t>Yogyakarta Principles - Principles on the application of international human rights law in relation to sexual orientation and gender identity</w:t>
      </w:r>
      <w:r w:rsidRPr="004D2BDE">
        <w:rPr>
          <w:rFonts w:ascii="Arial" w:hAnsi="Arial" w:cs="Arial"/>
        </w:rPr>
        <w:t xml:space="preserve"> (March 2007) principle 18.</w:t>
      </w:r>
    </w:p>
  </w:endnote>
  <w:endnote w:id="213">
    <w:p w14:paraId="0A7D40CB"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32.</w:t>
      </w:r>
    </w:p>
  </w:endnote>
  <w:endnote w:id="214">
    <w:p w14:paraId="022B606D"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37.</w:t>
      </w:r>
    </w:p>
  </w:endnote>
  <w:endnote w:id="215">
    <w:p w14:paraId="551EDD4F"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10.</w:t>
      </w:r>
    </w:p>
  </w:endnote>
  <w:endnote w:id="216">
    <w:p w14:paraId="1C1D03E2"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17.</w:t>
      </w:r>
    </w:p>
  </w:endnote>
  <w:endnote w:id="217">
    <w:p w14:paraId="202AB9F7" w14:textId="77777777" w:rsidR="00C9464D" w:rsidRPr="004D2BDE" w:rsidRDefault="00C9464D" w:rsidP="00795B4D">
      <w:pPr>
        <w:pStyle w:val="EndnoteText"/>
        <w:rPr>
          <w:rFonts w:ascii="Arial" w:hAnsi="Arial" w:cs="Arial"/>
        </w:rPr>
      </w:pPr>
      <w:r w:rsidRPr="004D2BDE">
        <w:rPr>
          <w:rStyle w:val="EndnoteReference"/>
          <w:rFonts w:cs="Arial"/>
        </w:rPr>
        <w:endnoteRef/>
      </w:r>
      <w:r w:rsidRPr="004D2BDE">
        <w:rPr>
          <w:rFonts w:ascii="Arial" w:hAnsi="Arial" w:cs="Arial"/>
        </w:rPr>
        <w:t xml:space="preserve"> ARC International and International Service for Human Rights, </w:t>
      </w:r>
      <w:r w:rsidRPr="004D2BDE">
        <w:rPr>
          <w:rFonts w:ascii="Arial" w:hAnsi="Arial" w:cs="Arial"/>
          <w:i/>
        </w:rPr>
        <w:t>Yogyakarta Principles plus 10 – Additional principles and state obligations on the application of international human rights law in relation to sexual orientation, gender identity, gender expression and sex characteristics to complement the Yogyakarta Principles</w:t>
      </w:r>
      <w:r w:rsidRPr="004D2BDE">
        <w:rPr>
          <w:rFonts w:ascii="Arial" w:hAnsi="Arial" w:cs="Arial"/>
        </w:rPr>
        <w:t xml:space="preserve"> (November 2017) principle 24.</w:t>
      </w:r>
      <w:bookmarkStart w:id="99" w:name="_GoBack"/>
      <w:bookmarkEnd w:id="99"/>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58897C" w14:textId="77777777" w:rsidR="00C9464D" w:rsidRPr="0090165F" w:rsidRDefault="00C9464D" w:rsidP="00E02F5D">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00AAE" w14:textId="77777777" w:rsidR="00C9464D" w:rsidRPr="004A187B" w:rsidRDefault="00C9464D" w:rsidP="00E02F5D">
    <w:pPr>
      <w:pStyle w:val="Footer"/>
    </w:pPr>
    <w:r>
      <w:rPr>
        <w:noProof/>
        <w:lang w:eastAsia="en-AU"/>
      </w:rPr>
      <mc:AlternateContent>
        <mc:Choice Requires="wps">
          <w:drawing>
            <wp:anchor distT="0" distB="0" distL="114300" distR="114300" simplePos="0" relativeHeight="251685888" behindDoc="0" locked="0" layoutInCell="1" allowOverlap="1" wp14:anchorId="0689D999" wp14:editId="31376739">
              <wp:simplePos x="0" y="0"/>
              <wp:positionH relativeFrom="column">
                <wp:posOffset>-549556</wp:posOffset>
              </wp:positionH>
              <wp:positionV relativeFrom="paragraph">
                <wp:posOffset>-1404354</wp:posOffset>
              </wp:positionV>
              <wp:extent cx="6071235" cy="956930"/>
              <wp:effectExtent l="0" t="0" r="5715"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1235" cy="956930"/>
                      </a:xfrm>
                      <a:prstGeom prst="rect">
                        <a:avLst/>
                      </a:prstGeom>
                      <a:noFill/>
                      <a:ln w="6350">
                        <a:noFill/>
                      </a:ln>
                      <a:effectLst/>
                    </wps:spPr>
                    <wps:txbx>
                      <w:txbxContent>
                        <w:p w14:paraId="6E1D9D74" w14:textId="77777777" w:rsidR="00C9464D" w:rsidRPr="0003606D" w:rsidRDefault="00C9464D" w:rsidP="00E02F5D">
                          <w:pPr>
                            <w:pStyle w:val="coveraddresses"/>
                          </w:pPr>
                          <w:r w:rsidRPr="0003606D">
                            <w:t>ABN 47 996 232 602</w:t>
                          </w:r>
                        </w:p>
                        <w:p w14:paraId="012E6115" w14:textId="77777777" w:rsidR="00C9464D" w:rsidRPr="0003606D" w:rsidRDefault="00C9464D" w:rsidP="00E02F5D">
                          <w:pPr>
                            <w:pStyle w:val="coveraddresses"/>
                          </w:pPr>
                          <w:r w:rsidRPr="0003606D">
                            <w:t xml:space="preserve">Level </w:t>
                          </w:r>
                          <w:proofErr w:type="gramStart"/>
                          <w:r w:rsidRPr="0003606D">
                            <w:t>3</w:t>
                          </w:r>
                          <w:proofErr w:type="gramEnd"/>
                          <w:r w:rsidRPr="0003606D">
                            <w:t>, 175 Pitt Street, Sydney NSW 2000</w:t>
                          </w:r>
                        </w:p>
                        <w:p w14:paraId="6B4F1281" w14:textId="77777777" w:rsidR="00C9464D" w:rsidRPr="0003606D" w:rsidRDefault="00C9464D" w:rsidP="00E02F5D">
                          <w:pPr>
                            <w:pStyle w:val="coveraddresses"/>
                          </w:pPr>
                          <w:r w:rsidRPr="0003606D">
                            <w:t>GPO Box 5218, Sydney NSW 2001</w:t>
                          </w:r>
                        </w:p>
                        <w:p w14:paraId="5385E1B0" w14:textId="77777777" w:rsidR="00C9464D" w:rsidRPr="0003606D" w:rsidRDefault="00C9464D" w:rsidP="00E02F5D">
                          <w:pPr>
                            <w:pStyle w:val="coveraddresses"/>
                          </w:pPr>
                          <w:r w:rsidRPr="0003606D">
                            <w:t>General enquiries 1300 369 711</w:t>
                          </w:r>
                        </w:p>
                        <w:p w14:paraId="523007DC" w14:textId="77777777" w:rsidR="00C9464D" w:rsidRPr="0003606D" w:rsidRDefault="00C9464D" w:rsidP="00E02F5D">
                          <w:pPr>
                            <w:pStyle w:val="coveraddresses"/>
                          </w:pPr>
                          <w:r w:rsidRPr="0003606D">
                            <w:t>Complaints info line 1300 656 419</w:t>
                          </w:r>
                        </w:p>
                        <w:p w14:paraId="17AA647B" w14:textId="77777777" w:rsidR="00C9464D" w:rsidRPr="0003606D" w:rsidRDefault="00C9464D" w:rsidP="00E02F5D">
                          <w:pPr>
                            <w:pStyle w:val="coveraddresses"/>
                          </w:pPr>
                          <w:r w:rsidRPr="0003606D">
                            <w:t>TTY 1800 620 241</w:t>
                          </w:r>
                        </w:p>
                        <w:p w14:paraId="7EDD8930" w14:textId="77777777" w:rsidR="00C9464D" w:rsidRPr="00B63D24" w:rsidRDefault="00C9464D" w:rsidP="00E02F5D">
                          <w:pPr>
                            <w:pStyle w:val="Footer"/>
                          </w:pPr>
                          <w:r w:rsidRPr="00B63D24">
                            <w:tab/>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89D999" id="_x0000_t202" coordsize="21600,21600" o:spt="202" path="m,l,21600r21600,l21600,xe">
              <v:stroke joinstyle="miter"/>
              <v:path gradientshapeok="t" o:connecttype="rect"/>
            </v:shapetype>
            <v:shape id="Text Box 14" o:spid="_x0000_s1029" type="#_x0000_t202" style="position:absolute;margin-left:-43.25pt;margin-top:-110.6pt;width:478.05pt;height:75.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" filled="f" stroked="f" strokeweight=".5pt">
              <v:path arrowok="t"/>
              <v:textbox inset="0,0,0,0">
                <w:txbxContent>
                  <w:p w14:paraId="6E1D9D74" w14:textId="77777777" w:rsidR="00C9464D" w:rsidRPr="0003606D" w:rsidRDefault="00C9464D" w:rsidP="00E02F5D">
                    <w:pPr>
                      <w:pStyle w:val="coveraddresses"/>
                    </w:pPr>
                    <w:r w:rsidRPr="0003606D">
                      <w:t>ABN 47 996 232 602</w:t>
                    </w:r>
                  </w:p>
                  <w:p w14:paraId="012E6115" w14:textId="77777777" w:rsidR="00C9464D" w:rsidRPr="0003606D" w:rsidRDefault="00C9464D" w:rsidP="00E02F5D">
                    <w:pPr>
                      <w:pStyle w:val="coveraddresses"/>
                    </w:pPr>
                    <w:r w:rsidRPr="0003606D">
                      <w:t xml:space="preserve">Level </w:t>
                    </w:r>
                    <w:proofErr w:type="gramStart"/>
                    <w:r w:rsidRPr="0003606D">
                      <w:t>3</w:t>
                    </w:r>
                    <w:proofErr w:type="gramEnd"/>
                    <w:r w:rsidRPr="0003606D">
                      <w:t>, 175 Pitt Street, Sydney NSW 2000</w:t>
                    </w:r>
                  </w:p>
                  <w:p w14:paraId="6B4F1281" w14:textId="77777777" w:rsidR="00C9464D" w:rsidRPr="0003606D" w:rsidRDefault="00C9464D" w:rsidP="00E02F5D">
                    <w:pPr>
                      <w:pStyle w:val="coveraddresses"/>
                    </w:pPr>
                    <w:r w:rsidRPr="0003606D">
                      <w:t>GPO Box 5218, Sydney NSW 2001</w:t>
                    </w:r>
                  </w:p>
                  <w:p w14:paraId="5385E1B0" w14:textId="77777777" w:rsidR="00C9464D" w:rsidRPr="0003606D" w:rsidRDefault="00C9464D" w:rsidP="00E02F5D">
                    <w:pPr>
                      <w:pStyle w:val="coveraddresses"/>
                    </w:pPr>
                    <w:r w:rsidRPr="0003606D">
                      <w:t>General enquiries 1300 369 711</w:t>
                    </w:r>
                  </w:p>
                  <w:p w14:paraId="523007DC" w14:textId="77777777" w:rsidR="00C9464D" w:rsidRPr="0003606D" w:rsidRDefault="00C9464D" w:rsidP="00E02F5D">
                    <w:pPr>
                      <w:pStyle w:val="coveraddresses"/>
                    </w:pPr>
                    <w:r w:rsidRPr="0003606D">
                      <w:t>Complaints info line 1300 656 419</w:t>
                    </w:r>
                  </w:p>
                  <w:p w14:paraId="17AA647B" w14:textId="77777777" w:rsidR="00C9464D" w:rsidRPr="0003606D" w:rsidRDefault="00C9464D" w:rsidP="00E02F5D">
                    <w:pPr>
                      <w:pStyle w:val="coveraddresses"/>
                    </w:pPr>
                    <w:r w:rsidRPr="0003606D">
                      <w:t>TTY 1800 620 241</w:t>
                    </w:r>
                  </w:p>
                  <w:p w14:paraId="7EDD8930" w14:textId="77777777" w:rsidR="00C9464D" w:rsidRPr="00B63D24" w:rsidRDefault="00C9464D" w:rsidP="00E02F5D">
                    <w:pPr>
                      <w:pStyle w:val="Footer"/>
                    </w:pPr>
                    <w:r w:rsidRPr="00B63D24">
                      <w:tab/>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4417745"/>
      <w:docPartObj>
        <w:docPartGallery w:val="Page Numbers (Bottom of Page)"/>
        <w:docPartUnique/>
      </w:docPartObj>
    </w:sdtPr>
    <w:sdtEndPr>
      <w:rPr>
        <w:noProof/>
      </w:rPr>
    </w:sdtEndPr>
    <w:sdtContent>
      <w:p w14:paraId="7532AB55" w14:textId="51307C3E" w:rsidR="00C9464D" w:rsidRDefault="00C9464D">
        <w:pPr>
          <w:pStyle w:val="Footer"/>
          <w:jc w:val="right"/>
        </w:pPr>
        <w:r>
          <w:fldChar w:fldCharType="begin"/>
        </w:r>
        <w:r>
          <w:instrText xml:space="preserve"> PAGE   \* MERGEFORMAT </w:instrText>
        </w:r>
        <w:r>
          <w:fldChar w:fldCharType="separate"/>
        </w:r>
        <w:r w:rsidR="005618FE">
          <w:rPr>
            <w:noProof/>
          </w:rPr>
          <w:t>2</w:t>
        </w:r>
        <w:r>
          <w:rPr>
            <w:noProof/>
          </w:rPr>
          <w:fldChar w:fldCharType="end"/>
        </w:r>
      </w:p>
    </w:sdtContent>
  </w:sdt>
  <w:p w14:paraId="167F6CA3" w14:textId="0CA5576B" w:rsidR="00C9464D" w:rsidRPr="0090165F" w:rsidRDefault="00C9464D" w:rsidP="00C33692">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0856D" w14:textId="5AA60618" w:rsidR="00C9464D" w:rsidRPr="00F4279A" w:rsidRDefault="00C9464D" w:rsidP="00C33692">
    <w:pPr>
      <w:pStyle w:val="Footer"/>
      <w:jc w:val="right"/>
      <w:rPr>
        <w:rFonts w:ascii="Arial" w:hAnsi="Arial" w:cs="Arial"/>
        <w:sz w:val="20"/>
        <w:szCs w:val="20"/>
      </w:rPr>
    </w:pPr>
    <w:r w:rsidRPr="00F4279A">
      <w:rPr>
        <w:rFonts w:ascii="Arial" w:hAnsi="Arial" w:cs="Arial"/>
        <w:sz w:val="20"/>
        <w:szCs w:val="20"/>
      </w:rPr>
      <w:fldChar w:fldCharType="begin"/>
    </w:r>
    <w:r w:rsidRPr="00F4279A">
      <w:rPr>
        <w:rFonts w:ascii="Arial" w:hAnsi="Arial" w:cs="Arial"/>
        <w:sz w:val="20"/>
        <w:szCs w:val="20"/>
      </w:rPr>
      <w:instrText xml:space="preserve"> PAGE   \* MERGEFORMAT </w:instrText>
    </w:r>
    <w:r w:rsidRPr="00F4279A">
      <w:rPr>
        <w:rFonts w:ascii="Arial" w:hAnsi="Arial" w:cs="Arial"/>
        <w:sz w:val="20"/>
        <w:szCs w:val="20"/>
      </w:rPr>
      <w:fldChar w:fldCharType="separate"/>
    </w:r>
    <w:r w:rsidR="0075464F">
      <w:rPr>
        <w:rFonts w:ascii="Arial" w:hAnsi="Arial" w:cs="Arial"/>
        <w:noProof/>
        <w:sz w:val="20"/>
        <w:szCs w:val="20"/>
      </w:rPr>
      <w:t>45</w:t>
    </w:r>
    <w:r w:rsidRPr="00F4279A">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41D43F" w14:textId="77777777" w:rsidR="00C9464D" w:rsidRDefault="00C9464D" w:rsidP="00F14C6D">
      <w:r>
        <w:separator/>
      </w:r>
    </w:p>
  </w:footnote>
  <w:footnote w:type="continuationSeparator" w:id="0">
    <w:p w14:paraId="67BEFAC5" w14:textId="77777777" w:rsidR="00C9464D" w:rsidRDefault="00C9464D" w:rsidP="00F1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4F3B8" w14:textId="77777777" w:rsidR="00C9464D" w:rsidRDefault="00C9464D">
    <w:pPr>
      <w:pStyle w:val="Header"/>
    </w:pPr>
    <w:r>
      <w:rPr>
        <w:noProof/>
      </w:rPr>
      <w:pict w14:anchorId="597595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8" o:spid="_x0000_s2091" type="#_x0000_t75" style="position:absolute;margin-left:0;margin-top:0;width:595.65pt;height:870.15pt;z-index:-251633664;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325E7" w14:textId="77777777" w:rsidR="00C9464D" w:rsidRPr="00D27262" w:rsidRDefault="00C9464D" w:rsidP="00E02F5D">
    <w:pPr>
      <w:spacing w:after="0"/>
      <w:jc w:val="right"/>
    </w:pPr>
    <w:r>
      <w:rPr>
        <w:noProof/>
      </w:rPr>
      <w:pict w14:anchorId="0EF424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9" o:spid="_x0000_s2092" type="#_x0000_t75" style="position:absolute;left:0;text-align:left;margin-left:0;margin-top:0;width:595.65pt;height:870.15pt;z-index:-251632640;mso-position-horizontal:center;mso-position-horizontal-relative:margin;mso-position-vertical:center;mso-position-vertical-relative:margin" o:allowincell="f">
          <v:imagedata r:id="rId1" o:title=""/>
          <w10:wrap anchorx="margin" anchory="margin"/>
        </v:shape>
      </w:pict>
    </w:r>
    <w:r w:rsidRPr="00D27262">
      <w:t>Au</w:t>
    </w:r>
    <w:r>
      <w:t>stralian Human Rights Commission</w:t>
    </w:r>
  </w:p>
  <w:p w14:paraId="12E1F4E6" w14:textId="77777777" w:rsidR="00C9464D" w:rsidRDefault="00C9464D" w:rsidP="00E02F5D">
    <w:pPr>
      <w:pStyle w:val="Footer"/>
      <w:jc w:val="right"/>
      <w:rPr>
        <w:i/>
      </w:rPr>
    </w:pPr>
    <w:r w:rsidRPr="00D27262">
      <w:rPr>
        <w:b/>
        <w:i/>
      </w:rPr>
      <w:t>Short document title</w:t>
    </w:r>
    <w:r w:rsidRPr="00D27262">
      <w:rPr>
        <w:i/>
      </w:rPr>
      <w:t xml:space="preserve">, </w:t>
    </w:r>
    <w:r>
      <w:rPr>
        <w:i/>
      </w:rPr>
      <w:t>Short description – Date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9464D" w:rsidRPr="00B85DD4" w14:paraId="6A2F1A3E" w14:textId="77777777" w:rsidTr="00E02F5D">
      <w:trPr>
        <w:trHeight w:val="1276"/>
      </w:trPr>
      <w:tc>
        <w:tcPr>
          <w:tcW w:w="1508" w:type="dxa"/>
        </w:tcPr>
        <w:p w14:paraId="4A71B85C" w14:textId="77777777" w:rsidR="00C9464D" w:rsidRPr="00B85DD4" w:rsidRDefault="00C9464D" w:rsidP="00E02F5D">
          <w:pPr>
            <w:pStyle w:val="Header"/>
            <w:tabs>
              <w:tab w:val="left" w:pos="4686"/>
              <w:tab w:val="left" w:pos="7088"/>
              <w:tab w:val="left" w:pos="7242"/>
            </w:tabs>
            <w:ind w:left="-108"/>
            <w:rPr>
              <w:rFonts w:cs="ArialMT"/>
              <w:b/>
              <w:spacing w:val="-20"/>
            </w:rPr>
          </w:pPr>
        </w:p>
      </w:tc>
      <w:tc>
        <w:tcPr>
          <w:tcW w:w="2688" w:type="dxa"/>
          <w:vAlign w:val="center"/>
        </w:tcPr>
        <w:p w14:paraId="07BA7BA4" w14:textId="77777777" w:rsidR="00C9464D" w:rsidRPr="00B85DD4" w:rsidRDefault="00C9464D" w:rsidP="00E02F5D">
          <w:pPr>
            <w:spacing w:after="0"/>
            <w:rPr>
              <w:rFonts w:cs="ArialMT"/>
              <w:i/>
              <w:color w:val="808080"/>
              <w:sz w:val="17"/>
            </w:rPr>
          </w:pPr>
        </w:p>
      </w:tc>
      <w:tc>
        <w:tcPr>
          <w:tcW w:w="2302" w:type="dxa"/>
        </w:tcPr>
        <w:p w14:paraId="1825EA5E" w14:textId="77777777" w:rsidR="00C9464D" w:rsidRPr="00B85DD4" w:rsidRDefault="00C9464D" w:rsidP="00E02F5D">
          <w:pPr>
            <w:pStyle w:val="HeaderFooter"/>
            <w:rPr>
              <w:b/>
              <w:spacing w:val="-20"/>
              <w:sz w:val="40"/>
            </w:rPr>
          </w:pPr>
        </w:p>
      </w:tc>
      <w:tc>
        <w:tcPr>
          <w:tcW w:w="2130" w:type="dxa"/>
        </w:tcPr>
        <w:p w14:paraId="019CDCF0" w14:textId="77777777" w:rsidR="00C9464D" w:rsidRPr="00B85DD4" w:rsidRDefault="00C9464D" w:rsidP="00E02F5D">
          <w:pPr>
            <w:pStyle w:val="HeaderFooter"/>
            <w:rPr>
              <w:b/>
              <w:spacing w:val="-20"/>
              <w:sz w:val="40"/>
            </w:rPr>
          </w:pPr>
        </w:p>
      </w:tc>
      <w:tc>
        <w:tcPr>
          <w:tcW w:w="1721" w:type="dxa"/>
        </w:tcPr>
        <w:p w14:paraId="79D48CEB" w14:textId="77777777" w:rsidR="00C9464D" w:rsidRPr="00B85DD4" w:rsidRDefault="00C9464D" w:rsidP="00E02F5D">
          <w:pPr>
            <w:pStyle w:val="HeaderFooter"/>
            <w:spacing w:before="227" w:after="340"/>
            <w:rPr>
              <w:b/>
              <w:spacing w:val="-20"/>
              <w:sz w:val="40"/>
            </w:rPr>
          </w:pPr>
        </w:p>
      </w:tc>
    </w:tr>
  </w:tbl>
  <w:p w14:paraId="2C0EA01B" w14:textId="77777777" w:rsidR="00C9464D" w:rsidRDefault="00C9464D">
    <w:pPr>
      <w:pStyle w:val="Header"/>
    </w:pPr>
    <w:r>
      <w:rPr>
        <w:noProof/>
      </w:rPr>
      <w:pict w14:anchorId="47324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17" o:spid="_x0000_s2093" type="#_x0000_t75" style="position:absolute;margin-left:-71.05pt;margin-top:-105.55pt;width:595.65pt;height:870.15pt;z-index:-251631616;mso-position-horizontal-relative:margin;mso-position-vertical-relative:margin" o:allowincell="f">
          <v:imagedata r:id="rId1" o:tit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F32FB" w14:textId="3BDB8F88" w:rsidR="00C9464D" w:rsidRDefault="00C9464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269CA" w14:textId="711E1FEE" w:rsidR="00C9464D" w:rsidRPr="00A215D5" w:rsidRDefault="00C9464D" w:rsidP="00B34946">
    <w:pPr>
      <w:spacing w:after="60"/>
      <w:jc w:val="right"/>
      <w:rPr>
        <w:rFonts w:ascii="Arial" w:hAnsi="Arial" w:cs="Arial"/>
      </w:rPr>
    </w:pPr>
    <w:r w:rsidRPr="00A215D5">
      <w:rPr>
        <w:rFonts w:ascii="Arial" w:hAnsi="Arial" w:cs="Arial"/>
      </w:rPr>
      <w:t>Australian Human Rights Commission</w:t>
    </w:r>
  </w:p>
  <w:p w14:paraId="24612641" w14:textId="738B21EE" w:rsidR="00C9464D" w:rsidRPr="00A215D5" w:rsidRDefault="00C9464D" w:rsidP="00A215D5">
    <w:pPr>
      <w:pStyle w:val="Footer"/>
      <w:spacing w:after="240"/>
      <w:jc w:val="right"/>
      <w:rPr>
        <w:rFonts w:ascii="Arial" w:hAnsi="Arial" w:cs="Arial"/>
        <w:i/>
        <w:szCs w:val="18"/>
      </w:rPr>
    </w:pPr>
    <w:r w:rsidRPr="00A215D5">
      <w:rPr>
        <w:rFonts w:ascii="Arial" w:hAnsi="Arial" w:cs="Arial"/>
        <w:i/>
        <w:szCs w:val="18"/>
      </w:rPr>
      <w:t>Protecting the Human Rights of People Born with Variations in Sex Characteristics in the context of Medical Interventions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9464D" w:rsidRPr="00B85DD4" w14:paraId="4770B736" w14:textId="77777777" w:rsidTr="002B1B65">
      <w:trPr>
        <w:trHeight w:val="1603"/>
      </w:trPr>
      <w:tc>
        <w:tcPr>
          <w:tcW w:w="1508" w:type="dxa"/>
        </w:tcPr>
        <w:p w14:paraId="4DF1C407" w14:textId="77777777" w:rsidR="00C9464D" w:rsidRPr="00B85DD4" w:rsidRDefault="00C9464D" w:rsidP="00B520BC">
          <w:pPr>
            <w:pStyle w:val="Header"/>
            <w:tabs>
              <w:tab w:val="left" w:pos="4686"/>
              <w:tab w:val="left" w:pos="7088"/>
              <w:tab w:val="left" w:pos="7242"/>
            </w:tabs>
            <w:ind w:left="-108"/>
            <w:rPr>
              <w:rFonts w:cs="ArialMT"/>
              <w:b/>
              <w:spacing w:val="-20"/>
            </w:rPr>
          </w:pPr>
          <w:r w:rsidRPr="004D6E55">
            <w:rPr>
              <w:rFonts w:cs="ArialMT"/>
              <w:b/>
              <w:noProof/>
              <w:spacing w:val="-20"/>
              <w:lang w:eastAsia="en-AU"/>
            </w:rPr>
            <w:drawing>
              <wp:inline distT="0" distB="0" distL="0" distR="0" wp14:anchorId="568BB39B" wp14:editId="48763320">
                <wp:extent cx="819150" cy="819150"/>
                <wp:effectExtent l="0" t="0" r="0" b="0"/>
                <wp:docPr id="4" name="Picture 4"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inline>
            </w:drawing>
          </w:r>
        </w:p>
      </w:tc>
      <w:tc>
        <w:tcPr>
          <w:tcW w:w="2688" w:type="dxa"/>
          <w:vAlign w:val="center"/>
        </w:tcPr>
        <w:p w14:paraId="4EFA2BD7" w14:textId="77777777" w:rsidR="00C9464D" w:rsidRPr="00D36BB2" w:rsidRDefault="00C9464D" w:rsidP="002B1B65">
          <w:pPr>
            <w:pStyle w:val="LogoType"/>
            <w:pBdr>
              <w:bottom w:val="single" w:sz="4" w:space="1" w:color="808080"/>
            </w:pBdr>
            <w:spacing w:line="240" w:lineRule="auto"/>
          </w:pPr>
          <w:r w:rsidRPr="00D36BB2">
            <w:t>Australian</w:t>
          </w:r>
        </w:p>
        <w:p w14:paraId="6E70B523" w14:textId="77777777" w:rsidR="00C9464D" w:rsidRPr="00D36BB2" w:rsidRDefault="00C9464D" w:rsidP="002B1B65">
          <w:pPr>
            <w:pStyle w:val="LogoType"/>
            <w:pBdr>
              <w:bottom w:val="single" w:sz="4" w:space="1" w:color="808080"/>
            </w:pBdr>
            <w:spacing w:line="240" w:lineRule="auto"/>
          </w:pPr>
          <w:r w:rsidRPr="00D36BB2">
            <w:t>Human Rights</w:t>
          </w:r>
        </w:p>
        <w:p w14:paraId="74E1FE57" w14:textId="77777777" w:rsidR="00C9464D" w:rsidRPr="00D36BB2" w:rsidRDefault="00C9464D" w:rsidP="002B1B65">
          <w:pPr>
            <w:pStyle w:val="LogoType"/>
            <w:pBdr>
              <w:bottom w:val="single" w:sz="4" w:space="1" w:color="808080"/>
            </w:pBdr>
            <w:spacing w:line="240" w:lineRule="auto"/>
          </w:pPr>
          <w:r w:rsidRPr="00D36BB2">
            <w:t>Commission</w:t>
          </w:r>
        </w:p>
        <w:p w14:paraId="1CE74EE9" w14:textId="77777777" w:rsidR="00C9464D" w:rsidRPr="00B85DD4" w:rsidRDefault="00C9464D" w:rsidP="002B1B65">
          <w:pPr>
            <w:spacing w:after="0"/>
            <w:rPr>
              <w:rFonts w:cs="ArialMT"/>
              <w:i/>
              <w:color w:val="808080"/>
              <w:sz w:val="17"/>
            </w:rPr>
          </w:pPr>
          <w:r w:rsidRPr="00B85DD4">
            <w:rPr>
              <w:rFonts w:cs="ArialMT"/>
              <w:i/>
              <w:color w:val="808080"/>
              <w:sz w:val="17"/>
            </w:rPr>
            <w:t>everyone, everywhere, everyday</w:t>
          </w:r>
        </w:p>
      </w:tc>
      <w:tc>
        <w:tcPr>
          <w:tcW w:w="2302" w:type="dxa"/>
        </w:tcPr>
        <w:p w14:paraId="70CB0B7F" w14:textId="77777777" w:rsidR="00C9464D" w:rsidRPr="00B85DD4" w:rsidRDefault="00C9464D" w:rsidP="00B520BC">
          <w:pPr>
            <w:pStyle w:val="HeaderFooter"/>
            <w:rPr>
              <w:b/>
              <w:spacing w:val="-20"/>
              <w:sz w:val="40"/>
            </w:rPr>
          </w:pPr>
        </w:p>
      </w:tc>
      <w:tc>
        <w:tcPr>
          <w:tcW w:w="2130" w:type="dxa"/>
        </w:tcPr>
        <w:p w14:paraId="3884F296" w14:textId="77777777" w:rsidR="00C9464D" w:rsidRPr="00B85DD4" w:rsidRDefault="00C9464D" w:rsidP="00B520BC">
          <w:pPr>
            <w:pStyle w:val="HeaderFooter"/>
            <w:rPr>
              <w:b/>
              <w:spacing w:val="-20"/>
              <w:sz w:val="40"/>
            </w:rPr>
          </w:pPr>
        </w:p>
      </w:tc>
      <w:tc>
        <w:tcPr>
          <w:tcW w:w="1721" w:type="dxa"/>
        </w:tcPr>
        <w:p w14:paraId="5F5B2A40" w14:textId="77777777" w:rsidR="00C9464D" w:rsidRPr="00B85DD4" w:rsidRDefault="00C9464D" w:rsidP="00B520BC">
          <w:pPr>
            <w:pStyle w:val="HeaderFooter"/>
            <w:spacing w:before="227" w:after="340"/>
            <w:rPr>
              <w:b/>
              <w:spacing w:val="-20"/>
              <w:sz w:val="40"/>
            </w:rPr>
          </w:pPr>
        </w:p>
      </w:tc>
    </w:tr>
  </w:tbl>
  <w:p w14:paraId="4A3163EA" w14:textId="28CF82D9" w:rsidR="00C9464D" w:rsidRDefault="00C94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BB1EE2"/>
    <w:multiLevelType w:val="hybridMultilevel"/>
    <w:tmpl w:val="196C95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6604CF2"/>
    <w:multiLevelType w:val="hybridMultilevel"/>
    <w:tmpl w:val="591612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A8414D5"/>
    <w:multiLevelType w:val="hybridMultilevel"/>
    <w:tmpl w:val="A28AFFBE"/>
    <w:lvl w:ilvl="0" w:tplc="0C09000F">
      <w:start w:val="1"/>
      <w:numFmt w:val="decimal"/>
      <w:lvlText w:val="%1."/>
      <w:lvlJc w:val="left"/>
      <w:pPr>
        <w:ind w:left="720" w:hanging="360"/>
      </w:pPr>
      <w:rPr>
        <w:rFonts w:hint="default"/>
        <w:b w:val="0"/>
        <w:i w:val="0"/>
      </w:rPr>
    </w:lvl>
    <w:lvl w:ilvl="1" w:tplc="0C090003">
      <w:start w:val="1"/>
      <w:numFmt w:val="bullet"/>
      <w:lvlText w:val="o"/>
      <w:lvlJc w:val="left"/>
      <w:pPr>
        <w:ind w:left="1440" w:hanging="360"/>
      </w:pPr>
      <w:rPr>
        <w:rFonts w:ascii="Courier New" w:hAnsi="Courier New" w:cs="Courier New" w:hint="default"/>
      </w:rPr>
    </w:lvl>
    <w:lvl w:ilvl="2" w:tplc="E6B06B02">
      <w:start w:val="3"/>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31C4B35"/>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14CA488E"/>
    <w:multiLevelType w:val="hybridMultilevel"/>
    <w:tmpl w:val="BE9AB57A"/>
    <w:lvl w:ilvl="0" w:tplc="0C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1DCB237C"/>
    <w:multiLevelType w:val="hybridMultilevel"/>
    <w:tmpl w:val="4D508248"/>
    <w:lvl w:ilvl="0" w:tplc="B380AFAE">
      <w:start w:val="1"/>
      <w:numFmt w:val="decimal"/>
      <w:pStyle w:val="SubmissionNormal"/>
      <w:lvlText w:val="%1."/>
      <w:lvlJc w:val="left"/>
      <w:pPr>
        <w:tabs>
          <w:tab w:val="num" w:pos="360"/>
        </w:tabs>
        <w:ind w:left="360" w:hanging="360"/>
      </w:pPr>
      <w:rPr>
        <w:rFonts w:ascii="Arial" w:hAnsi="Arial" w:cs="Arial" w:hint="default"/>
        <w:b w:val="0"/>
        <w:i w:val="0"/>
        <w:sz w:val="24"/>
        <w:szCs w:val="24"/>
      </w:rPr>
    </w:lvl>
    <w:lvl w:ilvl="1" w:tplc="0C090001">
      <w:start w:val="1"/>
      <w:numFmt w:val="bullet"/>
      <w:lvlText w:val=""/>
      <w:lvlJc w:val="left"/>
      <w:pPr>
        <w:tabs>
          <w:tab w:val="num" w:pos="1080"/>
        </w:tabs>
        <w:ind w:left="1080" w:hanging="360"/>
      </w:pPr>
      <w:rPr>
        <w:rFonts w:ascii="Symbol" w:hAnsi="Symbol" w:hint="default"/>
      </w:rPr>
    </w:lvl>
    <w:lvl w:ilvl="2" w:tplc="957C36B8">
      <w:start w:val="1"/>
      <w:numFmt w:val="lowerRoman"/>
      <w:lvlText w:val="(%3)"/>
      <w:lvlJc w:val="righ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20905BBB"/>
    <w:multiLevelType w:val="hybridMultilevel"/>
    <w:tmpl w:val="ED9E62BE"/>
    <w:lvl w:ilvl="0" w:tplc="0C09000F">
      <w:start w:val="1"/>
      <w:numFmt w:val="decimal"/>
      <w:lvlText w:val="%1."/>
      <w:lvlJc w:val="left"/>
      <w:pPr>
        <w:ind w:left="720" w:hanging="360"/>
      </w:pPr>
      <w:rPr>
        <w:rFonts w:hint="default"/>
        <w:b w:val="0"/>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AD41B6"/>
    <w:multiLevelType w:val="hybridMultilevel"/>
    <w:tmpl w:val="58E8547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26B936CB"/>
    <w:multiLevelType w:val="hybridMultilevel"/>
    <w:tmpl w:val="AF8E5796"/>
    <w:lvl w:ilvl="0" w:tplc="345AA8D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7D30763"/>
    <w:multiLevelType w:val="hybridMultilevel"/>
    <w:tmpl w:val="1460E5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3735B3C"/>
    <w:multiLevelType w:val="hybridMultilevel"/>
    <w:tmpl w:val="BE9AB57A"/>
    <w:lvl w:ilvl="0" w:tplc="0C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455B6AEF"/>
    <w:multiLevelType w:val="hybridMultilevel"/>
    <w:tmpl w:val="5F70D8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9980DC5"/>
    <w:multiLevelType w:val="hybridMultilevel"/>
    <w:tmpl w:val="BE9AB57A"/>
    <w:lvl w:ilvl="0" w:tplc="0C090017">
      <w:start w:val="1"/>
      <w:numFmt w:val="lowerLetter"/>
      <w:lvlText w:val="%1)"/>
      <w:lvlJc w:val="left"/>
      <w:pPr>
        <w:ind w:left="818" w:hanging="360"/>
      </w:pPr>
      <w:rPr>
        <w:rFonts w:hint="default"/>
      </w:rPr>
    </w:lvl>
    <w:lvl w:ilvl="1" w:tplc="08090019" w:tentative="1">
      <w:start w:val="1"/>
      <w:numFmt w:val="lowerLetter"/>
      <w:lvlText w:val="%2."/>
      <w:lvlJc w:val="left"/>
      <w:pPr>
        <w:ind w:left="1538" w:hanging="360"/>
      </w:pPr>
    </w:lvl>
    <w:lvl w:ilvl="2" w:tplc="0809001B" w:tentative="1">
      <w:start w:val="1"/>
      <w:numFmt w:val="lowerRoman"/>
      <w:lvlText w:val="%3."/>
      <w:lvlJc w:val="right"/>
      <w:pPr>
        <w:ind w:left="2258" w:hanging="180"/>
      </w:pPr>
    </w:lvl>
    <w:lvl w:ilvl="3" w:tplc="0809000F" w:tentative="1">
      <w:start w:val="1"/>
      <w:numFmt w:val="decimal"/>
      <w:lvlText w:val="%4."/>
      <w:lvlJc w:val="left"/>
      <w:pPr>
        <w:ind w:left="2978" w:hanging="360"/>
      </w:pPr>
    </w:lvl>
    <w:lvl w:ilvl="4" w:tplc="08090019" w:tentative="1">
      <w:start w:val="1"/>
      <w:numFmt w:val="lowerLetter"/>
      <w:lvlText w:val="%5."/>
      <w:lvlJc w:val="left"/>
      <w:pPr>
        <w:ind w:left="3698" w:hanging="360"/>
      </w:pPr>
    </w:lvl>
    <w:lvl w:ilvl="5" w:tplc="0809001B" w:tentative="1">
      <w:start w:val="1"/>
      <w:numFmt w:val="lowerRoman"/>
      <w:lvlText w:val="%6."/>
      <w:lvlJc w:val="right"/>
      <w:pPr>
        <w:ind w:left="4418" w:hanging="180"/>
      </w:pPr>
    </w:lvl>
    <w:lvl w:ilvl="6" w:tplc="0809000F" w:tentative="1">
      <w:start w:val="1"/>
      <w:numFmt w:val="decimal"/>
      <w:lvlText w:val="%7."/>
      <w:lvlJc w:val="left"/>
      <w:pPr>
        <w:ind w:left="5138" w:hanging="360"/>
      </w:pPr>
    </w:lvl>
    <w:lvl w:ilvl="7" w:tplc="08090019" w:tentative="1">
      <w:start w:val="1"/>
      <w:numFmt w:val="lowerLetter"/>
      <w:lvlText w:val="%8."/>
      <w:lvlJc w:val="left"/>
      <w:pPr>
        <w:ind w:left="5858" w:hanging="360"/>
      </w:pPr>
    </w:lvl>
    <w:lvl w:ilvl="8" w:tplc="0809001B" w:tentative="1">
      <w:start w:val="1"/>
      <w:numFmt w:val="lowerRoman"/>
      <w:lvlText w:val="%9."/>
      <w:lvlJc w:val="right"/>
      <w:pPr>
        <w:ind w:left="6578" w:hanging="180"/>
      </w:pPr>
    </w:lvl>
  </w:abstractNum>
  <w:abstractNum w:abstractNumId="25" w15:restartNumberingAfterBreak="0">
    <w:nsid w:val="49FF7A73"/>
    <w:multiLevelType w:val="multilevel"/>
    <w:tmpl w:val="B4F4AB08"/>
    <w:lvl w:ilvl="0">
      <w:start w:val="1"/>
      <w:numFmt w:val="decimal"/>
      <w:pStyle w:val="Heading1"/>
      <w:lvlText w:val="%1"/>
      <w:lvlJc w:val="left"/>
      <w:pPr>
        <w:tabs>
          <w:tab w:val="num" w:pos="851"/>
        </w:tabs>
        <w:ind w:left="851" w:hanging="851"/>
      </w:pPr>
      <w:rPr>
        <w:rFonts w:hint="default"/>
        <w:b/>
      </w:rPr>
    </w:lvl>
    <w:lvl w:ilvl="1">
      <w:start w:val="1"/>
      <w:numFmt w:val="decimal"/>
      <w:pStyle w:val="Heading2"/>
      <w:lvlText w:val="%1.%2"/>
      <w:lvlJc w:val="left"/>
      <w:pPr>
        <w:tabs>
          <w:tab w:val="num" w:pos="851"/>
        </w:tabs>
        <w:ind w:left="851" w:hanging="851"/>
      </w:pPr>
      <w:rPr>
        <w:rFonts w:hint="default"/>
        <w:sz w:val="24"/>
        <w:szCs w:val="24"/>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26"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57D70C8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E3C662D"/>
    <w:multiLevelType w:val="hybridMultilevel"/>
    <w:tmpl w:val="2F52C280"/>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4282344"/>
    <w:multiLevelType w:val="hybridMultilevel"/>
    <w:tmpl w:val="6382E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E0809B4"/>
    <w:multiLevelType w:val="hybridMultilevel"/>
    <w:tmpl w:val="C062F2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5"/>
  </w:num>
  <w:num w:numId="2">
    <w:abstractNumId w:val="9"/>
  </w:num>
  <w:num w:numId="3">
    <w:abstractNumId w:val="7"/>
  </w:num>
  <w:num w:numId="4">
    <w:abstractNumId w:val="6"/>
  </w:num>
  <w:num w:numId="5">
    <w:abstractNumId w:val="5"/>
  </w:num>
  <w:num w:numId="6">
    <w:abstractNumId w:val="4"/>
  </w:num>
  <w:num w:numId="7">
    <w:abstractNumId w:val="8"/>
  </w:num>
  <w:num w:numId="8">
    <w:abstractNumId w:val="1"/>
  </w:num>
  <w:num w:numId="9">
    <w:abstractNumId w:val="0"/>
  </w:num>
  <w:num w:numId="10">
    <w:abstractNumId w:val="3"/>
  </w:num>
  <w:num w:numId="11">
    <w:abstractNumId w:val="2"/>
  </w:num>
  <w:num w:numId="12">
    <w:abstractNumId w:val="26"/>
  </w:num>
  <w:num w:numId="13">
    <w:abstractNumId w:val="21"/>
  </w:num>
  <w:num w:numId="14">
    <w:abstractNumId w:val="18"/>
  </w:num>
  <w:num w:numId="15">
    <w:abstractNumId w:val="15"/>
  </w:num>
  <w:num w:numId="16">
    <w:abstractNumId w:val="28"/>
  </w:num>
  <w:num w:numId="17">
    <w:abstractNumId w:val="11"/>
  </w:num>
  <w:num w:numId="18">
    <w:abstractNumId w:val="29"/>
  </w:num>
  <w:num w:numId="19">
    <w:abstractNumId w:val="14"/>
  </w:num>
  <w:num w:numId="20">
    <w:abstractNumId w:val="22"/>
  </w:num>
  <w:num w:numId="21">
    <w:abstractNumId w:val="13"/>
  </w:num>
  <w:num w:numId="22">
    <w:abstractNumId w:val="30"/>
  </w:num>
  <w:num w:numId="23">
    <w:abstractNumId w:val="20"/>
  </w:num>
  <w:num w:numId="24">
    <w:abstractNumId w:val="10"/>
  </w:num>
  <w:num w:numId="25">
    <w:abstractNumId w:val="23"/>
  </w:num>
  <w:num w:numId="26">
    <w:abstractNumId w:val="17"/>
  </w:num>
  <w:num w:numId="27">
    <w:abstractNumId w:val="19"/>
  </w:num>
  <w:num w:numId="28">
    <w:abstractNumId w:val="16"/>
  </w:num>
  <w:num w:numId="29">
    <w:abstractNumId w:val="24"/>
  </w:num>
  <w:num w:numId="30">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27"/>
  </w:num>
  <w:num w:numId="33">
    <w:abstractNumId w:val="25"/>
    <w:lvlOverride w:ilvl="0">
      <w:startOverride w:val="8"/>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9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09BE"/>
    <w:rsid w:val="00000BE8"/>
    <w:rsid w:val="00002CCA"/>
    <w:rsid w:val="00005384"/>
    <w:rsid w:val="00005B83"/>
    <w:rsid w:val="0000626B"/>
    <w:rsid w:val="00006A1D"/>
    <w:rsid w:val="00010332"/>
    <w:rsid w:val="00011120"/>
    <w:rsid w:val="00011E39"/>
    <w:rsid w:val="00012349"/>
    <w:rsid w:val="00012F5B"/>
    <w:rsid w:val="000145E5"/>
    <w:rsid w:val="00014D82"/>
    <w:rsid w:val="00016668"/>
    <w:rsid w:val="00020705"/>
    <w:rsid w:val="00020D80"/>
    <w:rsid w:val="00024189"/>
    <w:rsid w:val="0003074A"/>
    <w:rsid w:val="00030C4D"/>
    <w:rsid w:val="00031AE7"/>
    <w:rsid w:val="00032308"/>
    <w:rsid w:val="0003232A"/>
    <w:rsid w:val="000327FC"/>
    <w:rsid w:val="000336BB"/>
    <w:rsid w:val="0003525D"/>
    <w:rsid w:val="00035B85"/>
    <w:rsid w:val="0003606D"/>
    <w:rsid w:val="000364F4"/>
    <w:rsid w:val="0003782A"/>
    <w:rsid w:val="00040E9D"/>
    <w:rsid w:val="00042D00"/>
    <w:rsid w:val="00043185"/>
    <w:rsid w:val="00043595"/>
    <w:rsid w:val="00044C16"/>
    <w:rsid w:val="00045503"/>
    <w:rsid w:val="00045E3B"/>
    <w:rsid w:val="00046A32"/>
    <w:rsid w:val="00050FAB"/>
    <w:rsid w:val="000518D2"/>
    <w:rsid w:val="000526B3"/>
    <w:rsid w:val="0005595A"/>
    <w:rsid w:val="00055AD9"/>
    <w:rsid w:val="00056CE6"/>
    <w:rsid w:val="000579B1"/>
    <w:rsid w:val="000614EB"/>
    <w:rsid w:val="0006163F"/>
    <w:rsid w:val="00063841"/>
    <w:rsid w:val="00064CA5"/>
    <w:rsid w:val="00065553"/>
    <w:rsid w:val="00067E31"/>
    <w:rsid w:val="00070154"/>
    <w:rsid w:val="0007063A"/>
    <w:rsid w:val="0007081B"/>
    <w:rsid w:val="00070F5A"/>
    <w:rsid w:val="00072D2F"/>
    <w:rsid w:val="00073498"/>
    <w:rsid w:val="000734D9"/>
    <w:rsid w:val="00074000"/>
    <w:rsid w:val="00074319"/>
    <w:rsid w:val="00074F76"/>
    <w:rsid w:val="0007670F"/>
    <w:rsid w:val="00076F02"/>
    <w:rsid w:val="000770EA"/>
    <w:rsid w:val="0008001C"/>
    <w:rsid w:val="0008078C"/>
    <w:rsid w:val="000832AD"/>
    <w:rsid w:val="0008391E"/>
    <w:rsid w:val="00083D5F"/>
    <w:rsid w:val="00085095"/>
    <w:rsid w:val="00085419"/>
    <w:rsid w:val="000867EA"/>
    <w:rsid w:val="00087CD5"/>
    <w:rsid w:val="0009352E"/>
    <w:rsid w:val="000943C9"/>
    <w:rsid w:val="000951A0"/>
    <w:rsid w:val="00096171"/>
    <w:rsid w:val="00097EF4"/>
    <w:rsid w:val="000A0871"/>
    <w:rsid w:val="000A1DB8"/>
    <w:rsid w:val="000A2B6D"/>
    <w:rsid w:val="000A2FC8"/>
    <w:rsid w:val="000A435E"/>
    <w:rsid w:val="000A48AC"/>
    <w:rsid w:val="000A5295"/>
    <w:rsid w:val="000A62B4"/>
    <w:rsid w:val="000A71DB"/>
    <w:rsid w:val="000A7451"/>
    <w:rsid w:val="000A74FF"/>
    <w:rsid w:val="000A7CF7"/>
    <w:rsid w:val="000B0A5D"/>
    <w:rsid w:val="000B1BF1"/>
    <w:rsid w:val="000B203E"/>
    <w:rsid w:val="000B2357"/>
    <w:rsid w:val="000B24E8"/>
    <w:rsid w:val="000B25A3"/>
    <w:rsid w:val="000B289B"/>
    <w:rsid w:val="000B3D99"/>
    <w:rsid w:val="000B47A3"/>
    <w:rsid w:val="000B6BF4"/>
    <w:rsid w:val="000B6FBF"/>
    <w:rsid w:val="000C067E"/>
    <w:rsid w:val="000C1CDA"/>
    <w:rsid w:val="000C1E02"/>
    <w:rsid w:val="000C1FED"/>
    <w:rsid w:val="000C2E3C"/>
    <w:rsid w:val="000C5266"/>
    <w:rsid w:val="000C5DCF"/>
    <w:rsid w:val="000C61EF"/>
    <w:rsid w:val="000D2D9C"/>
    <w:rsid w:val="000D35FD"/>
    <w:rsid w:val="000D3DCA"/>
    <w:rsid w:val="000D775E"/>
    <w:rsid w:val="000E0943"/>
    <w:rsid w:val="000E0CD3"/>
    <w:rsid w:val="000E1034"/>
    <w:rsid w:val="000E130A"/>
    <w:rsid w:val="000E2A5F"/>
    <w:rsid w:val="000E36FF"/>
    <w:rsid w:val="000E39AB"/>
    <w:rsid w:val="000E3C79"/>
    <w:rsid w:val="000E5242"/>
    <w:rsid w:val="000E6B58"/>
    <w:rsid w:val="000E7E80"/>
    <w:rsid w:val="000F0525"/>
    <w:rsid w:val="000F08F5"/>
    <w:rsid w:val="000F0EA6"/>
    <w:rsid w:val="000F1B79"/>
    <w:rsid w:val="000F2228"/>
    <w:rsid w:val="000F2F7D"/>
    <w:rsid w:val="000F361D"/>
    <w:rsid w:val="000F3CD3"/>
    <w:rsid w:val="000F4620"/>
    <w:rsid w:val="000F4CBD"/>
    <w:rsid w:val="000F5233"/>
    <w:rsid w:val="000F7D76"/>
    <w:rsid w:val="00100010"/>
    <w:rsid w:val="001003E9"/>
    <w:rsid w:val="001009CA"/>
    <w:rsid w:val="00100B81"/>
    <w:rsid w:val="0010322B"/>
    <w:rsid w:val="001069A8"/>
    <w:rsid w:val="00110618"/>
    <w:rsid w:val="00110966"/>
    <w:rsid w:val="00110A4B"/>
    <w:rsid w:val="00111928"/>
    <w:rsid w:val="00114309"/>
    <w:rsid w:val="00114C06"/>
    <w:rsid w:val="0011543E"/>
    <w:rsid w:val="0011620E"/>
    <w:rsid w:val="001179FA"/>
    <w:rsid w:val="001206D1"/>
    <w:rsid w:val="00120F2E"/>
    <w:rsid w:val="001217D0"/>
    <w:rsid w:val="00121DC9"/>
    <w:rsid w:val="00122B25"/>
    <w:rsid w:val="00127AE8"/>
    <w:rsid w:val="00131BA9"/>
    <w:rsid w:val="00132155"/>
    <w:rsid w:val="00133D1E"/>
    <w:rsid w:val="00134774"/>
    <w:rsid w:val="00134C44"/>
    <w:rsid w:val="00135845"/>
    <w:rsid w:val="001375AC"/>
    <w:rsid w:val="001377F1"/>
    <w:rsid w:val="00140274"/>
    <w:rsid w:val="0014121C"/>
    <w:rsid w:val="00141A7B"/>
    <w:rsid w:val="001436BF"/>
    <w:rsid w:val="00143945"/>
    <w:rsid w:val="00143C02"/>
    <w:rsid w:val="00144433"/>
    <w:rsid w:val="00144B92"/>
    <w:rsid w:val="00145499"/>
    <w:rsid w:val="0014563A"/>
    <w:rsid w:val="00145DAA"/>
    <w:rsid w:val="00146E8C"/>
    <w:rsid w:val="0014758A"/>
    <w:rsid w:val="00151263"/>
    <w:rsid w:val="00151FCE"/>
    <w:rsid w:val="001521C5"/>
    <w:rsid w:val="00152BF8"/>
    <w:rsid w:val="0015380B"/>
    <w:rsid w:val="00155047"/>
    <w:rsid w:val="001551FF"/>
    <w:rsid w:val="00155ADF"/>
    <w:rsid w:val="00155F2E"/>
    <w:rsid w:val="00156905"/>
    <w:rsid w:val="0015761F"/>
    <w:rsid w:val="001576BD"/>
    <w:rsid w:val="00157BDF"/>
    <w:rsid w:val="00160D1B"/>
    <w:rsid w:val="00160D3F"/>
    <w:rsid w:val="00161104"/>
    <w:rsid w:val="00161D28"/>
    <w:rsid w:val="00162238"/>
    <w:rsid w:val="001623F3"/>
    <w:rsid w:val="00162A8D"/>
    <w:rsid w:val="00163342"/>
    <w:rsid w:val="0016369A"/>
    <w:rsid w:val="001639D4"/>
    <w:rsid w:val="0016482F"/>
    <w:rsid w:val="00164BCF"/>
    <w:rsid w:val="00164DF6"/>
    <w:rsid w:val="0016553C"/>
    <w:rsid w:val="00165E3C"/>
    <w:rsid w:val="00166AC8"/>
    <w:rsid w:val="0016778A"/>
    <w:rsid w:val="0017037B"/>
    <w:rsid w:val="001713C6"/>
    <w:rsid w:val="00172B02"/>
    <w:rsid w:val="00173FB5"/>
    <w:rsid w:val="001748EC"/>
    <w:rsid w:val="00175657"/>
    <w:rsid w:val="001757EB"/>
    <w:rsid w:val="00175FBA"/>
    <w:rsid w:val="00176B29"/>
    <w:rsid w:val="00180394"/>
    <w:rsid w:val="0018284F"/>
    <w:rsid w:val="0018343F"/>
    <w:rsid w:val="00183A8D"/>
    <w:rsid w:val="00184650"/>
    <w:rsid w:val="00184F58"/>
    <w:rsid w:val="001857C8"/>
    <w:rsid w:val="001904A4"/>
    <w:rsid w:val="001910F9"/>
    <w:rsid w:val="0019148F"/>
    <w:rsid w:val="001920D2"/>
    <w:rsid w:val="0019242F"/>
    <w:rsid w:val="00192AC9"/>
    <w:rsid w:val="001931A2"/>
    <w:rsid w:val="0019394F"/>
    <w:rsid w:val="00193EB2"/>
    <w:rsid w:val="00195DCF"/>
    <w:rsid w:val="0019602A"/>
    <w:rsid w:val="00196D80"/>
    <w:rsid w:val="00197698"/>
    <w:rsid w:val="001A1A28"/>
    <w:rsid w:val="001A20D6"/>
    <w:rsid w:val="001A2288"/>
    <w:rsid w:val="001A2738"/>
    <w:rsid w:val="001A2A70"/>
    <w:rsid w:val="001A2B0C"/>
    <w:rsid w:val="001A3698"/>
    <w:rsid w:val="001A3D37"/>
    <w:rsid w:val="001A4FE2"/>
    <w:rsid w:val="001A5022"/>
    <w:rsid w:val="001A5267"/>
    <w:rsid w:val="001A5693"/>
    <w:rsid w:val="001A58F7"/>
    <w:rsid w:val="001A5EAF"/>
    <w:rsid w:val="001A73D4"/>
    <w:rsid w:val="001B0353"/>
    <w:rsid w:val="001B11F1"/>
    <w:rsid w:val="001B1C16"/>
    <w:rsid w:val="001B1E43"/>
    <w:rsid w:val="001B3028"/>
    <w:rsid w:val="001B3E70"/>
    <w:rsid w:val="001B4351"/>
    <w:rsid w:val="001B4891"/>
    <w:rsid w:val="001B552B"/>
    <w:rsid w:val="001B6415"/>
    <w:rsid w:val="001B6F71"/>
    <w:rsid w:val="001B7C6A"/>
    <w:rsid w:val="001C1F8B"/>
    <w:rsid w:val="001C39EE"/>
    <w:rsid w:val="001C46CE"/>
    <w:rsid w:val="001C549F"/>
    <w:rsid w:val="001C64AD"/>
    <w:rsid w:val="001C70B6"/>
    <w:rsid w:val="001C7D2E"/>
    <w:rsid w:val="001D041E"/>
    <w:rsid w:val="001D0F15"/>
    <w:rsid w:val="001D7436"/>
    <w:rsid w:val="001D78AE"/>
    <w:rsid w:val="001D7A8F"/>
    <w:rsid w:val="001E4990"/>
    <w:rsid w:val="001E501F"/>
    <w:rsid w:val="001E59A4"/>
    <w:rsid w:val="001E7638"/>
    <w:rsid w:val="001E7941"/>
    <w:rsid w:val="001F0671"/>
    <w:rsid w:val="001F2BBB"/>
    <w:rsid w:val="001F3AF6"/>
    <w:rsid w:val="001F3AF7"/>
    <w:rsid w:val="001F5A58"/>
    <w:rsid w:val="001F65ED"/>
    <w:rsid w:val="001F6736"/>
    <w:rsid w:val="001F676B"/>
    <w:rsid w:val="001F736D"/>
    <w:rsid w:val="001F744D"/>
    <w:rsid w:val="001F75D8"/>
    <w:rsid w:val="00200677"/>
    <w:rsid w:val="002012EA"/>
    <w:rsid w:val="00201890"/>
    <w:rsid w:val="002018D3"/>
    <w:rsid w:val="00202712"/>
    <w:rsid w:val="00203385"/>
    <w:rsid w:val="00204182"/>
    <w:rsid w:val="002052E0"/>
    <w:rsid w:val="00205BEE"/>
    <w:rsid w:val="00205D3B"/>
    <w:rsid w:val="002071F1"/>
    <w:rsid w:val="00211144"/>
    <w:rsid w:val="002121CE"/>
    <w:rsid w:val="00212990"/>
    <w:rsid w:val="00213097"/>
    <w:rsid w:val="00214B63"/>
    <w:rsid w:val="00215294"/>
    <w:rsid w:val="00216178"/>
    <w:rsid w:val="00216551"/>
    <w:rsid w:val="00217453"/>
    <w:rsid w:val="00217F74"/>
    <w:rsid w:val="0022162E"/>
    <w:rsid w:val="002229C3"/>
    <w:rsid w:val="00224AA3"/>
    <w:rsid w:val="0022639B"/>
    <w:rsid w:val="00226419"/>
    <w:rsid w:val="00230224"/>
    <w:rsid w:val="002308A6"/>
    <w:rsid w:val="00230BBB"/>
    <w:rsid w:val="002310D7"/>
    <w:rsid w:val="00231ED1"/>
    <w:rsid w:val="00232417"/>
    <w:rsid w:val="0023391E"/>
    <w:rsid w:val="002353C2"/>
    <w:rsid w:val="00235BF1"/>
    <w:rsid w:val="00235D6B"/>
    <w:rsid w:val="002366DC"/>
    <w:rsid w:val="00237B58"/>
    <w:rsid w:val="00237BF1"/>
    <w:rsid w:val="00241C46"/>
    <w:rsid w:val="00242292"/>
    <w:rsid w:val="00242624"/>
    <w:rsid w:val="00242D3E"/>
    <w:rsid w:val="0024357B"/>
    <w:rsid w:val="002435A3"/>
    <w:rsid w:val="00244C8D"/>
    <w:rsid w:val="0024557E"/>
    <w:rsid w:val="0024684C"/>
    <w:rsid w:val="00247F7C"/>
    <w:rsid w:val="0025153C"/>
    <w:rsid w:val="00251FEF"/>
    <w:rsid w:val="00253196"/>
    <w:rsid w:val="00254A6C"/>
    <w:rsid w:val="00256BB0"/>
    <w:rsid w:val="00256F41"/>
    <w:rsid w:val="00262A0B"/>
    <w:rsid w:val="00262B84"/>
    <w:rsid w:val="00262CFE"/>
    <w:rsid w:val="0026313C"/>
    <w:rsid w:val="0026384F"/>
    <w:rsid w:val="00263F82"/>
    <w:rsid w:val="002641D4"/>
    <w:rsid w:val="00265014"/>
    <w:rsid w:val="00265458"/>
    <w:rsid w:val="00265650"/>
    <w:rsid w:val="00265D5B"/>
    <w:rsid w:val="00266332"/>
    <w:rsid w:val="0026730A"/>
    <w:rsid w:val="00270506"/>
    <w:rsid w:val="00272877"/>
    <w:rsid w:val="00274535"/>
    <w:rsid w:val="00274CFC"/>
    <w:rsid w:val="00276EA1"/>
    <w:rsid w:val="0027762A"/>
    <w:rsid w:val="00277D70"/>
    <w:rsid w:val="00280149"/>
    <w:rsid w:val="00280CB0"/>
    <w:rsid w:val="00280FDB"/>
    <w:rsid w:val="0028111A"/>
    <w:rsid w:val="00282678"/>
    <w:rsid w:val="00283F48"/>
    <w:rsid w:val="00284B95"/>
    <w:rsid w:val="00284CFA"/>
    <w:rsid w:val="00285576"/>
    <w:rsid w:val="002863D7"/>
    <w:rsid w:val="00287104"/>
    <w:rsid w:val="00287BA1"/>
    <w:rsid w:val="00290248"/>
    <w:rsid w:val="00291395"/>
    <w:rsid w:val="00292073"/>
    <w:rsid w:val="002942BF"/>
    <w:rsid w:val="002966FA"/>
    <w:rsid w:val="002A0E83"/>
    <w:rsid w:val="002A2BCD"/>
    <w:rsid w:val="002A2FC3"/>
    <w:rsid w:val="002A3827"/>
    <w:rsid w:val="002A5B6B"/>
    <w:rsid w:val="002A77EE"/>
    <w:rsid w:val="002A7FAB"/>
    <w:rsid w:val="002B054D"/>
    <w:rsid w:val="002B1B65"/>
    <w:rsid w:val="002B2829"/>
    <w:rsid w:val="002B4111"/>
    <w:rsid w:val="002B476E"/>
    <w:rsid w:val="002B6143"/>
    <w:rsid w:val="002C0A0F"/>
    <w:rsid w:val="002C1866"/>
    <w:rsid w:val="002C4AC8"/>
    <w:rsid w:val="002C4DF6"/>
    <w:rsid w:val="002C5FFC"/>
    <w:rsid w:val="002D1A00"/>
    <w:rsid w:val="002D6BD6"/>
    <w:rsid w:val="002D6CB1"/>
    <w:rsid w:val="002D73ED"/>
    <w:rsid w:val="002D7589"/>
    <w:rsid w:val="002D7DE8"/>
    <w:rsid w:val="002E120B"/>
    <w:rsid w:val="002E153D"/>
    <w:rsid w:val="002E265B"/>
    <w:rsid w:val="002E3848"/>
    <w:rsid w:val="002E467D"/>
    <w:rsid w:val="002E47E3"/>
    <w:rsid w:val="002E7F50"/>
    <w:rsid w:val="002F0F3D"/>
    <w:rsid w:val="002F1A19"/>
    <w:rsid w:val="002F1E74"/>
    <w:rsid w:val="002F2AA7"/>
    <w:rsid w:val="002F4A66"/>
    <w:rsid w:val="002F4CE1"/>
    <w:rsid w:val="002F558A"/>
    <w:rsid w:val="002F64CF"/>
    <w:rsid w:val="002F6F18"/>
    <w:rsid w:val="00300F22"/>
    <w:rsid w:val="003027CF"/>
    <w:rsid w:val="00304856"/>
    <w:rsid w:val="00304A37"/>
    <w:rsid w:val="00304F84"/>
    <w:rsid w:val="00305DFD"/>
    <w:rsid w:val="00305F00"/>
    <w:rsid w:val="00310075"/>
    <w:rsid w:val="0031052D"/>
    <w:rsid w:val="00310ED4"/>
    <w:rsid w:val="00311C68"/>
    <w:rsid w:val="00311E68"/>
    <w:rsid w:val="00312301"/>
    <w:rsid w:val="00312530"/>
    <w:rsid w:val="00313052"/>
    <w:rsid w:val="0031492A"/>
    <w:rsid w:val="00314D2E"/>
    <w:rsid w:val="00314EA9"/>
    <w:rsid w:val="0031618C"/>
    <w:rsid w:val="00316C1A"/>
    <w:rsid w:val="00317274"/>
    <w:rsid w:val="00323C73"/>
    <w:rsid w:val="0032552C"/>
    <w:rsid w:val="00325B57"/>
    <w:rsid w:val="00326BC7"/>
    <w:rsid w:val="003277E2"/>
    <w:rsid w:val="00327C65"/>
    <w:rsid w:val="00327E29"/>
    <w:rsid w:val="00331141"/>
    <w:rsid w:val="00331230"/>
    <w:rsid w:val="00332674"/>
    <w:rsid w:val="00333EA9"/>
    <w:rsid w:val="003360B7"/>
    <w:rsid w:val="00340FA5"/>
    <w:rsid w:val="00341C45"/>
    <w:rsid w:val="00343A2F"/>
    <w:rsid w:val="00343FCD"/>
    <w:rsid w:val="00344758"/>
    <w:rsid w:val="003452AA"/>
    <w:rsid w:val="00346EF9"/>
    <w:rsid w:val="00347142"/>
    <w:rsid w:val="00350ECE"/>
    <w:rsid w:val="003513FB"/>
    <w:rsid w:val="00352021"/>
    <w:rsid w:val="0035287F"/>
    <w:rsid w:val="0035356E"/>
    <w:rsid w:val="0035465D"/>
    <w:rsid w:val="003556B5"/>
    <w:rsid w:val="00355EE7"/>
    <w:rsid w:val="00355F44"/>
    <w:rsid w:val="003565A8"/>
    <w:rsid w:val="003566EA"/>
    <w:rsid w:val="00356E8F"/>
    <w:rsid w:val="00357285"/>
    <w:rsid w:val="003614F3"/>
    <w:rsid w:val="003642F6"/>
    <w:rsid w:val="00364ADE"/>
    <w:rsid w:val="00364AEC"/>
    <w:rsid w:val="00365AA4"/>
    <w:rsid w:val="00365E7E"/>
    <w:rsid w:val="00367F5D"/>
    <w:rsid w:val="003703D3"/>
    <w:rsid w:val="0037212F"/>
    <w:rsid w:val="00372474"/>
    <w:rsid w:val="00372C79"/>
    <w:rsid w:val="00373179"/>
    <w:rsid w:val="00373509"/>
    <w:rsid w:val="00373565"/>
    <w:rsid w:val="00377446"/>
    <w:rsid w:val="00381163"/>
    <w:rsid w:val="00382744"/>
    <w:rsid w:val="00382B98"/>
    <w:rsid w:val="0038304B"/>
    <w:rsid w:val="0038395D"/>
    <w:rsid w:val="00383C80"/>
    <w:rsid w:val="00384076"/>
    <w:rsid w:val="0038445F"/>
    <w:rsid w:val="00386627"/>
    <w:rsid w:val="00386EAA"/>
    <w:rsid w:val="00390FE9"/>
    <w:rsid w:val="00391893"/>
    <w:rsid w:val="00391DCC"/>
    <w:rsid w:val="00392276"/>
    <w:rsid w:val="003951B8"/>
    <w:rsid w:val="00395744"/>
    <w:rsid w:val="00397133"/>
    <w:rsid w:val="00397CBA"/>
    <w:rsid w:val="00397E39"/>
    <w:rsid w:val="003A1BC9"/>
    <w:rsid w:val="003A5876"/>
    <w:rsid w:val="003A5DC8"/>
    <w:rsid w:val="003A7360"/>
    <w:rsid w:val="003A7EA2"/>
    <w:rsid w:val="003B0CE3"/>
    <w:rsid w:val="003B12A9"/>
    <w:rsid w:val="003B2573"/>
    <w:rsid w:val="003B4447"/>
    <w:rsid w:val="003B4801"/>
    <w:rsid w:val="003B5410"/>
    <w:rsid w:val="003B65C8"/>
    <w:rsid w:val="003B6ACB"/>
    <w:rsid w:val="003C0F9E"/>
    <w:rsid w:val="003C1A47"/>
    <w:rsid w:val="003C3C8C"/>
    <w:rsid w:val="003C3FD5"/>
    <w:rsid w:val="003C4213"/>
    <w:rsid w:val="003C43E7"/>
    <w:rsid w:val="003D0741"/>
    <w:rsid w:val="003D159A"/>
    <w:rsid w:val="003D1610"/>
    <w:rsid w:val="003D1B55"/>
    <w:rsid w:val="003D349B"/>
    <w:rsid w:val="003D4AEF"/>
    <w:rsid w:val="003D4B19"/>
    <w:rsid w:val="003D4C3C"/>
    <w:rsid w:val="003D582E"/>
    <w:rsid w:val="003E0919"/>
    <w:rsid w:val="003E1349"/>
    <w:rsid w:val="003E1D04"/>
    <w:rsid w:val="003E3E77"/>
    <w:rsid w:val="003E5AB7"/>
    <w:rsid w:val="003E66BA"/>
    <w:rsid w:val="003E7CDA"/>
    <w:rsid w:val="003F03C1"/>
    <w:rsid w:val="003F06CE"/>
    <w:rsid w:val="003F1031"/>
    <w:rsid w:val="003F25E6"/>
    <w:rsid w:val="003F2CAC"/>
    <w:rsid w:val="003F34CF"/>
    <w:rsid w:val="003F454F"/>
    <w:rsid w:val="003F4B42"/>
    <w:rsid w:val="003F4DC7"/>
    <w:rsid w:val="003F4E1B"/>
    <w:rsid w:val="003F50B1"/>
    <w:rsid w:val="003F7E4C"/>
    <w:rsid w:val="0040191A"/>
    <w:rsid w:val="00404502"/>
    <w:rsid w:val="00405960"/>
    <w:rsid w:val="0040685C"/>
    <w:rsid w:val="00410D1D"/>
    <w:rsid w:val="0041112A"/>
    <w:rsid w:val="004115E1"/>
    <w:rsid w:val="00411CD1"/>
    <w:rsid w:val="00414DC3"/>
    <w:rsid w:val="00415A39"/>
    <w:rsid w:val="00420E59"/>
    <w:rsid w:val="00422417"/>
    <w:rsid w:val="00422BE9"/>
    <w:rsid w:val="00424233"/>
    <w:rsid w:val="00424E12"/>
    <w:rsid w:val="00427635"/>
    <w:rsid w:val="0043042B"/>
    <w:rsid w:val="00430E53"/>
    <w:rsid w:val="00432020"/>
    <w:rsid w:val="00432084"/>
    <w:rsid w:val="00432873"/>
    <w:rsid w:val="004330EE"/>
    <w:rsid w:val="00434758"/>
    <w:rsid w:val="00435EDA"/>
    <w:rsid w:val="004366A6"/>
    <w:rsid w:val="00436797"/>
    <w:rsid w:val="00437B7D"/>
    <w:rsid w:val="00440E35"/>
    <w:rsid w:val="0044207C"/>
    <w:rsid w:val="00445181"/>
    <w:rsid w:val="0044614E"/>
    <w:rsid w:val="004464E4"/>
    <w:rsid w:val="00446928"/>
    <w:rsid w:val="00446C9A"/>
    <w:rsid w:val="00450A9D"/>
    <w:rsid w:val="00450CCC"/>
    <w:rsid w:val="00450D8A"/>
    <w:rsid w:val="00451017"/>
    <w:rsid w:val="0045269E"/>
    <w:rsid w:val="00453C17"/>
    <w:rsid w:val="00454A46"/>
    <w:rsid w:val="00455169"/>
    <w:rsid w:val="00456C18"/>
    <w:rsid w:val="00456CDF"/>
    <w:rsid w:val="00456CF3"/>
    <w:rsid w:val="00457794"/>
    <w:rsid w:val="00457E45"/>
    <w:rsid w:val="004610B7"/>
    <w:rsid w:val="0046120B"/>
    <w:rsid w:val="00462831"/>
    <w:rsid w:val="00462B64"/>
    <w:rsid w:val="004637FC"/>
    <w:rsid w:val="00463DE5"/>
    <w:rsid w:val="00463F47"/>
    <w:rsid w:val="004666FA"/>
    <w:rsid w:val="00466AAD"/>
    <w:rsid w:val="00466ED6"/>
    <w:rsid w:val="004671B3"/>
    <w:rsid w:val="004673AD"/>
    <w:rsid w:val="00471E68"/>
    <w:rsid w:val="00472B78"/>
    <w:rsid w:val="00472EFF"/>
    <w:rsid w:val="00474063"/>
    <w:rsid w:val="00475204"/>
    <w:rsid w:val="00475AAD"/>
    <w:rsid w:val="00475D6D"/>
    <w:rsid w:val="00476697"/>
    <w:rsid w:val="00476793"/>
    <w:rsid w:val="004768B0"/>
    <w:rsid w:val="0047717D"/>
    <w:rsid w:val="00477460"/>
    <w:rsid w:val="00477B04"/>
    <w:rsid w:val="00477F54"/>
    <w:rsid w:val="004846A1"/>
    <w:rsid w:val="004848EF"/>
    <w:rsid w:val="0048516D"/>
    <w:rsid w:val="00486611"/>
    <w:rsid w:val="00486B79"/>
    <w:rsid w:val="00494B72"/>
    <w:rsid w:val="004A1393"/>
    <w:rsid w:val="004A1487"/>
    <w:rsid w:val="004A1843"/>
    <w:rsid w:val="004A187B"/>
    <w:rsid w:val="004A2D3C"/>
    <w:rsid w:val="004A3A9B"/>
    <w:rsid w:val="004A5CC3"/>
    <w:rsid w:val="004A6CE4"/>
    <w:rsid w:val="004A726B"/>
    <w:rsid w:val="004B244E"/>
    <w:rsid w:val="004B3B26"/>
    <w:rsid w:val="004B5A42"/>
    <w:rsid w:val="004B6B0D"/>
    <w:rsid w:val="004B7E73"/>
    <w:rsid w:val="004C00C8"/>
    <w:rsid w:val="004C1623"/>
    <w:rsid w:val="004C1DEA"/>
    <w:rsid w:val="004C2DBE"/>
    <w:rsid w:val="004C439C"/>
    <w:rsid w:val="004C460F"/>
    <w:rsid w:val="004C473C"/>
    <w:rsid w:val="004C7412"/>
    <w:rsid w:val="004C7B19"/>
    <w:rsid w:val="004D04BF"/>
    <w:rsid w:val="004D0524"/>
    <w:rsid w:val="004D2BDE"/>
    <w:rsid w:val="004D3F0D"/>
    <w:rsid w:val="004D49F3"/>
    <w:rsid w:val="004D51FE"/>
    <w:rsid w:val="004D5543"/>
    <w:rsid w:val="004D56FB"/>
    <w:rsid w:val="004D5D02"/>
    <w:rsid w:val="004D6E55"/>
    <w:rsid w:val="004D72B2"/>
    <w:rsid w:val="004D782B"/>
    <w:rsid w:val="004E0DFF"/>
    <w:rsid w:val="004E24E9"/>
    <w:rsid w:val="004E2FD7"/>
    <w:rsid w:val="004E3264"/>
    <w:rsid w:val="004E369C"/>
    <w:rsid w:val="004E3E60"/>
    <w:rsid w:val="004E4692"/>
    <w:rsid w:val="004E5CBF"/>
    <w:rsid w:val="004E5D15"/>
    <w:rsid w:val="004E5E9B"/>
    <w:rsid w:val="004E644F"/>
    <w:rsid w:val="004E68D4"/>
    <w:rsid w:val="004E76CC"/>
    <w:rsid w:val="004F01A8"/>
    <w:rsid w:val="004F1C7C"/>
    <w:rsid w:val="004F26B4"/>
    <w:rsid w:val="004F4016"/>
    <w:rsid w:val="004F4BF6"/>
    <w:rsid w:val="004F5EAA"/>
    <w:rsid w:val="004F6701"/>
    <w:rsid w:val="004F6926"/>
    <w:rsid w:val="004F6E9A"/>
    <w:rsid w:val="004F760F"/>
    <w:rsid w:val="00501042"/>
    <w:rsid w:val="0050193B"/>
    <w:rsid w:val="00501C50"/>
    <w:rsid w:val="0050315E"/>
    <w:rsid w:val="0050729C"/>
    <w:rsid w:val="005103DB"/>
    <w:rsid w:val="00511A83"/>
    <w:rsid w:val="00511DEF"/>
    <w:rsid w:val="005123F0"/>
    <w:rsid w:val="00512431"/>
    <w:rsid w:val="00512D4E"/>
    <w:rsid w:val="00513540"/>
    <w:rsid w:val="00513941"/>
    <w:rsid w:val="005148CD"/>
    <w:rsid w:val="00514D76"/>
    <w:rsid w:val="00516317"/>
    <w:rsid w:val="005168EE"/>
    <w:rsid w:val="00517674"/>
    <w:rsid w:val="00521DF7"/>
    <w:rsid w:val="005227BC"/>
    <w:rsid w:val="0052372E"/>
    <w:rsid w:val="00523A84"/>
    <w:rsid w:val="00525B3C"/>
    <w:rsid w:val="00527235"/>
    <w:rsid w:val="0053051D"/>
    <w:rsid w:val="00530AC1"/>
    <w:rsid w:val="00532A4B"/>
    <w:rsid w:val="00537142"/>
    <w:rsid w:val="005374DC"/>
    <w:rsid w:val="005377D2"/>
    <w:rsid w:val="00540CD1"/>
    <w:rsid w:val="00541433"/>
    <w:rsid w:val="00541FB2"/>
    <w:rsid w:val="005428B8"/>
    <w:rsid w:val="00542D88"/>
    <w:rsid w:val="00542F60"/>
    <w:rsid w:val="00542FD6"/>
    <w:rsid w:val="005437F8"/>
    <w:rsid w:val="00543D10"/>
    <w:rsid w:val="00543F8C"/>
    <w:rsid w:val="00544EBE"/>
    <w:rsid w:val="00550AFB"/>
    <w:rsid w:val="00553099"/>
    <w:rsid w:val="0055327A"/>
    <w:rsid w:val="00553C64"/>
    <w:rsid w:val="00554536"/>
    <w:rsid w:val="0055455D"/>
    <w:rsid w:val="005564E3"/>
    <w:rsid w:val="00556CA3"/>
    <w:rsid w:val="0055725E"/>
    <w:rsid w:val="0056086B"/>
    <w:rsid w:val="00560BBB"/>
    <w:rsid w:val="005618FE"/>
    <w:rsid w:val="00562F6C"/>
    <w:rsid w:val="005634E5"/>
    <w:rsid w:val="0056366B"/>
    <w:rsid w:val="00564208"/>
    <w:rsid w:val="00564612"/>
    <w:rsid w:val="005649A7"/>
    <w:rsid w:val="005673AB"/>
    <w:rsid w:val="00567612"/>
    <w:rsid w:val="005678FC"/>
    <w:rsid w:val="00567CCA"/>
    <w:rsid w:val="00571719"/>
    <w:rsid w:val="0057175D"/>
    <w:rsid w:val="00571CEB"/>
    <w:rsid w:val="0057468C"/>
    <w:rsid w:val="00574DBA"/>
    <w:rsid w:val="00580C2F"/>
    <w:rsid w:val="00580CA1"/>
    <w:rsid w:val="00580CB6"/>
    <w:rsid w:val="005816A6"/>
    <w:rsid w:val="00581928"/>
    <w:rsid w:val="00581E69"/>
    <w:rsid w:val="0058280B"/>
    <w:rsid w:val="005835D2"/>
    <w:rsid w:val="005836AC"/>
    <w:rsid w:val="00584E8B"/>
    <w:rsid w:val="00591951"/>
    <w:rsid w:val="0059266C"/>
    <w:rsid w:val="005945DF"/>
    <w:rsid w:val="005952D0"/>
    <w:rsid w:val="005955ED"/>
    <w:rsid w:val="00595B1F"/>
    <w:rsid w:val="00597459"/>
    <w:rsid w:val="0059758D"/>
    <w:rsid w:val="00597790"/>
    <w:rsid w:val="005977FB"/>
    <w:rsid w:val="00597F61"/>
    <w:rsid w:val="005A0296"/>
    <w:rsid w:val="005A0733"/>
    <w:rsid w:val="005A0EA4"/>
    <w:rsid w:val="005A17DC"/>
    <w:rsid w:val="005A28DC"/>
    <w:rsid w:val="005A4057"/>
    <w:rsid w:val="005A4989"/>
    <w:rsid w:val="005A5E8F"/>
    <w:rsid w:val="005A6151"/>
    <w:rsid w:val="005A677F"/>
    <w:rsid w:val="005A6F94"/>
    <w:rsid w:val="005B28A4"/>
    <w:rsid w:val="005B2B09"/>
    <w:rsid w:val="005B3369"/>
    <w:rsid w:val="005B376C"/>
    <w:rsid w:val="005B3848"/>
    <w:rsid w:val="005B3E28"/>
    <w:rsid w:val="005B3EEA"/>
    <w:rsid w:val="005B56CE"/>
    <w:rsid w:val="005B609E"/>
    <w:rsid w:val="005C0B2E"/>
    <w:rsid w:val="005C1472"/>
    <w:rsid w:val="005C1995"/>
    <w:rsid w:val="005C2179"/>
    <w:rsid w:val="005C2408"/>
    <w:rsid w:val="005C3B95"/>
    <w:rsid w:val="005C5D41"/>
    <w:rsid w:val="005C6277"/>
    <w:rsid w:val="005C67AD"/>
    <w:rsid w:val="005C770A"/>
    <w:rsid w:val="005D0B32"/>
    <w:rsid w:val="005D0E44"/>
    <w:rsid w:val="005D0E6C"/>
    <w:rsid w:val="005D14CC"/>
    <w:rsid w:val="005D1E62"/>
    <w:rsid w:val="005D1F34"/>
    <w:rsid w:val="005D383D"/>
    <w:rsid w:val="005D44F6"/>
    <w:rsid w:val="005D4710"/>
    <w:rsid w:val="005D69B7"/>
    <w:rsid w:val="005D70C6"/>
    <w:rsid w:val="005D78F7"/>
    <w:rsid w:val="005E0BA2"/>
    <w:rsid w:val="005E1842"/>
    <w:rsid w:val="005E1ED9"/>
    <w:rsid w:val="005E2A01"/>
    <w:rsid w:val="005E4548"/>
    <w:rsid w:val="005E5B45"/>
    <w:rsid w:val="005E5B63"/>
    <w:rsid w:val="005F0BBD"/>
    <w:rsid w:val="005F12DF"/>
    <w:rsid w:val="005F1537"/>
    <w:rsid w:val="005F2202"/>
    <w:rsid w:val="005F7B4E"/>
    <w:rsid w:val="00600149"/>
    <w:rsid w:val="0060143E"/>
    <w:rsid w:val="006015B8"/>
    <w:rsid w:val="00601786"/>
    <w:rsid w:val="006028D5"/>
    <w:rsid w:val="00602AE3"/>
    <w:rsid w:val="00603F95"/>
    <w:rsid w:val="0060581D"/>
    <w:rsid w:val="00605EF1"/>
    <w:rsid w:val="00605F66"/>
    <w:rsid w:val="006063BE"/>
    <w:rsid w:val="00606D7F"/>
    <w:rsid w:val="00606FF8"/>
    <w:rsid w:val="006075C2"/>
    <w:rsid w:val="00611AA6"/>
    <w:rsid w:val="00612B93"/>
    <w:rsid w:val="00612C39"/>
    <w:rsid w:val="00612EA5"/>
    <w:rsid w:val="00612F98"/>
    <w:rsid w:val="00613633"/>
    <w:rsid w:val="00614E68"/>
    <w:rsid w:val="00617833"/>
    <w:rsid w:val="00617F83"/>
    <w:rsid w:val="00620CF5"/>
    <w:rsid w:val="00621618"/>
    <w:rsid w:val="00621792"/>
    <w:rsid w:val="00622E62"/>
    <w:rsid w:val="00626367"/>
    <w:rsid w:val="0062736C"/>
    <w:rsid w:val="00627E5B"/>
    <w:rsid w:val="00627EBB"/>
    <w:rsid w:val="00630652"/>
    <w:rsid w:val="00630FCC"/>
    <w:rsid w:val="00631D40"/>
    <w:rsid w:val="00632166"/>
    <w:rsid w:val="00632AAF"/>
    <w:rsid w:val="006338E2"/>
    <w:rsid w:val="00635212"/>
    <w:rsid w:val="006428F0"/>
    <w:rsid w:val="006438CB"/>
    <w:rsid w:val="00643FD1"/>
    <w:rsid w:val="00651C62"/>
    <w:rsid w:val="006526C3"/>
    <w:rsid w:val="00654793"/>
    <w:rsid w:val="0065555E"/>
    <w:rsid w:val="00655806"/>
    <w:rsid w:val="006563B8"/>
    <w:rsid w:val="0065694F"/>
    <w:rsid w:val="006575E7"/>
    <w:rsid w:val="00660A0C"/>
    <w:rsid w:val="00661564"/>
    <w:rsid w:val="00663F6D"/>
    <w:rsid w:val="00664106"/>
    <w:rsid w:val="00665B01"/>
    <w:rsid w:val="00666285"/>
    <w:rsid w:val="006679EC"/>
    <w:rsid w:val="00667E10"/>
    <w:rsid w:val="006725E3"/>
    <w:rsid w:val="00672CE7"/>
    <w:rsid w:val="006757E1"/>
    <w:rsid w:val="00677717"/>
    <w:rsid w:val="00684AD2"/>
    <w:rsid w:val="00686171"/>
    <w:rsid w:val="00686200"/>
    <w:rsid w:val="00691A80"/>
    <w:rsid w:val="006934D6"/>
    <w:rsid w:val="0069384C"/>
    <w:rsid w:val="00693B3F"/>
    <w:rsid w:val="00694884"/>
    <w:rsid w:val="00694A62"/>
    <w:rsid w:val="00694EB7"/>
    <w:rsid w:val="006A0CDF"/>
    <w:rsid w:val="006A1257"/>
    <w:rsid w:val="006A28C6"/>
    <w:rsid w:val="006A3250"/>
    <w:rsid w:val="006A33A7"/>
    <w:rsid w:val="006A3A01"/>
    <w:rsid w:val="006A40FD"/>
    <w:rsid w:val="006A67DB"/>
    <w:rsid w:val="006A6BB3"/>
    <w:rsid w:val="006A6FCE"/>
    <w:rsid w:val="006A7C37"/>
    <w:rsid w:val="006B0105"/>
    <w:rsid w:val="006B16B7"/>
    <w:rsid w:val="006B1E14"/>
    <w:rsid w:val="006B2A76"/>
    <w:rsid w:val="006B4308"/>
    <w:rsid w:val="006B4C3B"/>
    <w:rsid w:val="006B7174"/>
    <w:rsid w:val="006B7F2F"/>
    <w:rsid w:val="006C1309"/>
    <w:rsid w:val="006C31B6"/>
    <w:rsid w:val="006C3269"/>
    <w:rsid w:val="006C3350"/>
    <w:rsid w:val="006C352F"/>
    <w:rsid w:val="006C4216"/>
    <w:rsid w:val="006C4CCB"/>
    <w:rsid w:val="006C5ECA"/>
    <w:rsid w:val="006C6940"/>
    <w:rsid w:val="006C6BDA"/>
    <w:rsid w:val="006D0260"/>
    <w:rsid w:val="006D12CC"/>
    <w:rsid w:val="006D1929"/>
    <w:rsid w:val="006D19C4"/>
    <w:rsid w:val="006D2487"/>
    <w:rsid w:val="006D4870"/>
    <w:rsid w:val="006D5672"/>
    <w:rsid w:val="006D5EE5"/>
    <w:rsid w:val="006D65F0"/>
    <w:rsid w:val="006D73A5"/>
    <w:rsid w:val="006D7D76"/>
    <w:rsid w:val="006E10E6"/>
    <w:rsid w:val="006E1660"/>
    <w:rsid w:val="006E1668"/>
    <w:rsid w:val="006E215A"/>
    <w:rsid w:val="006E2284"/>
    <w:rsid w:val="006E22C0"/>
    <w:rsid w:val="006E296F"/>
    <w:rsid w:val="006E32AC"/>
    <w:rsid w:val="006E3BE7"/>
    <w:rsid w:val="006E4E29"/>
    <w:rsid w:val="006E5762"/>
    <w:rsid w:val="006E6936"/>
    <w:rsid w:val="006E6E1E"/>
    <w:rsid w:val="006E7D69"/>
    <w:rsid w:val="006F3814"/>
    <w:rsid w:val="006F4996"/>
    <w:rsid w:val="006F6581"/>
    <w:rsid w:val="006F6663"/>
    <w:rsid w:val="006F6BDE"/>
    <w:rsid w:val="006F76FB"/>
    <w:rsid w:val="006F771B"/>
    <w:rsid w:val="0070003E"/>
    <w:rsid w:val="00700299"/>
    <w:rsid w:val="007057E4"/>
    <w:rsid w:val="00705A81"/>
    <w:rsid w:val="00706138"/>
    <w:rsid w:val="00706635"/>
    <w:rsid w:val="00706927"/>
    <w:rsid w:val="00706A3F"/>
    <w:rsid w:val="00706A5D"/>
    <w:rsid w:val="00706F45"/>
    <w:rsid w:val="00707806"/>
    <w:rsid w:val="00710179"/>
    <w:rsid w:val="00712A6D"/>
    <w:rsid w:val="00712B6D"/>
    <w:rsid w:val="0071376E"/>
    <w:rsid w:val="00713A33"/>
    <w:rsid w:val="007147D9"/>
    <w:rsid w:val="00714A76"/>
    <w:rsid w:val="00714B32"/>
    <w:rsid w:val="0071661E"/>
    <w:rsid w:val="0071732C"/>
    <w:rsid w:val="00717BA2"/>
    <w:rsid w:val="00720B1D"/>
    <w:rsid w:val="007215A5"/>
    <w:rsid w:val="00721FB3"/>
    <w:rsid w:val="00722774"/>
    <w:rsid w:val="00722BDE"/>
    <w:rsid w:val="0072397B"/>
    <w:rsid w:val="0072594C"/>
    <w:rsid w:val="00730EDB"/>
    <w:rsid w:val="00732000"/>
    <w:rsid w:val="00734177"/>
    <w:rsid w:val="00737281"/>
    <w:rsid w:val="00737974"/>
    <w:rsid w:val="00737CF2"/>
    <w:rsid w:val="00737EC3"/>
    <w:rsid w:val="007431E9"/>
    <w:rsid w:val="00743727"/>
    <w:rsid w:val="00743C5C"/>
    <w:rsid w:val="00745605"/>
    <w:rsid w:val="00745709"/>
    <w:rsid w:val="007462A2"/>
    <w:rsid w:val="00750378"/>
    <w:rsid w:val="00750D4D"/>
    <w:rsid w:val="00751B96"/>
    <w:rsid w:val="00751D17"/>
    <w:rsid w:val="007538BE"/>
    <w:rsid w:val="007540BF"/>
    <w:rsid w:val="0075464F"/>
    <w:rsid w:val="00754C80"/>
    <w:rsid w:val="00755758"/>
    <w:rsid w:val="00762AF2"/>
    <w:rsid w:val="00763599"/>
    <w:rsid w:val="00763765"/>
    <w:rsid w:val="00763F34"/>
    <w:rsid w:val="00764BDD"/>
    <w:rsid w:val="00765D00"/>
    <w:rsid w:val="00766558"/>
    <w:rsid w:val="00766A2B"/>
    <w:rsid w:val="00766DEE"/>
    <w:rsid w:val="007671B7"/>
    <w:rsid w:val="00770155"/>
    <w:rsid w:val="0077053D"/>
    <w:rsid w:val="00770AAC"/>
    <w:rsid w:val="00770DCB"/>
    <w:rsid w:val="007730B7"/>
    <w:rsid w:val="007744F6"/>
    <w:rsid w:val="007748F9"/>
    <w:rsid w:val="00774929"/>
    <w:rsid w:val="00775485"/>
    <w:rsid w:val="007755D3"/>
    <w:rsid w:val="00776A49"/>
    <w:rsid w:val="00777D53"/>
    <w:rsid w:val="00782626"/>
    <w:rsid w:val="00790A9B"/>
    <w:rsid w:val="00790DDF"/>
    <w:rsid w:val="00791179"/>
    <w:rsid w:val="00791A9A"/>
    <w:rsid w:val="00792A45"/>
    <w:rsid w:val="00792D17"/>
    <w:rsid w:val="0079441B"/>
    <w:rsid w:val="00795B4D"/>
    <w:rsid w:val="00795FED"/>
    <w:rsid w:val="00796779"/>
    <w:rsid w:val="007A005B"/>
    <w:rsid w:val="007A1C1D"/>
    <w:rsid w:val="007A2273"/>
    <w:rsid w:val="007A28D0"/>
    <w:rsid w:val="007A3DFA"/>
    <w:rsid w:val="007A4816"/>
    <w:rsid w:val="007A4847"/>
    <w:rsid w:val="007A4C16"/>
    <w:rsid w:val="007A4CC8"/>
    <w:rsid w:val="007A5079"/>
    <w:rsid w:val="007A6571"/>
    <w:rsid w:val="007A73D5"/>
    <w:rsid w:val="007A7A7D"/>
    <w:rsid w:val="007B1090"/>
    <w:rsid w:val="007B16E1"/>
    <w:rsid w:val="007B1D82"/>
    <w:rsid w:val="007B3C55"/>
    <w:rsid w:val="007B3D00"/>
    <w:rsid w:val="007B5961"/>
    <w:rsid w:val="007B5A3E"/>
    <w:rsid w:val="007B75BE"/>
    <w:rsid w:val="007C1C81"/>
    <w:rsid w:val="007D0CDF"/>
    <w:rsid w:val="007D2F38"/>
    <w:rsid w:val="007D4759"/>
    <w:rsid w:val="007D53B8"/>
    <w:rsid w:val="007D5CB8"/>
    <w:rsid w:val="007D658E"/>
    <w:rsid w:val="007D71B1"/>
    <w:rsid w:val="007E0300"/>
    <w:rsid w:val="007E2FD4"/>
    <w:rsid w:val="007E36B9"/>
    <w:rsid w:val="007E45F0"/>
    <w:rsid w:val="007E5B88"/>
    <w:rsid w:val="007E61BF"/>
    <w:rsid w:val="007E650E"/>
    <w:rsid w:val="007E66EB"/>
    <w:rsid w:val="007E6E07"/>
    <w:rsid w:val="007F0D0B"/>
    <w:rsid w:val="007F1726"/>
    <w:rsid w:val="007F18BC"/>
    <w:rsid w:val="007F2045"/>
    <w:rsid w:val="007F3BE9"/>
    <w:rsid w:val="007F4686"/>
    <w:rsid w:val="007F58BA"/>
    <w:rsid w:val="007F693B"/>
    <w:rsid w:val="007F6CF6"/>
    <w:rsid w:val="007F7571"/>
    <w:rsid w:val="007F7BC3"/>
    <w:rsid w:val="008007A8"/>
    <w:rsid w:val="00800B93"/>
    <w:rsid w:val="00800C82"/>
    <w:rsid w:val="00801038"/>
    <w:rsid w:val="0080118C"/>
    <w:rsid w:val="00801643"/>
    <w:rsid w:val="008018A4"/>
    <w:rsid w:val="00801DA6"/>
    <w:rsid w:val="0080366A"/>
    <w:rsid w:val="008042D9"/>
    <w:rsid w:val="00805F81"/>
    <w:rsid w:val="0080608C"/>
    <w:rsid w:val="008065E2"/>
    <w:rsid w:val="00810152"/>
    <w:rsid w:val="00810816"/>
    <w:rsid w:val="008108C7"/>
    <w:rsid w:val="00810EDC"/>
    <w:rsid w:val="00811E95"/>
    <w:rsid w:val="008144EC"/>
    <w:rsid w:val="00814FC0"/>
    <w:rsid w:val="00815DD0"/>
    <w:rsid w:val="00817603"/>
    <w:rsid w:val="00822277"/>
    <w:rsid w:val="0082305E"/>
    <w:rsid w:val="008231A8"/>
    <w:rsid w:val="008237F3"/>
    <w:rsid w:val="008261EC"/>
    <w:rsid w:val="008263AC"/>
    <w:rsid w:val="008263BA"/>
    <w:rsid w:val="0082689D"/>
    <w:rsid w:val="00831CD5"/>
    <w:rsid w:val="00832629"/>
    <w:rsid w:val="00832DC5"/>
    <w:rsid w:val="0083306C"/>
    <w:rsid w:val="008337BB"/>
    <w:rsid w:val="00833EFF"/>
    <w:rsid w:val="00834C97"/>
    <w:rsid w:val="00835531"/>
    <w:rsid w:val="008358EE"/>
    <w:rsid w:val="008365D2"/>
    <w:rsid w:val="00836E01"/>
    <w:rsid w:val="00837C43"/>
    <w:rsid w:val="008418F5"/>
    <w:rsid w:val="00842079"/>
    <w:rsid w:val="00842D72"/>
    <w:rsid w:val="008469B8"/>
    <w:rsid w:val="008476FA"/>
    <w:rsid w:val="008477F4"/>
    <w:rsid w:val="008478EF"/>
    <w:rsid w:val="00847EB5"/>
    <w:rsid w:val="008519D5"/>
    <w:rsid w:val="00855C4A"/>
    <w:rsid w:val="00856B19"/>
    <w:rsid w:val="00856EB2"/>
    <w:rsid w:val="008572FC"/>
    <w:rsid w:val="00857DFF"/>
    <w:rsid w:val="00860086"/>
    <w:rsid w:val="008606AD"/>
    <w:rsid w:val="00864266"/>
    <w:rsid w:val="0086591A"/>
    <w:rsid w:val="00866862"/>
    <w:rsid w:val="00866FA8"/>
    <w:rsid w:val="0086724F"/>
    <w:rsid w:val="00867E1B"/>
    <w:rsid w:val="00867FC6"/>
    <w:rsid w:val="00871E87"/>
    <w:rsid w:val="008724DE"/>
    <w:rsid w:val="00872BAA"/>
    <w:rsid w:val="00873229"/>
    <w:rsid w:val="00874DB3"/>
    <w:rsid w:val="00875ABE"/>
    <w:rsid w:val="00876B53"/>
    <w:rsid w:val="00877F3B"/>
    <w:rsid w:val="00880087"/>
    <w:rsid w:val="008819B1"/>
    <w:rsid w:val="0088287B"/>
    <w:rsid w:val="00882D9B"/>
    <w:rsid w:val="0088432B"/>
    <w:rsid w:val="00884B2D"/>
    <w:rsid w:val="00884C0C"/>
    <w:rsid w:val="00884E63"/>
    <w:rsid w:val="00886036"/>
    <w:rsid w:val="008863F0"/>
    <w:rsid w:val="008866E0"/>
    <w:rsid w:val="00886883"/>
    <w:rsid w:val="00887BB5"/>
    <w:rsid w:val="00887C18"/>
    <w:rsid w:val="00887C47"/>
    <w:rsid w:val="00887C7E"/>
    <w:rsid w:val="008902E6"/>
    <w:rsid w:val="00890DDD"/>
    <w:rsid w:val="0089154F"/>
    <w:rsid w:val="00892320"/>
    <w:rsid w:val="00893217"/>
    <w:rsid w:val="0089538B"/>
    <w:rsid w:val="00895556"/>
    <w:rsid w:val="00895B16"/>
    <w:rsid w:val="00896609"/>
    <w:rsid w:val="008A0C67"/>
    <w:rsid w:val="008A1F35"/>
    <w:rsid w:val="008A2146"/>
    <w:rsid w:val="008A3D57"/>
    <w:rsid w:val="008A417D"/>
    <w:rsid w:val="008A5116"/>
    <w:rsid w:val="008A5CE5"/>
    <w:rsid w:val="008A66B4"/>
    <w:rsid w:val="008A7BD9"/>
    <w:rsid w:val="008B026B"/>
    <w:rsid w:val="008B097B"/>
    <w:rsid w:val="008B1872"/>
    <w:rsid w:val="008B23BC"/>
    <w:rsid w:val="008B2D5D"/>
    <w:rsid w:val="008B3730"/>
    <w:rsid w:val="008C0F66"/>
    <w:rsid w:val="008C2E96"/>
    <w:rsid w:val="008C3F0F"/>
    <w:rsid w:val="008C45F9"/>
    <w:rsid w:val="008C5A3A"/>
    <w:rsid w:val="008C6284"/>
    <w:rsid w:val="008C687C"/>
    <w:rsid w:val="008D0559"/>
    <w:rsid w:val="008D1E2C"/>
    <w:rsid w:val="008D2D31"/>
    <w:rsid w:val="008D38FA"/>
    <w:rsid w:val="008D3FC9"/>
    <w:rsid w:val="008D420A"/>
    <w:rsid w:val="008D4320"/>
    <w:rsid w:val="008D7EBF"/>
    <w:rsid w:val="008E0191"/>
    <w:rsid w:val="008E342C"/>
    <w:rsid w:val="008E3959"/>
    <w:rsid w:val="008E3D60"/>
    <w:rsid w:val="008E3F4C"/>
    <w:rsid w:val="008E6057"/>
    <w:rsid w:val="008E7786"/>
    <w:rsid w:val="008F026E"/>
    <w:rsid w:val="008F1C01"/>
    <w:rsid w:val="008F3AF6"/>
    <w:rsid w:val="008F41D7"/>
    <w:rsid w:val="008F482B"/>
    <w:rsid w:val="008F5981"/>
    <w:rsid w:val="008F6566"/>
    <w:rsid w:val="008F6B7B"/>
    <w:rsid w:val="008F6CB6"/>
    <w:rsid w:val="009011BB"/>
    <w:rsid w:val="009015B5"/>
    <w:rsid w:val="0090165F"/>
    <w:rsid w:val="00901B82"/>
    <w:rsid w:val="00902327"/>
    <w:rsid w:val="00902726"/>
    <w:rsid w:val="00905AA6"/>
    <w:rsid w:val="00906508"/>
    <w:rsid w:val="00906D3E"/>
    <w:rsid w:val="0090718B"/>
    <w:rsid w:val="0091056F"/>
    <w:rsid w:val="00911518"/>
    <w:rsid w:val="00912B09"/>
    <w:rsid w:val="009133D2"/>
    <w:rsid w:val="0091467E"/>
    <w:rsid w:val="00915215"/>
    <w:rsid w:val="009159A8"/>
    <w:rsid w:val="0091660C"/>
    <w:rsid w:val="00917873"/>
    <w:rsid w:val="00917AEC"/>
    <w:rsid w:val="00920A8E"/>
    <w:rsid w:val="00921C7C"/>
    <w:rsid w:val="00921D91"/>
    <w:rsid w:val="00922AD6"/>
    <w:rsid w:val="009230A9"/>
    <w:rsid w:val="00924AEB"/>
    <w:rsid w:val="009263E9"/>
    <w:rsid w:val="00926B8B"/>
    <w:rsid w:val="00926E8C"/>
    <w:rsid w:val="00927B0A"/>
    <w:rsid w:val="00927B27"/>
    <w:rsid w:val="0093077E"/>
    <w:rsid w:val="00931240"/>
    <w:rsid w:val="009314F3"/>
    <w:rsid w:val="009335D6"/>
    <w:rsid w:val="00936907"/>
    <w:rsid w:val="009378C1"/>
    <w:rsid w:val="00941774"/>
    <w:rsid w:val="00943A47"/>
    <w:rsid w:val="00946210"/>
    <w:rsid w:val="00947420"/>
    <w:rsid w:val="00947BB8"/>
    <w:rsid w:val="00947E65"/>
    <w:rsid w:val="0095002C"/>
    <w:rsid w:val="0095070A"/>
    <w:rsid w:val="0095254E"/>
    <w:rsid w:val="00954179"/>
    <w:rsid w:val="0096076F"/>
    <w:rsid w:val="009613B4"/>
    <w:rsid w:val="00964DDB"/>
    <w:rsid w:val="00965E73"/>
    <w:rsid w:val="00966758"/>
    <w:rsid w:val="00966C2F"/>
    <w:rsid w:val="00967940"/>
    <w:rsid w:val="0097099E"/>
    <w:rsid w:val="00972900"/>
    <w:rsid w:val="009735F4"/>
    <w:rsid w:val="00973BB6"/>
    <w:rsid w:val="00973E6A"/>
    <w:rsid w:val="009747ED"/>
    <w:rsid w:val="0097512B"/>
    <w:rsid w:val="009756FA"/>
    <w:rsid w:val="00975F4D"/>
    <w:rsid w:val="00977000"/>
    <w:rsid w:val="0098074C"/>
    <w:rsid w:val="00981CD2"/>
    <w:rsid w:val="00983128"/>
    <w:rsid w:val="00984FA5"/>
    <w:rsid w:val="00985041"/>
    <w:rsid w:val="00985337"/>
    <w:rsid w:val="009856B6"/>
    <w:rsid w:val="00986427"/>
    <w:rsid w:val="0099096B"/>
    <w:rsid w:val="00991008"/>
    <w:rsid w:val="0099105D"/>
    <w:rsid w:val="00991811"/>
    <w:rsid w:val="00993D5D"/>
    <w:rsid w:val="00994026"/>
    <w:rsid w:val="00994DB5"/>
    <w:rsid w:val="00996260"/>
    <w:rsid w:val="00996FE9"/>
    <w:rsid w:val="009A12C1"/>
    <w:rsid w:val="009A15E9"/>
    <w:rsid w:val="009A1917"/>
    <w:rsid w:val="009A25D5"/>
    <w:rsid w:val="009A32BA"/>
    <w:rsid w:val="009A68F2"/>
    <w:rsid w:val="009A747E"/>
    <w:rsid w:val="009B087B"/>
    <w:rsid w:val="009B4B52"/>
    <w:rsid w:val="009B6C2D"/>
    <w:rsid w:val="009B73EC"/>
    <w:rsid w:val="009C10A5"/>
    <w:rsid w:val="009C1AD9"/>
    <w:rsid w:val="009C2B2B"/>
    <w:rsid w:val="009C3E03"/>
    <w:rsid w:val="009C47EB"/>
    <w:rsid w:val="009C5057"/>
    <w:rsid w:val="009C55F9"/>
    <w:rsid w:val="009C5B1D"/>
    <w:rsid w:val="009C752C"/>
    <w:rsid w:val="009C763C"/>
    <w:rsid w:val="009C7BBF"/>
    <w:rsid w:val="009D02FA"/>
    <w:rsid w:val="009D17B5"/>
    <w:rsid w:val="009D17D3"/>
    <w:rsid w:val="009D1A7C"/>
    <w:rsid w:val="009D3096"/>
    <w:rsid w:val="009D4F51"/>
    <w:rsid w:val="009D58CB"/>
    <w:rsid w:val="009D5B7F"/>
    <w:rsid w:val="009D6768"/>
    <w:rsid w:val="009D67F6"/>
    <w:rsid w:val="009D70BA"/>
    <w:rsid w:val="009D71A3"/>
    <w:rsid w:val="009D77E1"/>
    <w:rsid w:val="009D7994"/>
    <w:rsid w:val="009D7A00"/>
    <w:rsid w:val="009E0FE1"/>
    <w:rsid w:val="009E1717"/>
    <w:rsid w:val="009E2D00"/>
    <w:rsid w:val="009E3DAD"/>
    <w:rsid w:val="009E6002"/>
    <w:rsid w:val="009E7705"/>
    <w:rsid w:val="009F0A36"/>
    <w:rsid w:val="009F0BDD"/>
    <w:rsid w:val="009F5904"/>
    <w:rsid w:val="009F5B1B"/>
    <w:rsid w:val="009F6F6C"/>
    <w:rsid w:val="009F7090"/>
    <w:rsid w:val="009F7FD4"/>
    <w:rsid w:val="00A01A8E"/>
    <w:rsid w:val="00A0218B"/>
    <w:rsid w:val="00A0406E"/>
    <w:rsid w:val="00A051D1"/>
    <w:rsid w:val="00A05FF2"/>
    <w:rsid w:val="00A079AD"/>
    <w:rsid w:val="00A105AB"/>
    <w:rsid w:val="00A10CBE"/>
    <w:rsid w:val="00A11307"/>
    <w:rsid w:val="00A116D1"/>
    <w:rsid w:val="00A1183F"/>
    <w:rsid w:val="00A11EFB"/>
    <w:rsid w:val="00A13188"/>
    <w:rsid w:val="00A13AF3"/>
    <w:rsid w:val="00A13D0B"/>
    <w:rsid w:val="00A1533C"/>
    <w:rsid w:val="00A160DF"/>
    <w:rsid w:val="00A16E9D"/>
    <w:rsid w:val="00A20BCE"/>
    <w:rsid w:val="00A20FFB"/>
    <w:rsid w:val="00A21388"/>
    <w:rsid w:val="00A215D5"/>
    <w:rsid w:val="00A21EDD"/>
    <w:rsid w:val="00A21FA3"/>
    <w:rsid w:val="00A2244F"/>
    <w:rsid w:val="00A22BA9"/>
    <w:rsid w:val="00A232C6"/>
    <w:rsid w:val="00A24485"/>
    <w:rsid w:val="00A258C9"/>
    <w:rsid w:val="00A25A1F"/>
    <w:rsid w:val="00A2615B"/>
    <w:rsid w:val="00A27791"/>
    <w:rsid w:val="00A302C4"/>
    <w:rsid w:val="00A31F4F"/>
    <w:rsid w:val="00A31F80"/>
    <w:rsid w:val="00A32352"/>
    <w:rsid w:val="00A348F7"/>
    <w:rsid w:val="00A34F74"/>
    <w:rsid w:val="00A35790"/>
    <w:rsid w:val="00A36EE0"/>
    <w:rsid w:val="00A401DE"/>
    <w:rsid w:val="00A41355"/>
    <w:rsid w:val="00A420A6"/>
    <w:rsid w:val="00A425A3"/>
    <w:rsid w:val="00A43B92"/>
    <w:rsid w:val="00A4420F"/>
    <w:rsid w:val="00A442E1"/>
    <w:rsid w:val="00A44A35"/>
    <w:rsid w:val="00A46DCB"/>
    <w:rsid w:val="00A4759F"/>
    <w:rsid w:val="00A51F48"/>
    <w:rsid w:val="00A5259E"/>
    <w:rsid w:val="00A52C3F"/>
    <w:rsid w:val="00A54251"/>
    <w:rsid w:val="00A5498B"/>
    <w:rsid w:val="00A55253"/>
    <w:rsid w:val="00A558B9"/>
    <w:rsid w:val="00A5611F"/>
    <w:rsid w:val="00A562EE"/>
    <w:rsid w:val="00A5663C"/>
    <w:rsid w:val="00A5693F"/>
    <w:rsid w:val="00A60B71"/>
    <w:rsid w:val="00A6179E"/>
    <w:rsid w:val="00A622AB"/>
    <w:rsid w:val="00A636E2"/>
    <w:rsid w:val="00A64316"/>
    <w:rsid w:val="00A6563F"/>
    <w:rsid w:val="00A666A4"/>
    <w:rsid w:val="00A677C5"/>
    <w:rsid w:val="00A700DF"/>
    <w:rsid w:val="00A7085F"/>
    <w:rsid w:val="00A70CC1"/>
    <w:rsid w:val="00A70EBD"/>
    <w:rsid w:val="00A71D80"/>
    <w:rsid w:val="00A72608"/>
    <w:rsid w:val="00A727B8"/>
    <w:rsid w:val="00A72DE4"/>
    <w:rsid w:val="00A75EB6"/>
    <w:rsid w:val="00A766E2"/>
    <w:rsid w:val="00A76975"/>
    <w:rsid w:val="00A77748"/>
    <w:rsid w:val="00A77B5B"/>
    <w:rsid w:val="00A804D9"/>
    <w:rsid w:val="00A8080A"/>
    <w:rsid w:val="00A816A5"/>
    <w:rsid w:val="00A84094"/>
    <w:rsid w:val="00A8412D"/>
    <w:rsid w:val="00A859F1"/>
    <w:rsid w:val="00A90F03"/>
    <w:rsid w:val="00A9144B"/>
    <w:rsid w:val="00A91612"/>
    <w:rsid w:val="00A9163B"/>
    <w:rsid w:val="00A9179E"/>
    <w:rsid w:val="00A92E8E"/>
    <w:rsid w:val="00A92F92"/>
    <w:rsid w:val="00A938E2"/>
    <w:rsid w:val="00A94ADB"/>
    <w:rsid w:val="00A955D3"/>
    <w:rsid w:val="00A965FC"/>
    <w:rsid w:val="00A96892"/>
    <w:rsid w:val="00A97BF7"/>
    <w:rsid w:val="00AA06FE"/>
    <w:rsid w:val="00AA2051"/>
    <w:rsid w:val="00AA42CE"/>
    <w:rsid w:val="00AA62AF"/>
    <w:rsid w:val="00AA6970"/>
    <w:rsid w:val="00AA6A43"/>
    <w:rsid w:val="00AA6ACB"/>
    <w:rsid w:val="00AA706A"/>
    <w:rsid w:val="00AA7CA1"/>
    <w:rsid w:val="00AA7CFA"/>
    <w:rsid w:val="00AB14B4"/>
    <w:rsid w:val="00AB1882"/>
    <w:rsid w:val="00AB2D77"/>
    <w:rsid w:val="00AB3D21"/>
    <w:rsid w:val="00AB48A2"/>
    <w:rsid w:val="00AB5C93"/>
    <w:rsid w:val="00AC3128"/>
    <w:rsid w:val="00AC4936"/>
    <w:rsid w:val="00AC6251"/>
    <w:rsid w:val="00AC6985"/>
    <w:rsid w:val="00AC78F1"/>
    <w:rsid w:val="00AD120F"/>
    <w:rsid w:val="00AD1A9F"/>
    <w:rsid w:val="00AD2ACF"/>
    <w:rsid w:val="00AD3B10"/>
    <w:rsid w:val="00AD3C95"/>
    <w:rsid w:val="00AD3D9E"/>
    <w:rsid w:val="00AD5B71"/>
    <w:rsid w:val="00AD5DF7"/>
    <w:rsid w:val="00AD61D9"/>
    <w:rsid w:val="00AD66E8"/>
    <w:rsid w:val="00AD6770"/>
    <w:rsid w:val="00AE26E1"/>
    <w:rsid w:val="00AE2777"/>
    <w:rsid w:val="00AE3837"/>
    <w:rsid w:val="00AE60A5"/>
    <w:rsid w:val="00AE6537"/>
    <w:rsid w:val="00AE749E"/>
    <w:rsid w:val="00AE75F9"/>
    <w:rsid w:val="00AF1CE8"/>
    <w:rsid w:val="00AF2EA7"/>
    <w:rsid w:val="00AF3470"/>
    <w:rsid w:val="00AF4EEB"/>
    <w:rsid w:val="00AF5C2D"/>
    <w:rsid w:val="00AF6119"/>
    <w:rsid w:val="00AF611B"/>
    <w:rsid w:val="00AF6978"/>
    <w:rsid w:val="00AF77F5"/>
    <w:rsid w:val="00B0094C"/>
    <w:rsid w:val="00B027B7"/>
    <w:rsid w:val="00B0298F"/>
    <w:rsid w:val="00B02B72"/>
    <w:rsid w:val="00B030C7"/>
    <w:rsid w:val="00B04445"/>
    <w:rsid w:val="00B06EC4"/>
    <w:rsid w:val="00B102EF"/>
    <w:rsid w:val="00B10CA9"/>
    <w:rsid w:val="00B10DBF"/>
    <w:rsid w:val="00B12430"/>
    <w:rsid w:val="00B14A29"/>
    <w:rsid w:val="00B1550A"/>
    <w:rsid w:val="00B16862"/>
    <w:rsid w:val="00B17385"/>
    <w:rsid w:val="00B21C11"/>
    <w:rsid w:val="00B223F0"/>
    <w:rsid w:val="00B2315D"/>
    <w:rsid w:val="00B24210"/>
    <w:rsid w:val="00B24817"/>
    <w:rsid w:val="00B24B1D"/>
    <w:rsid w:val="00B2676E"/>
    <w:rsid w:val="00B277E0"/>
    <w:rsid w:val="00B27C89"/>
    <w:rsid w:val="00B315ED"/>
    <w:rsid w:val="00B320CD"/>
    <w:rsid w:val="00B32576"/>
    <w:rsid w:val="00B32FE6"/>
    <w:rsid w:val="00B33560"/>
    <w:rsid w:val="00B34946"/>
    <w:rsid w:val="00B34B96"/>
    <w:rsid w:val="00B35489"/>
    <w:rsid w:val="00B35A15"/>
    <w:rsid w:val="00B361A5"/>
    <w:rsid w:val="00B36407"/>
    <w:rsid w:val="00B36B62"/>
    <w:rsid w:val="00B40768"/>
    <w:rsid w:val="00B40A33"/>
    <w:rsid w:val="00B41EAC"/>
    <w:rsid w:val="00B42525"/>
    <w:rsid w:val="00B43D52"/>
    <w:rsid w:val="00B44089"/>
    <w:rsid w:val="00B457AF"/>
    <w:rsid w:val="00B4665C"/>
    <w:rsid w:val="00B4674F"/>
    <w:rsid w:val="00B47DD8"/>
    <w:rsid w:val="00B50697"/>
    <w:rsid w:val="00B5106A"/>
    <w:rsid w:val="00B519FD"/>
    <w:rsid w:val="00B520BC"/>
    <w:rsid w:val="00B52422"/>
    <w:rsid w:val="00B53FB5"/>
    <w:rsid w:val="00B53FF8"/>
    <w:rsid w:val="00B557CD"/>
    <w:rsid w:val="00B578F0"/>
    <w:rsid w:val="00B57C5F"/>
    <w:rsid w:val="00B60408"/>
    <w:rsid w:val="00B622C4"/>
    <w:rsid w:val="00B63D24"/>
    <w:rsid w:val="00B6637A"/>
    <w:rsid w:val="00B66821"/>
    <w:rsid w:val="00B67939"/>
    <w:rsid w:val="00B70436"/>
    <w:rsid w:val="00B70E2C"/>
    <w:rsid w:val="00B7112E"/>
    <w:rsid w:val="00B717A9"/>
    <w:rsid w:val="00B71CB8"/>
    <w:rsid w:val="00B725B0"/>
    <w:rsid w:val="00B72F18"/>
    <w:rsid w:val="00B76BB3"/>
    <w:rsid w:val="00B77BE2"/>
    <w:rsid w:val="00B82411"/>
    <w:rsid w:val="00B835D2"/>
    <w:rsid w:val="00B8568F"/>
    <w:rsid w:val="00B85CA4"/>
    <w:rsid w:val="00B86833"/>
    <w:rsid w:val="00B907D5"/>
    <w:rsid w:val="00B91904"/>
    <w:rsid w:val="00B92388"/>
    <w:rsid w:val="00B924E6"/>
    <w:rsid w:val="00B9307E"/>
    <w:rsid w:val="00B94B47"/>
    <w:rsid w:val="00B953A6"/>
    <w:rsid w:val="00B95746"/>
    <w:rsid w:val="00B95C28"/>
    <w:rsid w:val="00B97974"/>
    <w:rsid w:val="00BA1244"/>
    <w:rsid w:val="00BA17E9"/>
    <w:rsid w:val="00BA262D"/>
    <w:rsid w:val="00BA4567"/>
    <w:rsid w:val="00BA5698"/>
    <w:rsid w:val="00BA7CF9"/>
    <w:rsid w:val="00BB06F7"/>
    <w:rsid w:val="00BB1DA1"/>
    <w:rsid w:val="00BB3045"/>
    <w:rsid w:val="00BB44E4"/>
    <w:rsid w:val="00BB679C"/>
    <w:rsid w:val="00BB7F04"/>
    <w:rsid w:val="00BC007F"/>
    <w:rsid w:val="00BC0404"/>
    <w:rsid w:val="00BC0E21"/>
    <w:rsid w:val="00BC2EF0"/>
    <w:rsid w:val="00BC4A21"/>
    <w:rsid w:val="00BC4A9A"/>
    <w:rsid w:val="00BC6606"/>
    <w:rsid w:val="00BC669C"/>
    <w:rsid w:val="00BC678E"/>
    <w:rsid w:val="00BC79EB"/>
    <w:rsid w:val="00BD00F1"/>
    <w:rsid w:val="00BD1BB7"/>
    <w:rsid w:val="00BD2DC5"/>
    <w:rsid w:val="00BD3C12"/>
    <w:rsid w:val="00BD491A"/>
    <w:rsid w:val="00BD50C5"/>
    <w:rsid w:val="00BD7FCF"/>
    <w:rsid w:val="00BE1063"/>
    <w:rsid w:val="00BE1ECA"/>
    <w:rsid w:val="00BE2C3E"/>
    <w:rsid w:val="00BE3F22"/>
    <w:rsid w:val="00BE4C7E"/>
    <w:rsid w:val="00BE5C34"/>
    <w:rsid w:val="00BE6BA2"/>
    <w:rsid w:val="00BE7FDC"/>
    <w:rsid w:val="00BF04C4"/>
    <w:rsid w:val="00BF13A6"/>
    <w:rsid w:val="00BF52DB"/>
    <w:rsid w:val="00BF621B"/>
    <w:rsid w:val="00BF6535"/>
    <w:rsid w:val="00BF6B20"/>
    <w:rsid w:val="00BF6D73"/>
    <w:rsid w:val="00BF72A0"/>
    <w:rsid w:val="00BF7F13"/>
    <w:rsid w:val="00BF7F9F"/>
    <w:rsid w:val="00C00503"/>
    <w:rsid w:val="00C00D0A"/>
    <w:rsid w:val="00C01AE3"/>
    <w:rsid w:val="00C02652"/>
    <w:rsid w:val="00C03D0C"/>
    <w:rsid w:val="00C03E76"/>
    <w:rsid w:val="00C04636"/>
    <w:rsid w:val="00C05614"/>
    <w:rsid w:val="00C10BC9"/>
    <w:rsid w:val="00C11B4D"/>
    <w:rsid w:val="00C11BA4"/>
    <w:rsid w:val="00C1256C"/>
    <w:rsid w:val="00C12901"/>
    <w:rsid w:val="00C12B60"/>
    <w:rsid w:val="00C13475"/>
    <w:rsid w:val="00C143DA"/>
    <w:rsid w:val="00C162A9"/>
    <w:rsid w:val="00C202A1"/>
    <w:rsid w:val="00C20D88"/>
    <w:rsid w:val="00C23BC0"/>
    <w:rsid w:val="00C24EC7"/>
    <w:rsid w:val="00C25BDA"/>
    <w:rsid w:val="00C26FDF"/>
    <w:rsid w:val="00C2789E"/>
    <w:rsid w:val="00C3044D"/>
    <w:rsid w:val="00C308E9"/>
    <w:rsid w:val="00C30AB7"/>
    <w:rsid w:val="00C30C72"/>
    <w:rsid w:val="00C33104"/>
    <w:rsid w:val="00C33692"/>
    <w:rsid w:val="00C33C39"/>
    <w:rsid w:val="00C33E50"/>
    <w:rsid w:val="00C344F0"/>
    <w:rsid w:val="00C34A87"/>
    <w:rsid w:val="00C36001"/>
    <w:rsid w:val="00C36F38"/>
    <w:rsid w:val="00C37B56"/>
    <w:rsid w:val="00C40A36"/>
    <w:rsid w:val="00C44600"/>
    <w:rsid w:val="00C44E59"/>
    <w:rsid w:val="00C462D8"/>
    <w:rsid w:val="00C46693"/>
    <w:rsid w:val="00C467A1"/>
    <w:rsid w:val="00C47261"/>
    <w:rsid w:val="00C4739B"/>
    <w:rsid w:val="00C5054A"/>
    <w:rsid w:val="00C512F6"/>
    <w:rsid w:val="00C51E0D"/>
    <w:rsid w:val="00C52257"/>
    <w:rsid w:val="00C52543"/>
    <w:rsid w:val="00C52677"/>
    <w:rsid w:val="00C52B91"/>
    <w:rsid w:val="00C5461E"/>
    <w:rsid w:val="00C547D9"/>
    <w:rsid w:val="00C555D9"/>
    <w:rsid w:val="00C55FBC"/>
    <w:rsid w:val="00C605C5"/>
    <w:rsid w:val="00C61AC2"/>
    <w:rsid w:val="00C62CEF"/>
    <w:rsid w:val="00C63BCE"/>
    <w:rsid w:val="00C63FCF"/>
    <w:rsid w:val="00C64890"/>
    <w:rsid w:val="00C71D93"/>
    <w:rsid w:val="00C72FF0"/>
    <w:rsid w:val="00C730E6"/>
    <w:rsid w:val="00C73721"/>
    <w:rsid w:val="00C73F7C"/>
    <w:rsid w:val="00C75302"/>
    <w:rsid w:val="00C75A49"/>
    <w:rsid w:val="00C75D23"/>
    <w:rsid w:val="00C77CBD"/>
    <w:rsid w:val="00C77EA9"/>
    <w:rsid w:val="00C77FE0"/>
    <w:rsid w:val="00C8145E"/>
    <w:rsid w:val="00C81B82"/>
    <w:rsid w:val="00C8236C"/>
    <w:rsid w:val="00C835AD"/>
    <w:rsid w:val="00C83D7A"/>
    <w:rsid w:val="00C854D4"/>
    <w:rsid w:val="00C866F7"/>
    <w:rsid w:val="00C902F6"/>
    <w:rsid w:val="00C90530"/>
    <w:rsid w:val="00C90556"/>
    <w:rsid w:val="00C90FFF"/>
    <w:rsid w:val="00C919D6"/>
    <w:rsid w:val="00C92A28"/>
    <w:rsid w:val="00C93221"/>
    <w:rsid w:val="00C9464D"/>
    <w:rsid w:val="00C966BC"/>
    <w:rsid w:val="00C96F25"/>
    <w:rsid w:val="00CA07C8"/>
    <w:rsid w:val="00CA0D78"/>
    <w:rsid w:val="00CA1243"/>
    <w:rsid w:val="00CA1529"/>
    <w:rsid w:val="00CA38D6"/>
    <w:rsid w:val="00CA3A36"/>
    <w:rsid w:val="00CA47A6"/>
    <w:rsid w:val="00CA4855"/>
    <w:rsid w:val="00CA7C3A"/>
    <w:rsid w:val="00CB0548"/>
    <w:rsid w:val="00CB24FE"/>
    <w:rsid w:val="00CB2855"/>
    <w:rsid w:val="00CB317E"/>
    <w:rsid w:val="00CB39D0"/>
    <w:rsid w:val="00CB3F77"/>
    <w:rsid w:val="00CB43E5"/>
    <w:rsid w:val="00CB6868"/>
    <w:rsid w:val="00CB7627"/>
    <w:rsid w:val="00CB7E9A"/>
    <w:rsid w:val="00CC1745"/>
    <w:rsid w:val="00CC21D2"/>
    <w:rsid w:val="00CC22E1"/>
    <w:rsid w:val="00CC27B5"/>
    <w:rsid w:val="00CC27C8"/>
    <w:rsid w:val="00CC2CAB"/>
    <w:rsid w:val="00CC3C86"/>
    <w:rsid w:val="00CC525B"/>
    <w:rsid w:val="00CC58BB"/>
    <w:rsid w:val="00CD137D"/>
    <w:rsid w:val="00CD16A1"/>
    <w:rsid w:val="00CD2263"/>
    <w:rsid w:val="00CD2724"/>
    <w:rsid w:val="00CD2D6A"/>
    <w:rsid w:val="00CD3AAD"/>
    <w:rsid w:val="00CD441D"/>
    <w:rsid w:val="00CD4FDD"/>
    <w:rsid w:val="00CD58FD"/>
    <w:rsid w:val="00CD7343"/>
    <w:rsid w:val="00CD76D3"/>
    <w:rsid w:val="00CE07B4"/>
    <w:rsid w:val="00CE0D9A"/>
    <w:rsid w:val="00CE1603"/>
    <w:rsid w:val="00CE264B"/>
    <w:rsid w:val="00CE2797"/>
    <w:rsid w:val="00CE27BB"/>
    <w:rsid w:val="00CE2E37"/>
    <w:rsid w:val="00CE3A62"/>
    <w:rsid w:val="00CE3C10"/>
    <w:rsid w:val="00CE454B"/>
    <w:rsid w:val="00CE5889"/>
    <w:rsid w:val="00CE70E5"/>
    <w:rsid w:val="00CF0C5D"/>
    <w:rsid w:val="00CF26A8"/>
    <w:rsid w:val="00CF3795"/>
    <w:rsid w:val="00CF4143"/>
    <w:rsid w:val="00CF4498"/>
    <w:rsid w:val="00D00381"/>
    <w:rsid w:val="00D02529"/>
    <w:rsid w:val="00D025AB"/>
    <w:rsid w:val="00D039A5"/>
    <w:rsid w:val="00D07D5B"/>
    <w:rsid w:val="00D10945"/>
    <w:rsid w:val="00D10C3B"/>
    <w:rsid w:val="00D11234"/>
    <w:rsid w:val="00D117EA"/>
    <w:rsid w:val="00D13288"/>
    <w:rsid w:val="00D13F9D"/>
    <w:rsid w:val="00D1420F"/>
    <w:rsid w:val="00D148FB"/>
    <w:rsid w:val="00D14F91"/>
    <w:rsid w:val="00D20870"/>
    <w:rsid w:val="00D20A6A"/>
    <w:rsid w:val="00D217BF"/>
    <w:rsid w:val="00D221A7"/>
    <w:rsid w:val="00D2482A"/>
    <w:rsid w:val="00D26302"/>
    <w:rsid w:val="00D27133"/>
    <w:rsid w:val="00D278D2"/>
    <w:rsid w:val="00D27F81"/>
    <w:rsid w:val="00D3020D"/>
    <w:rsid w:val="00D30A61"/>
    <w:rsid w:val="00D31463"/>
    <w:rsid w:val="00D31E43"/>
    <w:rsid w:val="00D33337"/>
    <w:rsid w:val="00D33E6A"/>
    <w:rsid w:val="00D343FA"/>
    <w:rsid w:val="00D34EC7"/>
    <w:rsid w:val="00D35540"/>
    <w:rsid w:val="00D36590"/>
    <w:rsid w:val="00D36592"/>
    <w:rsid w:val="00D36DBA"/>
    <w:rsid w:val="00D4058A"/>
    <w:rsid w:val="00D40826"/>
    <w:rsid w:val="00D418FF"/>
    <w:rsid w:val="00D42064"/>
    <w:rsid w:val="00D43908"/>
    <w:rsid w:val="00D453AC"/>
    <w:rsid w:val="00D50094"/>
    <w:rsid w:val="00D5052C"/>
    <w:rsid w:val="00D50E22"/>
    <w:rsid w:val="00D514AE"/>
    <w:rsid w:val="00D51D44"/>
    <w:rsid w:val="00D51FE8"/>
    <w:rsid w:val="00D53161"/>
    <w:rsid w:val="00D54758"/>
    <w:rsid w:val="00D5581B"/>
    <w:rsid w:val="00D5623C"/>
    <w:rsid w:val="00D5673D"/>
    <w:rsid w:val="00D56C47"/>
    <w:rsid w:val="00D57FB7"/>
    <w:rsid w:val="00D60662"/>
    <w:rsid w:val="00D60E66"/>
    <w:rsid w:val="00D60F37"/>
    <w:rsid w:val="00D61D47"/>
    <w:rsid w:val="00D648D9"/>
    <w:rsid w:val="00D652A8"/>
    <w:rsid w:val="00D65C76"/>
    <w:rsid w:val="00D65DD0"/>
    <w:rsid w:val="00D6631E"/>
    <w:rsid w:val="00D67B0E"/>
    <w:rsid w:val="00D70FB1"/>
    <w:rsid w:val="00D71389"/>
    <w:rsid w:val="00D71C62"/>
    <w:rsid w:val="00D729AD"/>
    <w:rsid w:val="00D734C7"/>
    <w:rsid w:val="00D746FC"/>
    <w:rsid w:val="00D7786E"/>
    <w:rsid w:val="00D80531"/>
    <w:rsid w:val="00D80CFD"/>
    <w:rsid w:val="00D828D6"/>
    <w:rsid w:val="00D832A3"/>
    <w:rsid w:val="00D838FC"/>
    <w:rsid w:val="00D8404A"/>
    <w:rsid w:val="00D84162"/>
    <w:rsid w:val="00D84430"/>
    <w:rsid w:val="00D84B39"/>
    <w:rsid w:val="00D85FED"/>
    <w:rsid w:val="00D86960"/>
    <w:rsid w:val="00D900C7"/>
    <w:rsid w:val="00D908AE"/>
    <w:rsid w:val="00D914F3"/>
    <w:rsid w:val="00D92CA8"/>
    <w:rsid w:val="00D92CAC"/>
    <w:rsid w:val="00D93F79"/>
    <w:rsid w:val="00D9420F"/>
    <w:rsid w:val="00D943EF"/>
    <w:rsid w:val="00D94443"/>
    <w:rsid w:val="00D94936"/>
    <w:rsid w:val="00D951FE"/>
    <w:rsid w:val="00D96CE7"/>
    <w:rsid w:val="00D9769E"/>
    <w:rsid w:val="00D97AE0"/>
    <w:rsid w:val="00D97C54"/>
    <w:rsid w:val="00D97FA0"/>
    <w:rsid w:val="00DA1C39"/>
    <w:rsid w:val="00DA2F73"/>
    <w:rsid w:val="00DA62E9"/>
    <w:rsid w:val="00DA67EC"/>
    <w:rsid w:val="00DA69E7"/>
    <w:rsid w:val="00DB02C6"/>
    <w:rsid w:val="00DB06D6"/>
    <w:rsid w:val="00DB29CE"/>
    <w:rsid w:val="00DB35DC"/>
    <w:rsid w:val="00DB501E"/>
    <w:rsid w:val="00DB51B3"/>
    <w:rsid w:val="00DB6BE3"/>
    <w:rsid w:val="00DC018D"/>
    <w:rsid w:val="00DC28CA"/>
    <w:rsid w:val="00DC4088"/>
    <w:rsid w:val="00DC442F"/>
    <w:rsid w:val="00DC462F"/>
    <w:rsid w:val="00DC4F2D"/>
    <w:rsid w:val="00DC73C0"/>
    <w:rsid w:val="00DD0681"/>
    <w:rsid w:val="00DD28A0"/>
    <w:rsid w:val="00DD3010"/>
    <w:rsid w:val="00DD63F6"/>
    <w:rsid w:val="00DD6A21"/>
    <w:rsid w:val="00DD6CAF"/>
    <w:rsid w:val="00DE1735"/>
    <w:rsid w:val="00DE4497"/>
    <w:rsid w:val="00DE5F0D"/>
    <w:rsid w:val="00DE60CA"/>
    <w:rsid w:val="00DE7999"/>
    <w:rsid w:val="00DE7A61"/>
    <w:rsid w:val="00DF1188"/>
    <w:rsid w:val="00DF3115"/>
    <w:rsid w:val="00DF380C"/>
    <w:rsid w:val="00DF66BD"/>
    <w:rsid w:val="00E003E1"/>
    <w:rsid w:val="00E0119C"/>
    <w:rsid w:val="00E01916"/>
    <w:rsid w:val="00E01FC4"/>
    <w:rsid w:val="00E021CD"/>
    <w:rsid w:val="00E02657"/>
    <w:rsid w:val="00E028C7"/>
    <w:rsid w:val="00E02F5D"/>
    <w:rsid w:val="00E0607C"/>
    <w:rsid w:val="00E0619C"/>
    <w:rsid w:val="00E06295"/>
    <w:rsid w:val="00E064D4"/>
    <w:rsid w:val="00E06BF5"/>
    <w:rsid w:val="00E11F88"/>
    <w:rsid w:val="00E14689"/>
    <w:rsid w:val="00E14786"/>
    <w:rsid w:val="00E153D0"/>
    <w:rsid w:val="00E15F4B"/>
    <w:rsid w:val="00E218E5"/>
    <w:rsid w:val="00E218FF"/>
    <w:rsid w:val="00E242F0"/>
    <w:rsid w:val="00E24AE9"/>
    <w:rsid w:val="00E24FA3"/>
    <w:rsid w:val="00E25AEE"/>
    <w:rsid w:val="00E25B69"/>
    <w:rsid w:val="00E25BC1"/>
    <w:rsid w:val="00E25E43"/>
    <w:rsid w:val="00E25F3F"/>
    <w:rsid w:val="00E25FE4"/>
    <w:rsid w:val="00E26B28"/>
    <w:rsid w:val="00E2709A"/>
    <w:rsid w:val="00E31285"/>
    <w:rsid w:val="00E31465"/>
    <w:rsid w:val="00E31C0D"/>
    <w:rsid w:val="00E328CD"/>
    <w:rsid w:val="00E33BFF"/>
    <w:rsid w:val="00E3661F"/>
    <w:rsid w:val="00E36B95"/>
    <w:rsid w:val="00E4003F"/>
    <w:rsid w:val="00E40E3E"/>
    <w:rsid w:val="00E40F70"/>
    <w:rsid w:val="00E411E1"/>
    <w:rsid w:val="00E41CAA"/>
    <w:rsid w:val="00E42432"/>
    <w:rsid w:val="00E42966"/>
    <w:rsid w:val="00E42E2F"/>
    <w:rsid w:val="00E440A4"/>
    <w:rsid w:val="00E45780"/>
    <w:rsid w:val="00E458F6"/>
    <w:rsid w:val="00E45954"/>
    <w:rsid w:val="00E465E7"/>
    <w:rsid w:val="00E51760"/>
    <w:rsid w:val="00E528B8"/>
    <w:rsid w:val="00E5374C"/>
    <w:rsid w:val="00E546B9"/>
    <w:rsid w:val="00E54C6A"/>
    <w:rsid w:val="00E5597B"/>
    <w:rsid w:val="00E55FFF"/>
    <w:rsid w:val="00E56ED4"/>
    <w:rsid w:val="00E57823"/>
    <w:rsid w:val="00E60D95"/>
    <w:rsid w:val="00E610D7"/>
    <w:rsid w:val="00E62A4B"/>
    <w:rsid w:val="00E62D37"/>
    <w:rsid w:val="00E63562"/>
    <w:rsid w:val="00E6418B"/>
    <w:rsid w:val="00E65643"/>
    <w:rsid w:val="00E6580E"/>
    <w:rsid w:val="00E667DE"/>
    <w:rsid w:val="00E6720B"/>
    <w:rsid w:val="00E674CF"/>
    <w:rsid w:val="00E67C87"/>
    <w:rsid w:val="00E70974"/>
    <w:rsid w:val="00E70A35"/>
    <w:rsid w:val="00E70DD8"/>
    <w:rsid w:val="00E7141D"/>
    <w:rsid w:val="00E71F44"/>
    <w:rsid w:val="00E726BE"/>
    <w:rsid w:val="00E72D94"/>
    <w:rsid w:val="00E73644"/>
    <w:rsid w:val="00E756A7"/>
    <w:rsid w:val="00E7708C"/>
    <w:rsid w:val="00E775AA"/>
    <w:rsid w:val="00E80451"/>
    <w:rsid w:val="00E80E19"/>
    <w:rsid w:val="00E80FAE"/>
    <w:rsid w:val="00E81518"/>
    <w:rsid w:val="00E8214F"/>
    <w:rsid w:val="00E82BAF"/>
    <w:rsid w:val="00E830A1"/>
    <w:rsid w:val="00E83754"/>
    <w:rsid w:val="00E84AB7"/>
    <w:rsid w:val="00E850E5"/>
    <w:rsid w:val="00E8522A"/>
    <w:rsid w:val="00E866AB"/>
    <w:rsid w:val="00E86D3A"/>
    <w:rsid w:val="00E873C9"/>
    <w:rsid w:val="00E87C7D"/>
    <w:rsid w:val="00E914B6"/>
    <w:rsid w:val="00E920F7"/>
    <w:rsid w:val="00E9245B"/>
    <w:rsid w:val="00E92799"/>
    <w:rsid w:val="00E92C20"/>
    <w:rsid w:val="00E93AA8"/>
    <w:rsid w:val="00E93B68"/>
    <w:rsid w:val="00E940A7"/>
    <w:rsid w:val="00E95159"/>
    <w:rsid w:val="00E9516D"/>
    <w:rsid w:val="00E96ADC"/>
    <w:rsid w:val="00E96F3D"/>
    <w:rsid w:val="00E9711B"/>
    <w:rsid w:val="00EA1524"/>
    <w:rsid w:val="00EA41A7"/>
    <w:rsid w:val="00EA44D9"/>
    <w:rsid w:val="00EA4610"/>
    <w:rsid w:val="00EA4E4E"/>
    <w:rsid w:val="00EA5B44"/>
    <w:rsid w:val="00EA6477"/>
    <w:rsid w:val="00EA682C"/>
    <w:rsid w:val="00EA7310"/>
    <w:rsid w:val="00EB0156"/>
    <w:rsid w:val="00EB3993"/>
    <w:rsid w:val="00EB4C9F"/>
    <w:rsid w:val="00EB6A76"/>
    <w:rsid w:val="00EC1902"/>
    <w:rsid w:val="00EC2A63"/>
    <w:rsid w:val="00EC2C8A"/>
    <w:rsid w:val="00EC3294"/>
    <w:rsid w:val="00EC449C"/>
    <w:rsid w:val="00EC50BF"/>
    <w:rsid w:val="00EC7058"/>
    <w:rsid w:val="00ED0753"/>
    <w:rsid w:val="00ED16AF"/>
    <w:rsid w:val="00ED2419"/>
    <w:rsid w:val="00ED3B6F"/>
    <w:rsid w:val="00ED3FBE"/>
    <w:rsid w:val="00ED4474"/>
    <w:rsid w:val="00ED4BD0"/>
    <w:rsid w:val="00ED6BFF"/>
    <w:rsid w:val="00EE0444"/>
    <w:rsid w:val="00EE15AB"/>
    <w:rsid w:val="00EE5EDA"/>
    <w:rsid w:val="00EE6385"/>
    <w:rsid w:val="00EE706A"/>
    <w:rsid w:val="00EE71DA"/>
    <w:rsid w:val="00EE7CE3"/>
    <w:rsid w:val="00EF0BA0"/>
    <w:rsid w:val="00EF0CBD"/>
    <w:rsid w:val="00EF114F"/>
    <w:rsid w:val="00EF1377"/>
    <w:rsid w:val="00EF1479"/>
    <w:rsid w:val="00EF18F8"/>
    <w:rsid w:val="00EF1D16"/>
    <w:rsid w:val="00EF1F8B"/>
    <w:rsid w:val="00EF4F8E"/>
    <w:rsid w:val="00EF5AF6"/>
    <w:rsid w:val="00EF6BE4"/>
    <w:rsid w:val="00F01C4B"/>
    <w:rsid w:val="00F026A8"/>
    <w:rsid w:val="00F030FA"/>
    <w:rsid w:val="00F03164"/>
    <w:rsid w:val="00F0472A"/>
    <w:rsid w:val="00F04B97"/>
    <w:rsid w:val="00F05A2F"/>
    <w:rsid w:val="00F05AC2"/>
    <w:rsid w:val="00F066BB"/>
    <w:rsid w:val="00F06A5C"/>
    <w:rsid w:val="00F06DF7"/>
    <w:rsid w:val="00F10321"/>
    <w:rsid w:val="00F10584"/>
    <w:rsid w:val="00F10B5E"/>
    <w:rsid w:val="00F12F55"/>
    <w:rsid w:val="00F13553"/>
    <w:rsid w:val="00F1453E"/>
    <w:rsid w:val="00F14C6D"/>
    <w:rsid w:val="00F16609"/>
    <w:rsid w:val="00F1700D"/>
    <w:rsid w:val="00F2028F"/>
    <w:rsid w:val="00F203E2"/>
    <w:rsid w:val="00F22009"/>
    <w:rsid w:val="00F23460"/>
    <w:rsid w:val="00F23E3E"/>
    <w:rsid w:val="00F24BFF"/>
    <w:rsid w:val="00F25AD4"/>
    <w:rsid w:val="00F25E15"/>
    <w:rsid w:val="00F26142"/>
    <w:rsid w:val="00F2790A"/>
    <w:rsid w:val="00F27ACB"/>
    <w:rsid w:val="00F31373"/>
    <w:rsid w:val="00F33272"/>
    <w:rsid w:val="00F33ECD"/>
    <w:rsid w:val="00F351AE"/>
    <w:rsid w:val="00F35254"/>
    <w:rsid w:val="00F36DA4"/>
    <w:rsid w:val="00F37223"/>
    <w:rsid w:val="00F375BD"/>
    <w:rsid w:val="00F40AC5"/>
    <w:rsid w:val="00F4181E"/>
    <w:rsid w:val="00F4279A"/>
    <w:rsid w:val="00F43B61"/>
    <w:rsid w:val="00F43D5D"/>
    <w:rsid w:val="00F43E9A"/>
    <w:rsid w:val="00F4531F"/>
    <w:rsid w:val="00F47276"/>
    <w:rsid w:val="00F50701"/>
    <w:rsid w:val="00F52E8F"/>
    <w:rsid w:val="00F55823"/>
    <w:rsid w:val="00F57664"/>
    <w:rsid w:val="00F6107C"/>
    <w:rsid w:val="00F61474"/>
    <w:rsid w:val="00F6233E"/>
    <w:rsid w:val="00F62F58"/>
    <w:rsid w:val="00F638E0"/>
    <w:rsid w:val="00F63B3B"/>
    <w:rsid w:val="00F6488C"/>
    <w:rsid w:val="00F64A25"/>
    <w:rsid w:val="00F64FEB"/>
    <w:rsid w:val="00F65D28"/>
    <w:rsid w:val="00F70099"/>
    <w:rsid w:val="00F70185"/>
    <w:rsid w:val="00F704F4"/>
    <w:rsid w:val="00F717EB"/>
    <w:rsid w:val="00F74AF0"/>
    <w:rsid w:val="00F74CB1"/>
    <w:rsid w:val="00F75ADD"/>
    <w:rsid w:val="00F761DF"/>
    <w:rsid w:val="00F766B0"/>
    <w:rsid w:val="00F77953"/>
    <w:rsid w:val="00F80890"/>
    <w:rsid w:val="00F80C50"/>
    <w:rsid w:val="00F8129A"/>
    <w:rsid w:val="00F81B06"/>
    <w:rsid w:val="00F81C52"/>
    <w:rsid w:val="00F8330C"/>
    <w:rsid w:val="00F836A8"/>
    <w:rsid w:val="00F8416D"/>
    <w:rsid w:val="00F84859"/>
    <w:rsid w:val="00F85591"/>
    <w:rsid w:val="00F85678"/>
    <w:rsid w:val="00F85A8F"/>
    <w:rsid w:val="00F85E29"/>
    <w:rsid w:val="00F86082"/>
    <w:rsid w:val="00F86DF8"/>
    <w:rsid w:val="00F86F65"/>
    <w:rsid w:val="00F87239"/>
    <w:rsid w:val="00F872AA"/>
    <w:rsid w:val="00F905E3"/>
    <w:rsid w:val="00F91174"/>
    <w:rsid w:val="00F9132E"/>
    <w:rsid w:val="00F91A42"/>
    <w:rsid w:val="00F91CBD"/>
    <w:rsid w:val="00F936AA"/>
    <w:rsid w:val="00F94C23"/>
    <w:rsid w:val="00F9597D"/>
    <w:rsid w:val="00F95D75"/>
    <w:rsid w:val="00F95D78"/>
    <w:rsid w:val="00F9715B"/>
    <w:rsid w:val="00F977C3"/>
    <w:rsid w:val="00F97840"/>
    <w:rsid w:val="00FA0BDE"/>
    <w:rsid w:val="00FA0D08"/>
    <w:rsid w:val="00FA11FF"/>
    <w:rsid w:val="00FA2B80"/>
    <w:rsid w:val="00FA376D"/>
    <w:rsid w:val="00FA3C3D"/>
    <w:rsid w:val="00FA418C"/>
    <w:rsid w:val="00FA4916"/>
    <w:rsid w:val="00FA5E19"/>
    <w:rsid w:val="00FA631D"/>
    <w:rsid w:val="00FA6921"/>
    <w:rsid w:val="00FA7ACC"/>
    <w:rsid w:val="00FB380C"/>
    <w:rsid w:val="00FB4EF4"/>
    <w:rsid w:val="00FC00CB"/>
    <w:rsid w:val="00FC1722"/>
    <w:rsid w:val="00FC27DB"/>
    <w:rsid w:val="00FC4457"/>
    <w:rsid w:val="00FC554F"/>
    <w:rsid w:val="00FC73AD"/>
    <w:rsid w:val="00FD0181"/>
    <w:rsid w:val="00FD01B5"/>
    <w:rsid w:val="00FD01DA"/>
    <w:rsid w:val="00FD3901"/>
    <w:rsid w:val="00FD6175"/>
    <w:rsid w:val="00FE04CC"/>
    <w:rsid w:val="00FE12FC"/>
    <w:rsid w:val="00FE18BF"/>
    <w:rsid w:val="00FE366A"/>
    <w:rsid w:val="00FE475F"/>
    <w:rsid w:val="00FE5570"/>
    <w:rsid w:val="00FE7872"/>
    <w:rsid w:val="00FE7F20"/>
    <w:rsid w:val="00FF0097"/>
    <w:rsid w:val="00FF21B6"/>
    <w:rsid w:val="00FF3022"/>
    <w:rsid w:val="00FF32D3"/>
    <w:rsid w:val="00FF3F80"/>
    <w:rsid w:val="00FF4A8B"/>
    <w:rsid w:val="00FF70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o:shapelayout v:ext="edit">
      <o:idmap v:ext="edit" data="1"/>
    </o:shapelayout>
  </w:shapeDefaults>
  <w:decimalSymbol w:val="."/>
  <w:listSeparator w:val=","/>
  <w14:docId w14:val="699D1516"/>
  <w15:chartTrackingRefBased/>
  <w15:docId w15:val="{EFE17330-5912-4CD1-A3EC-305E963C3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uiPriority="0"/>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39" w:qFormat="1"/>
    <w:lsdException w:name="toc 2" w:uiPriority="39" w:qFormat="1"/>
    <w:lsdException w:name="toc 3" w:uiPriority="39" w:qFormat="1"/>
    <w:lsdException w:name="toc 4" w:uiPriority="39"/>
    <w:lsdException w:name="toc 5" w:locked="1" w:uiPriority="0"/>
    <w:lsdException w:name="toc 6" w:locked="1" w:uiPriority="0"/>
    <w:lsdException w:name="toc 7" w:locked="1" w:uiPriority="0"/>
    <w:lsdException w:name="toc 8" w:locked="1" w:uiPriority="0"/>
    <w:lsdException w:name="toc 9" w:locked="1" w:uiPriority="0"/>
    <w:lsdException w:name="Normal Indent" w:locked="1"/>
    <w:lsdException w:name="annotation text" w:locked="1"/>
    <w:lsdException w:name="index heading" w:locked="1" w:uiPriority="0"/>
    <w:lsdException w:name="caption" w:locked="1" w:semiHidden="1" w:uiPriority="0" w:unhideWhenUsed="1" w:qFormat="1"/>
    <w:lsdException w:name="table of figures" w:locked="1" w:uiPriority="0"/>
    <w:lsdException w:name="envelope address" w:locked="1"/>
    <w:lsdException w:name="envelope return" w:locked="1"/>
    <w:lsdException w:name="annotation reference" w:locked="1"/>
    <w:lsdException w:name="line number" w:locked="1"/>
    <w:lsdException w:name="page number" w:locked="1"/>
    <w:lsdException w:name="table of authorities" w:locked="1" w:uiPriority="0"/>
    <w:lsdException w:name="macro" w:locked="1" w:uiPriority="0"/>
    <w:lsdException w:name="toa heading" w:locked="1" w:uiPriority="0"/>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uiPriority="10" w:qFormat="1"/>
    <w:lsdException w:name="Closing" w:locked="1"/>
    <w:lsdException w:name="Signature" w:locked="1"/>
    <w:lsdException w:name="Default Paragraph Font" w:uiPriority="0"/>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uiPriority="1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FollowedHyperlink" w:locked="1"/>
    <w:lsdException w:name="Strong" w:uiPriority="22" w:qFormat="1"/>
    <w:lsdException w:name="Emphasis" w:locked="1" w:uiPriority="20" w:qFormat="1"/>
    <w:lsdException w:name="Document Map" w:locked="1" w:uiPriority="0"/>
    <w:lsdException w:name="Plain Text" w:locked="1"/>
    <w:lsdException w:name="E-mail Signature" w:locked="1"/>
    <w:lsdException w:name="HTML Top of Form" w:uiPriority="0"/>
    <w:lsdException w:name="HTML Bottom of Form" w:uiPriority="0"/>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semiHidden="1" w:unhideWhenUsed="1"/>
    <w:lsdException w:name="HTML Variable" w:locked="1"/>
    <w:lsdException w:name="Normal Table" w:semiHidden="1" w:uiPriority="0" w:unhideWhenUsed="1"/>
    <w:lsdException w:name="annotation subject" w:lock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BF6"/>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qFormat/>
    <w:rsid w:val="008007A8"/>
    <w:pPr>
      <w:keepNext/>
      <w:keepLines/>
      <w:numPr>
        <w:numId w:val="1"/>
      </w:numPr>
      <w:spacing w:before="360"/>
      <w:outlineLvl w:val="0"/>
    </w:pPr>
    <w:rPr>
      <w:b/>
      <w:bCs/>
      <w:sz w:val="28"/>
      <w:szCs w:val="28"/>
    </w:rPr>
  </w:style>
  <w:style w:type="paragraph" w:styleId="Heading2">
    <w:name w:val="heading 2"/>
    <w:basedOn w:val="Heading1"/>
    <w:next w:val="Normal"/>
    <w:link w:val="Heading2Char"/>
    <w:qFormat/>
    <w:rsid w:val="008007A8"/>
    <w:pPr>
      <w:numPr>
        <w:ilvl w:val="1"/>
      </w:numPr>
      <w:outlineLvl w:val="1"/>
    </w:pPr>
    <w:rPr>
      <w:bCs w:val="0"/>
      <w:i/>
      <w:color w:val="000000"/>
      <w:szCs w:val="26"/>
    </w:rPr>
  </w:style>
  <w:style w:type="paragraph" w:styleId="Heading3">
    <w:name w:val="heading 3"/>
    <w:basedOn w:val="Heading2"/>
    <w:next w:val="Normal"/>
    <w:link w:val="Heading3Char"/>
    <w:qFormat/>
    <w:rsid w:val="008007A8"/>
    <w:pPr>
      <w:numPr>
        <w:ilvl w:val="2"/>
      </w:numPr>
      <w:outlineLvl w:val="2"/>
    </w:pPr>
    <w:rPr>
      <w:b w:val="0"/>
      <w:bCs/>
      <w:color w:val="auto"/>
      <w:sz w:val="24"/>
    </w:rPr>
  </w:style>
  <w:style w:type="paragraph" w:styleId="Heading4">
    <w:name w:val="heading 4"/>
    <w:basedOn w:val="Heading3"/>
    <w:next w:val="Normal"/>
    <w:link w:val="Heading4Char"/>
    <w:qFormat/>
    <w:rsid w:val="008007A8"/>
    <w:pPr>
      <w:numPr>
        <w:ilvl w:val="3"/>
      </w:numPr>
      <w:outlineLvl w:val="3"/>
    </w:pPr>
    <w:rPr>
      <w:bCs w:val="0"/>
      <w:i w:val="0"/>
      <w:iCs/>
    </w:rPr>
  </w:style>
  <w:style w:type="paragraph" w:styleId="Heading5">
    <w:name w:val="heading 5"/>
    <w:basedOn w:val="Normal"/>
    <w:next w:val="Normal"/>
    <w:link w:val="Heading5Char"/>
    <w:qFormat/>
    <w:locked/>
    <w:rsid w:val="008007A8"/>
    <w:pPr>
      <w:keepNext/>
      <w:keepLines/>
      <w:numPr>
        <w:ilvl w:val="4"/>
        <w:numId w:val="1"/>
      </w:numPr>
      <w:spacing w:before="200"/>
      <w:outlineLvl w:val="4"/>
    </w:pPr>
    <w:rPr>
      <w:rFonts w:ascii="Cambria" w:hAnsi="Cambria"/>
      <w:color w:val="243F60"/>
    </w:rPr>
  </w:style>
  <w:style w:type="paragraph" w:styleId="Heading6">
    <w:name w:val="heading 6"/>
    <w:basedOn w:val="Normal"/>
    <w:next w:val="Normal"/>
    <w:link w:val="Heading6Char"/>
    <w:qFormat/>
    <w:locked/>
    <w:rsid w:val="008007A8"/>
    <w:pPr>
      <w:keepNext/>
      <w:keepLines/>
      <w:numPr>
        <w:ilvl w:val="5"/>
        <w:numId w:val="1"/>
      </w:numPr>
      <w:spacing w:before="200"/>
      <w:outlineLvl w:val="5"/>
    </w:pPr>
    <w:rPr>
      <w:rFonts w:ascii="Cambria" w:hAnsi="Cambria"/>
      <w:i/>
      <w:iCs/>
      <w:color w:val="243F60"/>
    </w:rPr>
  </w:style>
  <w:style w:type="paragraph" w:styleId="Heading7">
    <w:name w:val="heading 7"/>
    <w:basedOn w:val="Normal"/>
    <w:next w:val="Normal"/>
    <w:link w:val="Heading7Char"/>
    <w:qFormat/>
    <w:locked/>
    <w:rsid w:val="008007A8"/>
    <w:pPr>
      <w:keepNext/>
      <w:keepLines/>
      <w:numPr>
        <w:ilvl w:val="6"/>
        <w:numId w:val="1"/>
      </w:numPr>
      <w:spacing w:before="200"/>
      <w:outlineLvl w:val="6"/>
    </w:pPr>
    <w:rPr>
      <w:rFonts w:ascii="Cambria" w:hAnsi="Cambria"/>
      <w:i/>
      <w:iCs/>
      <w:color w:val="404040"/>
    </w:rPr>
  </w:style>
  <w:style w:type="paragraph" w:styleId="Heading8">
    <w:name w:val="heading 8"/>
    <w:basedOn w:val="Normal"/>
    <w:next w:val="Normal"/>
    <w:link w:val="Heading8Char"/>
    <w:qFormat/>
    <w:locked/>
    <w:rsid w:val="008007A8"/>
    <w:pPr>
      <w:keepNext/>
      <w:keepLines/>
      <w:numPr>
        <w:ilvl w:val="7"/>
        <w:numId w:val="1"/>
      </w:numPr>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8007A8"/>
    <w:pPr>
      <w:keepNext/>
      <w:keepLines/>
      <w:numPr>
        <w:ilvl w:val="8"/>
        <w:numId w:val="1"/>
      </w:numPr>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007A8"/>
    <w:rPr>
      <w:rFonts w:asciiTheme="minorHAnsi" w:eastAsiaTheme="minorHAnsi" w:hAnsiTheme="minorHAnsi" w:cstheme="minorBidi"/>
      <w:b/>
      <w:bCs/>
      <w:sz w:val="28"/>
      <w:szCs w:val="28"/>
      <w:lang w:eastAsia="en-US"/>
    </w:rPr>
  </w:style>
  <w:style w:type="character" w:customStyle="1" w:styleId="Heading2Char">
    <w:name w:val="Heading 2 Char"/>
    <w:link w:val="Heading2"/>
    <w:rsid w:val="008007A8"/>
    <w:rPr>
      <w:rFonts w:asciiTheme="minorHAnsi" w:eastAsiaTheme="minorHAnsi" w:hAnsiTheme="minorHAnsi" w:cstheme="minorBidi"/>
      <w:b/>
      <w:i/>
      <w:color w:val="000000"/>
      <w:sz w:val="28"/>
      <w:szCs w:val="26"/>
      <w:lang w:eastAsia="en-US"/>
    </w:rPr>
  </w:style>
  <w:style w:type="character" w:customStyle="1" w:styleId="Heading3Char">
    <w:name w:val="Heading 3 Char"/>
    <w:link w:val="Heading3"/>
    <w:rsid w:val="008007A8"/>
    <w:rPr>
      <w:rFonts w:asciiTheme="minorHAnsi" w:eastAsiaTheme="minorHAnsi" w:hAnsiTheme="minorHAnsi" w:cstheme="minorBidi"/>
      <w:bCs/>
      <w:i/>
      <w:sz w:val="24"/>
      <w:szCs w:val="26"/>
      <w:lang w:eastAsia="en-US"/>
    </w:rPr>
  </w:style>
  <w:style w:type="character" w:customStyle="1" w:styleId="Heading4Char">
    <w:name w:val="Heading 4 Char"/>
    <w:link w:val="Heading4"/>
    <w:rsid w:val="008007A8"/>
    <w:rPr>
      <w:rFonts w:asciiTheme="minorHAnsi" w:eastAsiaTheme="minorHAnsi" w:hAnsiTheme="minorHAnsi" w:cstheme="minorBidi"/>
      <w:iCs/>
      <w:sz w:val="24"/>
      <w:szCs w:val="26"/>
      <w:lang w:eastAsia="en-US"/>
    </w:rPr>
  </w:style>
  <w:style w:type="character" w:styleId="Strong">
    <w:name w:val="Strong"/>
    <w:uiPriority w:val="22"/>
    <w:qFormat/>
    <w:locked/>
    <w:rsid w:val="000B0A5D"/>
    <w:rPr>
      <w:b/>
      <w:bCs/>
    </w:rPr>
  </w:style>
  <w:style w:type="character" w:customStyle="1" w:styleId="Heading5Char">
    <w:name w:val="Heading 5 Char"/>
    <w:link w:val="Heading5"/>
    <w:rsid w:val="008007A8"/>
    <w:rPr>
      <w:rFonts w:ascii="Cambria" w:eastAsiaTheme="minorHAnsi" w:hAnsi="Cambria" w:cstheme="minorBidi"/>
      <w:color w:val="243F60"/>
      <w:sz w:val="22"/>
      <w:szCs w:val="22"/>
      <w:lang w:eastAsia="en-US"/>
    </w:rPr>
  </w:style>
  <w:style w:type="character" w:customStyle="1" w:styleId="Heading6Char">
    <w:name w:val="Heading 6 Char"/>
    <w:link w:val="Heading6"/>
    <w:rsid w:val="008007A8"/>
    <w:rPr>
      <w:rFonts w:ascii="Cambria" w:eastAsiaTheme="minorHAnsi" w:hAnsi="Cambria" w:cstheme="minorBidi"/>
      <w:i/>
      <w:iCs/>
      <w:color w:val="243F60"/>
      <w:sz w:val="22"/>
      <w:szCs w:val="22"/>
      <w:lang w:eastAsia="en-US"/>
    </w:rPr>
  </w:style>
  <w:style w:type="character" w:customStyle="1" w:styleId="Heading7Char">
    <w:name w:val="Heading 7 Char"/>
    <w:link w:val="Heading7"/>
    <w:rsid w:val="008007A8"/>
    <w:rPr>
      <w:rFonts w:ascii="Cambria" w:eastAsiaTheme="minorHAnsi" w:hAnsi="Cambria" w:cstheme="minorBidi"/>
      <w:i/>
      <w:iCs/>
      <w:color w:val="404040"/>
      <w:sz w:val="22"/>
      <w:szCs w:val="22"/>
      <w:lang w:eastAsia="en-US"/>
    </w:rPr>
  </w:style>
  <w:style w:type="character" w:customStyle="1" w:styleId="Heading8Char">
    <w:name w:val="Heading 8 Char"/>
    <w:link w:val="Heading8"/>
    <w:rsid w:val="008007A8"/>
    <w:rPr>
      <w:rFonts w:ascii="Cambria" w:eastAsiaTheme="minorHAnsi" w:hAnsi="Cambria" w:cstheme="minorBidi"/>
      <w:color w:val="404040"/>
      <w:lang w:eastAsia="en-US"/>
    </w:rPr>
  </w:style>
  <w:style w:type="character" w:customStyle="1" w:styleId="Heading9Char">
    <w:name w:val="Heading 9 Char"/>
    <w:link w:val="Heading9"/>
    <w:rsid w:val="008007A8"/>
    <w:rPr>
      <w:rFonts w:ascii="Cambria" w:eastAsiaTheme="minorHAnsi" w:hAnsi="Cambria" w:cstheme="minorBidi"/>
      <w:i/>
      <w:iCs/>
      <w:color w:val="404040"/>
      <w:lang w:eastAsia="en-US"/>
    </w:rPr>
  </w:style>
  <w:style w:type="paragraph" w:styleId="Header">
    <w:name w:val="header"/>
    <w:basedOn w:val="Normal"/>
    <w:link w:val="HeaderChar"/>
    <w:uiPriority w:val="99"/>
    <w:semiHidden/>
    <w:rsid w:val="0090165F"/>
    <w:pPr>
      <w:tabs>
        <w:tab w:val="center" w:pos="4513"/>
        <w:tab w:val="right" w:pos="9026"/>
      </w:tabs>
      <w:spacing w:after="0"/>
    </w:pPr>
  </w:style>
  <w:style w:type="character" w:customStyle="1" w:styleId="HeaderChar">
    <w:name w:val="Header Char"/>
    <w:link w:val="Header"/>
    <w:uiPriority w:val="99"/>
    <w:rsid w:val="0090165F"/>
    <w:rPr>
      <w:rFonts w:ascii="Arial" w:hAnsi="Arial"/>
      <w:sz w:val="22"/>
      <w:szCs w:val="24"/>
      <w:lang w:val="en-AU" w:eastAsia="en-AU" w:bidi="ar-SA"/>
    </w:rPr>
  </w:style>
  <w:style w:type="paragraph" w:styleId="Footer">
    <w:name w:val="footer"/>
    <w:basedOn w:val="Normal"/>
    <w:link w:val="FooterChar"/>
    <w:uiPriority w:val="99"/>
    <w:rsid w:val="0003606D"/>
    <w:pPr>
      <w:tabs>
        <w:tab w:val="right" w:pos="2835"/>
        <w:tab w:val="right" w:pos="5670"/>
      </w:tabs>
      <w:spacing w:after="60"/>
    </w:pPr>
    <w:rPr>
      <w:color w:val="404040"/>
      <w:sz w:val="18"/>
    </w:rPr>
  </w:style>
  <w:style w:type="character" w:customStyle="1" w:styleId="FooterChar">
    <w:name w:val="Footer Char"/>
    <w:link w:val="Footer"/>
    <w:uiPriority w:val="99"/>
    <w:rsid w:val="0003606D"/>
    <w:rPr>
      <w:rFonts w:ascii="Arial" w:eastAsia="MS Mincho" w:hAnsi="Arial"/>
      <w:color w:val="404040"/>
      <w:sz w:val="18"/>
      <w:szCs w:val="24"/>
    </w:rPr>
  </w:style>
  <w:style w:type="paragraph" w:styleId="TOC3">
    <w:name w:val="toc 3"/>
    <w:basedOn w:val="Normal"/>
    <w:next w:val="Normal"/>
    <w:autoRedefine/>
    <w:uiPriority w:val="39"/>
    <w:qFormat/>
    <w:locked/>
    <w:rsid w:val="00A92F92"/>
    <w:pPr>
      <w:tabs>
        <w:tab w:val="left" w:pos="1202"/>
        <w:tab w:val="right" w:leader="dot" w:pos="9060"/>
      </w:tabs>
      <w:spacing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uiPriority w:val="99"/>
    <w:semiHidden/>
    <w:locked/>
    <w:rsid w:val="0090165F"/>
    <w:pPr>
      <w:spacing w:after="120"/>
      <w:ind w:left="1132"/>
    </w:pPr>
  </w:style>
  <w:style w:type="numbering" w:styleId="111111">
    <w:name w:val="Outline List 2"/>
    <w:basedOn w:val="NoList"/>
    <w:uiPriority w:val="99"/>
    <w:semiHidden/>
    <w:locked/>
    <w:rsid w:val="00E45954"/>
    <w:pPr>
      <w:numPr>
        <w:numId w:val="12"/>
      </w:numPr>
    </w:pPr>
  </w:style>
  <w:style w:type="paragraph" w:styleId="TOC1">
    <w:name w:val="toc 1"/>
    <w:basedOn w:val="Normal"/>
    <w:next w:val="Normal"/>
    <w:autoRedefine/>
    <w:uiPriority w:val="39"/>
    <w:qFormat/>
    <w:locked/>
    <w:rsid w:val="00A92F92"/>
    <w:pPr>
      <w:tabs>
        <w:tab w:val="right" w:leader="dot" w:pos="9060"/>
      </w:tabs>
      <w:spacing w:after="0"/>
      <w:ind w:left="720" w:hanging="720"/>
    </w:pPr>
    <w:rPr>
      <w:b/>
      <w:noProof/>
    </w:rPr>
  </w:style>
  <w:style w:type="paragraph" w:styleId="TOC2">
    <w:name w:val="toc 2"/>
    <w:basedOn w:val="Normal"/>
    <w:next w:val="Normal"/>
    <w:autoRedefine/>
    <w:uiPriority w:val="39"/>
    <w:qFormat/>
    <w:locked/>
    <w:rsid w:val="00A92F92"/>
    <w:pPr>
      <w:tabs>
        <w:tab w:val="right" w:leader="dot" w:pos="9060"/>
      </w:tabs>
      <w:spacing w:after="0"/>
      <w:ind w:left="958" w:hanging="720"/>
    </w:pPr>
    <w:rPr>
      <w:b/>
      <w:i/>
      <w:noProof/>
    </w:rPr>
  </w:style>
  <w:style w:type="paragraph" w:styleId="TOC4">
    <w:name w:val="toc 4"/>
    <w:basedOn w:val="Normal"/>
    <w:next w:val="Normal"/>
    <w:autoRedefine/>
    <w:uiPriority w:val="39"/>
    <w:locked/>
    <w:rsid w:val="00C547D9"/>
    <w:pPr>
      <w:tabs>
        <w:tab w:val="left" w:pos="1440"/>
        <w:tab w:val="right" w:leader="dot" w:pos="9060"/>
      </w:tabs>
      <w:spacing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Normal"/>
    <w:next w:val="Normal"/>
    <w:uiPriority w:val="39"/>
    <w:qFormat/>
    <w:locked/>
    <w:rsid w:val="007540BF"/>
    <w:pPr>
      <w:spacing w:after="360"/>
    </w:pPr>
    <w:rPr>
      <w:b/>
      <w:color w:val="000000"/>
      <w:lang w:val="en-US"/>
    </w:rPr>
  </w:style>
  <w:style w:type="paragraph" w:styleId="EndnoteText">
    <w:name w:val="endnote text"/>
    <w:basedOn w:val="Normal"/>
    <w:link w:val="EndnoteTextChar1"/>
    <w:uiPriority w:val="99"/>
    <w:semiHidden/>
    <w:rsid w:val="000E130A"/>
    <w:pPr>
      <w:spacing w:after="0"/>
    </w:pPr>
    <w:rPr>
      <w:sz w:val="20"/>
      <w:szCs w:val="20"/>
    </w:rPr>
  </w:style>
  <w:style w:type="character" w:customStyle="1" w:styleId="EndnoteTextChar1">
    <w:name w:val="Endnote Text Char1"/>
    <w:link w:val="EndnoteText"/>
    <w:uiPriority w:val="99"/>
    <w:rsid w:val="000E130A"/>
    <w:rPr>
      <w:rFonts w:ascii="Arial" w:eastAsia="MS Mincho" w:hAnsi="Arial"/>
      <w:lang w:val="en-AU" w:eastAsia="en-AU" w:bidi="ar-SA"/>
    </w:rPr>
  </w:style>
  <w:style w:type="character" w:styleId="EndnoteReference">
    <w:name w:val="endnote reference"/>
    <w:uiPriority w:val="99"/>
    <w:semiHidden/>
    <w:rsid w:val="000A1DB8"/>
    <w:rPr>
      <w:rFonts w:ascii="Arial" w:hAnsi="Arial"/>
      <w:sz w:val="20"/>
      <w:vertAlign w:val="superscript"/>
    </w:rPr>
  </w:style>
  <w:style w:type="numbering" w:styleId="1ai">
    <w:name w:val="Outline List 1"/>
    <w:basedOn w:val="NoList"/>
    <w:uiPriority w:val="99"/>
    <w:semiHidden/>
    <w:locked/>
    <w:rsid w:val="00E45954"/>
    <w:pPr>
      <w:numPr>
        <w:numId w:val="13"/>
      </w:numPr>
    </w:pPr>
  </w:style>
  <w:style w:type="numbering" w:styleId="ArticleSection">
    <w:name w:val="Outline List 3"/>
    <w:basedOn w:val="NoList"/>
    <w:uiPriority w:val="99"/>
    <w:semiHidden/>
    <w:locked/>
    <w:rsid w:val="00E45954"/>
    <w:pPr>
      <w:numPr>
        <w:numId w:val="14"/>
      </w:numPr>
    </w:pPr>
  </w:style>
  <w:style w:type="paragraph" w:styleId="BlockText">
    <w:name w:val="Block Text"/>
    <w:basedOn w:val="Normal"/>
    <w:uiPriority w:val="99"/>
    <w:semiHidden/>
    <w:locked/>
    <w:rsid w:val="00E45954"/>
    <w:pPr>
      <w:spacing w:after="120"/>
      <w:ind w:left="1440" w:right="1440"/>
    </w:pPr>
  </w:style>
  <w:style w:type="paragraph" w:styleId="BodyText">
    <w:name w:val="Body Text"/>
    <w:basedOn w:val="Normal"/>
    <w:link w:val="BodyTextChar"/>
    <w:uiPriority w:val="99"/>
    <w:semiHidden/>
    <w:locked/>
    <w:rsid w:val="00E45954"/>
    <w:pPr>
      <w:spacing w:after="120"/>
    </w:pPr>
  </w:style>
  <w:style w:type="paragraph" w:styleId="BodyText2">
    <w:name w:val="Body Text 2"/>
    <w:basedOn w:val="Normal"/>
    <w:link w:val="BodyText2Char"/>
    <w:uiPriority w:val="99"/>
    <w:semiHidden/>
    <w:locked/>
    <w:rsid w:val="00E45954"/>
    <w:pPr>
      <w:spacing w:after="120" w:line="480" w:lineRule="auto"/>
    </w:pPr>
  </w:style>
  <w:style w:type="paragraph" w:styleId="BodyText3">
    <w:name w:val="Body Text 3"/>
    <w:basedOn w:val="Normal"/>
    <w:link w:val="BodyText3Char"/>
    <w:uiPriority w:val="99"/>
    <w:semiHidden/>
    <w:locked/>
    <w:rsid w:val="00E45954"/>
    <w:pPr>
      <w:spacing w:after="120"/>
    </w:pPr>
    <w:rPr>
      <w:sz w:val="16"/>
      <w:szCs w:val="16"/>
    </w:rPr>
  </w:style>
  <w:style w:type="paragraph" w:styleId="BodyTextFirstIndent">
    <w:name w:val="Body Text First Indent"/>
    <w:basedOn w:val="BodyText"/>
    <w:link w:val="BodyTextFirstIndentChar"/>
    <w:uiPriority w:val="99"/>
    <w:semiHidden/>
    <w:locked/>
    <w:rsid w:val="00E45954"/>
    <w:pPr>
      <w:ind w:firstLine="210"/>
    </w:pPr>
  </w:style>
  <w:style w:type="paragraph" w:styleId="BodyTextIndent">
    <w:name w:val="Body Text Indent"/>
    <w:basedOn w:val="Normal"/>
    <w:link w:val="BodyTextIndentChar"/>
    <w:uiPriority w:val="99"/>
    <w:semiHidden/>
    <w:locked/>
    <w:rsid w:val="00E45954"/>
    <w:pPr>
      <w:spacing w:after="120"/>
      <w:ind w:left="283"/>
    </w:pPr>
  </w:style>
  <w:style w:type="paragraph" w:styleId="BodyTextFirstIndent2">
    <w:name w:val="Body Text First Indent 2"/>
    <w:basedOn w:val="BodyTextIndent"/>
    <w:link w:val="BodyTextFirstIndent2Char"/>
    <w:uiPriority w:val="99"/>
    <w:semiHidden/>
    <w:locked/>
    <w:rsid w:val="00E45954"/>
    <w:pPr>
      <w:ind w:firstLine="210"/>
    </w:pPr>
  </w:style>
  <w:style w:type="paragraph" w:styleId="BodyTextIndent2">
    <w:name w:val="Body Text Indent 2"/>
    <w:basedOn w:val="Normal"/>
    <w:link w:val="BodyTextIndent2Char"/>
    <w:uiPriority w:val="99"/>
    <w:semiHidden/>
    <w:locked/>
    <w:rsid w:val="00E45954"/>
    <w:pPr>
      <w:spacing w:after="120" w:line="480" w:lineRule="auto"/>
      <w:ind w:left="283"/>
    </w:pPr>
  </w:style>
  <w:style w:type="paragraph" w:styleId="BodyTextIndent3">
    <w:name w:val="Body Text Indent 3"/>
    <w:basedOn w:val="Normal"/>
    <w:link w:val="BodyTextIndent3Char"/>
    <w:uiPriority w:val="99"/>
    <w:semiHidden/>
    <w:locked/>
    <w:rsid w:val="00E45954"/>
    <w:pPr>
      <w:spacing w:after="120"/>
      <w:ind w:left="283"/>
    </w:pPr>
    <w:rPr>
      <w:sz w:val="16"/>
      <w:szCs w:val="16"/>
    </w:rPr>
  </w:style>
  <w:style w:type="paragraph" w:styleId="Closing">
    <w:name w:val="Closing"/>
    <w:basedOn w:val="Normal"/>
    <w:link w:val="ClosingChar"/>
    <w:uiPriority w:val="99"/>
    <w:semiHidden/>
    <w:locked/>
    <w:rsid w:val="00E45954"/>
    <w:pPr>
      <w:ind w:left="4252"/>
    </w:pPr>
  </w:style>
  <w:style w:type="paragraph" w:styleId="Date">
    <w:name w:val="Date"/>
    <w:basedOn w:val="Normal"/>
    <w:next w:val="Normal"/>
    <w:link w:val="DateChar"/>
    <w:uiPriority w:val="99"/>
    <w:semiHidden/>
    <w:locked/>
    <w:rsid w:val="00C33104"/>
    <w:pPr>
      <w:spacing w:before="120" w:after="120"/>
      <w:jc w:val="right"/>
    </w:pPr>
    <w:rPr>
      <w:color w:val="595959"/>
      <w:sz w:val="26"/>
    </w:rPr>
  </w:style>
  <w:style w:type="paragraph" w:styleId="E-mailSignature">
    <w:name w:val="E-mail Signature"/>
    <w:basedOn w:val="Normal"/>
    <w:link w:val="E-mailSignatureChar"/>
    <w:uiPriority w:val="99"/>
    <w:semiHidden/>
    <w:locked/>
    <w:rsid w:val="00E45954"/>
  </w:style>
  <w:style w:type="character" w:styleId="Emphasis">
    <w:name w:val="Emphasis"/>
    <w:uiPriority w:val="20"/>
    <w:qFormat/>
    <w:locked/>
    <w:rsid w:val="00E45954"/>
    <w:rPr>
      <w:i/>
      <w:iCs/>
    </w:rPr>
  </w:style>
  <w:style w:type="paragraph" w:styleId="EnvelopeAddress">
    <w:name w:val="envelope address"/>
    <w:basedOn w:val="Normal"/>
    <w:uiPriority w:val="99"/>
    <w:semiHidden/>
    <w:locked/>
    <w:rsid w:val="000A1DB8"/>
    <w:pPr>
      <w:framePr w:w="7920" w:h="1980" w:hRule="exact" w:hSpace="180" w:wrap="auto" w:hAnchor="page" w:xAlign="center" w:yAlign="bottom"/>
      <w:spacing w:after="0"/>
      <w:ind w:left="2880"/>
    </w:pPr>
    <w:rPr>
      <w:rFonts w:cs="Arial"/>
    </w:rPr>
  </w:style>
  <w:style w:type="paragraph" w:styleId="EnvelopeReturn">
    <w:name w:val="envelope return"/>
    <w:basedOn w:val="Normal"/>
    <w:uiPriority w:val="99"/>
    <w:semiHidden/>
    <w:locked/>
    <w:rsid w:val="00E45954"/>
    <w:rPr>
      <w:rFonts w:cs="Arial"/>
      <w:sz w:val="20"/>
      <w:szCs w:val="20"/>
    </w:rPr>
  </w:style>
  <w:style w:type="character" w:styleId="FootnoteReference">
    <w:name w:val="footnote reference"/>
    <w:uiPriority w:val="99"/>
    <w:semiHidden/>
    <w:rsid w:val="000A1DB8"/>
    <w:rPr>
      <w:rFonts w:ascii="Arial" w:hAnsi="Arial"/>
      <w:sz w:val="20"/>
      <w:vertAlign w:val="superscript"/>
    </w:rPr>
  </w:style>
  <w:style w:type="paragraph" w:styleId="FootnoteText">
    <w:name w:val="footnote text"/>
    <w:basedOn w:val="Normal"/>
    <w:link w:val="FootnoteTextChar"/>
    <w:uiPriority w:val="99"/>
    <w:semiHidden/>
    <w:rsid w:val="000E130A"/>
    <w:pPr>
      <w:spacing w:after="0"/>
    </w:pPr>
    <w:rPr>
      <w:sz w:val="20"/>
      <w:szCs w:val="20"/>
    </w:rPr>
  </w:style>
  <w:style w:type="character" w:styleId="HTMLAcronym">
    <w:name w:val="HTML Acronym"/>
    <w:basedOn w:val="DefaultParagraphFont"/>
    <w:uiPriority w:val="99"/>
    <w:semiHidden/>
    <w:locked/>
    <w:rsid w:val="00E45954"/>
  </w:style>
  <w:style w:type="paragraph" w:styleId="HTMLAddress">
    <w:name w:val="HTML Address"/>
    <w:basedOn w:val="Normal"/>
    <w:link w:val="HTMLAddressChar"/>
    <w:uiPriority w:val="99"/>
    <w:semiHidden/>
    <w:locked/>
    <w:rsid w:val="00E45954"/>
    <w:rPr>
      <w:i/>
      <w:iCs/>
    </w:rPr>
  </w:style>
  <w:style w:type="character" w:styleId="HTMLCite">
    <w:name w:val="HTML Cite"/>
    <w:uiPriority w:val="99"/>
    <w:semiHidden/>
    <w:locked/>
    <w:rsid w:val="00E45954"/>
    <w:rPr>
      <w:i/>
      <w:iCs/>
    </w:rPr>
  </w:style>
  <w:style w:type="character" w:styleId="HTMLCode">
    <w:name w:val="HTML Code"/>
    <w:uiPriority w:val="99"/>
    <w:semiHidden/>
    <w:locked/>
    <w:rsid w:val="00E45954"/>
    <w:rPr>
      <w:rFonts w:ascii="Courier New" w:hAnsi="Courier New" w:cs="Courier New"/>
      <w:sz w:val="20"/>
      <w:szCs w:val="20"/>
    </w:rPr>
  </w:style>
  <w:style w:type="character" w:styleId="HTMLDefinition">
    <w:name w:val="HTML Definition"/>
    <w:uiPriority w:val="99"/>
    <w:semiHidden/>
    <w:locked/>
    <w:rsid w:val="00E45954"/>
    <w:rPr>
      <w:i/>
      <w:iCs/>
    </w:rPr>
  </w:style>
  <w:style w:type="character" w:styleId="HTMLKeyboard">
    <w:name w:val="HTML Keyboard"/>
    <w:uiPriority w:val="99"/>
    <w:semiHidden/>
    <w:locked/>
    <w:rsid w:val="00E45954"/>
    <w:rPr>
      <w:rFonts w:ascii="Courier New" w:hAnsi="Courier New" w:cs="Courier New"/>
      <w:sz w:val="20"/>
      <w:szCs w:val="20"/>
    </w:rPr>
  </w:style>
  <w:style w:type="paragraph" w:styleId="HTMLPreformatted">
    <w:name w:val="HTML Preformatted"/>
    <w:basedOn w:val="Normal"/>
    <w:link w:val="HTMLPreformattedChar"/>
    <w:uiPriority w:val="99"/>
    <w:semiHidden/>
    <w:locked/>
    <w:rsid w:val="00E45954"/>
    <w:rPr>
      <w:rFonts w:ascii="Courier New" w:hAnsi="Courier New" w:cs="Courier New"/>
      <w:sz w:val="20"/>
      <w:szCs w:val="20"/>
    </w:rPr>
  </w:style>
  <w:style w:type="character" w:styleId="HTMLSample">
    <w:name w:val="HTML Sample"/>
    <w:uiPriority w:val="99"/>
    <w:semiHidden/>
    <w:locked/>
    <w:rsid w:val="00E45954"/>
    <w:rPr>
      <w:rFonts w:ascii="Courier New" w:hAnsi="Courier New" w:cs="Courier New"/>
    </w:rPr>
  </w:style>
  <w:style w:type="character" w:styleId="HTMLTypewriter">
    <w:name w:val="HTML Typewriter"/>
    <w:uiPriority w:val="99"/>
    <w:semiHidden/>
    <w:locked/>
    <w:rsid w:val="00E45954"/>
    <w:rPr>
      <w:rFonts w:ascii="Courier New" w:hAnsi="Courier New" w:cs="Courier New"/>
      <w:sz w:val="20"/>
      <w:szCs w:val="20"/>
    </w:rPr>
  </w:style>
  <w:style w:type="character" w:styleId="HTMLVariable">
    <w:name w:val="HTML Variable"/>
    <w:uiPriority w:val="99"/>
    <w:semiHidden/>
    <w:locked/>
    <w:rsid w:val="00E45954"/>
    <w:rPr>
      <w:i/>
      <w:iCs/>
    </w:rPr>
  </w:style>
  <w:style w:type="character" w:styleId="LineNumber">
    <w:name w:val="line number"/>
    <w:basedOn w:val="DefaultParagraphFont"/>
    <w:uiPriority w:val="99"/>
    <w:semiHidden/>
    <w:locked/>
    <w:rsid w:val="00E45954"/>
  </w:style>
  <w:style w:type="paragraph" w:styleId="List">
    <w:name w:val="List"/>
    <w:basedOn w:val="Normal"/>
    <w:uiPriority w:val="99"/>
    <w:semiHidden/>
    <w:locked/>
    <w:rsid w:val="00E45954"/>
    <w:pPr>
      <w:ind w:left="283" w:hanging="283"/>
    </w:pPr>
  </w:style>
  <w:style w:type="paragraph" w:styleId="List2">
    <w:name w:val="List 2"/>
    <w:basedOn w:val="Normal"/>
    <w:uiPriority w:val="99"/>
    <w:semiHidden/>
    <w:locked/>
    <w:rsid w:val="00E45954"/>
    <w:pPr>
      <w:ind w:left="566" w:hanging="283"/>
    </w:pPr>
  </w:style>
  <w:style w:type="paragraph" w:styleId="List3">
    <w:name w:val="List 3"/>
    <w:basedOn w:val="Normal"/>
    <w:uiPriority w:val="99"/>
    <w:semiHidden/>
    <w:locked/>
    <w:rsid w:val="00E45954"/>
    <w:pPr>
      <w:ind w:left="849" w:hanging="283"/>
    </w:pPr>
  </w:style>
  <w:style w:type="paragraph" w:styleId="List4">
    <w:name w:val="List 4"/>
    <w:basedOn w:val="Normal"/>
    <w:uiPriority w:val="99"/>
    <w:semiHidden/>
    <w:locked/>
    <w:rsid w:val="00E45954"/>
    <w:pPr>
      <w:ind w:left="1132" w:hanging="283"/>
    </w:pPr>
  </w:style>
  <w:style w:type="paragraph" w:styleId="List5">
    <w:name w:val="List 5"/>
    <w:basedOn w:val="Normal"/>
    <w:uiPriority w:val="99"/>
    <w:semiHidden/>
    <w:locked/>
    <w:rsid w:val="00E45954"/>
    <w:pPr>
      <w:ind w:left="1415" w:hanging="283"/>
    </w:pPr>
  </w:style>
  <w:style w:type="paragraph" w:styleId="ListBullet">
    <w:name w:val="List Bullet"/>
    <w:basedOn w:val="Normal"/>
    <w:uiPriority w:val="99"/>
    <w:semiHidden/>
    <w:locked/>
    <w:rsid w:val="00E45954"/>
    <w:pPr>
      <w:numPr>
        <w:numId w:val="2"/>
      </w:numPr>
    </w:pPr>
  </w:style>
  <w:style w:type="paragraph" w:styleId="ListBullet2">
    <w:name w:val="List Bullet 2"/>
    <w:basedOn w:val="Normal"/>
    <w:uiPriority w:val="99"/>
    <w:semiHidden/>
    <w:locked/>
    <w:rsid w:val="00E45954"/>
    <w:pPr>
      <w:numPr>
        <w:numId w:val="3"/>
      </w:numPr>
    </w:pPr>
  </w:style>
  <w:style w:type="paragraph" w:styleId="ListBullet3">
    <w:name w:val="List Bullet 3"/>
    <w:basedOn w:val="Normal"/>
    <w:uiPriority w:val="99"/>
    <w:semiHidden/>
    <w:locked/>
    <w:rsid w:val="00E45954"/>
    <w:pPr>
      <w:numPr>
        <w:numId w:val="4"/>
      </w:numPr>
    </w:pPr>
  </w:style>
  <w:style w:type="paragraph" w:styleId="ListBullet4">
    <w:name w:val="List Bullet 4"/>
    <w:basedOn w:val="Normal"/>
    <w:uiPriority w:val="99"/>
    <w:semiHidden/>
    <w:locked/>
    <w:rsid w:val="00E45954"/>
    <w:pPr>
      <w:numPr>
        <w:numId w:val="5"/>
      </w:numPr>
    </w:pPr>
  </w:style>
  <w:style w:type="paragraph" w:styleId="ListBullet5">
    <w:name w:val="List Bullet 5"/>
    <w:basedOn w:val="Normal"/>
    <w:uiPriority w:val="99"/>
    <w:semiHidden/>
    <w:locked/>
    <w:rsid w:val="00E45954"/>
    <w:pPr>
      <w:numPr>
        <w:numId w:val="6"/>
      </w:numPr>
    </w:pPr>
  </w:style>
  <w:style w:type="paragraph" w:styleId="ListContinue">
    <w:name w:val="List Continue"/>
    <w:basedOn w:val="Normal"/>
    <w:uiPriority w:val="99"/>
    <w:semiHidden/>
    <w:locked/>
    <w:rsid w:val="00E45954"/>
    <w:pPr>
      <w:spacing w:after="120"/>
      <w:ind w:left="283"/>
    </w:pPr>
  </w:style>
  <w:style w:type="paragraph" w:styleId="ListContinue2">
    <w:name w:val="List Continue 2"/>
    <w:basedOn w:val="Normal"/>
    <w:uiPriority w:val="99"/>
    <w:semiHidden/>
    <w:locked/>
    <w:rsid w:val="00E45954"/>
    <w:pPr>
      <w:spacing w:after="120"/>
      <w:ind w:left="566"/>
    </w:pPr>
  </w:style>
  <w:style w:type="paragraph" w:styleId="ListContinue3">
    <w:name w:val="List Continue 3"/>
    <w:basedOn w:val="Normal"/>
    <w:uiPriority w:val="99"/>
    <w:semiHidden/>
    <w:locked/>
    <w:rsid w:val="00E45954"/>
    <w:pPr>
      <w:spacing w:after="120"/>
      <w:ind w:left="849"/>
    </w:pPr>
  </w:style>
  <w:style w:type="paragraph" w:styleId="ListContinue5">
    <w:name w:val="List Continue 5"/>
    <w:basedOn w:val="Normal"/>
    <w:uiPriority w:val="99"/>
    <w:semiHidden/>
    <w:locked/>
    <w:rsid w:val="00E45954"/>
    <w:pPr>
      <w:spacing w:after="120"/>
      <w:ind w:left="1415"/>
    </w:pPr>
  </w:style>
  <w:style w:type="paragraph" w:styleId="ListNumber">
    <w:name w:val="List Number"/>
    <w:basedOn w:val="Normal"/>
    <w:uiPriority w:val="99"/>
    <w:semiHidden/>
    <w:locked/>
    <w:rsid w:val="00E45954"/>
    <w:pPr>
      <w:numPr>
        <w:numId w:val="7"/>
      </w:numPr>
    </w:pPr>
  </w:style>
  <w:style w:type="paragraph" w:styleId="ListNumber2">
    <w:name w:val="List Number 2"/>
    <w:basedOn w:val="Normal"/>
    <w:uiPriority w:val="99"/>
    <w:semiHidden/>
    <w:locked/>
    <w:rsid w:val="00E45954"/>
    <w:pPr>
      <w:numPr>
        <w:numId w:val="10"/>
      </w:numPr>
    </w:pPr>
  </w:style>
  <w:style w:type="paragraph" w:styleId="ListNumber3">
    <w:name w:val="List Number 3"/>
    <w:basedOn w:val="Normal"/>
    <w:uiPriority w:val="99"/>
    <w:semiHidden/>
    <w:locked/>
    <w:rsid w:val="00E45954"/>
    <w:pPr>
      <w:numPr>
        <w:numId w:val="11"/>
      </w:numPr>
    </w:pPr>
  </w:style>
  <w:style w:type="paragraph" w:styleId="ListNumber4">
    <w:name w:val="List Number 4"/>
    <w:basedOn w:val="Normal"/>
    <w:uiPriority w:val="99"/>
    <w:semiHidden/>
    <w:locked/>
    <w:rsid w:val="00E45954"/>
    <w:pPr>
      <w:numPr>
        <w:numId w:val="8"/>
      </w:numPr>
    </w:pPr>
  </w:style>
  <w:style w:type="paragraph" w:styleId="ListNumber5">
    <w:name w:val="List Number 5"/>
    <w:basedOn w:val="Normal"/>
    <w:uiPriority w:val="99"/>
    <w:semiHidden/>
    <w:locked/>
    <w:rsid w:val="00E45954"/>
    <w:pPr>
      <w:numPr>
        <w:numId w:val="9"/>
      </w:numPr>
    </w:pPr>
  </w:style>
  <w:style w:type="paragraph" w:styleId="MessageHeader">
    <w:name w:val="Message Header"/>
    <w:basedOn w:val="Normal"/>
    <w:link w:val="MessageHeaderChar"/>
    <w:uiPriority w:val="99"/>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locked/>
    <w:rsid w:val="00E45954"/>
    <w:rPr>
      <w:rFonts w:ascii="Times New Roman" w:hAnsi="Times New Roman"/>
    </w:rPr>
  </w:style>
  <w:style w:type="paragraph" w:styleId="NormalIndent">
    <w:name w:val="Normal Indent"/>
    <w:basedOn w:val="Normal"/>
    <w:uiPriority w:val="99"/>
    <w:semiHidden/>
    <w:locked/>
    <w:rsid w:val="00E45954"/>
    <w:pPr>
      <w:ind w:left="720"/>
    </w:pPr>
  </w:style>
  <w:style w:type="paragraph" w:styleId="NoteHeading">
    <w:name w:val="Note Heading"/>
    <w:basedOn w:val="Normal"/>
    <w:next w:val="Normal"/>
    <w:link w:val="NoteHeadingChar"/>
    <w:uiPriority w:val="99"/>
    <w:semiHidden/>
    <w:locked/>
    <w:rsid w:val="00E45954"/>
  </w:style>
  <w:style w:type="character" w:styleId="PageNumber">
    <w:name w:val="page number"/>
    <w:basedOn w:val="DefaultParagraphFont"/>
    <w:uiPriority w:val="99"/>
    <w:semiHidden/>
    <w:locked/>
    <w:rsid w:val="00E45954"/>
  </w:style>
  <w:style w:type="paragraph" w:styleId="PlainText">
    <w:name w:val="Plain Text"/>
    <w:basedOn w:val="Normal"/>
    <w:link w:val="PlainTextChar"/>
    <w:uiPriority w:val="99"/>
    <w:semiHidden/>
    <w:locked/>
    <w:rsid w:val="00E45954"/>
    <w:rPr>
      <w:rFonts w:ascii="Courier New" w:hAnsi="Courier New" w:cs="Courier New"/>
      <w:sz w:val="20"/>
      <w:szCs w:val="20"/>
    </w:rPr>
  </w:style>
  <w:style w:type="paragraph" w:styleId="Salutation">
    <w:name w:val="Salutation"/>
    <w:basedOn w:val="Normal"/>
    <w:next w:val="Normal"/>
    <w:link w:val="SalutationChar"/>
    <w:uiPriority w:val="99"/>
    <w:semiHidden/>
    <w:locked/>
    <w:rsid w:val="00E45954"/>
  </w:style>
  <w:style w:type="paragraph" w:styleId="Signature">
    <w:name w:val="Signature"/>
    <w:basedOn w:val="Normal"/>
    <w:link w:val="SignatureChar"/>
    <w:uiPriority w:val="99"/>
    <w:semiHidden/>
    <w:locked/>
    <w:rsid w:val="00E45954"/>
    <w:pPr>
      <w:ind w:left="4252"/>
    </w:pPr>
  </w:style>
  <w:style w:type="paragraph" w:styleId="Subtitle">
    <w:name w:val="Subtitle"/>
    <w:basedOn w:val="Normal"/>
    <w:link w:val="SubtitleChar"/>
    <w:uiPriority w:val="11"/>
    <w:qFormat/>
    <w:locked/>
    <w:rsid w:val="00323C73"/>
    <w:pPr>
      <w:spacing w:before="40" w:after="0"/>
      <w:jc w:val="right"/>
      <w:outlineLvl w:val="1"/>
    </w:pPr>
    <w:rPr>
      <w:rFonts w:cs="Arial"/>
      <w:b/>
      <w:caps/>
      <w:sz w:val="26"/>
    </w:rPr>
  </w:style>
  <w:style w:type="table" w:styleId="Table3Deffects1">
    <w:name w:val="Table 3D effects 1"/>
    <w:basedOn w:val="TableNormal"/>
    <w:uiPriority w:val="99"/>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qFormat/>
    <w:locked/>
    <w:rsid w:val="00E45954"/>
    <w:pPr>
      <w:spacing w:after="60"/>
      <w:jc w:val="center"/>
      <w:outlineLvl w:val="0"/>
    </w:pPr>
    <w:rPr>
      <w:rFonts w:cs="Arial"/>
      <w:b/>
      <w:bCs/>
      <w:kern w:val="28"/>
      <w:sz w:val="32"/>
      <w:szCs w:val="32"/>
    </w:rPr>
  </w:style>
  <w:style w:type="character" w:styleId="FollowedHyperlink">
    <w:name w:val="FollowedHyperlink"/>
    <w:uiPriority w:val="99"/>
    <w:semiHidden/>
    <w:locked/>
    <w:rsid w:val="00E45954"/>
    <w:rPr>
      <w:color w:val="800080"/>
      <w:u w:val="single"/>
    </w:rPr>
  </w:style>
  <w:style w:type="paragraph" w:customStyle="1" w:styleId="MainTitle">
    <w:name w:val="Main Title"/>
    <w:semiHidden/>
    <w:qFormat/>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color w:val="000000"/>
      <w:sz w:val="1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line="320" w:lineRule="exact"/>
    </w:pPr>
    <w:rPr>
      <w:rFonts w:cs="ArialMT"/>
      <w:b/>
      <w:color w:val="808080"/>
      <w:spacing w:val="-20"/>
      <w:sz w:val="32"/>
    </w:rPr>
  </w:style>
  <w:style w:type="paragraph" w:styleId="BalloonText">
    <w:name w:val="Balloon Text"/>
    <w:basedOn w:val="Normal"/>
    <w:link w:val="BalloonTextChar"/>
    <w:uiPriority w:val="99"/>
    <w:semiHidden/>
    <w:locked/>
    <w:rsid w:val="00A96892"/>
    <w:pPr>
      <w:spacing w:after="0"/>
    </w:pPr>
    <w:rPr>
      <w:rFonts w:ascii="Tahoma" w:hAnsi="Tahoma" w:cs="Tahoma"/>
      <w:sz w:val="16"/>
      <w:szCs w:val="16"/>
    </w:rPr>
  </w:style>
  <w:style w:type="character" w:customStyle="1" w:styleId="BalloonTextChar">
    <w:name w:val="Balloon Text Char"/>
    <w:link w:val="BalloonText"/>
    <w:uiPriority w:val="99"/>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uiPriority w:val="99"/>
    <w:locked/>
    <w:rsid w:val="00EB6A76"/>
    <w:rPr>
      <w:rFonts w:ascii="Arial" w:hAnsi="Arial"/>
      <w:lang w:bidi="ar-SA"/>
    </w:rPr>
  </w:style>
  <w:style w:type="character" w:customStyle="1" w:styleId="SubtitleChar">
    <w:name w:val="Subtitle Char"/>
    <w:link w:val="Subtitle"/>
    <w:uiPriority w:val="11"/>
    <w:rsid w:val="00323C73"/>
    <w:rPr>
      <w:rFonts w:ascii="Arial" w:eastAsia="MS Mincho" w:hAnsi="Arial" w:cs="Arial"/>
      <w:b/>
      <w:caps/>
      <w:sz w:val="26"/>
      <w:szCs w:val="24"/>
    </w:rPr>
  </w:style>
  <w:style w:type="paragraph" w:customStyle="1" w:styleId="SubmissionNormal">
    <w:name w:val="Submission Normal"/>
    <w:basedOn w:val="Normal"/>
    <w:link w:val="SubmissionNormalChar"/>
    <w:rsid w:val="00B34946"/>
    <w:pPr>
      <w:numPr>
        <w:numId w:val="15"/>
      </w:numPr>
    </w:pPr>
    <w:rPr>
      <w:rFonts w:eastAsia="Times New Roman"/>
    </w:rPr>
  </w:style>
  <w:style w:type="character" w:customStyle="1" w:styleId="SubmissionNormalChar">
    <w:name w:val="Submission Normal Char"/>
    <w:link w:val="SubmissionNormal"/>
    <w:rsid w:val="00B34946"/>
    <w:rPr>
      <w:rFonts w:asciiTheme="minorHAnsi" w:hAnsiTheme="minorHAnsi" w:cstheme="minorBidi"/>
      <w:sz w:val="22"/>
      <w:szCs w:val="22"/>
      <w:lang w:eastAsia="en-US"/>
    </w:rPr>
  </w:style>
  <w:style w:type="paragraph" w:customStyle="1" w:styleId="coveraddresses">
    <w:name w:val="cover addresses"/>
    <w:basedOn w:val="Footer"/>
    <w:qFormat/>
    <w:rsid w:val="0003606D"/>
    <w:pPr>
      <w:spacing w:after="40"/>
    </w:pPr>
    <w:rPr>
      <w:sz w:val="16"/>
      <w:szCs w:val="16"/>
    </w:rPr>
  </w:style>
  <w:style w:type="character" w:customStyle="1" w:styleId="apple-converted-space">
    <w:name w:val="apple-converted-space"/>
    <w:basedOn w:val="DefaultParagraphFont"/>
    <w:rsid w:val="00631D40"/>
  </w:style>
  <w:style w:type="paragraph" w:styleId="CommentText">
    <w:name w:val="annotation text"/>
    <w:basedOn w:val="Normal"/>
    <w:link w:val="CommentTextChar"/>
    <w:uiPriority w:val="99"/>
    <w:locked/>
    <w:rsid w:val="00E528B8"/>
    <w:rPr>
      <w:rFonts w:eastAsia="Times New Roman"/>
      <w:color w:val="000000"/>
      <w:sz w:val="20"/>
      <w:szCs w:val="20"/>
    </w:rPr>
  </w:style>
  <w:style w:type="character" w:customStyle="1" w:styleId="CommentTextChar">
    <w:name w:val="Comment Text Char"/>
    <w:basedOn w:val="DefaultParagraphFont"/>
    <w:link w:val="CommentText"/>
    <w:uiPriority w:val="99"/>
    <w:rsid w:val="00E528B8"/>
    <w:rPr>
      <w:rFonts w:ascii="Arial" w:hAnsi="Arial"/>
      <w:color w:val="000000"/>
      <w:lang w:eastAsia="en-US"/>
    </w:rPr>
  </w:style>
  <w:style w:type="character" w:styleId="CommentReference">
    <w:name w:val="annotation reference"/>
    <w:basedOn w:val="DefaultParagraphFont"/>
    <w:uiPriority w:val="99"/>
    <w:unhideWhenUsed/>
    <w:locked/>
    <w:rsid w:val="00D54758"/>
    <w:rPr>
      <w:sz w:val="16"/>
      <w:szCs w:val="16"/>
    </w:rPr>
  </w:style>
  <w:style w:type="character" w:customStyle="1" w:styleId="FootnoteTextChar">
    <w:name w:val="Footnote Text Char"/>
    <w:basedOn w:val="DefaultParagraphFont"/>
    <w:link w:val="FootnoteText"/>
    <w:uiPriority w:val="99"/>
    <w:semiHidden/>
    <w:locked/>
    <w:rsid w:val="009D5B7F"/>
    <w:rPr>
      <w:rFonts w:ascii="Arial" w:eastAsia="MS Mincho" w:hAnsi="Arial"/>
    </w:rPr>
  </w:style>
  <w:style w:type="paragraph" w:styleId="ListParagraph">
    <w:name w:val="List Paragraph"/>
    <w:basedOn w:val="Normal"/>
    <w:link w:val="ListParagraphChar"/>
    <w:uiPriority w:val="34"/>
    <w:qFormat/>
    <w:rsid w:val="009D5B7F"/>
    <w:pPr>
      <w:ind w:left="720"/>
      <w:contextualSpacing/>
    </w:pPr>
    <w:rPr>
      <w:rFonts w:eastAsia="Times New Roman"/>
    </w:rPr>
  </w:style>
  <w:style w:type="paragraph" w:styleId="CommentSubject">
    <w:name w:val="annotation subject"/>
    <w:basedOn w:val="CommentText"/>
    <w:next w:val="CommentText"/>
    <w:link w:val="CommentSubjectChar"/>
    <w:uiPriority w:val="99"/>
    <w:locked/>
    <w:rsid w:val="00796779"/>
    <w:rPr>
      <w:rFonts w:eastAsia="MS Mincho"/>
      <w:b/>
      <w:bCs/>
      <w:color w:val="auto"/>
      <w:lang w:eastAsia="en-AU"/>
    </w:rPr>
  </w:style>
  <w:style w:type="character" w:customStyle="1" w:styleId="CommentSubjectChar">
    <w:name w:val="Comment Subject Char"/>
    <w:basedOn w:val="CommentTextChar"/>
    <w:link w:val="CommentSubject"/>
    <w:uiPriority w:val="99"/>
    <w:rsid w:val="00796779"/>
    <w:rPr>
      <w:rFonts w:ascii="Arial" w:eastAsia="MS Mincho" w:hAnsi="Arial"/>
      <w:b/>
      <w:bCs/>
      <w:color w:val="000000"/>
      <w:lang w:eastAsia="en-US"/>
    </w:rPr>
  </w:style>
  <w:style w:type="paragraph" w:customStyle="1" w:styleId="Default">
    <w:name w:val="Default"/>
    <w:rsid w:val="00C63FCF"/>
    <w:pPr>
      <w:autoSpaceDE w:val="0"/>
      <w:autoSpaceDN w:val="0"/>
      <w:adjustRightInd w:val="0"/>
    </w:pPr>
    <w:rPr>
      <w:color w:val="000000"/>
      <w:sz w:val="24"/>
      <w:szCs w:val="24"/>
    </w:rPr>
  </w:style>
  <w:style w:type="character" w:customStyle="1" w:styleId="ListParagraphChar">
    <w:name w:val="List Paragraph Char"/>
    <w:link w:val="ListParagraph"/>
    <w:uiPriority w:val="34"/>
    <w:rsid w:val="00F43D5D"/>
    <w:rPr>
      <w:rFonts w:ascii="Arial" w:hAnsi="Arial"/>
      <w:sz w:val="24"/>
      <w:szCs w:val="24"/>
    </w:rPr>
  </w:style>
  <w:style w:type="paragraph" w:styleId="Revision">
    <w:name w:val="Revision"/>
    <w:hidden/>
    <w:uiPriority w:val="99"/>
    <w:semiHidden/>
    <w:rsid w:val="00CE2E37"/>
    <w:rPr>
      <w:rFonts w:ascii="Arial" w:eastAsia="MS Mincho" w:hAnsi="Arial"/>
      <w:sz w:val="24"/>
      <w:szCs w:val="24"/>
    </w:rPr>
  </w:style>
  <w:style w:type="character" w:customStyle="1" w:styleId="BodyTextChar">
    <w:name w:val="Body Text Char"/>
    <w:basedOn w:val="DefaultParagraphFont"/>
    <w:link w:val="BodyText"/>
    <w:uiPriority w:val="99"/>
    <w:semiHidden/>
    <w:locked/>
    <w:rsid w:val="00216178"/>
    <w:rPr>
      <w:rFonts w:ascii="Arial" w:eastAsia="MS Mincho" w:hAnsi="Arial"/>
      <w:sz w:val="24"/>
      <w:szCs w:val="24"/>
    </w:rPr>
  </w:style>
  <w:style w:type="character" w:customStyle="1" w:styleId="BodyText2Char">
    <w:name w:val="Body Text 2 Char"/>
    <w:basedOn w:val="DefaultParagraphFont"/>
    <w:link w:val="BodyText2"/>
    <w:uiPriority w:val="99"/>
    <w:semiHidden/>
    <w:locked/>
    <w:rsid w:val="00216178"/>
    <w:rPr>
      <w:rFonts w:ascii="Arial" w:eastAsia="MS Mincho" w:hAnsi="Arial"/>
      <w:sz w:val="24"/>
      <w:szCs w:val="24"/>
    </w:rPr>
  </w:style>
  <w:style w:type="character" w:customStyle="1" w:styleId="BodyText3Char">
    <w:name w:val="Body Text 3 Char"/>
    <w:basedOn w:val="DefaultParagraphFont"/>
    <w:link w:val="BodyText3"/>
    <w:uiPriority w:val="99"/>
    <w:semiHidden/>
    <w:locked/>
    <w:rsid w:val="00216178"/>
    <w:rPr>
      <w:rFonts w:ascii="Arial" w:eastAsia="MS Mincho" w:hAnsi="Arial"/>
      <w:sz w:val="16"/>
      <w:szCs w:val="16"/>
    </w:rPr>
  </w:style>
  <w:style w:type="character" w:customStyle="1" w:styleId="BodyTextFirstIndentChar">
    <w:name w:val="Body Text First Indent Char"/>
    <w:basedOn w:val="BodyTextChar"/>
    <w:link w:val="BodyTextFirstIndent"/>
    <w:uiPriority w:val="99"/>
    <w:semiHidden/>
    <w:locked/>
    <w:rsid w:val="00216178"/>
    <w:rPr>
      <w:rFonts w:ascii="Arial" w:eastAsia="MS Mincho" w:hAnsi="Arial"/>
      <w:sz w:val="24"/>
      <w:szCs w:val="24"/>
    </w:rPr>
  </w:style>
  <w:style w:type="character" w:customStyle="1" w:styleId="BodyTextIndentChar">
    <w:name w:val="Body Text Indent Char"/>
    <w:basedOn w:val="DefaultParagraphFont"/>
    <w:link w:val="BodyTextIndent"/>
    <w:uiPriority w:val="99"/>
    <w:semiHidden/>
    <w:locked/>
    <w:rsid w:val="00216178"/>
    <w:rPr>
      <w:rFonts w:ascii="Arial" w:eastAsia="MS Mincho" w:hAnsi="Arial"/>
      <w:sz w:val="24"/>
      <w:szCs w:val="24"/>
    </w:rPr>
  </w:style>
  <w:style w:type="character" w:customStyle="1" w:styleId="BodyTextFirstIndent2Char">
    <w:name w:val="Body Text First Indent 2 Char"/>
    <w:basedOn w:val="BodyTextIndentChar"/>
    <w:link w:val="BodyTextFirstIndent2"/>
    <w:uiPriority w:val="99"/>
    <w:semiHidden/>
    <w:locked/>
    <w:rsid w:val="00216178"/>
    <w:rPr>
      <w:rFonts w:ascii="Arial" w:eastAsia="MS Mincho" w:hAnsi="Arial"/>
      <w:sz w:val="24"/>
      <w:szCs w:val="24"/>
    </w:rPr>
  </w:style>
  <w:style w:type="character" w:customStyle="1" w:styleId="BodyTextIndent2Char">
    <w:name w:val="Body Text Indent 2 Char"/>
    <w:basedOn w:val="DefaultParagraphFont"/>
    <w:link w:val="BodyTextIndent2"/>
    <w:uiPriority w:val="99"/>
    <w:semiHidden/>
    <w:locked/>
    <w:rsid w:val="00216178"/>
    <w:rPr>
      <w:rFonts w:ascii="Arial" w:eastAsia="MS Mincho" w:hAnsi="Arial"/>
      <w:sz w:val="24"/>
      <w:szCs w:val="24"/>
    </w:rPr>
  </w:style>
  <w:style w:type="character" w:customStyle="1" w:styleId="BodyTextIndent3Char">
    <w:name w:val="Body Text Indent 3 Char"/>
    <w:basedOn w:val="DefaultParagraphFont"/>
    <w:link w:val="BodyTextIndent3"/>
    <w:uiPriority w:val="99"/>
    <w:semiHidden/>
    <w:locked/>
    <w:rsid w:val="00216178"/>
    <w:rPr>
      <w:rFonts w:ascii="Arial" w:eastAsia="MS Mincho" w:hAnsi="Arial"/>
      <w:sz w:val="16"/>
      <w:szCs w:val="16"/>
    </w:rPr>
  </w:style>
  <w:style w:type="character" w:customStyle="1" w:styleId="ClosingChar">
    <w:name w:val="Closing Char"/>
    <w:basedOn w:val="DefaultParagraphFont"/>
    <w:link w:val="Closing"/>
    <w:uiPriority w:val="99"/>
    <w:semiHidden/>
    <w:locked/>
    <w:rsid w:val="00216178"/>
    <w:rPr>
      <w:rFonts w:ascii="Arial" w:eastAsia="MS Mincho" w:hAnsi="Arial"/>
      <w:sz w:val="24"/>
      <w:szCs w:val="24"/>
    </w:rPr>
  </w:style>
  <w:style w:type="character" w:customStyle="1" w:styleId="DateChar">
    <w:name w:val="Date Char"/>
    <w:basedOn w:val="DefaultParagraphFont"/>
    <w:link w:val="Date"/>
    <w:uiPriority w:val="99"/>
    <w:semiHidden/>
    <w:locked/>
    <w:rsid w:val="00216178"/>
    <w:rPr>
      <w:rFonts w:ascii="Arial" w:eastAsia="MS Mincho" w:hAnsi="Arial"/>
      <w:color w:val="595959"/>
      <w:sz w:val="26"/>
      <w:szCs w:val="24"/>
    </w:rPr>
  </w:style>
  <w:style w:type="character" w:customStyle="1" w:styleId="E-mailSignatureChar">
    <w:name w:val="E-mail Signature Char"/>
    <w:basedOn w:val="DefaultParagraphFont"/>
    <w:link w:val="E-mailSignature"/>
    <w:uiPriority w:val="99"/>
    <w:semiHidden/>
    <w:locked/>
    <w:rsid w:val="00216178"/>
    <w:rPr>
      <w:rFonts w:ascii="Arial" w:eastAsia="MS Mincho" w:hAnsi="Arial"/>
      <w:sz w:val="24"/>
      <w:szCs w:val="24"/>
    </w:rPr>
  </w:style>
  <w:style w:type="character" w:customStyle="1" w:styleId="HTMLAddressChar">
    <w:name w:val="HTML Address Char"/>
    <w:basedOn w:val="DefaultParagraphFont"/>
    <w:link w:val="HTMLAddress"/>
    <w:uiPriority w:val="99"/>
    <w:semiHidden/>
    <w:locked/>
    <w:rsid w:val="00216178"/>
    <w:rPr>
      <w:rFonts w:ascii="Arial" w:eastAsia="MS Mincho" w:hAnsi="Arial"/>
      <w:i/>
      <w:iCs/>
      <w:sz w:val="24"/>
      <w:szCs w:val="24"/>
    </w:rPr>
  </w:style>
  <w:style w:type="character" w:customStyle="1" w:styleId="HTMLPreformattedChar">
    <w:name w:val="HTML Preformatted Char"/>
    <w:basedOn w:val="DefaultParagraphFont"/>
    <w:link w:val="HTMLPreformatted"/>
    <w:uiPriority w:val="99"/>
    <w:semiHidden/>
    <w:locked/>
    <w:rsid w:val="00216178"/>
    <w:rPr>
      <w:rFonts w:ascii="Courier New" w:eastAsia="MS Mincho" w:hAnsi="Courier New" w:cs="Courier New"/>
    </w:rPr>
  </w:style>
  <w:style w:type="character" w:customStyle="1" w:styleId="MessageHeaderChar">
    <w:name w:val="Message Header Char"/>
    <w:basedOn w:val="DefaultParagraphFont"/>
    <w:link w:val="MessageHeader"/>
    <w:uiPriority w:val="99"/>
    <w:semiHidden/>
    <w:locked/>
    <w:rsid w:val="00216178"/>
    <w:rPr>
      <w:rFonts w:ascii="Arial" w:eastAsia="MS Mincho" w:hAnsi="Arial" w:cs="Arial"/>
      <w:sz w:val="24"/>
      <w:szCs w:val="24"/>
      <w:shd w:val="pct20" w:color="auto" w:fill="auto"/>
    </w:rPr>
  </w:style>
  <w:style w:type="character" w:customStyle="1" w:styleId="NoteHeadingChar">
    <w:name w:val="Note Heading Char"/>
    <w:basedOn w:val="DefaultParagraphFont"/>
    <w:link w:val="NoteHeading"/>
    <w:uiPriority w:val="99"/>
    <w:semiHidden/>
    <w:locked/>
    <w:rsid w:val="00216178"/>
    <w:rPr>
      <w:rFonts w:ascii="Arial" w:eastAsia="MS Mincho" w:hAnsi="Arial"/>
      <w:sz w:val="24"/>
      <w:szCs w:val="24"/>
    </w:rPr>
  </w:style>
  <w:style w:type="character" w:customStyle="1" w:styleId="PlainTextChar">
    <w:name w:val="Plain Text Char"/>
    <w:basedOn w:val="DefaultParagraphFont"/>
    <w:link w:val="PlainText"/>
    <w:uiPriority w:val="99"/>
    <w:semiHidden/>
    <w:locked/>
    <w:rsid w:val="00216178"/>
    <w:rPr>
      <w:rFonts w:ascii="Courier New" w:eastAsia="MS Mincho" w:hAnsi="Courier New" w:cs="Courier New"/>
    </w:rPr>
  </w:style>
  <w:style w:type="character" w:customStyle="1" w:styleId="SalutationChar">
    <w:name w:val="Salutation Char"/>
    <w:basedOn w:val="DefaultParagraphFont"/>
    <w:link w:val="Salutation"/>
    <w:uiPriority w:val="99"/>
    <w:semiHidden/>
    <w:locked/>
    <w:rsid w:val="00216178"/>
    <w:rPr>
      <w:rFonts w:ascii="Arial" w:eastAsia="MS Mincho" w:hAnsi="Arial"/>
      <w:sz w:val="24"/>
      <w:szCs w:val="24"/>
    </w:rPr>
  </w:style>
  <w:style w:type="character" w:customStyle="1" w:styleId="SignatureChar">
    <w:name w:val="Signature Char"/>
    <w:basedOn w:val="DefaultParagraphFont"/>
    <w:link w:val="Signature"/>
    <w:uiPriority w:val="99"/>
    <w:semiHidden/>
    <w:locked/>
    <w:rsid w:val="00216178"/>
    <w:rPr>
      <w:rFonts w:ascii="Arial" w:eastAsia="MS Mincho" w:hAnsi="Arial"/>
      <w:sz w:val="24"/>
      <w:szCs w:val="24"/>
    </w:rPr>
  </w:style>
  <w:style w:type="character" w:customStyle="1" w:styleId="TitleChar">
    <w:name w:val="Title Char"/>
    <w:basedOn w:val="DefaultParagraphFont"/>
    <w:link w:val="Title"/>
    <w:uiPriority w:val="10"/>
    <w:locked/>
    <w:rsid w:val="00216178"/>
    <w:rPr>
      <w:rFonts w:ascii="Arial" w:eastAsia="MS Mincho" w:hAnsi="Arial" w:cs="Arial"/>
      <w:b/>
      <w:bCs/>
      <w:kern w:val="28"/>
      <w:sz w:val="32"/>
      <w:szCs w:val="32"/>
    </w:rPr>
  </w:style>
  <w:style w:type="character" w:customStyle="1" w:styleId="UnresolvedMention1">
    <w:name w:val="Unresolved Mention1"/>
    <w:basedOn w:val="DefaultParagraphFont"/>
    <w:uiPriority w:val="99"/>
    <w:semiHidden/>
    <w:unhideWhenUsed/>
    <w:rsid w:val="00216178"/>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3211">
      <w:bodyDiv w:val="1"/>
      <w:marLeft w:val="0"/>
      <w:marRight w:val="0"/>
      <w:marTop w:val="0"/>
      <w:marBottom w:val="0"/>
      <w:divBdr>
        <w:top w:val="none" w:sz="0" w:space="0" w:color="auto"/>
        <w:left w:val="none" w:sz="0" w:space="0" w:color="auto"/>
        <w:bottom w:val="none" w:sz="0" w:space="0" w:color="auto"/>
        <w:right w:val="none" w:sz="0" w:space="0" w:color="auto"/>
      </w:divBdr>
      <w:divsChild>
        <w:div w:id="1582060331">
          <w:blockQuote w:val="1"/>
          <w:marLeft w:val="450"/>
          <w:marRight w:val="450"/>
          <w:marTop w:val="225"/>
          <w:marBottom w:val="225"/>
          <w:divBdr>
            <w:top w:val="none" w:sz="0" w:space="0" w:color="auto"/>
            <w:left w:val="none" w:sz="0" w:space="0" w:color="auto"/>
            <w:bottom w:val="none" w:sz="0" w:space="0" w:color="auto"/>
            <w:right w:val="none" w:sz="0" w:space="0" w:color="auto"/>
          </w:divBdr>
        </w:div>
        <w:div w:id="670982742">
          <w:blockQuote w:val="1"/>
          <w:marLeft w:val="450"/>
          <w:marRight w:val="450"/>
          <w:marTop w:val="225"/>
          <w:marBottom w:val="225"/>
          <w:divBdr>
            <w:top w:val="none" w:sz="0" w:space="0" w:color="auto"/>
            <w:left w:val="none" w:sz="0" w:space="0" w:color="auto"/>
            <w:bottom w:val="none" w:sz="0" w:space="0" w:color="auto"/>
            <w:right w:val="none" w:sz="0" w:space="0" w:color="auto"/>
          </w:divBdr>
        </w:div>
        <w:div w:id="277873951">
          <w:blockQuote w:val="1"/>
          <w:marLeft w:val="450"/>
          <w:marRight w:val="450"/>
          <w:marTop w:val="225"/>
          <w:marBottom w:val="225"/>
          <w:divBdr>
            <w:top w:val="none" w:sz="0" w:space="0" w:color="auto"/>
            <w:left w:val="none" w:sz="0" w:space="0" w:color="auto"/>
            <w:bottom w:val="none" w:sz="0" w:space="0" w:color="auto"/>
            <w:right w:val="none" w:sz="0" w:space="0" w:color="auto"/>
          </w:divBdr>
        </w:div>
      </w:divsChild>
    </w:div>
    <w:div w:id="205218724">
      <w:bodyDiv w:val="1"/>
      <w:marLeft w:val="0"/>
      <w:marRight w:val="0"/>
      <w:marTop w:val="0"/>
      <w:marBottom w:val="0"/>
      <w:divBdr>
        <w:top w:val="none" w:sz="0" w:space="0" w:color="auto"/>
        <w:left w:val="none" w:sz="0" w:space="0" w:color="auto"/>
        <w:bottom w:val="none" w:sz="0" w:space="0" w:color="auto"/>
        <w:right w:val="none" w:sz="0" w:space="0" w:color="auto"/>
      </w:divBdr>
    </w:div>
    <w:div w:id="622535749">
      <w:bodyDiv w:val="1"/>
      <w:marLeft w:val="0"/>
      <w:marRight w:val="0"/>
      <w:marTop w:val="0"/>
      <w:marBottom w:val="0"/>
      <w:divBdr>
        <w:top w:val="none" w:sz="0" w:space="0" w:color="auto"/>
        <w:left w:val="none" w:sz="0" w:space="0" w:color="auto"/>
        <w:bottom w:val="none" w:sz="0" w:space="0" w:color="auto"/>
        <w:right w:val="none" w:sz="0" w:space="0" w:color="auto"/>
      </w:divBdr>
    </w:div>
    <w:div w:id="64712718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780761731">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094403998">
      <w:bodyDiv w:val="1"/>
      <w:marLeft w:val="0"/>
      <w:marRight w:val="0"/>
      <w:marTop w:val="0"/>
      <w:marBottom w:val="0"/>
      <w:divBdr>
        <w:top w:val="none" w:sz="0" w:space="0" w:color="auto"/>
        <w:left w:val="none" w:sz="0" w:space="0" w:color="auto"/>
        <w:bottom w:val="none" w:sz="0" w:space="0" w:color="auto"/>
        <w:right w:val="none" w:sz="0" w:space="0" w:color="auto"/>
      </w:divBdr>
    </w:div>
    <w:div w:id="1212841976">
      <w:bodyDiv w:val="1"/>
      <w:marLeft w:val="0"/>
      <w:marRight w:val="0"/>
      <w:marTop w:val="0"/>
      <w:marBottom w:val="0"/>
      <w:divBdr>
        <w:top w:val="none" w:sz="0" w:space="0" w:color="auto"/>
        <w:left w:val="none" w:sz="0" w:space="0" w:color="auto"/>
        <w:bottom w:val="none" w:sz="0" w:space="0" w:color="auto"/>
        <w:right w:val="none" w:sz="0" w:space="0" w:color="auto"/>
      </w:divBdr>
    </w:div>
    <w:div w:id="1499998504">
      <w:bodyDiv w:val="1"/>
      <w:marLeft w:val="0"/>
      <w:marRight w:val="0"/>
      <w:marTop w:val="0"/>
      <w:marBottom w:val="0"/>
      <w:divBdr>
        <w:top w:val="none" w:sz="0" w:space="0" w:color="auto"/>
        <w:left w:val="none" w:sz="0" w:space="0" w:color="auto"/>
        <w:bottom w:val="none" w:sz="0" w:space="0" w:color="auto"/>
        <w:right w:val="none" w:sz="0" w:space="0" w:color="auto"/>
      </w:divBdr>
    </w:div>
    <w:div w:id="1788159054">
      <w:bodyDiv w:val="1"/>
      <w:marLeft w:val="0"/>
      <w:marRight w:val="0"/>
      <w:marTop w:val="0"/>
      <w:marBottom w:val="0"/>
      <w:divBdr>
        <w:top w:val="none" w:sz="0" w:space="0" w:color="auto"/>
        <w:left w:val="none" w:sz="0" w:space="0" w:color="auto"/>
        <w:bottom w:val="none" w:sz="0" w:space="0" w:color="auto"/>
        <w:right w:val="none" w:sz="0" w:space="0" w:color="auto"/>
      </w:divBdr>
    </w:div>
    <w:div w:id="2085639476">
      <w:bodyDiv w:val="1"/>
      <w:marLeft w:val="0"/>
      <w:marRight w:val="0"/>
      <w:marTop w:val="0"/>
      <w:marBottom w:val="0"/>
      <w:divBdr>
        <w:top w:val="none" w:sz="0" w:space="0" w:color="auto"/>
        <w:left w:val="none" w:sz="0" w:space="0" w:color="auto"/>
        <w:bottom w:val="none" w:sz="0" w:space="0" w:color="auto"/>
        <w:right w:val="none" w:sz="0" w:space="0" w:color="auto"/>
      </w:divBdr>
    </w:div>
    <w:div w:id="20921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umanrights.gov.au/submission-policy"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sogii@humanrights.gov.au" TargetMode="External"/></Relationships>
</file>

<file path=word/_rels/endnotes.xml.rels><?xml version="1.0" encoding="UTF-8" standalone="yes"?>
<Relationships xmlns="http://schemas.openxmlformats.org/package/2006/relationships"><Relationship Id="rId13" Type="http://schemas.openxmlformats.org/officeDocument/2006/relationships/hyperlink" Target="https://unfe.org/system/unfe-65-Intersex_Factsheet_ENGLISH.pdf" TargetMode="External"/><Relationship Id="rId18" Type="http://schemas.openxmlformats.org/officeDocument/2006/relationships/hyperlink" Target="https://oii.org.au/wp-content/uploads/2016/01/Circular7-20160823.pdf" TargetMode="External"/><Relationship Id="rId26" Type="http://schemas.openxmlformats.org/officeDocument/2006/relationships/hyperlink" Target="https://unfe.org/system/unfe-65-Intersex_Factsheet_ENGLISH.pdf" TargetMode="External"/><Relationship Id="rId39" Type="http://schemas.openxmlformats.org/officeDocument/2006/relationships/hyperlink" Target="http://daccess-ods.un.org/access.nsf/Get?Open&amp;DS=A/HRC/22/53&amp;Lang=E" TargetMode="External"/><Relationship Id="rId3" Type="http://schemas.openxmlformats.org/officeDocument/2006/relationships/hyperlink" Target="https://oii.org.au/darlington-statement/" TargetMode="External"/><Relationship Id="rId21" Type="http://schemas.openxmlformats.org/officeDocument/2006/relationships/hyperlink" Target="https://www.icj.org/wp-content/uploads/2008/02/In-re-Volling-Regional-Court-Cologne-Germany-English.pdf" TargetMode="External"/><Relationship Id="rId34" Type="http://schemas.openxmlformats.org/officeDocument/2006/relationships/hyperlink" Target="https://www.astraeafoundation.org/stories/first-asian-intersex-forum/" TargetMode="External"/><Relationship Id="rId42" Type="http://schemas.openxmlformats.org/officeDocument/2006/relationships/hyperlink" Target="https://oii.org.au/darlington-statement/" TargetMode="External"/><Relationship Id="rId47" Type="http://schemas.openxmlformats.org/officeDocument/2006/relationships/hyperlink" Target="https://oii.org.au/darlington-statement/" TargetMode="External"/><Relationship Id="rId50" Type="http://schemas.openxmlformats.org/officeDocument/2006/relationships/hyperlink" Target="https://oii.org.au/darlington-statement/" TargetMode="External"/><Relationship Id="rId7" Type="http://schemas.openxmlformats.org/officeDocument/2006/relationships/hyperlink" Target="http://www.aph.gov.au/Parliamentary_Business/Committees/Senate/Community_Affairs/Involuntary_Sterilisation/Sec_Report/~/media/Committees/Senate/committee/clac_ctte/involuntary_sterilisation/second_report/report.ashx" TargetMode="External"/><Relationship Id="rId12" Type="http://schemas.openxmlformats.org/officeDocument/2006/relationships/hyperlink" Target="http://www.ohchr.org/Documents/Issues/Discrimination/LGBT/FactSheets/UNFE_FactSheet_Intersex_EN.pdf" TargetMode="External"/><Relationship Id="rId17" Type="http://schemas.openxmlformats.org/officeDocument/2006/relationships/hyperlink" Target="https://oii.org.au/30250/chilean-ministry-stops-normalising/" TargetMode="External"/><Relationship Id="rId25" Type="http://schemas.openxmlformats.org/officeDocument/2006/relationships/hyperlink" Target="http://www.ohchr.org/Documents/Publications/BornFreeAndEqualLowRes.pdf" TargetMode="External"/><Relationship Id="rId33" Type="http://schemas.openxmlformats.org/officeDocument/2006/relationships/hyperlink" Target="https://oiieurope.org/statement-1st-european-intersex-community-event-vienna-30st-31st-march-2017/" TargetMode="External"/><Relationship Id="rId38" Type="http://schemas.openxmlformats.org/officeDocument/2006/relationships/hyperlink" Target="http://www.hr-dp.org/files/2015/06/08/GA_Annual_report,_2009.pdf" TargetMode="External"/><Relationship Id="rId46" Type="http://schemas.openxmlformats.org/officeDocument/2006/relationships/hyperlink" Target="http://parlinfo.aph.gov.au/parlInfo/search/display/display.w3p;query=Id%3A%22chamber%2Fhansards%2Fb72114df-d068-4aeb-8fd0-833d5a01f955%2F0164%22;src1=sm1" TargetMode="External"/><Relationship Id="rId2" Type="http://schemas.openxmlformats.org/officeDocument/2006/relationships/hyperlink" Target="http://www.aph.gov.au/DocumentStore.ashx?id=14032f4c-c21b-465c-bf2b-85fee8adb3e3&amp;subId=16126" TargetMode="External"/><Relationship Id="rId16" Type="http://schemas.openxmlformats.org/officeDocument/2006/relationships/hyperlink" Target="https://oii.org.au/wp-content/uploads/2013/01/Circular-08-22.12.15-Instruye-Sobre-Ciertos-Aspectos-de-la-atencion-de-Salud-a-Ninos-y-Ninas-Intersex.pdf" TargetMode="External"/><Relationship Id="rId20" Type="http://schemas.openxmlformats.org/officeDocument/2006/relationships/hyperlink" Target="http://www.isna.org/node/21" TargetMode="External"/><Relationship Id="rId29" Type="http://schemas.openxmlformats.org/officeDocument/2006/relationships/hyperlink" Target="https://www.hrw.org/report/2017/10/26/changing-paradigm/us-medical-provider-discomfort-intersex-care-practices" TargetMode="External"/><Relationship Id="rId41" Type="http://schemas.openxmlformats.org/officeDocument/2006/relationships/hyperlink" Target="https://oii.org.au/darlington-statement/" TargetMode="External"/><Relationship Id="rId1" Type="http://schemas.openxmlformats.org/officeDocument/2006/relationships/hyperlink" Target="https://oii.org.au/wp-content/uploads/2017/06/OIIAU-CRPD-2017.pdf" TargetMode="External"/><Relationship Id="rId6" Type="http://schemas.openxmlformats.org/officeDocument/2006/relationships/hyperlink" Target="https://rightstalk.humanrights.gov.au/sites/default/files/AHRC_ICESCR_LOI_2016.pdf" TargetMode="External"/><Relationship Id="rId11" Type="http://schemas.openxmlformats.org/officeDocument/2006/relationships/hyperlink" Target="http://www.ohchr.org/EN/ProfessionalInterest/Pages/StatusOfNationalInstitutions.aspx" TargetMode="External"/><Relationship Id="rId24" Type="http://schemas.openxmlformats.org/officeDocument/2006/relationships/hyperlink" Target="https://oii.org.au/wp-content/uploads/2009/03/sfhrc_intersex_report.pdf" TargetMode="External"/><Relationship Id="rId32" Type="http://schemas.openxmlformats.org/officeDocument/2006/relationships/hyperlink" Target="https://oii.org.au/darlington-statement/" TargetMode="External"/><Relationship Id="rId37" Type="http://schemas.openxmlformats.org/officeDocument/2006/relationships/hyperlink" Target="http://daccess-ods.un.org/access.nsf/Get?Open&amp;DS=A/HRC/22/53&amp;Lang=E" TargetMode="External"/><Relationship Id="rId40" Type="http://schemas.openxmlformats.org/officeDocument/2006/relationships/hyperlink" Target="http://undocs.org/CRC/C/GC/14" TargetMode="External"/><Relationship Id="rId45" Type="http://schemas.openxmlformats.org/officeDocument/2006/relationships/hyperlink" Target="http://parlinfo.aph.gov.au/parlInfo/search/display/display.w3p;query=Id%3A%22chamber%2Fhansards%2Fb72114df-d068-4aeb-8fd0-833d5a01f955%2F0164%22;src1=sm1" TargetMode="External"/><Relationship Id="rId5" Type="http://schemas.openxmlformats.org/officeDocument/2006/relationships/hyperlink" Target="https://www.humanrights.gov.au/surgery-intersex-infants-and-human-rights-2009" TargetMode="External"/><Relationship Id="rId15" Type="http://schemas.openxmlformats.org/officeDocument/2006/relationships/hyperlink" Target="https://globaltransaction.files.wordpress.com/2015/10/intersex-issues-in-the-icd.pdf" TargetMode="External"/><Relationship Id="rId23" Type="http://schemas.openxmlformats.org/officeDocument/2006/relationships/hyperlink" Target="http://www.dw.com/en/third-sex-option-on-birth-certificates/a-17193869" TargetMode="External"/><Relationship Id="rId28" Type="http://schemas.openxmlformats.org/officeDocument/2006/relationships/hyperlink" Target="https://www.hrw.org/news/2017/07/25/us-harmful-surgery-intersex-children" TargetMode="External"/><Relationship Id="rId36" Type="http://schemas.openxmlformats.org/officeDocument/2006/relationships/hyperlink" Target="http://www.un.org/en/ga/search/view_doc.asp?symbol=A/70/213" TargetMode="External"/><Relationship Id="rId49" Type="http://schemas.openxmlformats.org/officeDocument/2006/relationships/hyperlink" Target="https://www.oaic.gov.au/agencies-and-organisations/app-guidelines/chapter-12-app-12-access-to-personal-information" TargetMode="External"/><Relationship Id="rId10" Type="http://schemas.openxmlformats.org/officeDocument/2006/relationships/hyperlink" Target="http://daccess-ods.un.org/access.nsf/Get?Open&amp;DS=A/HRC/22/53&amp;Lang=E" TargetMode="External"/><Relationship Id="rId19" Type="http://schemas.openxmlformats.org/officeDocument/2006/relationships/hyperlink" Target="https://oii.org.au/wp-content/uploads/2016/01/Circular7-20160823.pdf" TargetMode="External"/><Relationship Id="rId31" Type="http://schemas.openxmlformats.org/officeDocument/2006/relationships/hyperlink" Target="https://oiieurope.org/malta-declaration/" TargetMode="External"/><Relationship Id="rId44" Type="http://schemas.openxmlformats.org/officeDocument/2006/relationships/hyperlink" Target="https://oii.org.au/darlington-statement/" TargetMode="External"/><Relationship Id="rId52" Type="http://schemas.openxmlformats.org/officeDocument/2006/relationships/hyperlink" Target="http://www.ohchr.org/EN/NewsEvents/Pages/DisplayNews.aspx?NewsID=15941&amp;LangID=E" TargetMode="External"/><Relationship Id="rId4" Type="http://schemas.openxmlformats.org/officeDocument/2006/relationships/hyperlink" Target="https://www.humanrights.gov.au/sites/default/files/document/publication/SOGII%20Rights%20Report%202015_Web_Version.pdf" TargetMode="External"/><Relationship Id="rId9" Type="http://schemas.openxmlformats.org/officeDocument/2006/relationships/hyperlink" Target="http://parlinfo.aph.gov.au/parlInfo/search/display/display.w3p;query=Id%3A%22chamber%2Fhansards%2Fb72114df-d068-4aeb-8fd0-833d5a01f955%2F0164%22;src1=sm1" TargetMode="External"/><Relationship Id="rId14" Type="http://schemas.openxmlformats.org/officeDocument/2006/relationships/hyperlink" Target="https://oii.org.au/darlington-statement/" TargetMode="External"/><Relationship Id="rId22" Type="http://schemas.openxmlformats.org/officeDocument/2006/relationships/hyperlink" Target="https://www.advocate.com/commentary/2013/11/06/op-ed-germany%E2%80%99s-third-gender-law-fails-equality" TargetMode="External"/><Relationship Id="rId27" Type="http://schemas.openxmlformats.org/officeDocument/2006/relationships/hyperlink" Target="http://www.ohchr.org/EN/NewsEvents/Pages/DisplayNews.aspx?NewsID=20739&amp;LangID=E" TargetMode="External"/><Relationship Id="rId30" Type="http://schemas.openxmlformats.org/officeDocument/2006/relationships/hyperlink" Target="https://www.amnesty.org/en/latest/campaigns/2017/05/intersex-rights/" TargetMode="External"/><Relationship Id="rId35" Type="http://schemas.openxmlformats.org/officeDocument/2006/relationships/hyperlink" Target="https://unfe.org/system/unfe-65-Intersex_Factsheet_ENGLISH.pdf" TargetMode="External"/><Relationship Id="rId43" Type="http://schemas.openxmlformats.org/officeDocument/2006/relationships/hyperlink" Target="https://oii.org.au/darlington-statement/" TargetMode="External"/><Relationship Id="rId48" Type="http://schemas.openxmlformats.org/officeDocument/2006/relationships/hyperlink" Target="https://oii.org.au/darlington-statement/" TargetMode="External"/><Relationship Id="rId8" Type="http://schemas.openxmlformats.org/officeDocument/2006/relationships/hyperlink" Target="http://parlinfo.aph.gov.au/parlInfo/search/display/display.w3p;query=Id%3A%22chamber%2Fhansards%2Fb72114df-d068-4aeb-8fd0-833d5a01f955%2F0164%22;src1=sm1" TargetMode="External"/><Relationship Id="rId51" Type="http://schemas.openxmlformats.org/officeDocument/2006/relationships/hyperlink" Target="https://oii.org.au/darlington-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5F47-24F8-49E9-BE66-7E39C0B9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45</Pages>
  <Words>12984</Words>
  <Characters>76640</Characters>
  <Application>Microsoft Office Word</Application>
  <DocSecurity>0</DocSecurity>
  <Lines>638</Lines>
  <Paragraphs>178</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89446</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Laura Sweeney</dc:creator>
  <cp:keywords/>
  <cp:lastModifiedBy>Stephanie Lum</cp:lastModifiedBy>
  <cp:revision>13</cp:revision>
  <cp:lastPrinted>2018-07-16T00:45:00Z</cp:lastPrinted>
  <dcterms:created xsi:type="dcterms:W3CDTF">2018-07-10T01:02:00Z</dcterms:created>
  <dcterms:modified xsi:type="dcterms:W3CDTF">2018-07-16T00:55:00Z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zotero-version="5.0.33"&gt;&lt;session id="48bwwWdv"/&gt;&lt;style id="http://www.zotero.org/styles/australian-guide-to-legal-citation" hasBibliography="1" bibliographyStyleHasBeenSet="0"/&gt;&lt;prefs&gt;&lt;pref name="fieldType" value="Field"/&gt;&lt;pref name</vt:lpwstr>
  </property>
  <property fmtid="{D5CDD505-2E9C-101B-9397-08002B2CF9AE}" pid="3" name="ZOTERO_PREF_2">
    <vt:lpwstr>="automaticJournalAbbreviations" value="true"/&gt;&lt;pref name="noteType" value="2"/&gt;&lt;/prefs&gt;&lt;/data&gt;</vt:lpwstr>
  </property>
</Properties>
</file>