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9BECC76" w14:textId="77777777" w:rsidR="00591951" w:rsidRPr="00654793" w:rsidRDefault="00154D08" w:rsidP="00591951">
      <w:pPr>
        <w:tabs>
          <w:tab w:val="left" w:pos="3014"/>
        </w:tabs>
        <w:spacing w:after="3000"/>
        <w:rPr>
          <w:rStyle w:val="FootnoteReference"/>
        </w:rPr>
      </w:pPr>
      <w:r>
        <w:rPr>
          <w:noProof/>
        </w:rPr>
        <mc:AlternateContent>
          <mc:Choice Requires="wps">
            <w:drawing>
              <wp:anchor distT="0" distB="0" distL="114300" distR="114300" simplePos="0" relativeHeight="251657728" behindDoc="0" locked="0" layoutInCell="1" allowOverlap="1" wp14:anchorId="18DA353A" wp14:editId="0638B416">
                <wp:simplePos x="0" y="0"/>
                <wp:positionH relativeFrom="column">
                  <wp:posOffset>-567055</wp:posOffset>
                </wp:positionH>
                <wp:positionV relativeFrom="paragraph">
                  <wp:posOffset>1454785</wp:posOffset>
                </wp:positionV>
                <wp:extent cx="6301740" cy="5048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1740" cy="504825"/>
                        </a:xfrm>
                        <a:prstGeom prst="rect">
                          <a:avLst/>
                        </a:prstGeom>
                        <a:noFill/>
                        <a:ln w="6350">
                          <a:noFill/>
                        </a:ln>
                        <a:effectLst/>
                      </wps:spPr>
                      <wps:txbx>
                        <w:txbxContent>
                          <w:p w14:paraId="7B504E91" w14:textId="77777777" w:rsidR="00B20854" w:rsidRPr="00B74219" w:rsidRDefault="00B20854" w:rsidP="00A11307">
                            <w:pPr>
                              <w:pStyle w:val="Subtitle"/>
                            </w:pPr>
                            <w:bookmarkStart w:id="1" w:name="_Toc447543639"/>
                            <w:r w:rsidRPr="002863D7">
                              <w:t xml:space="preserve">Australian Human Rights Commission Submission to the </w:t>
                            </w:r>
                            <w:r>
                              <w:t>senate finance and Public administration reference committee</w:t>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A353A" id="_x0000_t202" coordsize="21600,21600" o:spt="202" path="m,l,21600r21600,l21600,xe">
                <v:stroke joinstyle="miter"/>
                <v:path gradientshapeok="t" o:connecttype="rect"/>
              </v:shapetype>
              <v:shape id="Text Box 3" o:spid="_x0000_s1026" type="#_x0000_t202" style="position:absolute;margin-left:-44.65pt;margin-top:114.55pt;width:496.2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" filled="f" stroked="f" strokeweight=".5pt">
                <v:path arrowok="t"/>
                <v:textbox>
                  <w:txbxContent>
                    <w:p w14:paraId="7B504E91" w14:textId="77777777" w:rsidR="00B20854" w:rsidRPr="00B74219" w:rsidRDefault="00B20854" w:rsidP="00A11307">
                      <w:pPr>
                        <w:pStyle w:val="Subtitle"/>
                      </w:pPr>
                      <w:bookmarkStart w:id="1" w:name="_Toc447543639"/>
                      <w:r w:rsidRPr="002863D7">
                        <w:t xml:space="preserve">Australian Human Rights Commission Submission to the </w:t>
                      </w:r>
                      <w:r>
                        <w:t>senate finance and Public administration reference committee</w:t>
                      </w:r>
                      <w:bookmarkEnd w:id="1"/>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48616471" wp14:editId="5B572295">
                <wp:simplePos x="0" y="0"/>
                <wp:positionH relativeFrom="column">
                  <wp:posOffset>77470</wp:posOffset>
                </wp:positionH>
                <wp:positionV relativeFrom="paragraph">
                  <wp:posOffset>-45085</wp:posOffset>
                </wp:positionV>
                <wp:extent cx="5657215" cy="1485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57215" cy="1485900"/>
                        </a:xfrm>
                        <a:prstGeom prst="rect">
                          <a:avLst/>
                        </a:prstGeom>
                        <a:noFill/>
                        <a:ln w="6350">
                          <a:noFill/>
                        </a:ln>
                        <a:effectLst/>
                      </wps:spPr>
                      <wps:txbx>
                        <w:txbxContent>
                          <w:p w14:paraId="6DC8E583" w14:textId="77777777" w:rsidR="00B20854" w:rsidRDefault="00B20854" w:rsidP="00FD01B5">
                            <w:pPr>
                              <w:pStyle w:val="MainTitle"/>
                            </w:pPr>
                            <w:r>
                              <w:t>Inquiry into Domestic Violence</w:t>
                            </w:r>
                          </w:p>
                          <w:p w14:paraId="4F19C754" w14:textId="77777777" w:rsidR="00B20854" w:rsidRDefault="00B20854" w:rsidP="00FD01B5">
                            <w:pPr>
                              <w:pStyle w:val="MainTitle"/>
                            </w:pPr>
                            <w:r>
                              <w:rPr>
                                <w:rFonts w:cs="Arial"/>
                              </w:rPr>
                              <w:t xml:space="preserve">and Gender Inequality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16471" id="Text Box 1" o:spid="_x0000_s1027" type="#_x0000_t202" style="position:absolute;margin-left:6.1pt;margin-top:-3.55pt;width:445.45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" filled="f" stroked="f" strokeweight=".5pt">
                <v:path arrowok="t"/>
                <v:textbox>
                  <w:txbxContent>
                    <w:p w14:paraId="6DC8E583" w14:textId="77777777" w:rsidR="00B20854" w:rsidRDefault="00B20854" w:rsidP="00FD01B5">
                      <w:pPr>
                        <w:pStyle w:val="MainTitle"/>
                      </w:pPr>
                      <w:r>
                        <w:t>Inquiry into Domestic Violence</w:t>
                      </w:r>
                    </w:p>
                    <w:p w14:paraId="4F19C754" w14:textId="77777777" w:rsidR="00B20854" w:rsidRDefault="00B20854" w:rsidP="00FD01B5">
                      <w:pPr>
                        <w:pStyle w:val="MainTitle"/>
                      </w:pPr>
                      <w:proofErr w:type="gramStart"/>
                      <w:r>
                        <w:rPr>
                          <w:rFonts w:cs="Arial"/>
                        </w:rPr>
                        <w:t>and</w:t>
                      </w:r>
                      <w:proofErr w:type="gramEnd"/>
                      <w:r>
                        <w:rPr>
                          <w:rFonts w:cs="Arial"/>
                        </w:rPr>
                        <w:t xml:space="preserve"> Gender Inequality </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38D69EAC" wp14:editId="1C91FF95">
                <wp:simplePos x="0" y="0"/>
                <wp:positionH relativeFrom="column">
                  <wp:posOffset>1959610</wp:posOffset>
                </wp:positionH>
                <wp:positionV relativeFrom="paragraph">
                  <wp:posOffset>1975485</wp:posOffset>
                </wp:positionV>
                <wp:extent cx="3775075" cy="36131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14:paraId="562063BB" w14:textId="23C32B9A" w:rsidR="00B20854" w:rsidRPr="00B74219" w:rsidRDefault="00B20854" w:rsidP="002863D7">
                            <w:pPr>
                              <w:pStyle w:val="Date"/>
                            </w:pPr>
                            <w:r>
                              <w:t xml:space="preserve">4 </w:t>
                            </w:r>
                            <w:r w:rsidR="00B02ACF">
                              <w:t xml:space="preserve">April </w:t>
                            </w:r>
                            <w:r>
                              <w:t>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69EAC" id="Text Box 4" o:spid="_x0000_s1028" type="#_x0000_t202" style="position:absolute;margin-left:154.3pt;margin-top:155.55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" filled="f" stroked="f" strokeweight=".5pt">
                <v:path arrowok="t"/>
                <v:textbox>
                  <w:txbxContent>
                    <w:p w14:paraId="562063BB" w14:textId="23C32B9A" w:rsidR="00B20854" w:rsidRPr="00B74219" w:rsidRDefault="00B20854" w:rsidP="002863D7">
                      <w:pPr>
                        <w:pStyle w:val="Date"/>
                      </w:pPr>
                      <w:r>
                        <w:t xml:space="preserve">4 </w:t>
                      </w:r>
                      <w:r w:rsidR="00B02ACF">
                        <w:t xml:space="preserve">April </w:t>
                      </w:r>
                      <w:r>
                        <w:t>2016</w:t>
                      </w:r>
                    </w:p>
                  </w:txbxContent>
                </v:textbox>
              </v:shape>
            </w:pict>
          </mc:Fallback>
        </mc:AlternateContent>
      </w:r>
    </w:p>
    <w:p w14:paraId="17B69A38" w14:textId="77777777" w:rsidR="00591951" w:rsidRPr="00827DE2" w:rsidRDefault="00591951" w:rsidP="00591951">
      <w:pPr>
        <w:pStyle w:val="MainTitle"/>
        <w:rPr>
          <w:sz w:val="44"/>
          <w:szCs w:val="44"/>
        </w:rPr>
      </w:pPr>
    </w:p>
    <w:p w14:paraId="53471788" w14:textId="77777777" w:rsidR="00B924E6" w:rsidRDefault="00B924E6" w:rsidP="00E26B28">
      <w:pPr>
        <w:sectPr w:rsidR="00B924E6" w:rsidSect="00B24B1D">
          <w:headerReference w:type="even" r:id="rId8"/>
          <w:headerReference w:type="default" r:id="rId9"/>
          <w:footerReference w:type="default" r:id="rId10"/>
          <w:headerReference w:type="first" r:id="rId11"/>
          <w:footerReference w:type="first" r:id="rId12"/>
          <w:type w:val="continuous"/>
          <w:pgSz w:w="11906" w:h="16838" w:code="9"/>
          <w:pgMar w:top="228" w:right="1700" w:bottom="1134" w:left="1418" w:header="277" w:footer="415" w:gutter="0"/>
          <w:cols w:space="708"/>
          <w:titlePg/>
          <w:docGrid w:linePitch="360"/>
        </w:sectPr>
      </w:pPr>
      <w:bookmarkStart w:id="2" w:name="_Toc209316062"/>
      <w:bookmarkEnd w:id="2"/>
    </w:p>
    <w:p w14:paraId="30A50A64" w14:textId="113B2B60" w:rsidR="00F1683A" w:rsidRPr="00F1683A" w:rsidRDefault="00B63D24" w:rsidP="00F1683A">
      <w:pPr>
        <w:pStyle w:val="TOC2"/>
        <w:rPr>
          <w:rFonts w:asciiTheme="minorHAnsi" w:eastAsiaTheme="minorEastAsia" w:hAnsiTheme="minorHAnsi" w:cstheme="minorBidi"/>
          <w:b w:val="0"/>
          <w:i w:val="0"/>
        </w:rPr>
      </w:pPr>
      <w:bookmarkStart w:id="3" w:name="_Toc207761829"/>
      <w:r w:rsidRPr="00907336">
        <w:rPr>
          <w:sz w:val="28"/>
          <w:szCs w:val="28"/>
        </w:rPr>
        <w:lastRenderedPageBreak/>
        <w:t>Table of Contents</w:t>
      </w:r>
      <w:bookmarkEnd w:id="3"/>
      <w:r w:rsidRPr="00761DFD">
        <w:fldChar w:fldCharType="begin"/>
      </w:r>
      <w:r w:rsidRPr="00761DFD">
        <w:instrText xml:space="preserve"> TOC \o "1-4" \h \z \u </w:instrText>
      </w:r>
      <w:r w:rsidRPr="00761DFD">
        <w:fldChar w:fldCharType="separate"/>
      </w:r>
    </w:p>
    <w:p w14:paraId="468C6822" w14:textId="77777777" w:rsidR="00F1683A" w:rsidRPr="00F1683A" w:rsidRDefault="00BF5133">
      <w:pPr>
        <w:pStyle w:val="TOC1"/>
        <w:rPr>
          <w:rFonts w:asciiTheme="minorHAnsi" w:eastAsiaTheme="minorEastAsia" w:hAnsiTheme="minorHAnsi" w:cstheme="minorBidi"/>
          <w:b w:val="0"/>
          <w:sz w:val="24"/>
        </w:rPr>
      </w:pPr>
      <w:hyperlink w:anchor="_Toc447543640" w:history="1">
        <w:r w:rsidR="00F1683A" w:rsidRPr="00F1683A">
          <w:rPr>
            <w:rStyle w:val="Hyperlink"/>
            <w:sz w:val="24"/>
          </w:rPr>
          <w:t>1</w:t>
        </w:r>
        <w:r w:rsidR="00F1683A" w:rsidRPr="00F1683A">
          <w:rPr>
            <w:rFonts w:asciiTheme="minorHAnsi" w:eastAsiaTheme="minorEastAsia" w:hAnsiTheme="minorHAnsi" w:cstheme="minorBidi"/>
            <w:b w:val="0"/>
            <w:sz w:val="24"/>
          </w:rPr>
          <w:tab/>
        </w:r>
        <w:r w:rsidR="00F1683A" w:rsidRPr="00F1683A">
          <w:rPr>
            <w:rStyle w:val="Hyperlink"/>
            <w:sz w:val="24"/>
          </w:rPr>
          <w:t>Introduction</w:t>
        </w:r>
        <w:r w:rsidR="00F1683A" w:rsidRPr="00F1683A">
          <w:rPr>
            <w:webHidden/>
            <w:sz w:val="24"/>
          </w:rPr>
          <w:tab/>
        </w:r>
        <w:r w:rsidR="00F1683A" w:rsidRPr="00F1683A">
          <w:rPr>
            <w:webHidden/>
            <w:sz w:val="24"/>
          </w:rPr>
          <w:fldChar w:fldCharType="begin"/>
        </w:r>
        <w:r w:rsidR="00F1683A" w:rsidRPr="00F1683A">
          <w:rPr>
            <w:webHidden/>
            <w:sz w:val="24"/>
          </w:rPr>
          <w:instrText xml:space="preserve"> PAGEREF _Toc447543640 \h </w:instrText>
        </w:r>
        <w:r w:rsidR="00F1683A" w:rsidRPr="00F1683A">
          <w:rPr>
            <w:webHidden/>
            <w:sz w:val="24"/>
          </w:rPr>
        </w:r>
        <w:r w:rsidR="00F1683A" w:rsidRPr="00F1683A">
          <w:rPr>
            <w:webHidden/>
            <w:sz w:val="24"/>
          </w:rPr>
          <w:fldChar w:fldCharType="separate"/>
        </w:r>
        <w:r>
          <w:rPr>
            <w:webHidden/>
            <w:sz w:val="24"/>
          </w:rPr>
          <w:t>3</w:t>
        </w:r>
        <w:r w:rsidR="00F1683A" w:rsidRPr="00F1683A">
          <w:rPr>
            <w:webHidden/>
            <w:sz w:val="24"/>
          </w:rPr>
          <w:fldChar w:fldCharType="end"/>
        </w:r>
      </w:hyperlink>
    </w:p>
    <w:p w14:paraId="1383CDFA" w14:textId="77777777" w:rsidR="00F1683A" w:rsidRPr="00F1683A" w:rsidRDefault="00BF5133">
      <w:pPr>
        <w:pStyle w:val="TOC1"/>
        <w:rPr>
          <w:rFonts w:asciiTheme="minorHAnsi" w:eastAsiaTheme="minorEastAsia" w:hAnsiTheme="minorHAnsi" w:cstheme="minorBidi"/>
          <w:b w:val="0"/>
          <w:sz w:val="24"/>
        </w:rPr>
      </w:pPr>
      <w:hyperlink w:anchor="_Toc447543641" w:history="1">
        <w:r w:rsidR="00F1683A" w:rsidRPr="00F1683A">
          <w:rPr>
            <w:rStyle w:val="Hyperlink"/>
            <w:sz w:val="24"/>
          </w:rPr>
          <w:t>2</w:t>
        </w:r>
        <w:r w:rsidR="00F1683A" w:rsidRPr="00F1683A">
          <w:rPr>
            <w:rFonts w:asciiTheme="minorHAnsi" w:eastAsiaTheme="minorEastAsia" w:hAnsiTheme="minorHAnsi" w:cstheme="minorBidi"/>
            <w:b w:val="0"/>
            <w:sz w:val="24"/>
          </w:rPr>
          <w:tab/>
        </w:r>
        <w:r w:rsidR="00F1683A" w:rsidRPr="00F1683A">
          <w:rPr>
            <w:rStyle w:val="Hyperlink"/>
            <w:sz w:val="24"/>
          </w:rPr>
          <w:t>Summary</w:t>
        </w:r>
        <w:r w:rsidR="00F1683A" w:rsidRPr="00F1683A">
          <w:rPr>
            <w:webHidden/>
            <w:sz w:val="24"/>
          </w:rPr>
          <w:tab/>
        </w:r>
        <w:r w:rsidR="00F1683A" w:rsidRPr="00F1683A">
          <w:rPr>
            <w:webHidden/>
            <w:sz w:val="24"/>
          </w:rPr>
          <w:fldChar w:fldCharType="begin"/>
        </w:r>
        <w:r w:rsidR="00F1683A" w:rsidRPr="00F1683A">
          <w:rPr>
            <w:webHidden/>
            <w:sz w:val="24"/>
          </w:rPr>
          <w:instrText xml:space="preserve"> PAGEREF _Toc447543641 \h </w:instrText>
        </w:r>
        <w:r w:rsidR="00F1683A" w:rsidRPr="00F1683A">
          <w:rPr>
            <w:webHidden/>
            <w:sz w:val="24"/>
          </w:rPr>
        </w:r>
        <w:r w:rsidR="00F1683A" w:rsidRPr="00F1683A">
          <w:rPr>
            <w:webHidden/>
            <w:sz w:val="24"/>
          </w:rPr>
          <w:fldChar w:fldCharType="separate"/>
        </w:r>
        <w:r>
          <w:rPr>
            <w:webHidden/>
            <w:sz w:val="24"/>
          </w:rPr>
          <w:t>3</w:t>
        </w:r>
        <w:r w:rsidR="00F1683A" w:rsidRPr="00F1683A">
          <w:rPr>
            <w:webHidden/>
            <w:sz w:val="24"/>
          </w:rPr>
          <w:fldChar w:fldCharType="end"/>
        </w:r>
      </w:hyperlink>
    </w:p>
    <w:p w14:paraId="42819955" w14:textId="77777777" w:rsidR="00F1683A" w:rsidRPr="00F1683A" w:rsidRDefault="00BF5133">
      <w:pPr>
        <w:pStyle w:val="TOC1"/>
        <w:rPr>
          <w:rFonts w:asciiTheme="minorHAnsi" w:eastAsiaTheme="minorEastAsia" w:hAnsiTheme="minorHAnsi" w:cstheme="minorBidi"/>
          <w:b w:val="0"/>
          <w:sz w:val="24"/>
        </w:rPr>
      </w:pPr>
      <w:hyperlink w:anchor="_Toc447543642" w:history="1">
        <w:r w:rsidR="00F1683A" w:rsidRPr="00F1683A">
          <w:rPr>
            <w:rStyle w:val="Hyperlink"/>
            <w:sz w:val="24"/>
          </w:rPr>
          <w:t>3</w:t>
        </w:r>
        <w:r w:rsidR="00F1683A" w:rsidRPr="00F1683A">
          <w:rPr>
            <w:rFonts w:asciiTheme="minorHAnsi" w:eastAsiaTheme="minorEastAsia" w:hAnsiTheme="minorHAnsi" w:cstheme="minorBidi"/>
            <w:b w:val="0"/>
            <w:sz w:val="24"/>
          </w:rPr>
          <w:tab/>
        </w:r>
        <w:r w:rsidR="00F1683A" w:rsidRPr="00F1683A">
          <w:rPr>
            <w:rStyle w:val="Hyperlink"/>
            <w:sz w:val="24"/>
          </w:rPr>
          <w:t>Recommendations</w:t>
        </w:r>
        <w:r w:rsidR="00F1683A" w:rsidRPr="00F1683A">
          <w:rPr>
            <w:webHidden/>
            <w:sz w:val="24"/>
          </w:rPr>
          <w:tab/>
        </w:r>
        <w:r w:rsidR="00F1683A" w:rsidRPr="00F1683A">
          <w:rPr>
            <w:webHidden/>
            <w:sz w:val="24"/>
          </w:rPr>
          <w:fldChar w:fldCharType="begin"/>
        </w:r>
        <w:r w:rsidR="00F1683A" w:rsidRPr="00F1683A">
          <w:rPr>
            <w:webHidden/>
            <w:sz w:val="24"/>
          </w:rPr>
          <w:instrText xml:space="preserve"> PAGEREF _Toc447543642 \h </w:instrText>
        </w:r>
        <w:r w:rsidR="00F1683A" w:rsidRPr="00F1683A">
          <w:rPr>
            <w:webHidden/>
            <w:sz w:val="24"/>
          </w:rPr>
        </w:r>
        <w:r w:rsidR="00F1683A" w:rsidRPr="00F1683A">
          <w:rPr>
            <w:webHidden/>
            <w:sz w:val="24"/>
          </w:rPr>
          <w:fldChar w:fldCharType="separate"/>
        </w:r>
        <w:r>
          <w:rPr>
            <w:webHidden/>
            <w:sz w:val="24"/>
          </w:rPr>
          <w:t>3</w:t>
        </w:r>
        <w:r w:rsidR="00F1683A" w:rsidRPr="00F1683A">
          <w:rPr>
            <w:webHidden/>
            <w:sz w:val="24"/>
          </w:rPr>
          <w:fldChar w:fldCharType="end"/>
        </w:r>
      </w:hyperlink>
    </w:p>
    <w:p w14:paraId="00E41D7C" w14:textId="77777777" w:rsidR="00F1683A" w:rsidRPr="00F1683A" w:rsidRDefault="00BF5133">
      <w:pPr>
        <w:pStyle w:val="TOC1"/>
        <w:rPr>
          <w:rFonts w:asciiTheme="minorHAnsi" w:eastAsiaTheme="minorEastAsia" w:hAnsiTheme="minorHAnsi" w:cstheme="minorBidi"/>
          <w:b w:val="0"/>
          <w:sz w:val="24"/>
        </w:rPr>
      </w:pPr>
      <w:hyperlink w:anchor="_Toc447543643" w:history="1">
        <w:r w:rsidR="00F1683A" w:rsidRPr="00F1683A">
          <w:rPr>
            <w:rStyle w:val="Hyperlink"/>
            <w:sz w:val="24"/>
          </w:rPr>
          <w:t>4</w:t>
        </w:r>
        <w:r w:rsidR="00F1683A" w:rsidRPr="00F1683A">
          <w:rPr>
            <w:rFonts w:asciiTheme="minorHAnsi" w:eastAsiaTheme="minorEastAsia" w:hAnsiTheme="minorHAnsi" w:cstheme="minorBidi"/>
            <w:b w:val="0"/>
            <w:sz w:val="24"/>
          </w:rPr>
          <w:tab/>
        </w:r>
        <w:r w:rsidR="00F1683A" w:rsidRPr="00F1683A">
          <w:rPr>
            <w:rStyle w:val="Hyperlink"/>
            <w:sz w:val="24"/>
          </w:rPr>
          <w:t>Gender inequality</w:t>
        </w:r>
        <w:r w:rsidR="00F1683A" w:rsidRPr="00F1683A">
          <w:rPr>
            <w:webHidden/>
            <w:sz w:val="24"/>
          </w:rPr>
          <w:tab/>
        </w:r>
        <w:r w:rsidR="00F1683A" w:rsidRPr="00F1683A">
          <w:rPr>
            <w:webHidden/>
            <w:sz w:val="24"/>
          </w:rPr>
          <w:fldChar w:fldCharType="begin"/>
        </w:r>
        <w:r w:rsidR="00F1683A" w:rsidRPr="00F1683A">
          <w:rPr>
            <w:webHidden/>
            <w:sz w:val="24"/>
          </w:rPr>
          <w:instrText xml:space="preserve"> PAGEREF _Toc447543643 \h </w:instrText>
        </w:r>
        <w:r w:rsidR="00F1683A" w:rsidRPr="00F1683A">
          <w:rPr>
            <w:webHidden/>
            <w:sz w:val="24"/>
          </w:rPr>
        </w:r>
        <w:r w:rsidR="00F1683A" w:rsidRPr="00F1683A">
          <w:rPr>
            <w:webHidden/>
            <w:sz w:val="24"/>
          </w:rPr>
          <w:fldChar w:fldCharType="separate"/>
        </w:r>
        <w:r>
          <w:rPr>
            <w:webHidden/>
            <w:sz w:val="24"/>
          </w:rPr>
          <w:t>4</w:t>
        </w:r>
        <w:r w:rsidR="00F1683A" w:rsidRPr="00F1683A">
          <w:rPr>
            <w:webHidden/>
            <w:sz w:val="24"/>
          </w:rPr>
          <w:fldChar w:fldCharType="end"/>
        </w:r>
      </w:hyperlink>
    </w:p>
    <w:p w14:paraId="4A4BDC16" w14:textId="77777777" w:rsidR="00F1683A" w:rsidRPr="00F1683A" w:rsidRDefault="00BF5133">
      <w:pPr>
        <w:pStyle w:val="TOC2"/>
        <w:rPr>
          <w:rFonts w:asciiTheme="minorHAnsi" w:eastAsiaTheme="minorEastAsia" w:hAnsiTheme="minorHAnsi" w:cstheme="minorBidi"/>
          <w:b w:val="0"/>
          <w:i w:val="0"/>
        </w:rPr>
      </w:pPr>
      <w:hyperlink w:anchor="_Toc447543644" w:history="1">
        <w:r w:rsidR="00F1683A" w:rsidRPr="00F1683A">
          <w:rPr>
            <w:rStyle w:val="Hyperlink"/>
          </w:rPr>
          <w:t>4.1</w:t>
        </w:r>
        <w:r w:rsidR="00F1683A" w:rsidRPr="00F1683A">
          <w:rPr>
            <w:rFonts w:asciiTheme="minorHAnsi" w:eastAsiaTheme="minorEastAsia" w:hAnsiTheme="minorHAnsi" w:cstheme="minorBidi"/>
            <w:b w:val="0"/>
            <w:i w:val="0"/>
          </w:rPr>
          <w:tab/>
        </w:r>
        <w:r w:rsidR="00F1683A" w:rsidRPr="00F1683A">
          <w:rPr>
            <w:rStyle w:val="Hyperlink"/>
          </w:rPr>
          <w:t>National Plan to Reduce Violence against Women and their Children 2010-22</w:t>
        </w:r>
        <w:r w:rsidR="00F1683A" w:rsidRPr="00F1683A">
          <w:rPr>
            <w:webHidden/>
          </w:rPr>
          <w:tab/>
        </w:r>
        <w:r w:rsidR="00F1683A" w:rsidRPr="00F1683A">
          <w:rPr>
            <w:webHidden/>
          </w:rPr>
          <w:fldChar w:fldCharType="begin"/>
        </w:r>
        <w:r w:rsidR="00F1683A" w:rsidRPr="00F1683A">
          <w:rPr>
            <w:webHidden/>
          </w:rPr>
          <w:instrText xml:space="preserve"> PAGEREF _Toc447543644 \h </w:instrText>
        </w:r>
        <w:r w:rsidR="00F1683A" w:rsidRPr="00F1683A">
          <w:rPr>
            <w:webHidden/>
          </w:rPr>
        </w:r>
        <w:r w:rsidR="00F1683A" w:rsidRPr="00F1683A">
          <w:rPr>
            <w:webHidden/>
          </w:rPr>
          <w:fldChar w:fldCharType="separate"/>
        </w:r>
        <w:r>
          <w:rPr>
            <w:webHidden/>
          </w:rPr>
          <w:t>7</w:t>
        </w:r>
        <w:r w:rsidR="00F1683A" w:rsidRPr="00F1683A">
          <w:rPr>
            <w:webHidden/>
          </w:rPr>
          <w:fldChar w:fldCharType="end"/>
        </w:r>
      </w:hyperlink>
    </w:p>
    <w:p w14:paraId="5B47211E" w14:textId="77777777" w:rsidR="00F1683A" w:rsidRPr="00F1683A" w:rsidRDefault="00BF5133">
      <w:pPr>
        <w:pStyle w:val="TOC2"/>
        <w:rPr>
          <w:rFonts w:asciiTheme="minorHAnsi" w:eastAsiaTheme="minorEastAsia" w:hAnsiTheme="minorHAnsi" w:cstheme="minorBidi"/>
          <w:b w:val="0"/>
          <w:i w:val="0"/>
        </w:rPr>
      </w:pPr>
      <w:hyperlink w:anchor="_Toc447543645" w:history="1">
        <w:r w:rsidR="00F1683A" w:rsidRPr="00F1683A">
          <w:rPr>
            <w:rStyle w:val="Hyperlink"/>
          </w:rPr>
          <w:t>4.2</w:t>
        </w:r>
        <w:r w:rsidR="00F1683A" w:rsidRPr="00F1683A">
          <w:rPr>
            <w:rFonts w:asciiTheme="minorHAnsi" w:eastAsiaTheme="minorEastAsia" w:hAnsiTheme="minorHAnsi" w:cstheme="minorBidi"/>
            <w:b w:val="0"/>
            <w:i w:val="0"/>
          </w:rPr>
          <w:tab/>
        </w:r>
        <w:r w:rsidR="00F1683A" w:rsidRPr="00F1683A">
          <w:rPr>
            <w:rStyle w:val="Hyperlink"/>
          </w:rPr>
          <w:t>Anti-discrimination laws</w:t>
        </w:r>
        <w:r w:rsidR="00F1683A" w:rsidRPr="00F1683A">
          <w:rPr>
            <w:webHidden/>
          </w:rPr>
          <w:tab/>
        </w:r>
        <w:r w:rsidR="00F1683A" w:rsidRPr="00F1683A">
          <w:rPr>
            <w:webHidden/>
          </w:rPr>
          <w:fldChar w:fldCharType="begin"/>
        </w:r>
        <w:r w:rsidR="00F1683A" w:rsidRPr="00F1683A">
          <w:rPr>
            <w:webHidden/>
          </w:rPr>
          <w:instrText xml:space="preserve"> PAGEREF _Toc447543645 \h </w:instrText>
        </w:r>
        <w:r w:rsidR="00F1683A" w:rsidRPr="00F1683A">
          <w:rPr>
            <w:webHidden/>
          </w:rPr>
        </w:r>
        <w:r w:rsidR="00F1683A" w:rsidRPr="00F1683A">
          <w:rPr>
            <w:webHidden/>
          </w:rPr>
          <w:fldChar w:fldCharType="separate"/>
        </w:r>
        <w:r>
          <w:rPr>
            <w:webHidden/>
          </w:rPr>
          <w:t>8</w:t>
        </w:r>
        <w:r w:rsidR="00F1683A" w:rsidRPr="00F1683A">
          <w:rPr>
            <w:webHidden/>
          </w:rPr>
          <w:fldChar w:fldCharType="end"/>
        </w:r>
      </w:hyperlink>
    </w:p>
    <w:p w14:paraId="52CE5B22" w14:textId="77777777" w:rsidR="00F1683A" w:rsidRPr="00F1683A" w:rsidRDefault="00BF5133">
      <w:pPr>
        <w:pStyle w:val="TOC2"/>
        <w:rPr>
          <w:rFonts w:asciiTheme="minorHAnsi" w:eastAsiaTheme="minorEastAsia" w:hAnsiTheme="minorHAnsi" w:cstheme="minorBidi"/>
          <w:b w:val="0"/>
          <w:i w:val="0"/>
        </w:rPr>
      </w:pPr>
      <w:hyperlink w:anchor="_Toc447543646" w:history="1">
        <w:r w:rsidR="00F1683A" w:rsidRPr="00F1683A">
          <w:rPr>
            <w:rStyle w:val="Hyperlink"/>
          </w:rPr>
          <w:t>4.3</w:t>
        </w:r>
        <w:r w:rsidR="00F1683A" w:rsidRPr="00F1683A">
          <w:rPr>
            <w:rFonts w:asciiTheme="minorHAnsi" w:eastAsiaTheme="minorEastAsia" w:hAnsiTheme="minorHAnsi" w:cstheme="minorBidi"/>
            <w:b w:val="0"/>
            <w:i w:val="0"/>
          </w:rPr>
          <w:tab/>
        </w:r>
        <w:r w:rsidR="00F1683A" w:rsidRPr="00F1683A">
          <w:rPr>
            <w:rStyle w:val="Hyperlink"/>
          </w:rPr>
          <w:t>Intersectionality</w:t>
        </w:r>
        <w:r w:rsidR="00F1683A" w:rsidRPr="00F1683A">
          <w:rPr>
            <w:webHidden/>
          </w:rPr>
          <w:tab/>
        </w:r>
        <w:r w:rsidR="00F1683A" w:rsidRPr="00F1683A">
          <w:rPr>
            <w:webHidden/>
          </w:rPr>
          <w:fldChar w:fldCharType="begin"/>
        </w:r>
        <w:r w:rsidR="00F1683A" w:rsidRPr="00F1683A">
          <w:rPr>
            <w:webHidden/>
          </w:rPr>
          <w:instrText xml:space="preserve"> PAGEREF _Toc447543646 \h </w:instrText>
        </w:r>
        <w:r w:rsidR="00F1683A" w:rsidRPr="00F1683A">
          <w:rPr>
            <w:webHidden/>
          </w:rPr>
        </w:r>
        <w:r w:rsidR="00F1683A" w:rsidRPr="00F1683A">
          <w:rPr>
            <w:webHidden/>
          </w:rPr>
          <w:fldChar w:fldCharType="separate"/>
        </w:r>
        <w:r>
          <w:rPr>
            <w:webHidden/>
          </w:rPr>
          <w:t>8</w:t>
        </w:r>
        <w:r w:rsidR="00F1683A" w:rsidRPr="00F1683A">
          <w:rPr>
            <w:webHidden/>
          </w:rPr>
          <w:fldChar w:fldCharType="end"/>
        </w:r>
      </w:hyperlink>
    </w:p>
    <w:p w14:paraId="518AFC05" w14:textId="2CAA02D3" w:rsidR="00F1683A" w:rsidRPr="00F1683A" w:rsidRDefault="00BF5133">
      <w:pPr>
        <w:pStyle w:val="TOC3"/>
        <w:rPr>
          <w:rFonts w:asciiTheme="minorHAnsi" w:eastAsiaTheme="minorEastAsia" w:hAnsiTheme="minorHAnsi" w:cstheme="minorBidi"/>
          <w:i w:val="0"/>
        </w:rPr>
      </w:pPr>
      <w:hyperlink w:anchor="_Toc447543647" w:history="1"/>
    </w:p>
    <w:p w14:paraId="5BF32F65" w14:textId="77777777" w:rsidR="00F1683A" w:rsidRPr="00F1683A" w:rsidRDefault="00BF5133">
      <w:pPr>
        <w:pStyle w:val="TOC1"/>
        <w:rPr>
          <w:rFonts w:asciiTheme="minorHAnsi" w:eastAsiaTheme="minorEastAsia" w:hAnsiTheme="minorHAnsi" w:cstheme="minorBidi"/>
          <w:b w:val="0"/>
          <w:sz w:val="24"/>
        </w:rPr>
      </w:pPr>
      <w:hyperlink w:anchor="_Toc447543648" w:history="1">
        <w:r w:rsidR="00F1683A" w:rsidRPr="00F1683A">
          <w:rPr>
            <w:rStyle w:val="Hyperlink"/>
            <w:sz w:val="24"/>
          </w:rPr>
          <w:t xml:space="preserve">5 </w:t>
        </w:r>
        <w:r w:rsidR="00F1683A" w:rsidRPr="00F1683A">
          <w:rPr>
            <w:rFonts w:asciiTheme="minorHAnsi" w:eastAsiaTheme="minorEastAsia" w:hAnsiTheme="minorHAnsi" w:cstheme="minorBidi"/>
            <w:b w:val="0"/>
            <w:sz w:val="24"/>
          </w:rPr>
          <w:tab/>
        </w:r>
        <w:r w:rsidR="00F1683A" w:rsidRPr="00F1683A">
          <w:rPr>
            <w:rStyle w:val="Hyperlink"/>
            <w:sz w:val="24"/>
          </w:rPr>
          <w:t>Children affected by family and domestic violence</w:t>
        </w:r>
        <w:r w:rsidR="00F1683A" w:rsidRPr="00F1683A">
          <w:rPr>
            <w:webHidden/>
            <w:sz w:val="24"/>
          </w:rPr>
          <w:tab/>
        </w:r>
        <w:r w:rsidR="00F1683A" w:rsidRPr="00F1683A">
          <w:rPr>
            <w:webHidden/>
            <w:sz w:val="24"/>
          </w:rPr>
          <w:fldChar w:fldCharType="begin"/>
        </w:r>
        <w:r w:rsidR="00F1683A" w:rsidRPr="00F1683A">
          <w:rPr>
            <w:webHidden/>
            <w:sz w:val="24"/>
          </w:rPr>
          <w:instrText xml:space="preserve"> PAGEREF _Toc447543648 \h </w:instrText>
        </w:r>
        <w:r w:rsidR="00F1683A" w:rsidRPr="00F1683A">
          <w:rPr>
            <w:webHidden/>
            <w:sz w:val="24"/>
          </w:rPr>
        </w:r>
        <w:r w:rsidR="00F1683A" w:rsidRPr="00F1683A">
          <w:rPr>
            <w:webHidden/>
            <w:sz w:val="24"/>
          </w:rPr>
          <w:fldChar w:fldCharType="separate"/>
        </w:r>
        <w:r>
          <w:rPr>
            <w:webHidden/>
            <w:sz w:val="24"/>
          </w:rPr>
          <w:t>10</w:t>
        </w:r>
        <w:r w:rsidR="00F1683A" w:rsidRPr="00F1683A">
          <w:rPr>
            <w:webHidden/>
            <w:sz w:val="24"/>
          </w:rPr>
          <w:fldChar w:fldCharType="end"/>
        </w:r>
      </w:hyperlink>
    </w:p>
    <w:p w14:paraId="1B6E1EE5" w14:textId="77777777" w:rsidR="00F1683A" w:rsidRPr="00F1683A" w:rsidRDefault="00BF5133">
      <w:pPr>
        <w:pStyle w:val="TOC1"/>
        <w:rPr>
          <w:rFonts w:asciiTheme="minorHAnsi" w:eastAsiaTheme="minorEastAsia" w:hAnsiTheme="minorHAnsi" w:cstheme="minorBidi"/>
          <w:b w:val="0"/>
          <w:sz w:val="24"/>
        </w:rPr>
      </w:pPr>
      <w:hyperlink w:anchor="_Toc447543649" w:history="1">
        <w:r w:rsidR="00F1683A" w:rsidRPr="00F1683A">
          <w:rPr>
            <w:rStyle w:val="Hyperlink"/>
            <w:sz w:val="24"/>
          </w:rPr>
          <w:t xml:space="preserve">6 </w:t>
        </w:r>
        <w:r w:rsidR="00F1683A" w:rsidRPr="00F1683A">
          <w:rPr>
            <w:rFonts w:asciiTheme="minorHAnsi" w:eastAsiaTheme="minorEastAsia" w:hAnsiTheme="minorHAnsi" w:cstheme="minorBidi"/>
            <w:b w:val="0"/>
            <w:sz w:val="24"/>
          </w:rPr>
          <w:tab/>
        </w:r>
        <w:r w:rsidR="00F1683A" w:rsidRPr="00F1683A">
          <w:rPr>
            <w:rStyle w:val="Hyperlink"/>
            <w:sz w:val="24"/>
          </w:rPr>
          <w:t xml:space="preserve"> Domestic violence as a workplace issue</w:t>
        </w:r>
        <w:r w:rsidR="00F1683A" w:rsidRPr="00F1683A">
          <w:rPr>
            <w:webHidden/>
            <w:sz w:val="24"/>
          </w:rPr>
          <w:tab/>
        </w:r>
        <w:r w:rsidR="00F1683A" w:rsidRPr="00F1683A">
          <w:rPr>
            <w:webHidden/>
            <w:sz w:val="24"/>
          </w:rPr>
          <w:fldChar w:fldCharType="begin"/>
        </w:r>
        <w:r w:rsidR="00F1683A" w:rsidRPr="00F1683A">
          <w:rPr>
            <w:webHidden/>
            <w:sz w:val="24"/>
          </w:rPr>
          <w:instrText xml:space="preserve"> PAGEREF _Toc447543649 \h </w:instrText>
        </w:r>
        <w:r w:rsidR="00F1683A" w:rsidRPr="00F1683A">
          <w:rPr>
            <w:webHidden/>
            <w:sz w:val="24"/>
          </w:rPr>
        </w:r>
        <w:r w:rsidR="00F1683A" w:rsidRPr="00F1683A">
          <w:rPr>
            <w:webHidden/>
            <w:sz w:val="24"/>
          </w:rPr>
          <w:fldChar w:fldCharType="separate"/>
        </w:r>
        <w:r>
          <w:rPr>
            <w:webHidden/>
            <w:sz w:val="24"/>
          </w:rPr>
          <w:t>11</w:t>
        </w:r>
        <w:r w:rsidR="00F1683A" w:rsidRPr="00F1683A">
          <w:rPr>
            <w:webHidden/>
            <w:sz w:val="24"/>
          </w:rPr>
          <w:fldChar w:fldCharType="end"/>
        </w:r>
      </w:hyperlink>
    </w:p>
    <w:p w14:paraId="6AA3EB90" w14:textId="77777777" w:rsidR="00F1683A" w:rsidRPr="00F1683A" w:rsidRDefault="00BF5133">
      <w:pPr>
        <w:pStyle w:val="TOC1"/>
        <w:rPr>
          <w:rFonts w:asciiTheme="minorHAnsi" w:eastAsiaTheme="minorEastAsia" w:hAnsiTheme="minorHAnsi" w:cstheme="minorBidi"/>
          <w:b w:val="0"/>
          <w:sz w:val="24"/>
        </w:rPr>
      </w:pPr>
      <w:hyperlink w:anchor="_Toc447543650" w:history="1">
        <w:r w:rsidR="00F1683A" w:rsidRPr="00F1683A">
          <w:rPr>
            <w:rStyle w:val="Hyperlink"/>
            <w:sz w:val="24"/>
          </w:rPr>
          <w:t xml:space="preserve">7 </w:t>
        </w:r>
        <w:r w:rsidR="00F1683A" w:rsidRPr="00F1683A">
          <w:rPr>
            <w:rFonts w:asciiTheme="minorHAnsi" w:eastAsiaTheme="minorEastAsia" w:hAnsiTheme="minorHAnsi" w:cstheme="minorBidi"/>
            <w:b w:val="0"/>
            <w:sz w:val="24"/>
          </w:rPr>
          <w:tab/>
        </w:r>
        <w:r w:rsidR="00F1683A" w:rsidRPr="00F1683A">
          <w:rPr>
            <w:rStyle w:val="Hyperlink"/>
            <w:sz w:val="24"/>
          </w:rPr>
          <w:t>A Coronial Approach to Domestic and Family Violence Homicides</w:t>
        </w:r>
        <w:r w:rsidR="00F1683A" w:rsidRPr="00F1683A">
          <w:rPr>
            <w:webHidden/>
            <w:sz w:val="24"/>
          </w:rPr>
          <w:tab/>
        </w:r>
        <w:r w:rsidR="00F1683A" w:rsidRPr="00F1683A">
          <w:rPr>
            <w:webHidden/>
            <w:sz w:val="24"/>
          </w:rPr>
          <w:fldChar w:fldCharType="begin"/>
        </w:r>
        <w:r w:rsidR="00F1683A" w:rsidRPr="00F1683A">
          <w:rPr>
            <w:webHidden/>
            <w:sz w:val="24"/>
          </w:rPr>
          <w:instrText xml:space="preserve"> PAGEREF _Toc447543650 \h </w:instrText>
        </w:r>
        <w:r w:rsidR="00F1683A" w:rsidRPr="00F1683A">
          <w:rPr>
            <w:webHidden/>
            <w:sz w:val="24"/>
          </w:rPr>
        </w:r>
        <w:r w:rsidR="00F1683A" w:rsidRPr="00F1683A">
          <w:rPr>
            <w:webHidden/>
            <w:sz w:val="24"/>
          </w:rPr>
          <w:fldChar w:fldCharType="separate"/>
        </w:r>
        <w:r>
          <w:rPr>
            <w:webHidden/>
            <w:sz w:val="24"/>
          </w:rPr>
          <w:t>12</w:t>
        </w:r>
        <w:r w:rsidR="00F1683A" w:rsidRPr="00F1683A">
          <w:rPr>
            <w:webHidden/>
            <w:sz w:val="24"/>
          </w:rPr>
          <w:fldChar w:fldCharType="end"/>
        </w:r>
      </w:hyperlink>
    </w:p>
    <w:p w14:paraId="2D90F23E" w14:textId="77777777" w:rsidR="00F1683A" w:rsidRPr="00F1683A" w:rsidRDefault="00BF5133">
      <w:pPr>
        <w:pStyle w:val="TOC1"/>
        <w:rPr>
          <w:rFonts w:asciiTheme="minorHAnsi" w:eastAsiaTheme="minorEastAsia" w:hAnsiTheme="minorHAnsi" w:cstheme="minorBidi"/>
          <w:b w:val="0"/>
          <w:sz w:val="24"/>
        </w:rPr>
      </w:pPr>
      <w:hyperlink w:anchor="_Toc447543651" w:history="1">
        <w:r w:rsidR="00F1683A" w:rsidRPr="00F1683A">
          <w:rPr>
            <w:rStyle w:val="Hyperlink"/>
            <w:sz w:val="24"/>
          </w:rPr>
          <w:t xml:space="preserve">Appendix A: </w:t>
        </w:r>
        <w:r w:rsidR="00F1683A" w:rsidRPr="00F1683A">
          <w:rPr>
            <w:rStyle w:val="Hyperlink"/>
            <w:i/>
            <w:sz w:val="24"/>
          </w:rPr>
          <w:t>Children’s Rights Report 2015 (Chapter 4):</w:t>
        </w:r>
        <w:r w:rsidR="00F1683A" w:rsidRPr="00F1683A">
          <w:rPr>
            <w:rStyle w:val="Hyperlink"/>
            <w:sz w:val="24"/>
          </w:rPr>
          <w:t xml:space="preserve"> </w:t>
        </w:r>
        <w:r w:rsidR="00F1683A" w:rsidRPr="00F1683A">
          <w:rPr>
            <w:rStyle w:val="Hyperlink"/>
            <w:i/>
            <w:sz w:val="24"/>
          </w:rPr>
          <w:t>All I want is a life free from violence</w:t>
        </w:r>
        <w:r w:rsidR="00F1683A" w:rsidRPr="00F1683A">
          <w:rPr>
            <w:webHidden/>
            <w:sz w:val="24"/>
          </w:rPr>
          <w:tab/>
        </w:r>
        <w:r w:rsidR="00F1683A" w:rsidRPr="00F1683A">
          <w:rPr>
            <w:webHidden/>
            <w:sz w:val="24"/>
          </w:rPr>
          <w:fldChar w:fldCharType="begin"/>
        </w:r>
        <w:r w:rsidR="00F1683A" w:rsidRPr="00F1683A">
          <w:rPr>
            <w:webHidden/>
            <w:sz w:val="24"/>
          </w:rPr>
          <w:instrText xml:space="preserve"> PAGEREF _Toc447543651 \h </w:instrText>
        </w:r>
        <w:r w:rsidR="00F1683A" w:rsidRPr="00F1683A">
          <w:rPr>
            <w:webHidden/>
            <w:sz w:val="24"/>
          </w:rPr>
        </w:r>
        <w:r w:rsidR="00F1683A" w:rsidRPr="00F1683A">
          <w:rPr>
            <w:webHidden/>
            <w:sz w:val="24"/>
          </w:rPr>
          <w:fldChar w:fldCharType="separate"/>
        </w:r>
        <w:r>
          <w:rPr>
            <w:webHidden/>
            <w:sz w:val="24"/>
          </w:rPr>
          <w:t>13</w:t>
        </w:r>
        <w:r w:rsidR="00F1683A" w:rsidRPr="00F1683A">
          <w:rPr>
            <w:webHidden/>
            <w:sz w:val="24"/>
          </w:rPr>
          <w:fldChar w:fldCharType="end"/>
        </w:r>
      </w:hyperlink>
    </w:p>
    <w:p w14:paraId="503D3784" w14:textId="77777777" w:rsidR="00B34946" w:rsidRDefault="00B63D24" w:rsidP="00B63D24">
      <w:r w:rsidRPr="00761DFD">
        <w:fldChar w:fldCharType="end"/>
      </w:r>
    </w:p>
    <w:p w14:paraId="578794A0" w14:textId="77777777" w:rsidR="00B34946" w:rsidRDefault="00B34946">
      <w:pPr>
        <w:spacing w:before="0" w:after="0"/>
      </w:pPr>
      <w:r>
        <w:br w:type="page"/>
      </w:r>
    </w:p>
    <w:p w14:paraId="075D9785" w14:textId="77777777" w:rsidR="00B34946" w:rsidRPr="001E1304" w:rsidRDefault="00B34946" w:rsidP="00EB41CB">
      <w:pPr>
        <w:pStyle w:val="Heading1"/>
        <w:numPr>
          <w:ilvl w:val="0"/>
          <w:numId w:val="16"/>
        </w:numPr>
      </w:pPr>
      <w:bookmarkStart w:id="4" w:name="_Toc207761830"/>
      <w:bookmarkStart w:id="5" w:name="_Toc209578266"/>
      <w:bookmarkStart w:id="6" w:name="_Toc447543640"/>
      <w:r w:rsidRPr="001E1304">
        <w:lastRenderedPageBreak/>
        <w:t>Introduction</w:t>
      </w:r>
      <w:bookmarkEnd w:id="4"/>
      <w:bookmarkEnd w:id="5"/>
      <w:bookmarkEnd w:id="6"/>
      <w:r w:rsidRPr="001E1304">
        <w:t xml:space="preserve"> </w:t>
      </w:r>
    </w:p>
    <w:p w14:paraId="2C8A712E" w14:textId="77777777" w:rsidR="00B34946" w:rsidRDefault="00B34946" w:rsidP="00C743EF">
      <w:pPr>
        <w:pStyle w:val="SubmissionNormal"/>
      </w:pPr>
      <w:r w:rsidRPr="00C743EF">
        <w:rPr>
          <w:rFonts w:cs="Arial"/>
          <w:color w:val="000000" w:themeColor="text1"/>
        </w:rPr>
        <w:t>The Aust</w:t>
      </w:r>
      <w:r w:rsidR="00074319" w:rsidRPr="00C743EF">
        <w:rPr>
          <w:rFonts w:cs="Arial"/>
          <w:color w:val="000000" w:themeColor="text1"/>
        </w:rPr>
        <w:t>ralian Human Rights Commission</w:t>
      </w:r>
      <w:r w:rsidRPr="00C743EF">
        <w:rPr>
          <w:rFonts w:cs="Arial"/>
          <w:color w:val="000000" w:themeColor="text1"/>
        </w:rPr>
        <w:t xml:space="preserve"> makes this submission </w:t>
      </w:r>
      <w:r w:rsidR="00C743EF" w:rsidRPr="00C743EF">
        <w:rPr>
          <w:rFonts w:cs="Arial"/>
          <w:color w:val="000000" w:themeColor="text1"/>
        </w:rPr>
        <w:t xml:space="preserve">to the </w:t>
      </w:r>
      <w:r w:rsidR="00C743EF" w:rsidRPr="00C743EF">
        <w:rPr>
          <w:rFonts w:cs="Arial"/>
          <w:color w:val="000000" w:themeColor="text1"/>
          <w:lang w:val="en-US"/>
        </w:rPr>
        <w:t>Senate Finance and Public Administration Reference Committee</w:t>
      </w:r>
      <w:r w:rsidRPr="00C743EF">
        <w:rPr>
          <w:rFonts w:cs="Arial"/>
          <w:color w:val="000000" w:themeColor="text1"/>
        </w:rPr>
        <w:t xml:space="preserve"> in</w:t>
      </w:r>
      <w:r w:rsidRPr="00C743EF">
        <w:rPr>
          <w:color w:val="000000" w:themeColor="text1"/>
        </w:rPr>
        <w:t xml:space="preserve"> </w:t>
      </w:r>
      <w:r w:rsidRPr="00C5786C">
        <w:t xml:space="preserve">its Inquiry into </w:t>
      </w:r>
      <w:r w:rsidR="00C743EF">
        <w:t>domestic violence and gender inequality</w:t>
      </w:r>
      <w:r w:rsidRPr="008A0C37">
        <w:t>.</w:t>
      </w:r>
    </w:p>
    <w:p w14:paraId="5624BD76" w14:textId="77777777" w:rsidR="00B34946" w:rsidRPr="00DD425D" w:rsidRDefault="00B34946" w:rsidP="00EB41CB">
      <w:pPr>
        <w:pStyle w:val="Heading1"/>
        <w:numPr>
          <w:ilvl w:val="0"/>
          <w:numId w:val="16"/>
        </w:numPr>
      </w:pPr>
      <w:bookmarkStart w:id="7" w:name="_Toc162769290"/>
      <w:bookmarkStart w:id="8" w:name="_Toc207761831"/>
      <w:bookmarkStart w:id="9" w:name="_Toc209578267"/>
      <w:bookmarkStart w:id="10" w:name="_Toc447543641"/>
      <w:r>
        <w:t>Su</w:t>
      </w:r>
      <w:r w:rsidRPr="00DD425D">
        <w:t>mmary</w:t>
      </w:r>
      <w:bookmarkEnd w:id="7"/>
      <w:bookmarkEnd w:id="8"/>
      <w:bookmarkEnd w:id="9"/>
      <w:bookmarkEnd w:id="10"/>
    </w:p>
    <w:p w14:paraId="5A854A35" w14:textId="77777777" w:rsidR="00B34946" w:rsidRDefault="00C743EF" w:rsidP="00B34946">
      <w:pPr>
        <w:pStyle w:val="SubmissionNormal"/>
      </w:pPr>
      <w:r>
        <w:t>The Commission’s submission will focus on the following elements of the Inquiry’s Terms of Reference:</w:t>
      </w:r>
    </w:p>
    <w:p w14:paraId="467CB423" w14:textId="77777777" w:rsidR="00C743EF" w:rsidRDefault="00C743EF" w:rsidP="00EB41CB">
      <w:pPr>
        <w:pStyle w:val="SubmissionNormal"/>
        <w:numPr>
          <w:ilvl w:val="0"/>
          <w:numId w:val="17"/>
        </w:numPr>
        <w:rPr>
          <w:rFonts w:ascii="Times New Roman" w:eastAsiaTheme="minorHAnsi" w:hAnsi="Times New Roman"/>
        </w:rPr>
      </w:pPr>
      <w:r>
        <w:t xml:space="preserve">the role of gender inequality in all spheres of life in contributing to the prevalence of domestic violence; </w:t>
      </w:r>
    </w:p>
    <w:p w14:paraId="3917773C" w14:textId="77777777" w:rsidR="00C743EF" w:rsidRDefault="00C743EF" w:rsidP="00EB41CB">
      <w:pPr>
        <w:pStyle w:val="SubmissionNormal"/>
        <w:numPr>
          <w:ilvl w:val="0"/>
          <w:numId w:val="17"/>
        </w:numPr>
      </w:pPr>
      <w:r>
        <w:t> the role of gender stereotypes in contributing to cultural conditions which support domestic violence</w:t>
      </w:r>
    </w:p>
    <w:p w14:paraId="54460E70" w14:textId="77777777" w:rsidR="00B34946" w:rsidRPr="00A014F1" w:rsidRDefault="00C743EF" w:rsidP="00EB41CB">
      <w:pPr>
        <w:pStyle w:val="SubmissionNormal"/>
        <w:numPr>
          <w:ilvl w:val="0"/>
          <w:numId w:val="17"/>
        </w:numPr>
      </w:pPr>
      <w:r>
        <w:rPr>
          <w:color w:val="000000"/>
        </w:rPr>
        <w:t xml:space="preserve">the role of government initiatives in addressing the underlying causes of domestic violence, including the </w:t>
      </w:r>
      <w:r w:rsidR="00DA08F8">
        <w:rPr>
          <w:color w:val="000000"/>
        </w:rPr>
        <w:t xml:space="preserve">role of the </w:t>
      </w:r>
      <w:r>
        <w:rPr>
          <w:color w:val="000000"/>
        </w:rPr>
        <w:t>National Plan to Reduce Violence against Women and their Children</w:t>
      </w:r>
      <w:r w:rsidR="00DA08F8">
        <w:rPr>
          <w:color w:val="000000"/>
        </w:rPr>
        <w:t>.</w:t>
      </w:r>
    </w:p>
    <w:p w14:paraId="1EA4D022" w14:textId="77777777" w:rsidR="00A014F1" w:rsidRDefault="00A014F1" w:rsidP="00966BC9">
      <w:pPr>
        <w:pStyle w:val="SubmissionNormal"/>
      </w:pPr>
      <w:r>
        <w:t>In examining the issues for domestic violence and gender inequality the Commission will highlight the issues of:</w:t>
      </w:r>
    </w:p>
    <w:p w14:paraId="33D15BFA" w14:textId="77777777" w:rsidR="00E823C6" w:rsidRPr="00E823C6" w:rsidRDefault="00E823C6" w:rsidP="00EB41CB">
      <w:pPr>
        <w:pStyle w:val="SubmissionNormal"/>
        <w:numPr>
          <w:ilvl w:val="0"/>
          <w:numId w:val="21"/>
        </w:numPr>
      </w:pPr>
      <w:r>
        <w:rPr>
          <w:color w:val="000000"/>
        </w:rPr>
        <w:t xml:space="preserve">prevention programs to change </w:t>
      </w:r>
      <w:r w:rsidRPr="009812C7">
        <w:rPr>
          <w:rFonts w:cs="Arial"/>
        </w:rPr>
        <w:t>behaviours, attitudes and negative stereotypes of women and girls</w:t>
      </w:r>
    </w:p>
    <w:p w14:paraId="01C2656F" w14:textId="77777777" w:rsidR="00A014F1" w:rsidRPr="00A014F1" w:rsidRDefault="00C477BD" w:rsidP="00EB41CB">
      <w:pPr>
        <w:pStyle w:val="SubmissionNormal"/>
        <w:numPr>
          <w:ilvl w:val="0"/>
          <w:numId w:val="21"/>
        </w:numPr>
      </w:pPr>
      <w:r>
        <w:rPr>
          <w:color w:val="000000"/>
        </w:rPr>
        <w:t xml:space="preserve">discrimination and domestic and </w:t>
      </w:r>
      <w:r w:rsidR="00A014F1">
        <w:rPr>
          <w:color w:val="000000"/>
        </w:rPr>
        <w:t>family violence</w:t>
      </w:r>
    </w:p>
    <w:p w14:paraId="19B9FE1C" w14:textId="77777777" w:rsidR="00A014F1" w:rsidRPr="00A014F1" w:rsidRDefault="00A014F1" w:rsidP="00EB41CB">
      <w:pPr>
        <w:pStyle w:val="SubmissionNormal"/>
        <w:numPr>
          <w:ilvl w:val="0"/>
          <w:numId w:val="21"/>
        </w:numPr>
      </w:pPr>
      <w:r>
        <w:rPr>
          <w:color w:val="000000"/>
        </w:rPr>
        <w:t xml:space="preserve">the intersectional nature of </w:t>
      </w:r>
      <w:r w:rsidR="00152EFF">
        <w:rPr>
          <w:color w:val="000000"/>
        </w:rPr>
        <w:t xml:space="preserve">gender </w:t>
      </w:r>
      <w:r>
        <w:rPr>
          <w:color w:val="000000"/>
        </w:rPr>
        <w:t xml:space="preserve">inequality and its impact on domestic violence in high risk groups </w:t>
      </w:r>
    </w:p>
    <w:p w14:paraId="0F564727" w14:textId="169FD2ED" w:rsidR="00A014F1" w:rsidRDefault="00A014F1" w:rsidP="00EB41CB">
      <w:pPr>
        <w:pStyle w:val="SubmissionNormal"/>
        <w:numPr>
          <w:ilvl w:val="0"/>
          <w:numId w:val="21"/>
        </w:numPr>
      </w:pPr>
      <w:r>
        <w:t>the specific impacts of family and domestic violence on children</w:t>
      </w:r>
      <w:r w:rsidR="00081533">
        <w:t xml:space="preserve"> and the recommendations of the </w:t>
      </w:r>
      <w:r w:rsidR="00081533" w:rsidRPr="00F1683A">
        <w:rPr>
          <w:i/>
        </w:rPr>
        <w:t>Children’ Rights Report</w:t>
      </w:r>
      <w:r w:rsidR="001A157A">
        <w:rPr>
          <w:i/>
        </w:rPr>
        <w:t xml:space="preserve"> 2015</w:t>
      </w:r>
      <w:r w:rsidR="00081533">
        <w:t>.</w:t>
      </w:r>
    </w:p>
    <w:p w14:paraId="7BF45883" w14:textId="77777777" w:rsidR="00A014F1" w:rsidRDefault="00A014F1" w:rsidP="00EB41CB">
      <w:pPr>
        <w:pStyle w:val="SubmissionNormal"/>
        <w:numPr>
          <w:ilvl w:val="0"/>
          <w:numId w:val="21"/>
        </w:numPr>
      </w:pPr>
      <w:r>
        <w:t>the manifestation of domestic violence and gender in</w:t>
      </w:r>
      <w:r w:rsidR="00EE78C2">
        <w:t>equality in a workplace context</w:t>
      </w:r>
      <w:r w:rsidR="00C477BD">
        <w:t>; and</w:t>
      </w:r>
    </w:p>
    <w:p w14:paraId="67F4A661" w14:textId="77777777" w:rsidR="00C477BD" w:rsidRDefault="00C477BD" w:rsidP="00EB41CB">
      <w:pPr>
        <w:pStyle w:val="SubmissionNormal"/>
        <w:numPr>
          <w:ilvl w:val="0"/>
          <w:numId w:val="21"/>
        </w:numPr>
      </w:pPr>
      <w:r>
        <w:t>coronial approaches to domestic and family violence homicides.</w:t>
      </w:r>
    </w:p>
    <w:p w14:paraId="2F9FBCC4" w14:textId="77777777" w:rsidR="00B34946" w:rsidRPr="001E1304" w:rsidRDefault="00B34946" w:rsidP="00EB41CB">
      <w:pPr>
        <w:pStyle w:val="Heading1"/>
        <w:numPr>
          <w:ilvl w:val="0"/>
          <w:numId w:val="16"/>
        </w:numPr>
      </w:pPr>
      <w:bookmarkStart w:id="11" w:name="_Toc162769291"/>
      <w:bookmarkStart w:id="12" w:name="_Toc207761832"/>
      <w:bookmarkStart w:id="13" w:name="_Toc209578268"/>
      <w:bookmarkStart w:id="14" w:name="_Toc447543642"/>
      <w:r w:rsidRPr="001E1304">
        <w:t>Recommendations</w:t>
      </w:r>
      <w:bookmarkEnd w:id="11"/>
      <w:bookmarkEnd w:id="12"/>
      <w:bookmarkEnd w:id="13"/>
      <w:bookmarkEnd w:id="14"/>
    </w:p>
    <w:p w14:paraId="1E1989C4" w14:textId="77777777" w:rsidR="00B34946" w:rsidRPr="001C1599" w:rsidRDefault="00B34946" w:rsidP="00B34946">
      <w:pPr>
        <w:pStyle w:val="SubmissionNormal"/>
      </w:pPr>
      <w:r w:rsidRPr="008A0C37">
        <w:t xml:space="preserve">The Australian Human Rights Commission </w:t>
      </w:r>
      <w:r w:rsidRPr="008A0C37">
        <w:rPr>
          <w:rStyle w:val="Heading3Char"/>
          <w:bCs w:val="0"/>
          <w:i w:val="0"/>
        </w:rPr>
        <w:t>re</w:t>
      </w:r>
      <w:r w:rsidRPr="008A0C37">
        <w:t>co</w:t>
      </w:r>
      <w:r w:rsidRPr="008A0C37">
        <w:rPr>
          <w:rStyle w:val="Heading4Char"/>
          <w:iCs w:val="0"/>
        </w:rPr>
        <w:t>mm</w:t>
      </w:r>
      <w:r w:rsidRPr="008A0C37">
        <w:t xml:space="preserve">ends </w:t>
      </w:r>
      <w:r w:rsidR="00D42CEE">
        <w:t>the Australian Government:</w:t>
      </w:r>
    </w:p>
    <w:p w14:paraId="54C6E085" w14:textId="77777777" w:rsidR="00D42CEE" w:rsidRDefault="00D42CEE" w:rsidP="00D42CEE">
      <w:pPr>
        <w:pStyle w:val="SubmissionNormal"/>
        <w:numPr>
          <w:ilvl w:val="0"/>
          <w:numId w:val="0"/>
        </w:numPr>
        <w:ind w:left="720"/>
      </w:pPr>
      <w:r w:rsidRPr="00D42CEE">
        <w:t xml:space="preserve">Recommendation 1: </w:t>
      </w:r>
      <w:r w:rsidR="00857B32">
        <w:t>a</w:t>
      </w:r>
      <w:r w:rsidRPr="00D42CEE">
        <w:t xml:space="preserve">ddress the </w:t>
      </w:r>
      <w:r w:rsidR="00173DB1">
        <w:t>root</w:t>
      </w:r>
      <w:r w:rsidRPr="00D42CEE">
        <w:t xml:space="preserve"> cause</w:t>
      </w:r>
      <w:r w:rsidR="00173DB1">
        <w:t>s</w:t>
      </w:r>
      <w:r w:rsidRPr="00D42CEE">
        <w:t xml:space="preserve"> of domestic and family violence, namely gender inequality, </w:t>
      </w:r>
      <w:r w:rsidR="00E9115F">
        <w:t>by addressing</w:t>
      </w:r>
      <w:r w:rsidRPr="00D42CEE">
        <w:t xml:space="preserve"> the full range of gender equality gaps, as well as support </w:t>
      </w:r>
      <w:r w:rsidR="00FE5BED">
        <w:t xml:space="preserve">prevention </w:t>
      </w:r>
      <w:r w:rsidRPr="00D42CEE">
        <w:t>programs that work with communities, businesses and governments to address the negative and discriminatory stereotypes of women and girls in all areas of life</w:t>
      </w:r>
      <w:r w:rsidR="00857B32">
        <w:t>;</w:t>
      </w:r>
      <w:r w:rsidRPr="00D42CEE">
        <w:t xml:space="preserve"> </w:t>
      </w:r>
    </w:p>
    <w:p w14:paraId="6CA0309F" w14:textId="77777777" w:rsidR="00857B32" w:rsidRDefault="00857B32" w:rsidP="00857B32">
      <w:pPr>
        <w:pStyle w:val="ListParagraph"/>
        <w:autoSpaceDE w:val="0"/>
        <w:autoSpaceDN w:val="0"/>
        <w:adjustRightInd w:val="0"/>
        <w:spacing w:before="0" w:after="0"/>
        <w:ind w:left="709"/>
        <w:jc w:val="both"/>
        <w:rPr>
          <w:rFonts w:cs="Arial"/>
          <w:color w:val="000000"/>
        </w:rPr>
      </w:pPr>
      <w:r>
        <w:lastRenderedPageBreak/>
        <w:t xml:space="preserve">Recommendation 2: </w:t>
      </w:r>
      <w:r>
        <w:rPr>
          <w:rFonts w:cs="Arial"/>
          <w:color w:val="000000"/>
        </w:rPr>
        <w:t>r</w:t>
      </w:r>
      <w:r w:rsidRPr="00D020FD">
        <w:rPr>
          <w:rFonts w:cs="Arial"/>
          <w:color w:val="000000"/>
        </w:rPr>
        <w:t>ecognise domestic and family violence as a protected attribute within existing anti-discrimination legislation and federal employment law</w:t>
      </w:r>
      <w:r>
        <w:rPr>
          <w:rFonts w:cs="Arial"/>
          <w:color w:val="000000"/>
        </w:rPr>
        <w:t>s;</w:t>
      </w:r>
      <w:r w:rsidRPr="00D020FD">
        <w:rPr>
          <w:rFonts w:cs="Arial"/>
          <w:color w:val="000000"/>
        </w:rPr>
        <w:t xml:space="preserve"> </w:t>
      </w:r>
    </w:p>
    <w:p w14:paraId="58762997" w14:textId="77777777" w:rsidR="00EE78C2" w:rsidRDefault="00EE78C2" w:rsidP="00857B32">
      <w:pPr>
        <w:pStyle w:val="ListParagraph"/>
        <w:autoSpaceDE w:val="0"/>
        <w:autoSpaceDN w:val="0"/>
        <w:adjustRightInd w:val="0"/>
        <w:spacing w:before="0" w:after="0"/>
        <w:ind w:left="709"/>
        <w:jc w:val="both"/>
        <w:rPr>
          <w:rFonts w:cs="Arial"/>
          <w:color w:val="000000"/>
        </w:rPr>
      </w:pPr>
    </w:p>
    <w:p w14:paraId="48265A00" w14:textId="75E7C5E6" w:rsidR="00EE78C2" w:rsidRDefault="00857B32" w:rsidP="00857B32">
      <w:pPr>
        <w:pStyle w:val="ListParagraph"/>
        <w:autoSpaceDE w:val="0"/>
        <w:autoSpaceDN w:val="0"/>
        <w:adjustRightInd w:val="0"/>
        <w:spacing w:before="0" w:after="0"/>
        <w:ind w:left="709"/>
        <w:jc w:val="both"/>
        <w:rPr>
          <w:rFonts w:cs="Arial"/>
          <w:color w:val="000000"/>
        </w:rPr>
      </w:pPr>
      <w:r>
        <w:rPr>
          <w:rFonts w:cs="Arial"/>
          <w:color w:val="000000"/>
        </w:rPr>
        <w:t xml:space="preserve">Recommendation 3: </w:t>
      </w:r>
      <w:r w:rsidR="00750079">
        <w:rPr>
          <w:rFonts w:cs="Arial"/>
          <w:color w:val="000000"/>
        </w:rPr>
        <w:t xml:space="preserve">ensure that </w:t>
      </w:r>
      <w:r w:rsidR="00EE78C2">
        <w:rPr>
          <w:color w:val="000000" w:themeColor="text1"/>
        </w:rPr>
        <w:t>f</w:t>
      </w:r>
      <w:r w:rsidR="00EE78C2" w:rsidRPr="00074C84">
        <w:rPr>
          <w:color w:val="000000" w:themeColor="text1"/>
        </w:rPr>
        <w:t xml:space="preserve">uture Action Plans </w:t>
      </w:r>
      <w:r w:rsidR="00EE78C2" w:rsidRPr="00074C84">
        <w:t>under the National Plan explicitly address the intersectional causes of domestic violence as they affect LGBTI pe</w:t>
      </w:r>
      <w:r w:rsidR="00EE78C2">
        <w:t xml:space="preserve">ople, women with disabilities, </w:t>
      </w:r>
      <w:r w:rsidR="00081533">
        <w:t xml:space="preserve">children, </w:t>
      </w:r>
      <w:r w:rsidR="00EE78C2">
        <w:t>Aboriginal and Torres Strait Islander</w:t>
      </w:r>
      <w:r w:rsidR="00EE78C2" w:rsidRPr="00074C84">
        <w:t xml:space="preserve"> women and women from culturally and linguistically diverse backgrounds.</w:t>
      </w:r>
    </w:p>
    <w:p w14:paraId="02578B2B" w14:textId="77777777" w:rsidR="00EE78C2" w:rsidRDefault="00EE78C2" w:rsidP="00857B32">
      <w:pPr>
        <w:pStyle w:val="ListParagraph"/>
        <w:autoSpaceDE w:val="0"/>
        <w:autoSpaceDN w:val="0"/>
        <w:adjustRightInd w:val="0"/>
        <w:spacing w:before="0" w:after="0"/>
        <w:ind w:left="709"/>
        <w:jc w:val="both"/>
        <w:rPr>
          <w:rFonts w:cs="Arial"/>
          <w:color w:val="000000"/>
        </w:rPr>
      </w:pPr>
    </w:p>
    <w:p w14:paraId="7382A9F0" w14:textId="77777777" w:rsidR="00857B32" w:rsidRPr="00857B32" w:rsidRDefault="00EE78C2" w:rsidP="00857B32">
      <w:pPr>
        <w:pStyle w:val="ListParagraph"/>
        <w:autoSpaceDE w:val="0"/>
        <w:autoSpaceDN w:val="0"/>
        <w:adjustRightInd w:val="0"/>
        <w:spacing w:before="0" w:after="0"/>
        <w:ind w:left="709"/>
        <w:jc w:val="both"/>
        <w:rPr>
          <w:rFonts w:cs="Arial"/>
          <w:bCs/>
        </w:rPr>
      </w:pPr>
      <w:r>
        <w:rPr>
          <w:rFonts w:cs="Arial"/>
          <w:color w:val="000000"/>
        </w:rPr>
        <w:t xml:space="preserve">Recommendation 4: </w:t>
      </w:r>
      <w:r w:rsidR="00857B32" w:rsidRPr="00857B32">
        <w:rPr>
          <w:color w:val="000000" w:themeColor="text1"/>
        </w:rPr>
        <w:t xml:space="preserve">incorporate </w:t>
      </w:r>
      <w:r w:rsidR="00857B32">
        <w:t xml:space="preserve">school-based anti-bullying and anti-violence initiatives </w:t>
      </w:r>
      <w:r w:rsidR="00152EFF">
        <w:t xml:space="preserve">that </w:t>
      </w:r>
      <w:r w:rsidR="00857B32">
        <w:t>address homophobia and transphobia and their intersection with domestic and family violence into school-based respectful relationship programs;</w:t>
      </w:r>
    </w:p>
    <w:p w14:paraId="02F10CF8" w14:textId="27585036" w:rsidR="00B02ACF" w:rsidRPr="003C4068" w:rsidRDefault="00EE78C2" w:rsidP="009545CB">
      <w:pPr>
        <w:pStyle w:val="SubmissionNormal"/>
        <w:numPr>
          <w:ilvl w:val="0"/>
          <w:numId w:val="0"/>
        </w:numPr>
        <w:ind w:left="720" w:hanging="11"/>
        <w:rPr>
          <w:i/>
        </w:rPr>
      </w:pPr>
      <w:r>
        <w:t>Recommendation 5</w:t>
      </w:r>
      <w:r w:rsidR="00857B32">
        <w:t>:</w:t>
      </w:r>
      <w:r w:rsidR="00857B32" w:rsidRPr="00857B32">
        <w:rPr>
          <w:rFonts w:cs="Arial"/>
          <w:bCs/>
          <w:color w:val="000000" w:themeColor="text1"/>
        </w:rPr>
        <w:t xml:space="preserve"> </w:t>
      </w:r>
      <w:r w:rsidR="00B02ACF">
        <w:t xml:space="preserve">consider the recommendations in the </w:t>
      </w:r>
      <w:r w:rsidR="00B02ACF" w:rsidRPr="003C4068">
        <w:rPr>
          <w:i/>
        </w:rPr>
        <w:t>Children’s Rights Report</w:t>
      </w:r>
      <w:r w:rsidR="001A157A">
        <w:rPr>
          <w:i/>
        </w:rPr>
        <w:t xml:space="preserve"> 2015</w:t>
      </w:r>
      <w:r w:rsidR="00B02ACF">
        <w:t xml:space="preserve"> (Chapter 4).</w:t>
      </w:r>
    </w:p>
    <w:p w14:paraId="76BE5AAA" w14:textId="33E33714" w:rsidR="00857B32" w:rsidRPr="00D2526F" w:rsidRDefault="00B02ACF" w:rsidP="000E6B7D">
      <w:pPr>
        <w:pStyle w:val="SubmissionNormal"/>
        <w:numPr>
          <w:ilvl w:val="0"/>
          <w:numId w:val="0"/>
        </w:numPr>
        <w:ind w:left="720"/>
        <w:rPr>
          <w:bCs/>
        </w:rPr>
      </w:pPr>
      <w:r>
        <w:rPr>
          <w:rFonts w:cs="Arial"/>
          <w:bCs/>
          <w:color w:val="000000" w:themeColor="text1"/>
        </w:rPr>
        <w:t xml:space="preserve">Recommendation 6: </w:t>
      </w:r>
      <w:r w:rsidR="00857B32">
        <w:rPr>
          <w:rFonts w:cs="Arial"/>
          <w:bCs/>
          <w:color w:val="000000" w:themeColor="text1"/>
        </w:rPr>
        <w:t>i</w:t>
      </w:r>
      <w:r w:rsidR="00857B32" w:rsidRPr="00D2526F">
        <w:rPr>
          <w:rFonts w:cs="Arial"/>
          <w:bCs/>
          <w:color w:val="000000" w:themeColor="text1"/>
        </w:rPr>
        <w:t>ntroduce workplace entitlements to domestic and family violence leave in e</w:t>
      </w:r>
      <w:r w:rsidR="000E6B7D">
        <w:rPr>
          <w:rFonts w:cs="Arial"/>
          <w:bCs/>
          <w:color w:val="000000" w:themeColor="text1"/>
        </w:rPr>
        <w:t>nterprise agreements and awards; and</w:t>
      </w:r>
    </w:p>
    <w:p w14:paraId="7FA9340C" w14:textId="4A3D4E7D" w:rsidR="00857B32" w:rsidRPr="000E6B7D" w:rsidRDefault="00EE78C2" w:rsidP="000E6B7D">
      <w:pPr>
        <w:pStyle w:val="SubmissionNormal"/>
        <w:numPr>
          <w:ilvl w:val="0"/>
          <w:numId w:val="0"/>
        </w:numPr>
        <w:ind w:left="720"/>
        <w:rPr>
          <w:bCs/>
        </w:rPr>
      </w:pPr>
      <w:r>
        <w:rPr>
          <w:rFonts w:cs="Arial"/>
          <w:color w:val="000000" w:themeColor="text1"/>
        </w:rPr>
        <w:t xml:space="preserve">Recommendation </w:t>
      </w:r>
      <w:r w:rsidR="00B02ACF">
        <w:rPr>
          <w:rFonts w:cs="Arial"/>
          <w:color w:val="000000" w:themeColor="text1"/>
        </w:rPr>
        <w:t>7</w:t>
      </w:r>
      <w:r w:rsidR="00857B32" w:rsidRPr="000E6B7D">
        <w:rPr>
          <w:rFonts w:cs="Arial"/>
          <w:color w:val="000000" w:themeColor="text1"/>
        </w:rPr>
        <w:t xml:space="preserve">: </w:t>
      </w:r>
      <w:r w:rsidR="00857B32">
        <w:rPr>
          <w:rFonts w:cs="Arial"/>
          <w:bCs/>
          <w:color w:val="000000" w:themeColor="text1"/>
        </w:rPr>
        <w:t>s</w:t>
      </w:r>
      <w:r w:rsidR="00857B32" w:rsidRPr="00D2526F">
        <w:rPr>
          <w:rFonts w:cs="Arial"/>
          <w:bCs/>
          <w:color w:val="000000" w:themeColor="text1"/>
        </w:rPr>
        <w:t>upport workplaces to introduce and implement domestic and family violence policies and programs.</w:t>
      </w:r>
    </w:p>
    <w:p w14:paraId="193EC026" w14:textId="77777777" w:rsidR="00DA08F8" w:rsidRDefault="00CC78F5" w:rsidP="00EB41CB">
      <w:pPr>
        <w:pStyle w:val="Heading1"/>
        <w:numPr>
          <w:ilvl w:val="0"/>
          <w:numId w:val="16"/>
        </w:numPr>
      </w:pPr>
      <w:bookmarkStart w:id="15" w:name="_Toc447543643"/>
      <w:bookmarkStart w:id="16" w:name="_Toc162769292"/>
      <w:bookmarkStart w:id="17" w:name="_Toc207761833"/>
      <w:bookmarkStart w:id="18" w:name="_Toc209578269"/>
      <w:r>
        <w:t>Gender inequality</w:t>
      </w:r>
      <w:bookmarkEnd w:id="15"/>
    </w:p>
    <w:p w14:paraId="175E3B2A" w14:textId="77777777" w:rsidR="00D76BFE" w:rsidRPr="00C807E5" w:rsidRDefault="00E23DBD" w:rsidP="00D76BFE">
      <w:pPr>
        <w:pStyle w:val="SubmissionNormal"/>
      </w:pPr>
      <w:r w:rsidRPr="0015014E">
        <w:t xml:space="preserve">Domestic and family violence is a persistent human rights abuse within Australia. Its prevalence continues to remain at unacceptable levels despite efforts to target and reduce such violence in Australia. </w:t>
      </w:r>
      <w:r w:rsidR="00D76BFE">
        <w:rPr>
          <w:rFonts w:cs="Arial"/>
        </w:rPr>
        <w:t xml:space="preserve">The results of the 2012 Personal Safety Survey showed: </w:t>
      </w:r>
    </w:p>
    <w:p w14:paraId="15106711" w14:textId="77777777" w:rsidR="00D76BFE" w:rsidRPr="002163A5" w:rsidRDefault="00D76BFE" w:rsidP="00D76BFE">
      <w:pPr>
        <w:pStyle w:val="SubmissionNormal"/>
        <w:numPr>
          <w:ilvl w:val="0"/>
          <w:numId w:val="0"/>
        </w:numPr>
        <w:ind w:left="1440"/>
        <w:rPr>
          <w:sz w:val="22"/>
          <w:szCs w:val="22"/>
        </w:rPr>
      </w:pPr>
      <w:r w:rsidRPr="002163A5">
        <w:rPr>
          <w:sz w:val="22"/>
          <w:szCs w:val="22"/>
        </w:rPr>
        <w:t>there was no statistically significant change from 2005 to 2012 in the proportion of women who had experienced violence in the 12 months prior to the survey. In 2005 an estimated 5.8% of all women had experienced violence in the 12 months prior to interview compared to 5.3% in 2012.</w:t>
      </w:r>
      <w:r w:rsidRPr="002163A5">
        <w:rPr>
          <w:rStyle w:val="EndnoteReference"/>
          <w:rFonts w:cs="Arial"/>
          <w:sz w:val="22"/>
          <w:szCs w:val="22"/>
        </w:rPr>
        <w:endnoteReference w:id="1"/>
      </w:r>
      <w:r w:rsidRPr="002163A5">
        <w:rPr>
          <w:rFonts w:cs="Arial"/>
          <w:sz w:val="22"/>
          <w:szCs w:val="22"/>
        </w:rPr>
        <w:t xml:space="preserve"> </w:t>
      </w:r>
      <w:r w:rsidRPr="002163A5">
        <w:rPr>
          <w:sz w:val="22"/>
          <w:szCs w:val="22"/>
        </w:rPr>
        <w:t xml:space="preserve"> </w:t>
      </w:r>
    </w:p>
    <w:p w14:paraId="314EC27B" w14:textId="77777777" w:rsidR="00D76BFE" w:rsidRPr="009812C7" w:rsidRDefault="00D76BFE" w:rsidP="00D76BFE">
      <w:pPr>
        <w:pStyle w:val="SubmissionNormal"/>
        <w:rPr>
          <w:rFonts w:cs="Arial"/>
        </w:rPr>
      </w:pPr>
      <w:r>
        <w:rPr>
          <w:rFonts w:cs="Arial"/>
        </w:rPr>
        <w:t xml:space="preserve">This highlights the need to address the root causes of domestic and family violence, namely gender inequality, if we are to see a change in the </w:t>
      </w:r>
      <w:r w:rsidRPr="009812C7">
        <w:rPr>
          <w:rFonts w:cs="Arial"/>
        </w:rPr>
        <w:t>prevalence rates of domestic and family violence.</w:t>
      </w:r>
    </w:p>
    <w:p w14:paraId="3587B137" w14:textId="77777777" w:rsidR="00842D51" w:rsidRPr="00842D51" w:rsidRDefault="00842D51" w:rsidP="00842D51">
      <w:pPr>
        <w:autoSpaceDE w:val="0"/>
        <w:autoSpaceDN w:val="0"/>
        <w:adjustRightInd w:val="0"/>
        <w:spacing w:before="0" w:after="0"/>
        <w:ind w:left="1440"/>
        <w:rPr>
          <w:rFonts w:ascii="ECSquareSansPro-Italic" w:eastAsia="Times New Roman" w:hAnsi="ECSquareSansPro-Italic" w:cs="ECSquareSansPro-Italic"/>
          <w:iCs/>
          <w:sz w:val="22"/>
          <w:szCs w:val="22"/>
        </w:rPr>
      </w:pPr>
      <w:r w:rsidRPr="00842D51">
        <w:rPr>
          <w:rFonts w:ascii="ECSquareSansPro-Italic" w:eastAsia="Times New Roman" w:hAnsi="ECSquareSansPro-Italic" w:cs="ECSquareSansPro-Italic"/>
          <w:iCs/>
          <w:sz w:val="22"/>
          <w:szCs w:val="22"/>
        </w:rPr>
        <w:t>Violence against women is not the result of random, individual acts of misconduct, but rather is deeply rooted in structural relationships of inequality between women and men.</w:t>
      </w:r>
      <w:r>
        <w:rPr>
          <w:rStyle w:val="EndnoteReference"/>
          <w:rFonts w:cs="Arial"/>
        </w:rPr>
        <w:endnoteReference w:id="2"/>
      </w:r>
    </w:p>
    <w:p w14:paraId="31A65E3A" w14:textId="77777777" w:rsidR="00D76BFE" w:rsidRPr="009812C7" w:rsidRDefault="00842D51" w:rsidP="00842D51">
      <w:pPr>
        <w:pStyle w:val="SubmissionNormal"/>
        <w:rPr>
          <w:rFonts w:cs="Arial"/>
        </w:rPr>
      </w:pPr>
      <w:r w:rsidRPr="00842D51">
        <w:rPr>
          <w:rFonts w:cs="Arial"/>
        </w:rPr>
        <w:t xml:space="preserve">Gendered violence is rooted in the structural inequalities between men and women. It is both a cause and consequence of gender inequality. </w:t>
      </w:r>
      <w:r w:rsidR="00D76BFE" w:rsidRPr="00842D51">
        <w:rPr>
          <w:rFonts w:cs="Arial"/>
        </w:rPr>
        <w:t>The</w:t>
      </w:r>
      <w:r w:rsidR="00D76BFE" w:rsidRPr="00842D51">
        <w:rPr>
          <w:rFonts w:cs="Arial"/>
          <w:i/>
        </w:rPr>
        <w:t xml:space="preserve"> Decl</w:t>
      </w:r>
      <w:r w:rsidR="00EB41CB" w:rsidRPr="00842D51">
        <w:rPr>
          <w:rFonts w:cs="Arial"/>
          <w:i/>
        </w:rPr>
        <w:t>a</w:t>
      </w:r>
      <w:r w:rsidR="00D76BFE" w:rsidRPr="00842D51">
        <w:rPr>
          <w:rFonts w:cs="Arial"/>
          <w:i/>
        </w:rPr>
        <w:t>ration on the</w:t>
      </w:r>
      <w:r w:rsidR="00D76BFE" w:rsidRPr="009812C7">
        <w:rPr>
          <w:rFonts w:cs="Arial"/>
          <w:i/>
        </w:rPr>
        <w:t xml:space="preserve"> Elimination of Violence against Women</w:t>
      </w:r>
      <w:r w:rsidR="00D76BFE" w:rsidRPr="009812C7">
        <w:rPr>
          <w:rFonts w:cs="Arial"/>
        </w:rPr>
        <w:t>, notes that violence against women is an obstacle to the achievement</w:t>
      </w:r>
      <w:r w:rsidR="00EB41CB" w:rsidRPr="009812C7">
        <w:rPr>
          <w:rFonts w:cs="Arial"/>
        </w:rPr>
        <w:t xml:space="preserve"> </w:t>
      </w:r>
      <w:r w:rsidR="00D76BFE" w:rsidRPr="009812C7">
        <w:rPr>
          <w:rFonts w:cs="Arial"/>
        </w:rPr>
        <w:t>of equality</w:t>
      </w:r>
      <w:r w:rsidR="009812C7">
        <w:rPr>
          <w:rFonts w:cs="Arial"/>
        </w:rPr>
        <w:t>. The Dec</w:t>
      </w:r>
      <w:r w:rsidR="00112EDA" w:rsidRPr="009812C7">
        <w:rPr>
          <w:rFonts w:cs="Arial"/>
        </w:rPr>
        <w:t>l</w:t>
      </w:r>
      <w:r w:rsidR="009812C7">
        <w:rPr>
          <w:rFonts w:cs="Arial"/>
        </w:rPr>
        <w:t>arat</w:t>
      </w:r>
      <w:r w:rsidR="00112EDA" w:rsidRPr="009812C7">
        <w:rPr>
          <w:rFonts w:cs="Arial"/>
        </w:rPr>
        <w:t>i</w:t>
      </w:r>
      <w:r w:rsidR="009812C7">
        <w:rPr>
          <w:rFonts w:cs="Arial"/>
        </w:rPr>
        <w:t>o</w:t>
      </w:r>
      <w:r w:rsidR="00112EDA" w:rsidRPr="009812C7">
        <w:rPr>
          <w:rFonts w:cs="Arial"/>
        </w:rPr>
        <w:t>n further recognises that gender inequality lies at the heart of violence against women:</w:t>
      </w:r>
    </w:p>
    <w:p w14:paraId="5679A957" w14:textId="77777777" w:rsidR="00112EDA" w:rsidRPr="002163A5" w:rsidRDefault="00112EDA" w:rsidP="00112EDA">
      <w:pPr>
        <w:pStyle w:val="SubmissionNormal"/>
        <w:numPr>
          <w:ilvl w:val="0"/>
          <w:numId w:val="0"/>
        </w:numPr>
        <w:ind w:left="1440"/>
        <w:rPr>
          <w:rFonts w:cs="Arial"/>
          <w:sz w:val="22"/>
          <w:szCs w:val="22"/>
        </w:rPr>
      </w:pPr>
      <w:r w:rsidRPr="002163A5">
        <w:rPr>
          <w:rFonts w:cs="Arial"/>
          <w:sz w:val="22"/>
          <w:szCs w:val="22"/>
        </w:rPr>
        <w:t xml:space="preserve">violence against women is a manifestation of historically unequal power relations between men and women, which have led to domination over and </w:t>
      </w:r>
      <w:r w:rsidRPr="002163A5">
        <w:rPr>
          <w:rFonts w:cs="Arial"/>
          <w:sz w:val="22"/>
          <w:szCs w:val="22"/>
        </w:rPr>
        <w:lastRenderedPageBreak/>
        <w:t xml:space="preserve">discrimination against women by men and to the prevention of the full advancement of women, and that violence against women is one of the crucial social mechanisms by which women are forced into a subordinate </w:t>
      </w:r>
      <w:r w:rsidR="009812C7" w:rsidRPr="002163A5">
        <w:rPr>
          <w:rFonts w:cs="Arial"/>
          <w:sz w:val="22"/>
          <w:szCs w:val="22"/>
        </w:rPr>
        <w:t>position compared with men.</w:t>
      </w:r>
      <w:r w:rsidR="009812C7" w:rsidRPr="002163A5">
        <w:rPr>
          <w:rStyle w:val="EndnoteReference"/>
          <w:rFonts w:cs="Arial"/>
          <w:sz w:val="22"/>
          <w:szCs w:val="22"/>
        </w:rPr>
        <w:endnoteReference w:id="3"/>
      </w:r>
    </w:p>
    <w:p w14:paraId="14625962" w14:textId="77777777" w:rsidR="009812C7" w:rsidRPr="009812C7" w:rsidRDefault="00112EDA" w:rsidP="00112EDA">
      <w:pPr>
        <w:pStyle w:val="SubmissionNormal"/>
        <w:rPr>
          <w:rFonts w:cs="Arial"/>
        </w:rPr>
      </w:pPr>
      <w:r w:rsidRPr="009812C7">
        <w:rPr>
          <w:rFonts w:cs="Arial"/>
        </w:rPr>
        <w:t>The Declaration goes on to acknowledge opportunities for women to achieve legal, social, political and economic equality in society are limited, inter alia, by continuing and endemic violence.</w:t>
      </w:r>
      <w:r w:rsidR="00EB18E3">
        <w:rPr>
          <w:rFonts w:cs="Arial"/>
        </w:rPr>
        <w:t xml:space="preserve"> The recognition of gender equality as a root cause of violence against women has also been recognised by the Committee on the elimination of all forms of discrimination against women in its 19</w:t>
      </w:r>
      <w:r w:rsidR="00EB18E3" w:rsidRPr="00EB18E3">
        <w:rPr>
          <w:rFonts w:cs="Arial"/>
          <w:vertAlign w:val="superscript"/>
        </w:rPr>
        <w:t>th</w:t>
      </w:r>
      <w:r w:rsidR="00EB18E3">
        <w:rPr>
          <w:rFonts w:cs="Arial"/>
        </w:rPr>
        <w:t xml:space="preserve"> </w:t>
      </w:r>
      <w:r w:rsidR="007B2340">
        <w:rPr>
          <w:rFonts w:cs="Arial"/>
        </w:rPr>
        <w:t>G</w:t>
      </w:r>
      <w:r w:rsidR="00EB18E3">
        <w:rPr>
          <w:rFonts w:cs="Arial"/>
        </w:rPr>
        <w:t>eneral Recommendation</w:t>
      </w:r>
      <w:r w:rsidR="007B2340">
        <w:rPr>
          <w:rStyle w:val="EndnoteReference"/>
          <w:rFonts w:cs="Arial"/>
        </w:rPr>
        <w:endnoteReference w:id="4"/>
      </w:r>
      <w:r w:rsidR="00EB18E3">
        <w:rPr>
          <w:rFonts w:cs="Arial"/>
        </w:rPr>
        <w:t>, as well as by the Secretary-General</w:t>
      </w:r>
      <w:r w:rsidR="00D53965">
        <w:rPr>
          <w:rStyle w:val="EndnoteReference"/>
          <w:rFonts w:cs="Arial"/>
        </w:rPr>
        <w:endnoteReference w:id="5"/>
      </w:r>
      <w:r w:rsidR="00EB18E3">
        <w:rPr>
          <w:rFonts w:cs="Arial"/>
        </w:rPr>
        <w:t xml:space="preserve"> and the UN Special Rapporteur on violence against women, its causes and consequences.</w:t>
      </w:r>
      <w:r w:rsidRPr="009812C7">
        <w:rPr>
          <w:rFonts w:cs="Arial"/>
        </w:rPr>
        <w:t xml:space="preserve"> </w:t>
      </w:r>
    </w:p>
    <w:p w14:paraId="1C0BB1DC" w14:textId="77777777" w:rsidR="00797F7A" w:rsidRPr="009812C7" w:rsidRDefault="00E23DBD" w:rsidP="00797F7A">
      <w:pPr>
        <w:pStyle w:val="SubmissionNormal"/>
        <w:rPr>
          <w:rFonts w:cs="Arial"/>
        </w:rPr>
      </w:pPr>
      <w:r w:rsidRPr="009812C7">
        <w:rPr>
          <w:rFonts w:cs="Arial"/>
        </w:rPr>
        <w:t xml:space="preserve">The United Nations </w:t>
      </w:r>
      <w:r w:rsidRPr="009812C7">
        <w:rPr>
          <w:rFonts w:cs="Arial"/>
          <w:i/>
        </w:rPr>
        <w:t>Convention on the Elimination of All Forms of Discrimination against Women</w:t>
      </w:r>
      <w:r w:rsidR="007B2340">
        <w:rPr>
          <w:rFonts w:cs="Arial"/>
        </w:rPr>
        <w:t xml:space="preserve"> (CEDAW)</w:t>
      </w:r>
      <w:r w:rsidRPr="009812C7">
        <w:rPr>
          <w:rFonts w:cs="Arial"/>
        </w:rPr>
        <w:t xml:space="preserve"> requires governments to take appropriate measures to eliminate discrimination against women, including gender-based violence, such as domestic and family violence and act with due diligence to prevent violations of rights or to investigate and punish acts of violence.</w:t>
      </w:r>
      <w:r w:rsidRPr="009812C7">
        <w:rPr>
          <w:rStyle w:val="EndnoteReference"/>
          <w:rFonts w:cs="Arial"/>
          <w:sz w:val="24"/>
        </w:rPr>
        <w:endnoteReference w:id="6"/>
      </w:r>
      <w:r w:rsidRPr="009812C7">
        <w:rPr>
          <w:rFonts w:cs="Arial"/>
        </w:rPr>
        <w:t xml:space="preserve">  </w:t>
      </w:r>
    </w:p>
    <w:p w14:paraId="07B313AD" w14:textId="77777777" w:rsidR="00EB41CB" w:rsidRDefault="00EB41CB" w:rsidP="00EB41CB">
      <w:pPr>
        <w:pStyle w:val="SubmissionNormal"/>
        <w:rPr>
          <w:rFonts w:cs="Arial"/>
        </w:rPr>
      </w:pPr>
      <w:r w:rsidRPr="009812C7">
        <w:rPr>
          <w:rFonts w:cs="Arial"/>
        </w:rPr>
        <w:t xml:space="preserve">There are a range of gender equality gaps in Australia that impact </w:t>
      </w:r>
      <w:r w:rsidR="007B2340">
        <w:rPr>
          <w:rFonts w:cs="Arial"/>
        </w:rPr>
        <w:t>on gender equality in Australia including:</w:t>
      </w:r>
    </w:p>
    <w:p w14:paraId="7C0683A6" w14:textId="77777777" w:rsidR="007B2340" w:rsidRPr="007B2340" w:rsidRDefault="007B2340" w:rsidP="007B2340">
      <w:pPr>
        <w:pStyle w:val="SubmissionNormal"/>
        <w:numPr>
          <w:ilvl w:val="1"/>
          <w:numId w:val="15"/>
        </w:numPr>
        <w:rPr>
          <w:rFonts w:cs="Arial"/>
          <w:color w:val="555555"/>
        </w:rPr>
      </w:pPr>
      <w:r>
        <w:t>T</w:t>
      </w:r>
      <w:r>
        <w:rPr>
          <w:rFonts w:cs="Arial"/>
        </w:rPr>
        <w:t xml:space="preserve">he national gender pay gap </w:t>
      </w:r>
      <w:r w:rsidRPr="00F70D66">
        <w:rPr>
          <w:rFonts w:cs="Arial"/>
        </w:rPr>
        <w:t>is currently</w:t>
      </w:r>
      <w:r>
        <w:rPr>
          <w:rFonts w:cs="Arial"/>
        </w:rPr>
        <w:t xml:space="preserve"> at</w:t>
      </w:r>
      <w:r w:rsidRPr="00F70D66">
        <w:rPr>
          <w:rFonts w:cs="Arial"/>
        </w:rPr>
        <w:t xml:space="preserve"> </w:t>
      </w:r>
      <w:r>
        <w:rPr>
          <w:rFonts w:cs="Arial"/>
        </w:rPr>
        <w:t>19.1 percent</w:t>
      </w:r>
      <w:r w:rsidRPr="00F70D66">
        <w:rPr>
          <w:rFonts w:cs="Arial"/>
        </w:rPr>
        <w:t xml:space="preserve"> </w:t>
      </w:r>
      <w:r w:rsidRPr="00F70D66">
        <w:rPr>
          <w:rFonts w:cs="Arial"/>
          <w:color w:val="000000"/>
        </w:rPr>
        <w:t xml:space="preserve">(based on </w:t>
      </w:r>
      <w:r w:rsidRPr="00F70D66">
        <w:rPr>
          <w:rFonts w:cs="Arial"/>
          <w:color w:val="000000"/>
          <w:lang w:val="en"/>
        </w:rPr>
        <w:t xml:space="preserve">full time, adult, </w:t>
      </w:r>
      <w:r w:rsidRPr="00F70D66">
        <w:rPr>
          <w:rFonts w:cs="Arial"/>
        </w:rPr>
        <w:t>Averag</w:t>
      </w:r>
      <w:r>
        <w:rPr>
          <w:rFonts w:cs="Arial"/>
        </w:rPr>
        <w:t>e Weekly Ordinary Time Earnings</w:t>
      </w:r>
      <w:r>
        <w:rPr>
          <w:rFonts w:cs="Arial"/>
          <w:color w:val="000000"/>
        </w:rPr>
        <w:t>)</w:t>
      </w:r>
      <w:r>
        <w:rPr>
          <w:rStyle w:val="EndnoteReference"/>
          <w:rFonts w:cs="Arial"/>
          <w:color w:val="000000"/>
        </w:rPr>
        <w:endnoteReference w:id="7"/>
      </w:r>
      <w:r>
        <w:rPr>
          <w:rFonts w:cs="Arial"/>
          <w:color w:val="000000"/>
        </w:rPr>
        <w:t xml:space="preserve"> </w:t>
      </w:r>
    </w:p>
    <w:p w14:paraId="20F5732A" w14:textId="77777777" w:rsidR="007B2340" w:rsidRPr="007B2340" w:rsidRDefault="007B2340" w:rsidP="007B2340">
      <w:pPr>
        <w:pStyle w:val="SubmissionNormal"/>
        <w:numPr>
          <w:ilvl w:val="1"/>
          <w:numId w:val="15"/>
        </w:numPr>
        <w:rPr>
          <w:rFonts w:cs="Arial"/>
          <w:color w:val="555555"/>
        </w:rPr>
      </w:pPr>
      <w:r w:rsidRPr="007615EF">
        <w:t>Australian women continue to be under-represented in the workforce, with 78</w:t>
      </w:r>
      <w:r>
        <w:t xml:space="preserve"> percent</w:t>
      </w:r>
      <w:r w:rsidRPr="007615EF">
        <w:t xml:space="preserve"> of Australian men aged 20-74 years participating in or looking for work in 2013-14, compared with 65</w:t>
      </w:r>
      <w:r>
        <w:t xml:space="preserve"> percent</w:t>
      </w:r>
      <w:r w:rsidRPr="007615EF">
        <w:t xml:space="preserve"> of women.</w:t>
      </w:r>
      <w:r w:rsidRPr="00493D18">
        <w:rPr>
          <w:rStyle w:val="EndnoteReference"/>
          <w:sz w:val="24"/>
        </w:rPr>
        <w:endnoteReference w:id="8"/>
      </w:r>
      <w:r w:rsidRPr="007615EF">
        <w:t xml:space="preserve"> </w:t>
      </w:r>
    </w:p>
    <w:p w14:paraId="034FCF7A" w14:textId="77777777" w:rsidR="007B2340" w:rsidRPr="007B2340" w:rsidRDefault="007B2340" w:rsidP="007B2340">
      <w:pPr>
        <w:pStyle w:val="SubmissionNormal"/>
        <w:numPr>
          <w:ilvl w:val="1"/>
          <w:numId w:val="15"/>
        </w:numPr>
        <w:rPr>
          <w:rFonts w:cs="Arial"/>
          <w:color w:val="555555"/>
        </w:rPr>
      </w:pPr>
      <w:r w:rsidRPr="007615EF">
        <w:t>This gap widens with the arrival of children, with 57.5</w:t>
      </w:r>
      <w:r>
        <w:t xml:space="preserve"> percent</w:t>
      </w:r>
      <w:r w:rsidRPr="007615EF">
        <w:t xml:space="preserve"> of mothers whose youngest child is aged 0-5 years participating in the labour force, compared with 94</w:t>
      </w:r>
      <w:r>
        <w:t xml:space="preserve"> percent</w:t>
      </w:r>
      <w:r w:rsidRPr="007615EF">
        <w:t xml:space="preserve"> of fathers.</w:t>
      </w:r>
      <w:r w:rsidRPr="00493D18">
        <w:rPr>
          <w:rStyle w:val="EndnoteReference"/>
          <w:sz w:val="24"/>
        </w:rPr>
        <w:endnoteReference w:id="9"/>
      </w:r>
      <w:r w:rsidRPr="007615EF">
        <w:t xml:space="preserve"> </w:t>
      </w:r>
    </w:p>
    <w:p w14:paraId="27D73E28" w14:textId="77777777" w:rsidR="007B2340" w:rsidRPr="007B2340" w:rsidRDefault="007B2340" w:rsidP="007B2340">
      <w:pPr>
        <w:pStyle w:val="SubmissionNormal"/>
        <w:numPr>
          <w:ilvl w:val="1"/>
          <w:numId w:val="15"/>
        </w:numPr>
        <w:rPr>
          <w:rFonts w:cs="Arial"/>
          <w:color w:val="555555"/>
        </w:rPr>
      </w:pPr>
      <w:r w:rsidRPr="007615EF">
        <w:t>When employed, women are also more likely to work in part-time or casual roles than men</w:t>
      </w:r>
      <w:r>
        <w:t xml:space="preserve">. Within Australia’s Workplace Gender Equality Agency’s dataset, </w:t>
      </w:r>
      <w:r w:rsidRPr="007615EF">
        <w:t>women compris</w:t>
      </w:r>
      <w:r>
        <w:t>e</w:t>
      </w:r>
      <w:r w:rsidRPr="007615EF">
        <w:t xml:space="preserve"> </w:t>
      </w:r>
      <w:r>
        <w:t>20.3 percent</w:t>
      </w:r>
      <w:r w:rsidRPr="007615EF">
        <w:t xml:space="preserve"> of full-time employees.</w:t>
      </w:r>
      <w:r w:rsidRPr="00493D18">
        <w:rPr>
          <w:rStyle w:val="EndnoteReference"/>
          <w:sz w:val="24"/>
        </w:rPr>
        <w:endnoteReference w:id="10"/>
      </w:r>
      <w:r>
        <w:t xml:space="preserve"> </w:t>
      </w:r>
    </w:p>
    <w:p w14:paraId="07785F47" w14:textId="77777777" w:rsidR="007B2340" w:rsidRDefault="007B2340" w:rsidP="007B2340">
      <w:pPr>
        <w:pStyle w:val="SubmissionNormal"/>
        <w:numPr>
          <w:ilvl w:val="1"/>
          <w:numId w:val="15"/>
        </w:numPr>
        <w:rPr>
          <w:rFonts w:cs="Arial"/>
          <w:color w:val="555555"/>
        </w:rPr>
      </w:pPr>
      <w:r>
        <w:rPr>
          <w:rFonts w:cs="Arial"/>
          <w:color w:val="000000"/>
        </w:rPr>
        <w:t>There is also a gender gap in retirement incomes and savings, with the</w:t>
      </w:r>
      <w:r w:rsidRPr="00F70D66">
        <w:rPr>
          <w:rFonts w:cs="Arial"/>
          <w:color w:val="555555"/>
        </w:rPr>
        <w:t xml:space="preserve"> </w:t>
      </w:r>
      <w:r>
        <w:rPr>
          <w:rFonts w:cs="Arial"/>
          <w:color w:val="000000"/>
        </w:rPr>
        <w:t>a</w:t>
      </w:r>
      <w:r w:rsidRPr="00F70D66">
        <w:rPr>
          <w:rFonts w:cs="Arial"/>
          <w:color w:val="000000"/>
        </w:rPr>
        <w:t xml:space="preserve">verage superannuation balances for women at retirement </w:t>
      </w:r>
      <w:r>
        <w:rPr>
          <w:rFonts w:cs="Arial"/>
          <w:color w:val="000000"/>
        </w:rPr>
        <w:t>being</w:t>
      </w:r>
      <w:r w:rsidRPr="00F70D66">
        <w:rPr>
          <w:rFonts w:cs="Arial"/>
          <w:color w:val="000000"/>
        </w:rPr>
        <w:t xml:space="preserve"> 46.6</w:t>
      </w:r>
      <w:r>
        <w:rPr>
          <w:rFonts w:cs="Arial"/>
          <w:b/>
          <w:bCs/>
          <w:color w:val="000000"/>
        </w:rPr>
        <w:t xml:space="preserve"> </w:t>
      </w:r>
      <w:r w:rsidRPr="00A06031">
        <w:rPr>
          <w:rFonts w:cs="Arial"/>
          <w:bCs/>
          <w:color w:val="000000"/>
        </w:rPr>
        <w:t>percent</w:t>
      </w:r>
      <w:r w:rsidRPr="00F70D66">
        <w:rPr>
          <w:rFonts w:cs="Arial"/>
          <w:b/>
          <w:bCs/>
          <w:color w:val="000000"/>
        </w:rPr>
        <w:t xml:space="preserve"> </w:t>
      </w:r>
      <w:r w:rsidRPr="00F70D66">
        <w:rPr>
          <w:rFonts w:cs="Arial"/>
          <w:color w:val="000000"/>
        </w:rPr>
        <w:t>less than those for men.</w:t>
      </w:r>
      <w:r>
        <w:rPr>
          <w:rStyle w:val="EndnoteReference"/>
          <w:rFonts w:cs="Arial"/>
          <w:color w:val="000000"/>
        </w:rPr>
        <w:endnoteReference w:id="11"/>
      </w:r>
      <w:r w:rsidRPr="00F70D66">
        <w:rPr>
          <w:rFonts w:cs="Arial"/>
        </w:rPr>
        <w:t xml:space="preserve"> </w:t>
      </w:r>
    </w:p>
    <w:p w14:paraId="2FEBC9A3" w14:textId="77777777" w:rsidR="007B2340" w:rsidRPr="007B2340" w:rsidRDefault="007B2340" w:rsidP="007B2340">
      <w:pPr>
        <w:pStyle w:val="SubmissionNormal"/>
        <w:numPr>
          <w:ilvl w:val="1"/>
          <w:numId w:val="15"/>
        </w:numPr>
        <w:rPr>
          <w:rFonts w:cs="Arial"/>
          <w:color w:val="555555"/>
        </w:rPr>
      </w:pPr>
      <w:r>
        <w:t xml:space="preserve">There are also visible gaps in the representation of women in leadership positions, particularly on in the private sector. The </w:t>
      </w:r>
      <w:r w:rsidRPr="007B2340">
        <w:rPr>
          <w:lang w:val="en"/>
        </w:rPr>
        <w:t xml:space="preserve">percentage of women on ASX 200 boards was </w:t>
      </w:r>
      <w:r w:rsidRPr="007B2340">
        <w:rPr>
          <w:rStyle w:val="Strong"/>
          <w:b w:val="0"/>
          <w:lang w:val="en"/>
        </w:rPr>
        <w:t xml:space="preserve">21.9 percent, as of </w:t>
      </w:r>
      <w:r w:rsidRPr="007B2340">
        <w:rPr>
          <w:lang w:val="en"/>
        </w:rPr>
        <w:t>31 January 2016.</w:t>
      </w:r>
      <w:r>
        <w:rPr>
          <w:rStyle w:val="EndnoteReference"/>
          <w:lang w:val="en"/>
        </w:rPr>
        <w:endnoteReference w:id="12"/>
      </w:r>
      <w:r w:rsidRPr="007B2340">
        <w:rPr>
          <w:lang w:val="en"/>
        </w:rPr>
        <w:t xml:space="preserve"> </w:t>
      </w:r>
      <w:r>
        <w:t xml:space="preserve">As of 2012, </w:t>
      </w:r>
      <w:r w:rsidRPr="007B2340">
        <w:rPr>
          <w:rFonts w:ascii="FoundrySterling-Bold" w:hAnsi="FoundrySterling-Bold" w:cs="FoundrySterling-Bold"/>
          <w:bCs/>
        </w:rPr>
        <w:t>women held 9.7 percent of executive key management personnel</w:t>
      </w:r>
      <w:r>
        <w:t xml:space="preserve"> </w:t>
      </w:r>
      <w:r w:rsidRPr="007B2340">
        <w:rPr>
          <w:rFonts w:ascii="FoundrySterling-Bold" w:hAnsi="FoundrySterling-Bold" w:cs="FoundrySterling-Bold"/>
          <w:bCs/>
        </w:rPr>
        <w:t xml:space="preserve">positions in the ASX 200; </w:t>
      </w:r>
      <w:r w:rsidRPr="007B2340">
        <w:rPr>
          <w:rFonts w:ascii="FoundrySterling-Light" w:hAnsi="FoundrySterling-Light" w:cs="FoundrySterling-Light"/>
        </w:rPr>
        <w:t>there were seven female CEOs in the ASX 200; and in the ASX 200, women’s representation in line management positions was 6.0 percent</w:t>
      </w:r>
      <w:r>
        <w:t xml:space="preserve"> </w:t>
      </w:r>
      <w:r w:rsidRPr="007B2340">
        <w:rPr>
          <w:rFonts w:ascii="FoundrySterling-Light" w:hAnsi="FoundrySterling-Light" w:cs="FoundrySterling-Light"/>
        </w:rPr>
        <w:t>and in support positions, 22.0 percent.</w:t>
      </w:r>
      <w:r>
        <w:rPr>
          <w:rStyle w:val="EndnoteReference"/>
          <w:rFonts w:cs="FoundrySterling-Light"/>
        </w:rPr>
        <w:endnoteReference w:id="13"/>
      </w:r>
      <w:r w:rsidRPr="007B2340">
        <w:rPr>
          <w:rFonts w:ascii="FoundrySterling-Light" w:hAnsi="FoundrySterling-Light" w:cs="FoundrySterling-Light"/>
        </w:rPr>
        <w:t xml:space="preserve"> </w:t>
      </w:r>
    </w:p>
    <w:p w14:paraId="03A33774" w14:textId="14017EB5" w:rsidR="00ED0BCD" w:rsidRPr="00CB03C8" w:rsidRDefault="00EB41CB" w:rsidP="00CB03C8">
      <w:pPr>
        <w:pStyle w:val="SubmissionNormal"/>
        <w:rPr>
          <w:rFonts w:cs="Arial"/>
        </w:rPr>
      </w:pPr>
      <w:r w:rsidRPr="00CB03C8">
        <w:rPr>
          <w:rFonts w:cs="Arial"/>
        </w:rPr>
        <w:lastRenderedPageBreak/>
        <w:t>The most concerning man</w:t>
      </w:r>
      <w:r w:rsidR="00B6453D" w:rsidRPr="00CB03C8">
        <w:rPr>
          <w:rFonts w:cs="Arial"/>
        </w:rPr>
        <w:t>i</w:t>
      </w:r>
      <w:r w:rsidRPr="00CB03C8">
        <w:rPr>
          <w:rFonts w:cs="Arial"/>
        </w:rPr>
        <w:t xml:space="preserve">festation of gender </w:t>
      </w:r>
      <w:r w:rsidR="002163A5" w:rsidRPr="00CB03C8">
        <w:rPr>
          <w:rFonts w:cs="Arial"/>
        </w:rPr>
        <w:t>in</w:t>
      </w:r>
      <w:r w:rsidRPr="00CB03C8">
        <w:rPr>
          <w:rFonts w:cs="Arial"/>
        </w:rPr>
        <w:t xml:space="preserve">equality in Australia is in the behaviours, attitudes and negative stereotypes of women and girls.  </w:t>
      </w:r>
      <w:r w:rsidR="00ED0BCD" w:rsidRPr="00CB03C8">
        <w:rPr>
          <w:rFonts w:cs="Arial"/>
        </w:rPr>
        <w:t xml:space="preserve">A national survey by VicHealth in 2013 found </w:t>
      </w:r>
      <w:r w:rsidR="00CB03C8" w:rsidRPr="00CB03C8">
        <w:rPr>
          <w:rFonts w:cs="Arial"/>
        </w:rPr>
        <w:t>there are stil</w:t>
      </w:r>
      <w:r w:rsidR="00DF65DD">
        <w:rPr>
          <w:rFonts w:cs="Arial"/>
        </w:rPr>
        <w:t>l concerning levels of violence-</w:t>
      </w:r>
      <w:r w:rsidR="00CB03C8" w:rsidRPr="00CB03C8">
        <w:rPr>
          <w:rFonts w:cs="Arial"/>
        </w:rPr>
        <w:t>supportive attitudes in the community. The survey found that: m</w:t>
      </w:r>
      <w:r w:rsidR="00ED0BCD" w:rsidRPr="00CB03C8">
        <w:rPr>
          <w:rFonts w:cs="Arial"/>
        </w:rPr>
        <w:t>ore than half agree that women often fabricate cases of domestic violence in order to improve their prospects in family law cases</w:t>
      </w:r>
      <w:r w:rsidR="005E621D">
        <w:rPr>
          <w:rFonts w:cs="Arial"/>
        </w:rPr>
        <w:t xml:space="preserve">; </w:t>
      </w:r>
      <w:r w:rsidR="00ED0BCD" w:rsidRPr="00CB03C8">
        <w:rPr>
          <w:rFonts w:cs="Arial"/>
        </w:rPr>
        <w:t xml:space="preserve">nearly </w:t>
      </w:r>
      <w:r w:rsidR="00CB03C8">
        <w:rPr>
          <w:rFonts w:cs="Arial"/>
        </w:rPr>
        <w:t>two in five</w:t>
      </w:r>
      <w:r w:rsidR="00ED0BCD" w:rsidRPr="00CB03C8">
        <w:rPr>
          <w:rFonts w:cs="Arial"/>
        </w:rPr>
        <w:t xml:space="preserve"> believe that a lot of times women who say they were raped led the</w:t>
      </w:r>
      <w:r w:rsidR="00CB03C8" w:rsidRPr="00CB03C8">
        <w:rPr>
          <w:rFonts w:cs="Arial"/>
        </w:rPr>
        <w:t xml:space="preserve"> man on and later had regrets</w:t>
      </w:r>
      <w:r w:rsidR="005E621D">
        <w:rPr>
          <w:rFonts w:cs="Arial"/>
          <w:color w:val="000000"/>
        </w:rPr>
        <w:t>; and u</w:t>
      </w:r>
      <w:r w:rsidR="00ED0BCD" w:rsidRPr="00CB03C8">
        <w:rPr>
          <w:rFonts w:cs="Arial"/>
          <w:color w:val="000000"/>
        </w:rPr>
        <w:t xml:space="preserve">p to </w:t>
      </w:r>
      <w:r w:rsidR="00CB03C8">
        <w:rPr>
          <w:rFonts w:cs="Arial"/>
          <w:color w:val="000000"/>
        </w:rPr>
        <w:t>one in five</w:t>
      </w:r>
      <w:r w:rsidR="00ED0BCD" w:rsidRPr="00CB03C8">
        <w:rPr>
          <w:rFonts w:cs="Arial"/>
          <w:color w:val="000000"/>
        </w:rPr>
        <w:t xml:space="preserve"> believes that there are circumstances in which women bear some responsibility for violence.</w:t>
      </w:r>
      <w:r w:rsidR="00CB03C8" w:rsidRPr="00CB03C8">
        <w:rPr>
          <w:rStyle w:val="EndnoteReference"/>
          <w:rFonts w:cs="Arial"/>
          <w:sz w:val="24"/>
        </w:rPr>
        <w:endnoteReference w:id="14"/>
      </w:r>
      <w:r w:rsidR="00ED0BCD" w:rsidRPr="00CB03C8">
        <w:rPr>
          <w:rFonts w:cs="Arial"/>
          <w:color w:val="000000"/>
        </w:rPr>
        <w:t xml:space="preserve"> </w:t>
      </w:r>
    </w:p>
    <w:p w14:paraId="27930A53" w14:textId="77777777" w:rsidR="009812C7" w:rsidRDefault="009812C7" w:rsidP="00ED0BCD">
      <w:pPr>
        <w:pStyle w:val="SubmissionNormal"/>
        <w:rPr>
          <w:rFonts w:cs="Arial"/>
        </w:rPr>
      </w:pPr>
      <w:r w:rsidRPr="009812C7">
        <w:rPr>
          <w:rFonts w:cs="Arial"/>
        </w:rPr>
        <w:t xml:space="preserve">The </w:t>
      </w:r>
      <w:r w:rsidR="00EB18E3" w:rsidRPr="00EB18E3">
        <w:rPr>
          <w:rFonts w:cs="Arial"/>
          <w:i/>
        </w:rPr>
        <w:t>Dec</w:t>
      </w:r>
      <w:r w:rsidRPr="00EB18E3">
        <w:rPr>
          <w:rFonts w:cs="Arial"/>
          <w:i/>
        </w:rPr>
        <w:t>l</w:t>
      </w:r>
      <w:r w:rsidR="00EB18E3" w:rsidRPr="00EB18E3">
        <w:rPr>
          <w:rFonts w:cs="Arial"/>
          <w:i/>
        </w:rPr>
        <w:t>ara</w:t>
      </w:r>
      <w:r w:rsidRPr="00EB18E3">
        <w:rPr>
          <w:rFonts w:cs="Arial"/>
          <w:i/>
        </w:rPr>
        <w:t>t</w:t>
      </w:r>
      <w:r w:rsidR="00EB18E3" w:rsidRPr="00EB18E3">
        <w:rPr>
          <w:rFonts w:cs="Arial"/>
          <w:i/>
        </w:rPr>
        <w:t>io</w:t>
      </w:r>
      <w:r w:rsidRPr="00EB18E3">
        <w:rPr>
          <w:rFonts w:cs="Arial"/>
          <w:i/>
        </w:rPr>
        <w:t xml:space="preserve">n </w:t>
      </w:r>
      <w:r w:rsidR="00EB18E3" w:rsidRPr="00EB18E3">
        <w:rPr>
          <w:rFonts w:cs="Arial"/>
          <w:i/>
        </w:rPr>
        <w:t>on the Elimination of Violence against Women</w:t>
      </w:r>
      <w:r w:rsidR="00EB18E3">
        <w:rPr>
          <w:rFonts w:cs="Arial"/>
        </w:rPr>
        <w:t xml:space="preserve"> and CEDAW note</w:t>
      </w:r>
      <w:r w:rsidRPr="009812C7">
        <w:rPr>
          <w:rFonts w:cs="Arial"/>
        </w:rPr>
        <w:t xml:space="preserve"> the need for appropriate measures, especially in the field of education, to modify the social and cultural patterns of conduct of men </w:t>
      </w:r>
      <w:r w:rsidRPr="00112EDA">
        <w:rPr>
          <w:rFonts w:cs="Arial"/>
        </w:rPr>
        <w:t>and women and to eliminate prejudices, customary practices and all other</w:t>
      </w:r>
      <w:r w:rsidRPr="009812C7">
        <w:rPr>
          <w:rFonts w:cs="Arial"/>
        </w:rPr>
        <w:t xml:space="preserve"> </w:t>
      </w:r>
      <w:r w:rsidRPr="00112EDA">
        <w:rPr>
          <w:rFonts w:cs="Arial"/>
        </w:rPr>
        <w:t>practices based on the idea of the inferiority or superiority of either</w:t>
      </w:r>
      <w:r w:rsidRPr="009812C7">
        <w:rPr>
          <w:rFonts w:cs="Arial"/>
        </w:rPr>
        <w:t xml:space="preserve"> of the sexes and on stereotyped roles for men and women. </w:t>
      </w:r>
    </w:p>
    <w:p w14:paraId="4EFFD9EF" w14:textId="77777777" w:rsidR="00C848DB" w:rsidRDefault="00C848DB" w:rsidP="009812C7">
      <w:pPr>
        <w:pStyle w:val="SubmissionNormal"/>
        <w:rPr>
          <w:rFonts w:cs="Arial"/>
        </w:rPr>
      </w:pPr>
      <w:r>
        <w:rPr>
          <w:rFonts w:cs="Arial"/>
        </w:rPr>
        <w:t xml:space="preserve">Domestic and family violence, although prevalent is preventable. </w:t>
      </w:r>
      <w:r w:rsidR="006B3908">
        <w:rPr>
          <w:rFonts w:cs="Arial"/>
        </w:rPr>
        <w:t xml:space="preserve">The </w:t>
      </w:r>
      <w:r w:rsidR="006B3908" w:rsidRPr="00FE5BED">
        <w:rPr>
          <w:rFonts w:cs="Arial"/>
        </w:rPr>
        <w:t>Commission welcomes the prevention framework developed by Our</w:t>
      </w:r>
      <w:r w:rsidRPr="00FE5BED">
        <w:rPr>
          <w:rFonts w:cs="Arial"/>
        </w:rPr>
        <w:t xml:space="preserve"> </w:t>
      </w:r>
      <w:r w:rsidR="006B3908" w:rsidRPr="00FE5BED">
        <w:rPr>
          <w:rFonts w:cs="Arial"/>
        </w:rPr>
        <w:t>Watch</w:t>
      </w:r>
      <w:r w:rsidRPr="00FE5BED">
        <w:rPr>
          <w:rFonts w:cs="Arial"/>
        </w:rPr>
        <w:t xml:space="preserve">, </w:t>
      </w:r>
      <w:r w:rsidRPr="00FE5BED">
        <w:t xml:space="preserve">Australia’s National Research Organisation for Women’s Safety (ANROWS) and the Victorian Health Promotion Foundation (VicHealth) </w:t>
      </w:r>
      <w:r w:rsidR="006B3908" w:rsidRPr="00FE5BED">
        <w:rPr>
          <w:rFonts w:cs="Arial"/>
        </w:rPr>
        <w:t>in 2015</w:t>
      </w:r>
      <w:r w:rsidR="00F50C78" w:rsidRPr="00FE5BED">
        <w:rPr>
          <w:rFonts w:cs="Arial"/>
        </w:rPr>
        <w:t xml:space="preserve">, </w:t>
      </w:r>
      <w:r w:rsidR="00F50C78" w:rsidRPr="00FE5BED">
        <w:rPr>
          <w:rFonts w:cs="Arial"/>
          <w:i/>
        </w:rPr>
        <w:t>Change the Story: A shared framework for the primary prevention of violence</w:t>
      </w:r>
      <w:r w:rsidRPr="00FE5BED">
        <w:rPr>
          <w:rFonts w:cs="Arial"/>
        </w:rPr>
        <w:t>.</w:t>
      </w:r>
      <w:r w:rsidR="00044F41" w:rsidRPr="00FE5BED">
        <w:rPr>
          <w:rStyle w:val="EndnoteReference"/>
          <w:rFonts w:cs="Arial"/>
          <w:sz w:val="24"/>
        </w:rPr>
        <w:endnoteReference w:id="15"/>
      </w:r>
      <w:r w:rsidR="006B3908" w:rsidRPr="00FE5BED">
        <w:rPr>
          <w:rFonts w:cs="Arial"/>
        </w:rPr>
        <w:t xml:space="preserve"> </w:t>
      </w:r>
      <w:r w:rsidRPr="00FE5BED">
        <w:rPr>
          <w:rFonts w:cs="Arial"/>
        </w:rPr>
        <w:t>The</w:t>
      </w:r>
      <w:r>
        <w:rPr>
          <w:rFonts w:cs="Arial"/>
        </w:rPr>
        <w:t xml:space="preserve"> Framework notes:</w:t>
      </w:r>
    </w:p>
    <w:p w14:paraId="4858801D" w14:textId="77777777" w:rsidR="00C848DB" w:rsidRPr="00FE5BED" w:rsidRDefault="00C848DB" w:rsidP="00C848DB">
      <w:pPr>
        <w:pStyle w:val="SubmissionNormal"/>
        <w:numPr>
          <w:ilvl w:val="0"/>
          <w:numId w:val="0"/>
        </w:numPr>
        <w:ind w:left="1440"/>
        <w:rPr>
          <w:rFonts w:cs="Arial"/>
          <w:sz w:val="22"/>
          <w:szCs w:val="22"/>
        </w:rPr>
      </w:pPr>
      <w:r w:rsidRPr="00FE5BED">
        <w:rPr>
          <w:rFonts w:cs="LZRTRU+HelveticaNeue-Light"/>
          <w:color w:val="000000"/>
          <w:sz w:val="22"/>
          <w:szCs w:val="22"/>
        </w:rPr>
        <w:t>If we want an Australia free of violence against women and their children we have to challenge the historically-entrenched beliefs and behaviours that drive it, and the social, political and economic structures, practices and systems that support these.</w:t>
      </w:r>
      <w:r w:rsidRPr="00FE5BED">
        <w:rPr>
          <w:rStyle w:val="EndnoteReference"/>
          <w:rFonts w:cs="LZRTRU+HelveticaNeue-Light"/>
          <w:color w:val="000000"/>
          <w:sz w:val="22"/>
          <w:szCs w:val="22"/>
        </w:rPr>
        <w:endnoteReference w:id="16"/>
      </w:r>
    </w:p>
    <w:p w14:paraId="0637ADA8" w14:textId="319B8EEB" w:rsidR="00624212" w:rsidRPr="00FA10E9" w:rsidRDefault="00624212" w:rsidP="00FA10E9">
      <w:pPr>
        <w:pStyle w:val="SubmissionNormal"/>
        <w:rPr>
          <w:rFonts w:cs="Arial"/>
        </w:rPr>
      </w:pPr>
      <w:r>
        <w:rPr>
          <w:rFonts w:cs="Arial"/>
        </w:rPr>
        <w:t xml:space="preserve">The </w:t>
      </w:r>
      <w:r w:rsidR="005E621D">
        <w:rPr>
          <w:rFonts w:cs="Arial"/>
        </w:rPr>
        <w:t xml:space="preserve">Framework </w:t>
      </w:r>
      <w:r>
        <w:rPr>
          <w:rFonts w:cs="Arial"/>
        </w:rPr>
        <w:t xml:space="preserve">identifies </w:t>
      </w:r>
      <w:r w:rsidR="00FA10E9">
        <w:rPr>
          <w:rFonts w:cs="Arial"/>
        </w:rPr>
        <w:t xml:space="preserve">five </w:t>
      </w:r>
      <w:r>
        <w:rPr>
          <w:rFonts w:cs="Arial"/>
        </w:rPr>
        <w:t>essential actions to address the gendered d</w:t>
      </w:r>
      <w:r w:rsidR="00674503">
        <w:rPr>
          <w:rFonts w:cs="Arial"/>
        </w:rPr>
        <w:t>r</w:t>
      </w:r>
      <w:r>
        <w:rPr>
          <w:rFonts w:cs="Arial"/>
        </w:rPr>
        <w:t xml:space="preserve">ivers </w:t>
      </w:r>
      <w:r w:rsidRPr="00674503">
        <w:rPr>
          <w:rFonts w:cs="Arial"/>
        </w:rPr>
        <w:t>of violence ag</w:t>
      </w:r>
      <w:r w:rsidR="00674503" w:rsidRPr="00674503">
        <w:rPr>
          <w:rFonts w:cs="Arial"/>
        </w:rPr>
        <w:t>a</w:t>
      </w:r>
      <w:r w:rsidRPr="00674503">
        <w:rPr>
          <w:rFonts w:cs="Arial"/>
        </w:rPr>
        <w:t>inst wo</w:t>
      </w:r>
      <w:r w:rsidR="00B20854">
        <w:rPr>
          <w:rFonts w:cs="Arial"/>
        </w:rPr>
        <w:t>men</w:t>
      </w:r>
      <w:r w:rsidR="00B20854">
        <w:rPr>
          <w:rStyle w:val="EndnoteReference"/>
        </w:rPr>
        <w:endnoteReference w:id="17"/>
      </w:r>
      <w:r w:rsidR="00B20854">
        <w:rPr>
          <w:rFonts w:cs="Arial"/>
        </w:rPr>
        <w:t>, including gender equality</w:t>
      </w:r>
      <w:r w:rsidR="00FA10E9">
        <w:rPr>
          <w:rFonts w:cs="Arial"/>
        </w:rPr>
        <w:t>, noting that s</w:t>
      </w:r>
      <w:r w:rsidRPr="00674503">
        <w:t xml:space="preserve">uch prevention measures should be implemented in accordance with the </w:t>
      </w:r>
      <w:r w:rsidR="00FE5BED">
        <w:t>p</w:t>
      </w:r>
      <w:r w:rsidRPr="00674503">
        <w:t>rinciples for the effective implementation of prevention techniques.</w:t>
      </w:r>
      <w:r w:rsidR="00FE5BED">
        <w:rPr>
          <w:rStyle w:val="EndnoteReference"/>
        </w:rPr>
        <w:endnoteReference w:id="18"/>
      </w:r>
    </w:p>
    <w:p w14:paraId="210DC6B2" w14:textId="77777777" w:rsidR="00674503" w:rsidRDefault="00DE26B2" w:rsidP="009812C7">
      <w:pPr>
        <w:pStyle w:val="SubmissionNormal"/>
        <w:rPr>
          <w:rFonts w:cs="Arial"/>
        </w:rPr>
      </w:pPr>
      <w:r>
        <w:rPr>
          <w:rFonts w:cs="Arial"/>
        </w:rPr>
        <w:t xml:space="preserve">The Commission also welcomes </w:t>
      </w:r>
      <w:r w:rsidR="00674503">
        <w:rPr>
          <w:rFonts w:cs="Arial"/>
        </w:rPr>
        <w:t xml:space="preserve">specific </w:t>
      </w:r>
      <w:r w:rsidR="00C848DB">
        <w:rPr>
          <w:rFonts w:cs="Arial"/>
        </w:rPr>
        <w:t>prevention programs such as R</w:t>
      </w:r>
      <w:r w:rsidR="006B3908">
        <w:rPr>
          <w:rFonts w:cs="Arial"/>
        </w:rPr>
        <w:t xml:space="preserve">espectful </w:t>
      </w:r>
      <w:r w:rsidR="00C848DB">
        <w:rPr>
          <w:rFonts w:cs="Arial"/>
        </w:rPr>
        <w:t>R</w:t>
      </w:r>
      <w:r w:rsidR="006B3908">
        <w:rPr>
          <w:rFonts w:cs="Arial"/>
        </w:rPr>
        <w:t>elationships</w:t>
      </w:r>
      <w:r>
        <w:rPr>
          <w:rFonts w:cs="Arial"/>
        </w:rPr>
        <w:t xml:space="preserve"> </w:t>
      </w:r>
      <w:r w:rsidR="00FE5BED">
        <w:rPr>
          <w:rFonts w:cs="Arial"/>
        </w:rPr>
        <w:t>Education</w:t>
      </w:r>
      <w:r w:rsidR="00B20854">
        <w:rPr>
          <w:rStyle w:val="EndnoteReference"/>
          <w:rFonts w:cs="Arial"/>
        </w:rPr>
        <w:endnoteReference w:id="19"/>
      </w:r>
      <w:r w:rsidR="00FE5BED">
        <w:rPr>
          <w:rFonts w:cs="Arial"/>
        </w:rPr>
        <w:t xml:space="preserve"> </w:t>
      </w:r>
      <w:r>
        <w:rPr>
          <w:rFonts w:cs="Arial"/>
        </w:rPr>
        <w:t>being implemented in schools around Australia</w:t>
      </w:r>
      <w:r w:rsidR="00674503">
        <w:rPr>
          <w:rFonts w:cs="Arial"/>
        </w:rPr>
        <w:t xml:space="preserve">, noting that such prevention programs can make a real difference in long-term attitude and behaviour change. </w:t>
      </w:r>
    </w:p>
    <w:p w14:paraId="288C6B24" w14:textId="63C70A3B" w:rsidR="006B3908" w:rsidRPr="009812C7" w:rsidRDefault="006B3908" w:rsidP="009812C7">
      <w:pPr>
        <w:pStyle w:val="SubmissionNormal"/>
        <w:rPr>
          <w:rFonts w:cs="Arial"/>
        </w:rPr>
      </w:pPr>
      <w:r>
        <w:rPr>
          <w:rFonts w:cs="Arial"/>
        </w:rPr>
        <w:t xml:space="preserve">The Commission urges the Australian Government to </w:t>
      </w:r>
      <w:r w:rsidR="00DE26B2">
        <w:rPr>
          <w:rFonts w:cs="Arial"/>
        </w:rPr>
        <w:t xml:space="preserve">support </w:t>
      </w:r>
      <w:r w:rsidR="00CF2069">
        <w:rPr>
          <w:rFonts w:cs="Arial"/>
        </w:rPr>
        <w:t xml:space="preserve">and contribute to </w:t>
      </w:r>
      <w:r w:rsidR="00DE26B2">
        <w:rPr>
          <w:rFonts w:cs="Arial"/>
        </w:rPr>
        <w:t xml:space="preserve">the implementation of the </w:t>
      </w:r>
      <w:r w:rsidR="00674503">
        <w:rPr>
          <w:rFonts w:cs="Arial"/>
        </w:rPr>
        <w:t>F</w:t>
      </w:r>
      <w:r w:rsidR="00DE26B2">
        <w:rPr>
          <w:rFonts w:cs="Arial"/>
        </w:rPr>
        <w:t>ramework</w:t>
      </w:r>
      <w:r w:rsidR="00CF2069">
        <w:rPr>
          <w:rFonts w:cs="Arial"/>
        </w:rPr>
        <w:t xml:space="preserve">, including through identifying specific actions from the </w:t>
      </w:r>
      <w:r w:rsidR="00CF2069" w:rsidRPr="00761DFD">
        <w:rPr>
          <w:rFonts w:cs="Arial"/>
          <w:color w:val="000000" w:themeColor="text1"/>
        </w:rPr>
        <w:t>Framework within the Third Action Plan. As well as</w:t>
      </w:r>
      <w:r w:rsidR="00DE26B2" w:rsidRPr="00761DFD">
        <w:rPr>
          <w:rFonts w:cs="Arial"/>
          <w:color w:val="000000" w:themeColor="text1"/>
        </w:rPr>
        <w:t xml:space="preserve"> </w:t>
      </w:r>
      <w:r w:rsidR="005E621D" w:rsidRPr="00761DFD">
        <w:rPr>
          <w:rFonts w:cs="Arial"/>
          <w:color w:val="000000" w:themeColor="text1"/>
        </w:rPr>
        <w:t xml:space="preserve">through </w:t>
      </w:r>
      <w:r w:rsidRPr="00761DFD">
        <w:rPr>
          <w:rFonts w:cs="Arial"/>
          <w:color w:val="000000" w:themeColor="text1"/>
        </w:rPr>
        <w:t>expand</w:t>
      </w:r>
      <w:r w:rsidR="00CF2069" w:rsidRPr="00761DFD">
        <w:rPr>
          <w:rFonts w:cs="Arial"/>
          <w:color w:val="000000" w:themeColor="text1"/>
        </w:rPr>
        <w:t>ing</w:t>
      </w:r>
      <w:r w:rsidRPr="00761DFD">
        <w:rPr>
          <w:rFonts w:cs="Arial"/>
          <w:color w:val="000000" w:themeColor="text1"/>
        </w:rPr>
        <w:t xml:space="preserve"> </w:t>
      </w:r>
      <w:r w:rsidR="00674503" w:rsidRPr="00761DFD">
        <w:rPr>
          <w:rFonts w:cs="Arial"/>
          <w:color w:val="000000" w:themeColor="text1"/>
        </w:rPr>
        <w:t xml:space="preserve">and </w:t>
      </w:r>
      <w:r w:rsidRPr="00761DFD">
        <w:rPr>
          <w:rFonts w:cs="Arial"/>
          <w:color w:val="000000" w:themeColor="text1"/>
        </w:rPr>
        <w:t>fund</w:t>
      </w:r>
      <w:r w:rsidR="00CF2069" w:rsidRPr="00761DFD">
        <w:rPr>
          <w:rFonts w:cs="Arial"/>
          <w:color w:val="000000" w:themeColor="text1"/>
        </w:rPr>
        <w:t>ing</w:t>
      </w:r>
      <w:r w:rsidRPr="00761DFD">
        <w:rPr>
          <w:rFonts w:cs="Arial"/>
          <w:color w:val="000000" w:themeColor="text1"/>
        </w:rPr>
        <w:t xml:space="preserve"> prevention programs</w:t>
      </w:r>
      <w:r w:rsidR="005E621D" w:rsidRPr="00761DFD">
        <w:rPr>
          <w:rFonts w:cs="Arial"/>
          <w:color w:val="000000" w:themeColor="text1"/>
        </w:rPr>
        <w:t>,</w:t>
      </w:r>
      <w:r w:rsidR="00DE26B2" w:rsidRPr="00761DFD">
        <w:rPr>
          <w:rFonts w:cs="Arial"/>
          <w:color w:val="000000" w:themeColor="text1"/>
        </w:rPr>
        <w:t xml:space="preserve"> </w:t>
      </w:r>
      <w:r w:rsidR="00CF2069" w:rsidRPr="00761DFD">
        <w:rPr>
          <w:rFonts w:cs="Arial"/>
          <w:color w:val="000000" w:themeColor="text1"/>
        </w:rPr>
        <w:t>such as Respectful Relationships Education</w:t>
      </w:r>
      <w:r w:rsidR="005E621D" w:rsidRPr="00761DFD">
        <w:rPr>
          <w:rFonts w:cs="Arial"/>
          <w:color w:val="000000" w:themeColor="text1"/>
        </w:rPr>
        <w:t>,</w:t>
      </w:r>
      <w:r w:rsidR="00CF2069" w:rsidRPr="00761DFD">
        <w:rPr>
          <w:rFonts w:cs="Arial"/>
          <w:color w:val="000000" w:themeColor="text1"/>
        </w:rPr>
        <w:t xml:space="preserve"> </w:t>
      </w:r>
      <w:r w:rsidR="00DE26B2" w:rsidRPr="00761DFD">
        <w:rPr>
          <w:rFonts w:cs="Arial"/>
          <w:color w:val="000000" w:themeColor="text1"/>
        </w:rPr>
        <w:t xml:space="preserve">in </w:t>
      </w:r>
      <w:r w:rsidR="00875EFB" w:rsidRPr="00761DFD">
        <w:rPr>
          <w:rFonts w:cs="Arial"/>
          <w:color w:val="000000" w:themeColor="text1"/>
        </w:rPr>
        <w:t>educational institutions</w:t>
      </w:r>
      <w:r w:rsidR="00DE26B2" w:rsidRPr="00761DFD">
        <w:rPr>
          <w:rFonts w:cs="Arial"/>
          <w:color w:val="000000" w:themeColor="text1"/>
        </w:rPr>
        <w:t>, workplaces</w:t>
      </w:r>
      <w:r w:rsidR="00875EFB" w:rsidRPr="00761DFD">
        <w:rPr>
          <w:rFonts w:cs="Arial"/>
          <w:color w:val="000000" w:themeColor="text1"/>
        </w:rPr>
        <w:t>, media,</w:t>
      </w:r>
      <w:r w:rsidR="00DE26B2" w:rsidRPr="00761DFD">
        <w:rPr>
          <w:rFonts w:cs="Arial"/>
          <w:color w:val="000000" w:themeColor="text1"/>
        </w:rPr>
        <w:t xml:space="preserve"> and communit</w:t>
      </w:r>
      <w:r w:rsidR="00674503" w:rsidRPr="00761DFD">
        <w:rPr>
          <w:rFonts w:cs="Arial"/>
          <w:color w:val="000000" w:themeColor="text1"/>
        </w:rPr>
        <w:t>y settings</w:t>
      </w:r>
      <w:r>
        <w:rPr>
          <w:rFonts w:cs="Arial"/>
        </w:rPr>
        <w:t xml:space="preserve">. </w:t>
      </w:r>
    </w:p>
    <w:p w14:paraId="2DF6FAB4" w14:textId="4B6057B3" w:rsidR="00EB41CB" w:rsidRDefault="00D42CEE" w:rsidP="00EB41CB">
      <w:pPr>
        <w:pStyle w:val="SubmissionNormal"/>
      </w:pPr>
      <w:r w:rsidRPr="00D42CEE">
        <w:rPr>
          <w:b/>
          <w:i/>
        </w:rPr>
        <w:t>Recommendation</w:t>
      </w:r>
      <w:r w:rsidR="00857B32">
        <w:rPr>
          <w:b/>
          <w:i/>
        </w:rPr>
        <w:t xml:space="preserve"> 1</w:t>
      </w:r>
      <w:r w:rsidRPr="00D42CEE">
        <w:rPr>
          <w:b/>
          <w:i/>
        </w:rPr>
        <w:t>:</w:t>
      </w:r>
      <w:r>
        <w:t xml:space="preserve"> T</w:t>
      </w:r>
      <w:r w:rsidR="00173DB1">
        <w:t>he Australian Government a</w:t>
      </w:r>
      <w:r w:rsidR="00173DB1" w:rsidRPr="00D42CEE">
        <w:t xml:space="preserve">ddress the </w:t>
      </w:r>
      <w:r w:rsidR="00173DB1">
        <w:t>root</w:t>
      </w:r>
      <w:r w:rsidR="00173DB1" w:rsidRPr="00D42CEE">
        <w:t xml:space="preserve"> cause</w:t>
      </w:r>
      <w:r w:rsidR="00173DB1">
        <w:t>s</w:t>
      </w:r>
      <w:r w:rsidR="00173DB1" w:rsidRPr="00D42CEE">
        <w:t xml:space="preserve"> of domestic and family violence, namely gender inequality, </w:t>
      </w:r>
      <w:r w:rsidR="00173DB1">
        <w:t>by addressing</w:t>
      </w:r>
      <w:r w:rsidR="00173DB1" w:rsidRPr="00D42CEE">
        <w:t xml:space="preserve"> the full range of gender equality gaps, as well as support </w:t>
      </w:r>
      <w:r w:rsidR="005E621D">
        <w:t xml:space="preserve">and fund </w:t>
      </w:r>
      <w:r w:rsidR="00F50C78">
        <w:t xml:space="preserve">prevention </w:t>
      </w:r>
      <w:r w:rsidR="00173DB1" w:rsidRPr="00D42CEE">
        <w:t>programs that work with communities, businesses and governments to address the negative and discriminatory stereotypes of women and girls in all areas of life.</w:t>
      </w:r>
      <w:r w:rsidR="00EB41CB">
        <w:t xml:space="preserve"> </w:t>
      </w:r>
    </w:p>
    <w:p w14:paraId="76FC8ED3" w14:textId="77777777" w:rsidR="00EB41CB" w:rsidRPr="00EB41CB" w:rsidRDefault="00EB41CB" w:rsidP="00EB41CB">
      <w:pPr>
        <w:pStyle w:val="Heading2"/>
        <w:numPr>
          <w:ilvl w:val="1"/>
          <w:numId w:val="16"/>
        </w:numPr>
      </w:pPr>
      <w:bookmarkStart w:id="19" w:name="_Toc447543644"/>
      <w:r w:rsidRPr="00797F7A">
        <w:lastRenderedPageBreak/>
        <w:t>National Plan to Reduce Violence against Women and their Children 2010-22</w:t>
      </w:r>
      <w:bookmarkEnd w:id="19"/>
      <w:r w:rsidRPr="00797F7A">
        <w:t xml:space="preserve"> </w:t>
      </w:r>
    </w:p>
    <w:p w14:paraId="520020C6" w14:textId="77777777" w:rsidR="00797F7A" w:rsidRPr="00C807E5" w:rsidRDefault="00E23DBD" w:rsidP="00797F7A">
      <w:pPr>
        <w:pStyle w:val="SubmissionNormal"/>
      </w:pPr>
      <w:r w:rsidRPr="00797F7A">
        <w:rPr>
          <w:rFonts w:cs="Arial"/>
        </w:rPr>
        <w:t xml:space="preserve">The Commission welcomed the twelve-year </w:t>
      </w:r>
      <w:r w:rsidRPr="00797F7A">
        <w:rPr>
          <w:rFonts w:cs="Arial"/>
          <w:i/>
        </w:rPr>
        <w:t>National Plan to Reduce Violence against Women and their Children 2010-22</w:t>
      </w:r>
      <w:r w:rsidRPr="00797F7A">
        <w:rPr>
          <w:rFonts w:cs="Arial"/>
        </w:rPr>
        <w:t xml:space="preserve"> (National Plan) and the commitment and support from the federal, state and territory governme</w:t>
      </w:r>
      <w:r w:rsidR="00797F7A" w:rsidRPr="00797F7A">
        <w:rPr>
          <w:rFonts w:cs="Arial"/>
        </w:rPr>
        <w:t xml:space="preserve">nts to implementing the plan. </w:t>
      </w:r>
      <w:r w:rsidRPr="00797F7A">
        <w:rPr>
          <w:rFonts w:cs="Arial"/>
        </w:rPr>
        <w:t xml:space="preserve">The Commission also </w:t>
      </w:r>
      <w:r w:rsidR="00797F7A" w:rsidRPr="00797F7A">
        <w:rPr>
          <w:rFonts w:cs="Arial"/>
        </w:rPr>
        <w:t>welcomed</w:t>
      </w:r>
      <w:r w:rsidRPr="00797F7A">
        <w:rPr>
          <w:rFonts w:cs="Arial"/>
        </w:rPr>
        <w:t xml:space="preserve"> the Second Action Plan under the National Plan (2013-2016), and particularly its focus on whole of community action, understanding diverse experiences of violence, supporting innovative services and integrated systems, improving perpetrator interventions and continuing to build the evidence base.</w:t>
      </w:r>
    </w:p>
    <w:p w14:paraId="69F629F6" w14:textId="77777777" w:rsidR="00857B32" w:rsidRDefault="00857B32" w:rsidP="00857B32">
      <w:pPr>
        <w:pStyle w:val="SubmissionNormal"/>
      </w:pPr>
      <w:r>
        <w:t>The Comm</w:t>
      </w:r>
      <w:r w:rsidRPr="002E689A">
        <w:t>is</w:t>
      </w:r>
      <w:r>
        <w:t>si</w:t>
      </w:r>
      <w:r w:rsidRPr="002E689A">
        <w:t xml:space="preserve">on </w:t>
      </w:r>
      <w:r>
        <w:t xml:space="preserve">also </w:t>
      </w:r>
      <w:r w:rsidRPr="002E689A">
        <w:t>welcomes the additional funding committed by the Australian Government in 2015 to both prevention and response measures and servi</w:t>
      </w:r>
      <w:r>
        <w:t>c</w:t>
      </w:r>
      <w:r w:rsidRPr="002E689A">
        <w:t>es.</w:t>
      </w:r>
      <w:r w:rsidRPr="00B743D4">
        <w:rPr>
          <w:rStyle w:val="EndnoteReference"/>
          <w:rFonts w:cs="Arial"/>
          <w:sz w:val="24"/>
        </w:rPr>
        <w:endnoteReference w:id="20"/>
      </w:r>
    </w:p>
    <w:p w14:paraId="23B4C100" w14:textId="2A0B2ACA" w:rsidR="00857B32" w:rsidRPr="00B5063B" w:rsidRDefault="00857B32" w:rsidP="00857B32">
      <w:pPr>
        <w:pStyle w:val="SubmissionNormal"/>
      </w:pPr>
      <w:r w:rsidRPr="002E689A">
        <w:t xml:space="preserve">However, there </w:t>
      </w:r>
      <w:r w:rsidR="0067376A">
        <w:t xml:space="preserve">is a continuing </w:t>
      </w:r>
      <w:r w:rsidRPr="002E689A">
        <w:t xml:space="preserve">need for </w:t>
      </w:r>
      <w:r>
        <w:t xml:space="preserve">adequate and sustained </w:t>
      </w:r>
      <w:r w:rsidRPr="002E689A">
        <w:t xml:space="preserve">funding for specialist prevention and response services that reflect the diversity of women, and include specialist women’s services, </w:t>
      </w:r>
      <w:r>
        <w:t xml:space="preserve">crisis and transitional accommodation services, </w:t>
      </w:r>
      <w:r w:rsidRPr="002E689A">
        <w:t>com</w:t>
      </w:r>
      <w:r w:rsidR="00DE280B">
        <w:t xml:space="preserve">munity legal centres, </w:t>
      </w:r>
      <w:r w:rsidRPr="002E689A">
        <w:t>community controlled organisations such as Family Vio</w:t>
      </w:r>
      <w:r>
        <w:t>lence Prevention Legal Services, Men’s Behaviour Change programs and</w:t>
      </w:r>
      <w:r w:rsidRPr="002E689A">
        <w:t xml:space="preserve"> primar</w:t>
      </w:r>
      <w:r>
        <w:t xml:space="preserve">y prevention programs </w:t>
      </w:r>
      <w:r w:rsidR="0067376A">
        <w:t>which</w:t>
      </w:r>
      <w:r>
        <w:t xml:space="preserve"> </w:t>
      </w:r>
      <w:r w:rsidRPr="002E689A">
        <w:t>address the underlying drivers of violence.</w:t>
      </w:r>
    </w:p>
    <w:p w14:paraId="685CCF6D" w14:textId="77777777" w:rsidR="00E23DBD" w:rsidRPr="00797F7A" w:rsidRDefault="00857B32" w:rsidP="00797F7A">
      <w:pPr>
        <w:pStyle w:val="SubmissionNormal"/>
      </w:pPr>
      <w:r>
        <w:rPr>
          <w:rFonts w:cs="Arial"/>
        </w:rPr>
        <w:t>T</w:t>
      </w:r>
      <w:r w:rsidR="00E23DBD" w:rsidRPr="00797F7A">
        <w:rPr>
          <w:rFonts w:cs="Arial"/>
        </w:rPr>
        <w:t xml:space="preserve">he Commission notes that there will be value in strengthening elements of the National Action Plan including: </w:t>
      </w:r>
    </w:p>
    <w:p w14:paraId="4B8E6BCD" w14:textId="77777777" w:rsidR="00E23DBD" w:rsidRPr="0015014E" w:rsidRDefault="00E23DBD" w:rsidP="00EB41CB">
      <w:pPr>
        <w:pStyle w:val="ListParagraph"/>
        <w:numPr>
          <w:ilvl w:val="0"/>
          <w:numId w:val="22"/>
        </w:numPr>
        <w:autoSpaceDE w:val="0"/>
        <w:autoSpaceDN w:val="0"/>
        <w:adjustRightInd w:val="0"/>
        <w:spacing w:before="0" w:after="0"/>
        <w:ind w:left="1080"/>
        <w:jc w:val="both"/>
        <w:rPr>
          <w:rFonts w:cs="Arial"/>
          <w:color w:val="000000"/>
        </w:rPr>
      </w:pPr>
      <w:r w:rsidRPr="0015014E">
        <w:rPr>
          <w:rFonts w:cs="Arial"/>
          <w:color w:val="000000"/>
        </w:rPr>
        <w:t xml:space="preserve">Grounding the National Plan in a human rights framework which recognises that gender equality is the key to addressing violence against women and that gender inequality, discrimination, harassment and violence are all abuses of women’s </w:t>
      </w:r>
      <w:r w:rsidR="00797F7A">
        <w:rPr>
          <w:rFonts w:cs="Arial"/>
          <w:color w:val="000000"/>
        </w:rPr>
        <w:t xml:space="preserve">and girls’ </w:t>
      </w:r>
      <w:r w:rsidRPr="0015014E">
        <w:rPr>
          <w:rFonts w:cs="Arial"/>
          <w:color w:val="000000"/>
        </w:rPr>
        <w:t>human rights.</w:t>
      </w:r>
    </w:p>
    <w:p w14:paraId="31CA8432" w14:textId="77777777" w:rsidR="00E23DBD" w:rsidRPr="0015014E" w:rsidRDefault="00E23DBD" w:rsidP="00797F7A">
      <w:pPr>
        <w:pStyle w:val="ListParagraph"/>
        <w:autoSpaceDE w:val="0"/>
        <w:autoSpaceDN w:val="0"/>
        <w:adjustRightInd w:val="0"/>
        <w:spacing w:before="0" w:after="0"/>
        <w:ind w:left="1080"/>
        <w:jc w:val="both"/>
        <w:rPr>
          <w:rFonts w:cs="Arial"/>
          <w:color w:val="000000"/>
        </w:rPr>
      </w:pPr>
    </w:p>
    <w:p w14:paraId="413E3B25" w14:textId="77777777" w:rsidR="00797F7A" w:rsidRPr="00797F7A" w:rsidRDefault="00E23DBD" w:rsidP="00EB41CB">
      <w:pPr>
        <w:pStyle w:val="Default"/>
        <w:numPr>
          <w:ilvl w:val="0"/>
          <w:numId w:val="22"/>
        </w:numPr>
        <w:ind w:left="1080"/>
        <w:jc w:val="both"/>
        <w:rPr>
          <w:rFonts w:ascii="Arial" w:hAnsi="Arial" w:cs="Arial"/>
        </w:rPr>
      </w:pPr>
      <w:r w:rsidRPr="0015014E">
        <w:rPr>
          <w:rFonts w:ascii="Arial" w:hAnsi="Arial" w:cs="Arial"/>
        </w:rPr>
        <w:t>Addressing the specific needs and rights of children and young people recognising that discrimination, harassment, violence, and a lack of safety are all abuses of children's human rights.</w:t>
      </w:r>
    </w:p>
    <w:p w14:paraId="0B6FD123" w14:textId="77777777" w:rsidR="00797F7A" w:rsidRDefault="00797F7A" w:rsidP="00797F7A">
      <w:pPr>
        <w:pStyle w:val="Default"/>
        <w:ind w:left="1080"/>
        <w:jc w:val="both"/>
        <w:rPr>
          <w:rFonts w:ascii="Arial" w:hAnsi="Arial" w:cs="Arial"/>
        </w:rPr>
      </w:pPr>
    </w:p>
    <w:p w14:paraId="5BB6E542" w14:textId="77777777" w:rsidR="00797F7A" w:rsidRDefault="00797F7A" w:rsidP="00EB41CB">
      <w:pPr>
        <w:pStyle w:val="Default"/>
        <w:numPr>
          <w:ilvl w:val="0"/>
          <w:numId w:val="22"/>
        </w:numPr>
        <w:ind w:left="1080"/>
        <w:jc w:val="both"/>
        <w:rPr>
          <w:rFonts w:ascii="Arial" w:hAnsi="Arial" w:cs="Arial"/>
        </w:rPr>
      </w:pPr>
      <w:r w:rsidRPr="0015014E">
        <w:rPr>
          <w:rFonts w:ascii="Arial" w:hAnsi="Arial" w:cs="Arial"/>
        </w:rPr>
        <w:t>Ensuring targeted data is collected to inform primary prevention, early intervention and response initiatives with at risk or hard to reach population groups</w:t>
      </w:r>
      <w:r w:rsidRPr="00797F7A">
        <w:rPr>
          <w:rFonts w:ascii="Arial" w:hAnsi="Arial" w:cs="Arial"/>
        </w:rPr>
        <w:t xml:space="preserve"> </w:t>
      </w:r>
      <w:r>
        <w:rPr>
          <w:rFonts w:ascii="Arial" w:hAnsi="Arial" w:cs="Arial"/>
        </w:rPr>
        <w:br/>
      </w:r>
    </w:p>
    <w:p w14:paraId="12860200" w14:textId="77777777" w:rsidR="00EB41CB" w:rsidRDefault="00E23DBD" w:rsidP="00EB41CB">
      <w:pPr>
        <w:pStyle w:val="Default"/>
        <w:numPr>
          <w:ilvl w:val="0"/>
          <w:numId w:val="22"/>
        </w:numPr>
        <w:ind w:left="1080"/>
        <w:jc w:val="both"/>
        <w:rPr>
          <w:rFonts w:ascii="Arial" w:hAnsi="Arial" w:cs="Arial"/>
        </w:rPr>
      </w:pPr>
      <w:r w:rsidRPr="00797F7A">
        <w:rPr>
          <w:rFonts w:ascii="Arial" w:hAnsi="Arial" w:cs="Arial"/>
        </w:rPr>
        <w:t>Promoting the capacity building and coordination roles that the National Foundation to Prevent Violence against Women and their Children can play in supporting implementation of the National Plan</w:t>
      </w:r>
    </w:p>
    <w:p w14:paraId="3A07787E" w14:textId="77777777" w:rsidR="00797F7A" w:rsidRDefault="00797F7A" w:rsidP="00EB41CB">
      <w:pPr>
        <w:pStyle w:val="Default"/>
        <w:ind w:left="1080"/>
        <w:jc w:val="both"/>
        <w:rPr>
          <w:rFonts w:ascii="Arial" w:hAnsi="Arial" w:cs="Arial"/>
        </w:rPr>
      </w:pPr>
    </w:p>
    <w:p w14:paraId="4BA63FFB" w14:textId="77777777" w:rsidR="00797F7A" w:rsidRDefault="00E23DBD" w:rsidP="00EB41CB">
      <w:pPr>
        <w:pStyle w:val="Default"/>
        <w:numPr>
          <w:ilvl w:val="0"/>
          <w:numId w:val="22"/>
        </w:numPr>
        <w:ind w:left="1080"/>
        <w:jc w:val="both"/>
        <w:rPr>
          <w:rFonts w:ascii="Arial" w:hAnsi="Arial" w:cs="Arial"/>
        </w:rPr>
      </w:pPr>
      <w:r w:rsidRPr="00797F7A">
        <w:rPr>
          <w:rFonts w:ascii="Arial" w:hAnsi="Arial" w:cs="Arial"/>
        </w:rPr>
        <w:t>Effectively utilising ANROWS to build the evidence base, particularly focusing on at risk population groups and primary prevention</w:t>
      </w:r>
    </w:p>
    <w:p w14:paraId="43F16197" w14:textId="77777777" w:rsidR="00797F7A" w:rsidRDefault="00797F7A" w:rsidP="00797F7A">
      <w:pPr>
        <w:pStyle w:val="Default"/>
        <w:ind w:left="1080"/>
        <w:jc w:val="both"/>
        <w:rPr>
          <w:rFonts w:ascii="Arial" w:hAnsi="Arial" w:cs="Arial"/>
        </w:rPr>
      </w:pPr>
    </w:p>
    <w:p w14:paraId="1E39BCCB" w14:textId="77777777" w:rsidR="002E689A" w:rsidRPr="00842D51" w:rsidRDefault="00797F7A" w:rsidP="00D2526F">
      <w:pPr>
        <w:pStyle w:val="Default"/>
        <w:numPr>
          <w:ilvl w:val="0"/>
          <w:numId w:val="22"/>
        </w:numPr>
        <w:ind w:left="1080"/>
        <w:jc w:val="both"/>
        <w:rPr>
          <w:rFonts w:ascii="Arial" w:hAnsi="Arial" w:cs="Arial"/>
        </w:rPr>
      </w:pPr>
      <w:r w:rsidRPr="00797F7A">
        <w:rPr>
          <w:rFonts w:ascii="Arial" w:hAnsi="Arial" w:cs="Arial"/>
        </w:rPr>
        <w:t>Building on existing reporting structures to establish an independent monitoring and evaluation system</w:t>
      </w:r>
      <w:r w:rsidR="00857B32">
        <w:rPr>
          <w:rFonts w:ascii="Arial" w:hAnsi="Arial" w:cs="Arial"/>
        </w:rPr>
        <w:t>.</w:t>
      </w:r>
    </w:p>
    <w:p w14:paraId="280C708B" w14:textId="77777777" w:rsidR="00CC78F5" w:rsidRPr="001C1599" w:rsidRDefault="00CC78F5" w:rsidP="00EB41CB">
      <w:pPr>
        <w:pStyle w:val="Heading2"/>
        <w:numPr>
          <w:ilvl w:val="1"/>
          <w:numId w:val="16"/>
        </w:numPr>
      </w:pPr>
      <w:bookmarkStart w:id="20" w:name="_Toc447543645"/>
      <w:r>
        <w:lastRenderedPageBreak/>
        <w:t>Anti-discrimination laws</w:t>
      </w:r>
      <w:bookmarkEnd w:id="20"/>
    </w:p>
    <w:p w14:paraId="00465233" w14:textId="77777777" w:rsidR="00D020FD" w:rsidRDefault="00D020FD" w:rsidP="00EB41CB">
      <w:pPr>
        <w:pStyle w:val="ListParagraph"/>
        <w:numPr>
          <w:ilvl w:val="0"/>
          <w:numId w:val="16"/>
        </w:numPr>
        <w:autoSpaceDE w:val="0"/>
        <w:autoSpaceDN w:val="0"/>
        <w:adjustRightInd w:val="0"/>
        <w:spacing w:before="0" w:after="0"/>
        <w:jc w:val="both"/>
        <w:rPr>
          <w:rFonts w:cs="Arial"/>
          <w:color w:val="000000"/>
        </w:rPr>
      </w:pPr>
      <w:r w:rsidRPr="00E23DBD">
        <w:rPr>
          <w:rFonts w:cs="Arial"/>
        </w:rPr>
        <w:t>Under international human rights law gender-based violence, such as domestic and family violence, is recognised as a form of discrimination that seriously inhibits women's ability to enjoy rights and freedoms on a basis of equality with men</w:t>
      </w:r>
      <w:r w:rsidRPr="00E23DBD">
        <w:rPr>
          <w:rFonts w:cs="Arial"/>
          <w:color w:val="000000"/>
        </w:rPr>
        <w:t>.</w:t>
      </w:r>
      <w:r w:rsidRPr="0015014E">
        <w:rPr>
          <w:rStyle w:val="EndnoteReference"/>
          <w:rFonts w:cs="Arial"/>
          <w:color w:val="000000"/>
          <w:sz w:val="24"/>
        </w:rPr>
        <w:endnoteReference w:id="21"/>
      </w:r>
      <w:r w:rsidRPr="00E23DBD">
        <w:rPr>
          <w:rFonts w:cs="Arial"/>
          <w:color w:val="000000"/>
        </w:rPr>
        <w:t xml:space="preserve"> </w:t>
      </w:r>
    </w:p>
    <w:p w14:paraId="24CC2FDE" w14:textId="77777777" w:rsidR="00D020FD" w:rsidRPr="00D020FD" w:rsidRDefault="00D020FD" w:rsidP="00D020FD">
      <w:pPr>
        <w:pStyle w:val="ListParagraph"/>
        <w:autoSpaceDE w:val="0"/>
        <w:autoSpaceDN w:val="0"/>
        <w:adjustRightInd w:val="0"/>
        <w:spacing w:before="0" w:after="0"/>
        <w:ind w:left="851"/>
        <w:jc w:val="both"/>
        <w:rPr>
          <w:rFonts w:cs="Arial"/>
          <w:color w:val="000000"/>
        </w:rPr>
      </w:pPr>
    </w:p>
    <w:p w14:paraId="48551A1C" w14:textId="77777777" w:rsidR="00D020FD" w:rsidRPr="00E23DBD" w:rsidRDefault="00D020FD" w:rsidP="00EB41CB">
      <w:pPr>
        <w:pStyle w:val="ListParagraph"/>
        <w:numPr>
          <w:ilvl w:val="0"/>
          <w:numId w:val="16"/>
        </w:numPr>
        <w:autoSpaceDE w:val="0"/>
        <w:autoSpaceDN w:val="0"/>
        <w:adjustRightInd w:val="0"/>
        <w:spacing w:before="0" w:after="0"/>
        <w:jc w:val="both"/>
        <w:rPr>
          <w:rFonts w:cs="Arial"/>
          <w:color w:val="000000"/>
        </w:rPr>
      </w:pPr>
      <w:r w:rsidRPr="00E23DBD">
        <w:rPr>
          <w:rFonts w:cs="Arial"/>
          <w:color w:val="000000"/>
        </w:rPr>
        <w:t xml:space="preserve">There is a growing body of evidence that shows that victims/survivors </w:t>
      </w:r>
      <w:r>
        <w:rPr>
          <w:rFonts w:cs="Arial"/>
          <w:color w:val="000000"/>
        </w:rPr>
        <w:t>can</w:t>
      </w:r>
      <w:r w:rsidRPr="00E23DBD">
        <w:rPr>
          <w:rFonts w:cs="Arial"/>
          <w:color w:val="000000"/>
        </w:rPr>
        <w:t xml:space="preserve"> experience discrimination resulting from domestic and family violence, especially in the workplace.</w:t>
      </w:r>
      <w:r w:rsidRPr="0015014E">
        <w:rPr>
          <w:rStyle w:val="EndnoteReference"/>
          <w:rFonts w:cs="Arial"/>
          <w:color w:val="000000"/>
          <w:sz w:val="24"/>
        </w:rPr>
        <w:endnoteReference w:id="22"/>
      </w:r>
      <w:r w:rsidRPr="00E23DBD">
        <w:rPr>
          <w:rFonts w:cs="Arial"/>
          <w:color w:val="000000"/>
        </w:rPr>
        <w:t xml:space="preserve"> These women may be discriminated against, for example, as a result of taking time out of work (sick leave or carers leave) or where they have temporarily lower levels of productivity due to the violence they are experiencing at home. </w:t>
      </w:r>
    </w:p>
    <w:p w14:paraId="03D790D2" w14:textId="77777777" w:rsidR="00D020FD" w:rsidRPr="00E23DBD" w:rsidRDefault="00D020FD" w:rsidP="00D020FD">
      <w:pPr>
        <w:pStyle w:val="ListParagraph"/>
        <w:autoSpaceDE w:val="0"/>
        <w:autoSpaceDN w:val="0"/>
        <w:adjustRightInd w:val="0"/>
        <w:spacing w:before="0" w:after="0"/>
        <w:ind w:left="851"/>
        <w:jc w:val="both"/>
        <w:rPr>
          <w:rFonts w:cs="Arial"/>
          <w:color w:val="000000"/>
        </w:rPr>
      </w:pPr>
    </w:p>
    <w:p w14:paraId="7FDB8A4C" w14:textId="136190A8" w:rsidR="00D020FD" w:rsidRDefault="00D020FD" w:rsidP="00EB41CB">
      <w:pPr>
        <w:pStyle w:val="ListParagraph"/>
        <w:numPr>
          <w:ilvl w:val="0"/>
          <w:numId w:val="16"/>
        </w:numPr>
        <w:autoSpaceDE w:val="0"/>
        <w:autoSpaceDN w:val="0"/>
        <w:adjustRightInd w:val="0"/>
        <w:spacing w:before="0" w:after="0"/>
        <w:jc w:val="both"/>
        <w:rPr>
          <w:rFonts w:cs="Arial"/>
          <w:color w:val="000000"/>
        </w:rPr>
      </w:pPr>
      <w:r w:rsidRPr="00E23DBD">
        <w:rPr>
          <w:rFonts w:cs="Arial"/>
          <w:color w:val="000000"/>
        </w:rPr>
        <w:t>Women who experience domestic and family violence are not only at risk of discrimination in the workplace, but in other areas of their lives</w:t>
      </w:r>
      <w:r w:rsidR="00196C64">
        <w:rPr>
          <w:rFonts w:cs="Arial"/>
          <w:color w:val="000000"/>
        </w:rPr>
        <w:t>,</w:t>
      </w:r>
      <w:r w:rsidRPr="00E23DBD">
        <w:rPr>
          <w:rFonts w:cs="Arial"/>
          <w:color w:val="000000"/>
        </w:rPr>
        <w:t xml:space="preserve"> for example</w:t>
      </w:r>
      <w:r w:rsidR="00196C64">
        <w:rPr>
          <w:rFonts w:cs="Arial"/>
          <w:color w:val="000000"/>
        </w:rPr>
        <w:t>,</w:t>
      </w:r>
      <w:r w:rsidRPr="00E23DBD">
        <w:rPr>
          <w:rFonts w:cs="Arial"/>
          <w:color w:val="000000"/>
        </w:rPr>
        <w:t xml:space="preserve"> in the provision of goods and services. </w:t>
      </w:r>
    </w:p>
    <w:p w14:paraId="245586CA" w14:textId="77777777" w:rsidR="00D020FD" w:rsidRPr="00D020FD" w:rsidRDefault="00D020FD" w:rsidP="00D020FD">
      <w:pPr>
        <w:pStyle w:val="ListParagraph"/>
        <w:rPr>
          <w:rFonts w:cs="Arial"/>
          <w:color w:val="000000"/>
        </w:rPr>
      </w:pPr>
    </w:p>
    <w:p w14:paraId="0020AC8F" w14:textId="77777777" w:rsidR="00D020FD" w:rsidRDefault="00D020FD" w:rsidP="00EB41CB">
      <w:pPr>
        <w:pStyle w:val="ListParagraph"/>
        <w:numPr>
          <w:ilvl w:val="0"/>
          <w:numId w:val="16"/>
        </w:numPr>
        <w:autoSpaceDE w:val="0"/>
        <w:autoSpaceDN w:val="0"/>
        <w:adjustRightInd w:val="0"/>
        <w:spacing w:before="0" w:after="0"/>
        <w:jc w:val="both"/>
        <w:rPr>
          <w:rFonts w:cs="Arial"/>
          <w:color w:val="000000"/>
        </w:rPr>
      </w:pPr>
      <w:r w:rsidRPr="00E23DBD">
        <w:rPr>
          <w:rFonts w:cs="Arial"/>
          <w:color w:val="000000"/>
        </w:rPr>
        <w:t xml:space="preserve">Evidence also suggests that victim/survivors </w:t>
      </w:r>
      <w:r>
        <w:rPr>
          <w:rFonts w:cs="Arial"/>
          <w:color w:val="000000"/>
        </w:rPr>
        <w:t xml:space="preserve">experiencing discrimination </w:t>
      </w:r>
      <w:r w:rsidRPr="00E23DBD">
        <w:rPr>
          <w:rFonts w:cs="Arial"/>
          <w:color w:val="000000"/>
        </w:rPr>
        <w:t xml:space="preserve">face difficulties seeking legal redress under the existing grounds in the </w:t>
      </w:r>
      <w:r w:rsidRPr="00E23DBD">
        <w:rPr>
          <w:rFonts w:cs="Arial"/>
          <w:i/>
          <w:iCs/>
          <w:color w:val="000000"/>
        </w:rPr>
        <w:t xml:space="preserve">Sex Discrimination Act (1984) </w:t>
      </w:r>
      <w:r w:rsidRPr="00E23DBD">
        <w:rPr>
          <w:rFonts w:cs="Arial"/>
          <w:color w:val="000000"/>
        </w:rPr>
        <w:t xml:space="preserve">(Cth) and the </w:t>
      </w:r>
      <w:r w:rsidRPr="00E23DBD">
        <w:rPr>
          <w:rFonts w:cs="Arial"/>
          <w:i/>
          <w:iCs/>
          <w:color w:val="000000"/>
        </w:rPr>
        <w:t xml:space="preserve">Fair Work Act (2009) </w:t>
      </w:r>
      <w:r w:rsidRPr="00E23DBD">
        <w:rPr>
          <w:rFonts w:cs="Arial"/>
          <w:color w:val="000000"/>
        </w:rPr>
        <w:t xml:space="preserve">(Cth). </w:t>
      </w:r>
    </w:p>
    <w:p w14:paraId="00888DC5" w14:textId="77777777" w:rsidR="00E23DBD" w:rsidRPr="00D020FD" w:rsidRDefault="00E23DBD" w:rsidP="00D020FD">
      <w:pPr>
        <w:autoSpaceDE w:val="0"/>
        <w:autoSpaceDN w:val="0"/>
        <w:adjustRightInd w:val="0"/>
        <w:spacing w:before="0" w:after="0"/>
        <w:jc w:val="both"/>
        <w:rPr>
          <w:rFonts w:cs="Arial"/>
          <w:color w:val="000000"/>
        </w:rPr>
      </w:pPr>
    </w:p>
    <w:p w14:paraId="11B36B4E" w14:textId="7A3CBD60" w:rsidR="00E23DBD" w:rsidRPr="00E23DBD" w:rsidRDefault="00D020FD" w:rsidP="00EB41CB">
      <w:pPr>
        <w:pStyle w:val="ListParagraph"/>
        <w:keepNext/>
        <w:keepLines/>
        <w:numPr>
          <w:ilvl w:val="0"/>
          <w:numId w:val="16"/>
        </w:numPr>
        <w:spacing w:before="0" w:after="0"/>
        <w:jc w:val="both"/>
        <w:rPr>
          <w:rFonts w:cs="Arial"/>
          <w:color w:val="000000"/>
        </w:rPr>
      </w:pPr>
      <w:r>
        <w:rPr>
          <w:rFonts w:cs="Arial"/>
          <w:color w:val="000000"/>
        </w:rPr>
        <w:t xml:space="preserve">Recognising </w:t>
      </w:r>
      <w:r w:rsidR="00E23DBD" w:rsidRPr="00E23DBD">
        <w:rPr>
          <w:rFonts w:cs="Arial"/>
          <w:color w:val="000000"/>
        </w:rPr>
        <w:t xml:space="preserve">domestic and family violence </w:t>
      </w:r>
      <w:r>
        <w:rPr>
          <w:rFonts w:cs="Arial"/>
          <w:color w:val="000000"/>
        </w:rPr>
        <w:t xml:space="preserve">as a protected attribute would </w:t>
      </w:r>
      <w:r w:rsidR="00E23DBD" w:rsidRPr="00E23DBD">
        <w:rPr>
          <w:rFonts w:cs="Arial"/>
          <w:color w:val="000000"/>
        </w:rPr>
        <w:t xml:space="preserve">clarify and strengthen existing discrimination protections to ensure more comprehensive protections </w:t>
      </w:r>
      <w:r>
        <w:rPr>
          <w:rFonts w:cs="Arial"/>
          <w:color w:val="000000"/>
        </w:rPr>
        <w:t>for</w:t>
      </w:r>
      <w:r w:rsidR="00E23DBD" w:rsidRPr="00E23DBD">
        <w:rPr>
          <w:rFonts w:cs="Arial"/>
          <w:color w:val="000000"/>
        </w:rPr>
        <w:t xml:space="preserve"> women</w:t>
      </w:r>
      <w:r>
        <w:rPr>
          <w:rFonts w:cs="Arial"/>
          <w:color w:val="000000"/>
        </w:rPr>
        <w:t xml:space="preserve">. Further, </w:t>
      </w:r>
      <w:r w:rsidR="004612A4">
        <w:rPr>
          <w:rFonts w:cs="Arial"/>
          <w:color w:val="000000"/>
        </w:rPr>
        <w:t xml:space="preserve">through contributing to retention in employment, </w:t>
      </w:r>
      <w:r>
        <w:rPr>
          <w:rFonts w:cs="Arial"/>
          <w:color w:val="000000"/>
        </w:rPr>
        <w:t>it</w:t>
      </w:r>
      <w:r w:rsidR="00E23DBD" w:rsidRPr="00E23DBD">
        <w:rPr>
          <w:rFonts w:cs="Arial"/>
          <w:color w:val="000000"/>
        </w:rPr>
        <w:t xml:space="preserve"> is likely to decrease costs of this form of violence to the Australian economy. It would also serve an educative function in raising awareness of the prevalence, harm and seriousness of this form of violence.</w:t>
      </w:r>
    </w:p>
    <w:p w14:paraId="2B283BAF" w14:textId="77777777" w:rsidR="00E23DBD" w:rsidRPr="00E23DBD" w:rsidRDefault="00E23DBD" w:rsidP="00D76BFE">
      <w:pPr>
        <w:pStyle w:val="ListParagraph"/>
        <w:autoSpaceDE w:val="0"/>
        <w:autoSpaceDN w:val="0"/>
        <w:adjustRightInd w:val="0"/>
        <w:spacing w:before="0" w:after="0"/>
        <w:ind w:left="851"/>
        <w:jc w:val="both"/>
        <w:rPr>
          <w:rFonts w:cs="Arial"/>
        </w:rPr>
      </w:pPr>
    </w:p>
    <w:p w14:paraId="4186650B" w14:textId="09755AEE" w:rsidR="00D020FD" w:rsidRDefault="00E23DBD" w:rsidP="00EB41CB">
      <w:pPr>
        <w:pStyle w:val="ListParagraph"/>
        <w:numPr>
          <w:ilvl w:val="0"/>
          <w:numId w:val="16"/>
        </w:numPr>
        <w:autoSpaceDE w:val="0"/>
        <w:autoSpaceDN w:val="0"/>
        <w:adjustRightInd w:val="0"/>
        <w:spacing w:before="0" w:after="0"/>
        <w:jc w:val="both"/>
        <w:rPr>
          <w:rFonts w:cs="Arial"/>
          <w:bCs/>
        </w:rPr>
      </w:pPr>
      <w:r w:rsidRPr="00E23DBD">
        <w:rPr>
          <w:rFonts w:cs="Arial"/>
        </w:rPr>
        <w:t>The Commission has previously recommended that</w:t>
      </w:r>
      <w:r w:rsidRPr="00E23DBD">
        <w:rPr>
          <w:rFonts w:cs="Arial"/>
          <w:bCs/>
        </w:rPr>
        <w:t xml:space="preserve"> 'domestic violence' be recognised as a protected attribute, in federal anti-discrimination laws as well as in the </w:t>
      </w:r>
      <w:r w:rsidRPr="00E23DBD">
        <w:rPr>
          <w:rFonts w:cs="Arial"/>
          <w:bCs/>
          <w:i/>
        </w:rPr>
        <w:t>Fair Work Act 2009</w:t>
      </w:r>
      <w:r w:rsidRPr="00E23DBD">
        <w:rPr>
          <w:rFonts w:cs="Arial"/>
          <w:bCs/>
        </w:rPr>
        <w:t xml:space="preserve"> (Cth).</w:t>
      </w:r>
      <w:r w:rsidRPr="0015014E">
        <w:rPr>
          <w:rStyle w:val="EndnoteReference"/>
          <w:rFonts w:cs="Arial"/>
          <w:bCs/>
          <w:sz w:val="24"/>
        </w:rPr>
        <w:endnoteReference w:id="23"/>
      </w:r>
      <w:r w:rsidRPr="00E23DBD">
        <w:rPr>
          <w:rFonts w:cs="Arial"/>
          <w:bCs/>
        </w:rPr>
        <w:t xml:space="preserve"> Similar recommendations have also been made by the Australian Law Reform Commission</w:t>
      </w:r>
      <w:r w:rsidRPr="0015014E">
        <w:rPr>
          <w:rStyle w:val="EndnoteReference"/>
          <w:rFonts w:cs="Arial"/>
          <w:bCs/>
          <w:sz w:val="24"/>
        </w:rPr>
        <w:endnoteReference w:id="24"/>
      </w:r>
      <w:r w:rsidRPr="00E23DBD">
        <w:rPr>
          <w:rFonts w:cs="Arial"/>
          <w:bCs/>
        </w:rPr>
        <w:t xml:space="preserve"> and the Senate Legal and Constitutional Affairs Committee</w:t>
      </w:r>
      <w:r w:rsidR="00196C64">
        <w:rPr>
          <w:rFonts w:cs="Arial"/>
          <w:bCs/>
        </w:rPr>
        <w:t>.</w:t>
      </w:r>
      <w:r w:rsidRPr="0015014E">
        <w:rPr>
          <w:rStyle w:val="EndnoteReference"/>
          <w:rFonts w:cs="Arial"/>
          <w:bCs/>
          <w:sz w:val="24"/>
        </w:rPr>
        <w:endnoteReference w:id="25"/>
      </w:r>
    </w:p>
    <w:p w14:paraId="5BDF20E0" w14:textId="77777777" w:rsidR="00D020FD" w:rsidRPr="00D020FD" w:rsidRDefault="00D020FD" w:rsidP="00D020FD">
      <w:pPr>
        <w:pStyle w:val="ListParagraph"/>
        <w:rPr>
          <w:rFonts w:cs="Arial"/>
          <w:color w:val="000000"/>
        </w:rPr>
      </w:pPr>
    </w:p>
    <w:p w14:paraId="19FD0EF7" w14:textId="77777777" w:rsidR="00CC78F5" w:rsidRPr="00D020FD" w:rsidRDefault="00D020FD" w:rsidP="00EB41CB">
      <w:pPr>
        <w:pStyle w:val="ListParagraph"/>
        <w:numPr>
          <w:ilvl w:val="0"/>
          <w:numId w:val="16"/>
        </w:numPr>
        <w:autoSpaceDE w:val="0"/>
        <w:autoSpaceDN w:val="0"/>
        <w:adjustRightInd w:val="0"/>
        <w:spacing w:before="0" w:after="0"/>
        <w:jc w:val="both"/>
        <w:rPr>
          <w:rFonts w:cs="Arial"/>
          <w:bCs/>
        </w:rPr>
      </w:pPr>
      <w:r w:rsidRPr="00D020FD">
        <w:rPr>
          <w:rFonts w:cs="Arial"/>
          <w:b/>
          <w:i/>
          <w:color w:val="000000"/>
        </w:rPr>
        <w:t>Recommendation</w:t>
      </w:r>
      <w:r w:rsidR="00857B32">
        <w:rPr>
          <w:rFonts w:cs="Arial"/>
          <w:b/>
          <w:i/>
          <w:color w:val="000000"/>
        </w:rPr>
        <w:t xml:space="preserve"> 2</w:t>
      </w:r>
      <w:r w:rsidRPr="00D020FD">
        <w:rPr>
          <w:rFonts w:cs="Arial"/>
          <w:b/>
          <w:i/>
          <w:color w:val="000000"/>
        </w:rPr>
        <w:t>:</w:t>
      </w:r>
      <w:r w:rsidRPr="00857B32">
        <w:rPr>
          <w:rFonts w:cs="Arial"/>
          <w:i/>
          <w:color w:val="000000"/>
        </w:rPr>
        <w:t xml:space="preserve"> </w:t>
      </w:r>
      <w:r w:rsidR="00857B32" w:rsidRPr="00857B32">
        <w:rPr>
          <w:rFonts w:cs="Arial"/>
          <w:color w:val="000000"/>
        </w:rPr>
        <w:t xml:space="preserve">The Australian Government </w:t>
      </w:r>
      <w:r w:rsidR="00857B32">
        <w:rPr>
          <w:rFonts w:cs="Arial"/>
          <w:color w:val="000000"/>
        </w:rPr>
        <w:t>r</w:t>
      </w:r>
      <w:r w:rsidRPr="00D020FD">
        <w:rPr>
          <w:rFonts w:cs="Arial"/>
          <w:color w:val="000000"/>
        </w:rPr>
        <w:t>ecognise</w:t>
      </w:r>
      <w:r w:rsidR="00E23DBD" w:rsidRPr="00D020FD">
        <w:rPr>
          <w:rFonts w:cs="Arial"/>
          <w:color w:val="000000"/>
        </w:rPr>
        <w:t xml:space="preserve"> domestic and family violence as a protected attribute within existing anti-discrimination legislation and federal employment law</w:t>
      </w:r>
      <w:r w:rsidR="00D53D5E">
        <w:rPr>
          <w:rFonts w:cs="Arial"/>
          <w:color w:val="000000"/>
        </w:rPr>
        <w:t>s</w:t>
      </w:r>
      <w:r w:rsidR="00E23DBD" w:rsidRPr="00D020FD">
        <w:rPr>
          <w:rFonts w:cs="Arial"/>
          <w:color w:val="000000"/>
        </w:rPr>
        <w:t xml:space="preserve">. </w:t>
      </w:r>
    </w:p>
    <w:p w14:paraId="1C33C830" w14:textId="77777777" w:rsidR="00321DE6" w:rsidRPr="00074C84" w:rsidRDefault="00CC78F5" w:rsidP="00EB41CB">
      <w:pPr>
        <w:pStyle w:val="Heading2"/>
        <w:numPr>
          <w:ilvl w:val="1"/>
          <w:numId w:val="24"/>
        </w:numPr>
        <w:ind w:left="709"/>
      </w:pPr>
      <w:bookmarkStart w:id="21" w:name="_Toc447543646"/>
      <w:r>
        <w:t>Intersectionality</w:t>
      </w:r>
      <w:bookmarkEnd w:id="21"/>
    </w:p>
    <w:p w14:paraId="0993A498" w14:textId="7EDB10B9" w:rsidR="00D53D5E" w:rsidRDefault="00321DE6" w:rsidP="00D53D5E">
      <w:pPr>
        <w:pStyle w:val="SubmissionNormal"/>
      </w:pPr>
      <w:r>
        <w:t xml:space="preserve">Gender inequality often intersects with other forms of inequality to affect the nature and prevalence of domestic and family violence. This is particularly relevant to domestic and family violence experienced by lesbian, gay, bisexual, transgender, gender diverse and intersex (LGBTI) people, culturally and linguistically diverse (CALD) people, </w:t>
      </w:r>
      <w:r w:rsidR="00B02ACF">
        <w:t xml:space="preserve">children, </w:t>
      </w:r>
      <w:r>
        <w:t xml:space="preserve">people with disabilities and </w:t>
      </w:r>
      <w:r w:rsidR="00D53D5E">
        <w:t>Aboriginal and Torres Strait Islander</w:t>
      </w:r>
      <w:r>
        <w:t xml:space="preserve"> people. </w:t>
      </w:r>
    </w:p>
    <w:p w14:paraId="001E15D1" w14:textId="4F40AA88" w:rsidR="00D53D5E" w:rsidRPr="00E23DBD" w:rsidRDefault="00D53D5E" w:rsidP="00D53D5E">
      <w:pPr>
        <w:pStyle w:val="SubmissionNormal"/>
      </w:pPr>
      <w:r w:rsidRPr="00E23DBD">
        <w:t xml:space="preserve">Whilst violence can affect women regardless of their race, cultural background, socioeconomic status or age, research suggests that particular population groups are more at risk of violence, or more extreme forms of </w:t>
      </w:r>
      <w:r w:rsidRPr="00E23DBD">
        <w:lastRenderedPageBreak/>
        <w:t>violence.</w:t>
      </w:r>
      <w:r w:rsidRPr="0015014E">
        <w:rPr>
          <w:rStyle w:val="EndnoteReference"/>
          <w:rFonts w:cs="Arial"/>
          <w:color w:val="000000"/>
          <w:sz w:val="24"/>
        </w:rPr>
        <w:endnoteReference w:id="26"/>
      </w:r>
      <w:r w:rsidRPr="00E23DBD">
        <w:t xml:space="preserve"> The diverse needs of these populations, including women with disabilities, Aboriginal and Torres Strait Islander women, lesbian, gay, bisexual, trans*, intersex and queer women, </w:t>
      </w:r>
      <w:r w:rsidR="00B02ACF">
        <w:t xml:space="preserve">children, </w:t>
      </w:r>
      <w:r w:rsidRPr="00E23DBD">
        <w:t xml:space="preserve">and women from culturally and linguistically diverse (CALD) backgrounds, are often not adequately understood as there is </w:t>
      </w:r>
      <w:r>
        <w:t>limited</w:t>
      </w:r>
      <w:r w:rsidRPr="00E23DBD">
        <w:t xml:space="preserve"> research </w:t>
      </w:r>
      <w:r>
        <w:t xml:space="preserve">on </w:t>
      </w:r>
      <w:r w:rsidRPr="00E23DBD">
        <w:t xml:space="preserve">the particular needs of these communities, particularly in a primary prevention context. </w:t>
      </w:r>
    </w:p>
    <w:p w14:paraId="1D37A80D" w14:textId="77777777" w:rsidR="00D53D5E" w:rsidRDefault="00D53D5E" w:rsidP="00D53D5E">
      <w:pPr>
        <w:pStyle w:val="SubmissionNormal"/>
      </w:pPr>
      <w:r>
        <w:t>I</w:t>
      </w:r>
      <w:r w:rsidR="00321DE6">
        <w:t xml:space="preserve">nitiatives to address the underlying causes of domestic </w:t>
      </w:r>
      <w:r>
        <w:t xml:space="preserve">and family </w:t>
      </w:r>
      <w:r w:rsidR="00321DE6">
        <w:t xml:space="preserve">violence </w:t>
      </w:r>
      <w:r>
        <w:t xml:space="preserve">such as gender inequality, need to also </w:t>
      </w:r>
      <w:r w:rsidR="00321DE6">
        <w:t xml:space="preserve">recognise people’s intersectional identities and address the effects of compound discrimination and intersectional inequality.  </w:t>
      </w:r>
    </w:p>
    <w:p w14:paraId="7B36CC3E" w14:textId="77777777" w:rsidR="00407459" w:rsidRPr="00D2526F" w:rsidRDefault="00D53D5E" w:rsidP="00074C84">
      <w:pPr>
        <w:pStyle w:val="SubmissionNormal"/>
      </w:pPr>
      <w:r>
        <w:rPr>
          <w:rFonts w:cs="Arial"/>
        </w:rPr>
        <w:t xml:space="preserve">Addressing intersectional inequality requires </w:t>
      </w:r>
      <w:r w:rsidR="00E23DBD" w:rsidRPr="00D53D5E">
        <w:rPr>
          <w:rFonts w:cs="Arial"/>
        </w:rPr>
        <w:t>the full engagement of Aboriginal and Torres Strait Islander women, women with disability, migrant and refugee women, sexual and gender diverse people, older women and children, in developing support mechanisms and policies for women and their children in Australia.</w:t>
      </w:r>
      <w:r w:rsidR="00E23DBD" w:rsidRPr="0015014E">
        <w:rPr>
          <w:rStyle w:val="EndnoteReference"/>
          <w:rFonts w:cs="Arial"/>
          <w:sz w:val="24"/>
        </w:rPr>
        <w:endnoteReference w:id="27"/>
      </w:r>
      <w:r w:rsidR="00E23DBD" w:rsidRPr="00D53D5E">
        <w:rPr>
          <w:rFonts w:cs="Arial"/>
        </w:rPr>
        <w:t xml:space="preserve"> </w:t>
      </w:r>
    </w:p>
    <w:p w14:paraId="004666BB" w14:textId="579FF92C" w:rsidR="00D2526F" w:rsidRPr="00074C84" w:rsidRDefault="00D2526F" w:rsidP="00074C84">
      <w:pPr>
        <w:pStyle w:val="SubmissionNormal"/>
      </w:pPr>
      <w:r w:rsidRPr="00D2526F">
        <w:rPr>
          <w:b/>
          <w:i/>
          <w:color w:val="000000" w:themeColor="text1"/>
        </w:rPr>
        <w:t>Recommendation</w:t>
      </w:r>
      <w:r w:rsidR="00EE78C2">
        <w:rPr>
          <w:b/>
          <w:i/>
          <w:color w:val="000000" w:themeColor="text1"/>
        </w:rPr>
        <w:t xml:space="preserve"> 3</w:t>
      </w:r>
      <w:r w:rsidRPr="00D2526F">
        <w:rPr>
          <w:b/>
          <w:i/>
          <w:color w:val="000000" w:themeColor="text1"/>
        </w:rPr>
        <w:t>:</w:t>
      </w:r>
      <w:r>
        <w:rPr>
          <w:b/>
          <w:color w:val="000000" w:themeColor="text1"/>
        </w:rPr>
        <w:t xml:space="preserve"> </w:t>
      </w:r>
      <w:r w:rsidR="00EE78C2" w:rsidRPr="00EE78C2">
        <w:rPr>
          <w:color w:val="000000" w:themeColor="text1"/>
        </w:rPr>
        <w:t xml:space="preserve">the Australian Government </w:t>
      </w:r>
      <w:r w:rsidR="00231964">
        <w:rPr>
          <w:color w:val="000000" w:themeColor="text1"/>
        </w:rPr>
        <w:t>ensure that f</w:t>
      </w:r>
      <w:r w:rsidRPr="00074C84">
        <w:rPr>
          <w:color w:val="000000" w:themeColor="text1"/>
        </w:rPr>
        <w:t xml:space="preserve">uture Action Plans </w:t>
      </w:r>
      <w:r w:rsidRPr="00074C84">
        <w:t>under the National Plan explicitly address the intersectional causes of domestic violence as they affect LGBTI pe</w:t>
      </w:r>
      <w:r w:rsidR="00EE78C2">
        <w:t xml:space="preserve">ople, women with disabilities, </w:t>
      </w:r>
      <w:r w:rsidR="00081533">
        <w:t xml:space="preserve">children, </w:t>
      </w:r>
      <w:r w:rsidR="00EE78C2">
        <w:t>Aboriginal and Torres Strait Islander</w:t>
      </w:r>
      <w:r w:rsidRPr="00074C84">
        <w:t xml:space="preserve"> women and women from culturally and linguistically diverse backgrounds.</w:t>
      </w:r>
    </w:p>
    <w:p w14:paraId="27DFBF52" w14:textId="77777777" w:rsidR="00407459" w:rsidRDefault="00321DE6" w:rsidP="002E689A">
      <w:pPr>
        <w:pStyle w:val="Heading3"/>
      </w:pPr>
      <w:bookmarkStart w:id="22" w:name="_Toc447116418"/>
      <w:bookmarkStart w:id="23" w:name="_Toc447196952"/>
      <w:bookmarkStart w:id="24" w:name="_Toc447543647"/>
      <w:r w:rsidRPr="002E689A">
        <w:t>Domestic</w:t>
      </w:r>
      <w:r w:rsidRPr="00321DE6">
        <w:t xml:space="preserve"> and Family Violence experienced by LGBTI People</w:t>
      </w:r>
      <w:bookmarkEnd w:id="22"/>
      <w:bookmarkEnd w:id="23"/>
      <w:bookmarkEnd w:id="24"/>
    </w:p>
    <w:p w14:paraId="4DBB66C9" w14:textId="77777777" w:rsidR="00074C84" w:rsidRDefault="00407459" w:rsidP="00074C84">
      <w:pPr>
        <w:pStyle w:val="SubmissionNormal"/>
      </w:pPr>
      <w:r>
        <w:t>In 2014 and 2015 the Australian Human Rights Commission conducted a National Consultation on Sexual Orientation, Gender Identity and Intersex (SOGII) Rights.  A number of participants in the Consultation raised concerns about the rates of domestic and family violence in LGBTI communities and the lack of inclusive services for LGBTI people.</w:t>
      </w:r>
      <w:r>
        <w:rPr>
          <w:rStyle w:val="EndnoteReference"/>
        </w:rPr>
        <w:endnoteReference w:id="28"/>
      </w:r>
      <w:r>
        <w:t xml:space="preserve">  There is a lack of comprehensive data about the prevalence of domestic and family violence in LGBTI relationships in Australia;</w:t>
      </w:r>
      <w:r>
        <w:rPr>
          <w:rStyle w:val="EndnoteReference"/>
        </w:rPr>
        <w:endnoteReference w:id="29"/>
      </w:r>
      <w:r>
        <w:t xml:space="preserve"> however, the available research indicates that incidence rates are comparable to the general population.</w:t>
      </w:r>
      <w:r>
        <w:rPr>
          <w:rStyle w:val="EndnoteReference"/>
        </w:rPr>
        <w:endnoteReference w:id="30"/>
      </w:r>
      <w:r>
        <w:t xml:space="preserve"> </w:t>
      </w:r>
    </w:p>
    <w:p w14:paraId="29630583" w14:textId="77777777" w:rsidR="00407459" w:rsidRDefault="00407459" w:rsidP="00074C84">
      <w:pPr>
        <w:pStyle w:val="SubmissionNormal"/>
      </w:pPr>
      <w:r>
        <w:t>LGBTI people experience domestic and family violence within a unique structural framework of heterosexism, homophobia, biphobia, transphobia and intersex exclusion.</w:t>
      </w:r>
      <w:r>
        <w:rPr>
          <w:rStyle w:val="EndnoteReference"/>
        </w:rPr>
        <w:endnoteReference w:id="31"/>
      </w:r>
      <w:r>
        <w:t xml:space="preserve">  This framework can influence:</w:t>
      </w:r>
    </w:p>
    <w:p w14:paraId="56D739EC" w14:textId="77777777" w:rsidR="00407459" w:rsidRDefault="00407459" w:rsidP="00EB41CB">
      <w:pPr>
        <w:pStyle w:val="ListParagraph"/>
        <w:numPr>
          <w:ilvl w:val="0"/>
          <w:numId w:val="19"/>
        </w:numPr>
        <w:spacing w:before="0" w:after="0"/>
        <w:ind w:left="1080"/>
      </w:pPr>
      <w:r>
        <w:t>the types of power and control exercised by people using violence</w:t>
      </w:r>
    </w:p>
    <w:p w14:paraId="19D5E994" w14:textId="77777777" w:rsidR="00407459" w:rsidRDefault="00407459" w:rsidP="00EB41CB">
      <w:pPr>
        <w:pStyle w:val="ListParagraph"/>
        <w:numPr>
          <w:ilvl w:val="0"/>
          <w:numId w:val="19"/>
        </w:numPr>
        <w:spacing w:before="0" w:after="0"/>
        <w:ind w:left="1080"/>
      </w:pPr>
      <w:r>
        <w:t>victim/ survivor understandings of violence and their responses to it</w:t>
      </w:r>
    </w:p>
    <w:p w14:paraId="3E6E9A3F" w14:textId="77777777" w:rsidR="00407459" w:rsidRDefault="00407459" w:rsidP="00EB41CB">
      <w:pPr>
        <w:pStyle w:val="ListParagraph"/>
        <w:numPr>
          <w:ilvl w:val="0"/>
          <w:numId w:val="19"/>
        </w:numPr>
        <w:spacing w:before="0" w:after="0"/>
        <w:ind w:left="1080"/>
      </w:pPr>
      <w:r>
        <w:t>accessibility and response of service providers</w:t>
      </w:r>
    </w:p>
    <w:p w14:paraId="342047AB" w14:textId="77777777" w:rsidR="00407459" w:rsidRDefault="00407459" w:rsidP="002E689A">
      <w:pPr>
        <w:pStyle w:val="ListParagraph"/>
        <w:numPr>
          <w:ilvl w:val="0"/>
          <w:numId w:val="19"/>
        </w:numPr>
        <w:spacing w:before="0" w:after="0"/>
        <w:ind w:left="1080"/>
      </w:pPr>
      <w:r>
        <w:t>avenues available in the legal system.</w:t>
      </w:r>
    </w:p>
    <w:p w14:paraId="556A2A5C" w14:textId="77777777" w:rsidR="00074C84" w:rsidRDefault="00407459" w:rsidP="00074C84">
      <w:pPr>
        <w:pStyle w:val="SubmissionNormal"/>
      </w:pPr>
      <w:r>
        <w:t xml:space="preserve">Australian researchers have emphasised the importance of an intersectional approach to addressing the underlying causes of domestic and family violence experienced LGBTI people. For example, the 2014 report of the LGBTIQ Domestic and Family Violence Interagency and the Centre for Social Research in Health, University of New South Wales (UNSW), </w:t>
      </w:r>
      <w:r>
        <w:rPr>
          <w:i/>
        </w:rPr>
        <w:t xml:space="preserve">Calling It What It Really Is: A Report into Lesbian, Gay, Bisexual, Transgender, Gender Diverse Intersex and Queer Experiences of Domestic and Family Violence, </w:t>
      </w:r>
      <w:r>
        <w:lastRenderedPageBreak/>
        <w:t>recommended that school-based anti-bullying and anti-violence initiatives address homophobia and transphobia and their intersection with domestic and family violence.</w:t>
      </w:r>
      <w:r>
        <w:rPr>
          <w:rStyle w:val="EndnoteReference"/>
        </w:rPr>
        <w:endnoteReference w:id="32"/>
      </w:r>
      <w:r>
        <w:t xml:space="preserve">  </w:t>
      </w:r>
    </w:p>
    <w:p w14:paraId="64E7F0F3" w14:textId="77777777" w:rsidR="00074C84" w:rsidRDefault="00074C84" w:rsidP="00074C84">
      <w:pPr>
        <w:pStyle w:val="SubmissionNormal"/>
      </w:pPr>
      <w:r>
        <w:t>The Commission supports</w:t>
      </w:r>
      <w:r w:rsidR="00407459">
        <w:t xml:space="preserve"> this recommendation and submits that these issues should be addressed in the school-based Respectful Relationships program in combination with programs developed to reduce homophobic, transphobic and intersex exclusionary behaviours, such as the Safe Schools Coalition Australia program.  Such programs are an essential component of efforts to address the structural factors that contribute to domestic and family violence.</w:t>
      </w:r>
    </w:p>
    <w:p w14:paraId="311378D7" w14:textId="77777777" w:rsidR="00074C84" w:rsidRPr="00074C84" w:rsidRDefault="00321DE6" w:rsidP="00407459">
      <w:pPr>
        <w:pStyle w:val="SubmissionNormal"/>
      </w:pPr>
      <w:r w:rsidRPr="00074C84">
        <w:rPr>
          <w:rFonts w:cs="Arial"/>
          <w:color w:val="000000" w:themeColor="text1"/>
        </w:rPr>
        <w:t>The Commission notes that the Australian Government similarly recognised the value of such programs as prevention measures that address gender inequality</w:t>
      </w:r>
      <w:r w:rsidR="00074C84">
        <w:rPr>
          <w:rFonts w:cs="Arial"/>
          <w:color w:val="000000" w:themeColor="text1"/>
        </w:rPr>
        <w:t xml:space="preserve"> and intersectional inequality</w:t>
      </w:r>
      <w:r w:rsidRPr="00074C84">
        <w:rPr>
          <w:rFonts w:cs="Arial"/>
          <w:color w:val="000000" w:themeColor="text1"/>
        </w:rPr>
        <w:t>, when it  committed $5 million ‘as a longer-term measure to change the attitudes of young people to violence’, through expanding the Safer Schools website to include resources for teachers, parents and students on respectful relationships</w:t>
      </w:r>
      <w:r w:rsidR="00074C84">
        <w:rPr>
          <w:rFonts w:cs="Arial"/>
          <w:color w:val="000000" w:themeColor="text1"/>
        </w:rPr>
        <w:t>’</w:t>
      </w:r>
      <w:r w:rsidRPr="00074C84">
        <w:rPr>
          <w:rFonts w:cs="Arial"/>
          <w:color w:val="000000" w:themeColor="text1"/>
        </w:rPr>
        <w:t>.  The Government indicated this will build on the $30 million national campaign (jointly funded by the Commonwealth, states and territories) to change young people’s attitudes to violence, which will commence in early 2016.</w:t>
      </w:r>
      <w:r w:rsidRPr="00321DE6">
        <w:rPr>
          <w:rStyle w:val="EndnoteReference"/>
          <w:rFonts w:cs="Arial"/>
          <w:color w:val="000000" w:themeColor="text1"/>
          <w:sz w:val="24"/>
        </w:rPr>
        <w:endnoteReference w:id="33"/>
      </w:r>
    </w:p>
    <w:p w14:paraId="530F8C6C" w14:textId="77777777" w:rsidR="00083C88" w:rsidRPr="00083C88" w:rsidRDefault="00074C84" w:rsidP="00083C88">
      <w:pPr>
        <w:pStyle w:val="SubmissionNormal"/>
      </w:pPr>
      <w:r w:rsidRPr="00857B32">
        <w:rPr>
          <w:b/>
          <w:i/>
          <w:color w:val="000000" w:themeColor="text1"/>
        </w:rPr>
        <w:t>Recommendation</w:t>
      </w:r>
      <w:r w:rsidR="00EE78C2">
        <w:rPr>
          <w:b/>
          <w:i/>
          <w:color w:val="000000" w:themeColor="text1"/>
        </w:rPr>
        <w:t xml:space="preserve"> 4</w:t>
      </w:r>
      <w:r w:rsidRPr="00857B32">
        <w:rPr>
          <w:b/>
          <w:i/>
          <w:color w:val="000000" w:themeColor="text1"/>
        </w:rPr>
        <w:t>:</w:t>
      </w:r>
      <w:r w:rsidRPr="00074C84">
        <w:rPr>
          <w:b/>
          <w:color w:val="000000" w:themeColor="text1"/>
        </w:rPr>
        <w:t xml:space="preserve"> </w:t>
      </w:r>
      <w:r w:rsidR="00857B32" w:rsidRPr="00857B32">
        <w:rPr>
          <w:color w:val="000000" w:themeColor="text1"/>
        </w:rPr>
        <w:t xml:space="preserve">The Australian Government </w:t>
      </w:r>
      <w:r w:rsidR="00857B32">
        <w:rPr>
          <w:color w:val="000000" w:themeColor="text1"/>
        </w:rPr>
        <w:t>i</w:t>
      </w:r>
      <w:r>
        <w:rPr>
          <w:color w:val="000000" w:themeColor="text1"/>
        </w:rPr>
        <w:t xml:space="preserve">ncorporate </w:t>
      </w:r>
      <w:r>
        <w:t xml:space="preserve">school-based anti-bullying and anti-violence initiatives </w:t>
      </w:r>
      <w:r w:rsidR="00152EFF">
        <w:t xml:space="preserve">that </w:t>
      </w:r>
      <w:r>
        <w:t xml:space="preserve">address homophobia and transphobia and their intersection with domestic and family violence into school-based respectful relationship </w:t>
      </w:r>
      <w:r w:rsidR="00D2526F">
        <w:t>programs.</w:t>
      </w:r>
    </w:p>
    <w:p w14:paraId="168AED8B" w14:textId="77777777" w:rsidR="00DA08F8" w:rsidRDefault="00DF72E3" w:rsidP="00DF72E3">
      <w:pPr>
        <w:pStyle w:val="Heading1"/>
        <w:numPr>
          <w:ilvl w:val="0"/>
          <w:numId w:val="0"/>
        </w:numPr>
        <w:ind w:left="851" w:hanging="851"/>
      </w:pPr>
      <w:bookmarkStart w:id="25" w:name="_Toc447543648"/>
      <w:r>
        <w:t xml:space="preserve">5 </w:t>
      </w:r>
      <w:r>
        <w:tab/>
      </w:r>
      <w:r w:rsidR="00DA08F8">
        <w:t>Children affected by family and domestic violence</w:t>
      </w:r>
      <w:bookmarkStart w:id="26" w:name="_Toc162769293"/>
      <w:bookmarkStart w:id="27" w:name="_Toc207761834"/>
      <w:bookmarkStart w:id="28" w:name="_Toc209578270"/>
      <w:bookmarkEnd w:id="16"/>
      <w:bookmarkEnd w:id="17"/>
      <w:bookmarkEnd w:id="18"/>
      <w:bookmarkEnd w:id="25"/>
    </w:p>
    <w:p w14:paraId="6AC7ACF5" w14:textId="77777777" w:rsidR="001F322C" w:rsidRPr="0084474E" w:rsidRDefault="001F322C" w:rsidP="001F322C">
      <w:pPr>
        <w:pStyle w:val="SubmissionNormal"/>
      </w:pPr>
      <w:r w:rsidRPr="0084474E">
        <w:t xml:space="preserve">In 2015 the </w:t>
      </w:r>
      <w:r w:rsidR="00CC78F5" w:rsidRPr="0084474E">
        <w:t>N</w:t>
      </w:r>
      <w:r w:rsidR="00DA08F8" w:rsidRPr="0084474E">
        <w:t>ational Children’s Commissioner</w:t>
      </w:r>
      <w:r w:rsidRPr="0084474E">
        <w:t xml:space="preserve"> conducted a national investigation into the impact of family and domestic violence on children.  </w:t>
      </w:r>
    </w:p>
    <w:p w14:paraId="09432D71" w14:textId="77777777" w:rsidR="001F322C" w:rsidRPr="0084474E" w:rsidRDefault="001F322C" w:rsidP="001F322C">
      <w:pPr>
        <w:pStyle w:val="SubmissionNormal"/>
      </w:pPr>
      <w:r w:rsidRPr="0084474E">
        <w:rPr>
          <w:rFonts w:cs="Myriad Pro"/>
          <w:color w:val="000000"/>
        </w:rPr>
        <w:t xml:space="preserve">The United Nations </w:t>
      </w:r>
      <w:r w:rsidRPr="0084474E">
        <w:rPr>
          <w:rFonts w:cs="Myriad Pro"/>
          <w:i/>
          <w:color w:val="000000"/>
        </w:rPr>
        <w:t>Convention on the Rights of the Child</w:t>
      </w:r>
      <w:r w:rsidRPr="0084474E">
        <w:rPr>
          <w:rFonts w:cs="Myriad Pro"/>
          <w:color w:val="000000"/>
        </w:rPr>
        <w:t xml:space="preserve"> requires Australia to use a child rights-based approach to address family and domestic violence so that:</w:t>
      </w:r>
    </w:p>
    <w:p w14:paraId="7132F408" w14:textId="77777777" w:rsidR="001F322C" w:rsidRDefault="001F322C" w:rsidP="00EB41CB">
      <w:pPr>
        <w:pStyle w:val="SubmissionNormal"/>
        <w:numPr>
          <w:ilvl w:val="0"/>
          <w:numId w:val="18"/>
        </w:numPr>
      </w:pPr>
      <w:r>
        <w:t>vulnerable and marginalised groups of children are protected</w:t>
      </w:r>
    </w:p>
    <w:p w14:paraId="4AC8C8A6" w14:textId="77777777" w:rsidR="001F322C" w:rsidRDefault="001F322C" w:rsidP="00EB41CB">
      <w:pPr>
        <w:pStyle w:val="SubmissionNormal"/>
        <w:numPr>
          <w:ilvl w:val="0"/>
          <w:numId w:val="18"/>
        </w:numPr>
      </w:pPr>
      <w:r>
        <w:t>the best interests of children are prioritised</w:t>
      </w:r>
    </w:p>
    <w:p w14:paraId="13C657F5" w14:textId="77777777" w:rsidR="001F322C" w:rsidRDefault="001F322C" w:rsidP="00EB41CB">
      <w:pPr>
        <w:pStyle w:val="SubmissionNormal"/>
        <w:numPr>
          <w:ilvl w:val="0"/>
          <w:numId w:val="18"/>
        </w:numPr>
      </w:pPr>
      <w:r>
        <w:t>the views of children are respected</w:t>
      </w:r>
    </w:p>
    <w:p w14:paraId="3B2908B4" w14:textId="77777777" w:rsidR="001F322C" w:rsidRPr="0084474E" w:rsidRDefault="001F322C" w:rsidP="00EB41CB">
      <w:pPr>
        <w:pStyle w:val="SubmissionNormal"/>
        <w:numPr>
          <w:ilvl w:val="0"/>
          <w:numId w:val="18"/>
        </w:numPr>
      </w:pPr>
      <w:r>
        <w:t>prevention measures consider the impact of family and domestic violence in terms of children’s development.</w:t>
      </w:r>
    </w:p>
    <w:p w14:paraId="303FABCC" w14:textId="5EE895AE" w:rsidR="001F322C" w:rsidRDefault="001F322C" w:rsidP="001F322C">
      <w:pPr>
        <w:pStyle w:val="SubmissionNormal"/>
      </w:pPr>
      <w:r>
        <w:t>The Commissioner’s investigat</w:t>
      </w:r>
      <w:r w:rsidR="00D23549">
        <w:t>ion involved a series of expert</w:t>
      </w:r>
      <w:r>
        <w:t xml:space="preserve"> roundtables, individual consultations and a submissions process.</w:t>
      </w:r>
    </w:p>
    <w:p w14:paraId="15AE72C0" w14:textId="25CAF137" w:rsidR="00DA08F8" w:rsidRDefault="00081533" w:rsidP="00081533">
      <w:pPr>
        <w:pStyle w:val="SubmissionNormal"/>
      </w:pPr>
      <w:r>
        <w:t>The find</w:t>
      </w:r>
      <w:r w:rsidR="00847B47">
        <w:t>ing</w:t>
      </w:r>
      <w:r>
        <w:t>s and recommendation</w:t>
      </w:r>
      <w:r w:rsidR="00D23549">
        <w:t>s</w:t>
      </w:r>
      <w:r>
        <w:t xml:space="preserve"> are contained in the </w:t>
      </w:r>
      <w:r w:rsidRPr="00F1683A">
        <w:rPr>
          <w:i/>
        </w:rPr>
        <w:t>Children’s Rights Report</w:t>
      </w:r>
      <w:r w:rsidR="001A157A">
        <w:rPr>
          <w:i/>
        </w:rPr>
        <w:t xml:space="preserve"> 2015</w:t>
      </w:r>
      <w:r>
        <w:t xml:space="preserve"> (Chapter Four)</w:t>
      </w:r>
      <w:r>
        <w:rPr>
          <w:rStyle w:val="EndnoteReference"/>
        </w:rPr>
        <w:endnoteReference w:id="34"/>
      </w:r>
      <w:r w:rsidR="00847B47">
        <w:t>,</w:t>
      </w:r>
      <w:r>
        <w:t xml:space="preserve"> which was tabled in Parliament in November 2015. </w:t>
      </w:r>
      <w:r w:rsidR="001F322C">
        <w:t>The C</w:t>
      </w:r>
      <w:r w:rsidR="0084474E">
        <w:t>ommission refers the C</w:t>
      </w:r>
      <w:r w:rsidR="001F322C">
        <w:t>ommittee to the Commissioner’s report</w:t>
      </w:r>
      <w:r w:rsidR="00D23549">
        <w:t xml:space="preserve"> </w:t>
      </w:r>
      <w:r w:rsidR="0084474E">
        <w:t>on this investigation and the recommendations contained therein (see</w:t>
      </w:r>
      <w:r w:rsidR="001F322C">
        <w:t xml:space="preserve"> Appendix A</w:t>
      </w:r>
      <w:r w:rsidR="0084474E">
        <w:t>)</w:t>
      </w:r>
      <w:r w:rsidR="001F322C">
        <w:t xml:space="preserve">. </w:t>
      </w:r>
      <w:r w:rsidR="00CC78F5">
        <w:t xml:space="preserve">  </w:t>
      </w:r>
    </w:p>
    <w:p w14:paraId="519A540F" w14:textId="59B8E993" w:rsidR="00081533" w:rsidRPr="00F1683A" w:rsidRDefault="00081533" w:rsidP="00081533">
      <w:pPr>
        <w:pStyle w:val="SubmissionNormal"/>
        <w:rPr>
          <w:i/>
        </w:rPr>
      </w:pPr>
      <w:r w:rsidRPr="00F1683A">
        <w:rPr>
          <w:b/>
          <w:i/>
        </w:rPr>
        <w:lastRenderedPageBreak/>
        <w:t xml:space="preserve">Recommendation 5: </w:t>
      </w:r>
      <w:r>
        <w:t xml:space="preserve">The Australian Government consider the recommendations in the </w:t>
      </w:r>
      <w:r w:rsidRPr="00F1683A">
        <w:rPr>
          <w:i/>
        </w:rPr>
        <w:t>Children’s Rights Report</w:t>
      </w:r>
      <w:r w:rsidR="001A157A">
        <w:rPr>
          <w:i/>
        </w:rPr>
        <w:t xml:space="preserve"> 2015</w:t>
      </w:r>
      <w:r>
        <w:t xml:space="preserve"> (Chapter 4).</w:t>
      </w:r>
    </w:p>
    <w:p w14:paraId="6074E7B8" w14:textId="77777777" w:rsidR="00DA08F8" w:rsidRDefault="00DF72E3" w:rsidP="00DF72E3">
      <w:pPr>
        <w:pStyle w:val="Heading1"/>
        <w:numPr>
          <w:ilvl w:val="0"/>
          <w:numId w:val="0"/>
        </w:numPr>
        <w:tabs>
          <w:tab w:val="left" w:pos="709"/>
        </w:tabs>
      </w:pPr>
      <w:bookmarkStart w:id="29" w:name="_Toc447543649"/>
      <w:r>
        <w:t xml:space="preserve">6 </w:t>
      </w:r>
      <w:r>
        <w:tab/>
      </w:r>
      <w:r>
        <w:tab/>
      </w:r>
      <w:r w:rsidR="00DA08F8">
        <w:t>Domestic violence as a workplace issue</w:t>
      </w:r>
      <w:bookmarkEnd w:id="29"/>
    </w:p>
    <w:p w14:paraId="7FEA71FB" w14:textId="77777777" w:rsidR="00D2526F" w:rsidRDefault="00E23DBD" w:rsidP="00D2526F">
      <w:pPr>
        <w:pStyle w:val="SubmissionNormal"/>
        <w:rPr>
          <w:lang w:val="en"/>
        </w:rPr>
      </w:pPr>
      <w:r w:rsidRPr="0015014E">
        <w:rPr>
          <w:lang w:val="en"/>
        </w:rPr>
        <w:t>Domestic and family violence is a workplace issue and impacts upon workplaces in several ways: it is a leading contributor to poor health and costs both employers and the Australian economy more broadly. The cost of intimate partner violence to the Australian economy in the 2008-09 financial year was estimated to be $13.6 billion. If no preventative action is taken, this cost is projected to rise to $15.6 billion annually by 2021-22</w:t>
      </w:r>
      <w:r w:rsidRPr="0015014E">
        <w:rPr>
          <w:rStyle w:val="EndnoteReference"/>
          <w:rFonts w:cs="Arial"/>
          <w:color w:val="000000"/>
          <w:sz w:val="24"/>
          <w:lang w:val="en"/>
        </w:rPr>
        <w:endnoteReference w:id="35"/>
      </w:r>
      <w:r w:rsidRPr="0015014E">
        <w:rPr>
          <w:lang w:val="en"/>
        </w:rPr>
        <w:t xml:space="preserve">. </w:t>
      </w:r>
    </w:p>
    <w:p w14:paraId="602398DA" w14:textId="77777777" w:rsidR="00D2526F" w:rsidRPr="00D2526F" w:rsidRDefault="00637839" w:rsidP="00D2526F">
      <w:pPr>
        <w:pStyle w:val="SubmissionNormal"/>
        <w:rPr>
          <w:lang w:val="en"/>
        </w:rPr>
      </w:pPr>
      <w:r w:rsidRPr="00F04AC6">
        <w:t xml:space="preserve">Domestic and family violence </w:t>
      </w:r>
      <w:r>
        <w:t xml:space="preserve">can have </w:t>
      </w:r>
      <w:r w:rsidRPr="00F04AC6">
        <w:t>impacts in the workplace through decreased staff</w:t>
      </w:r>
      <w:r w:rsidRPr="00123AEB">
        <w:t xml:space="preserve"> performance and productivity; negative effects on employee health, wellbeing and morale.</w:t>
      </w:r>
      <w:r w:rsidR="00E23DBD" w:rsidRPr="0015014E">
        <w:rPr>
          <w:rStyle w:val="EndnoteReference"/>
          <w:rFonts w:cs="Arial"/>
          <w:color w:val="000000"/>
          <w:sz w:val="24"/>
          <w:lang w:val="en"/>
        </w:rPr>
        <w:endnoteReference w:id="36"/>
      </w:r>
      <w:r w:rsidR="00E23DBD" w:rsidRPr="00D2526F">
        <w:rPr>
          <w:rFonts w:cs="Arial"/>
          <w:color w:val="000000"/>
          <w:lang w:val="en"/>
        </w:rPr>
        <w:t>.</w:t>
      </w:r>
    </w:p>
    <w:p w14:paraId="50ABC7F9" w14:textId="77777777" w:rsidR="00E23DBD" w:rsidRPr="00D2526F" w:rsidRDefault="00E23DBD" w:rsidP="00D2526F">
      <w:pPr>
        <w:pStyle w:val="SubmissionNormal"/>
        <w:rPr>
          <w:lang w:val="en"/>
        </w:rPr>
      </w:pPr>
      <w:r w:rsidRPr="00D2526F">
        <w:rPr>
          <w:rFonts w:cs="Arial"/>
          <w:color w:val="000000"/>
          <w:lang w:val="en"/>
        </w:rPr>
        <w:t>There have been positive initiatives under the National Action Plan to address domestic and family violence as a workplace issue including funding and supporting the following programs:</w:t>
      </w:r>
    </w:p>
    <w:p w14:paraId="6923810F" w14:textId="77777777" w:rsidR="00E23DBD" w:rsidRPr="0015014E" w:rsidRDefault="00E23DBD" w:rsidP="00EB41CB">
      <w:pPr>
        <w:pStyle w:val="ListParagraph"/>
        <w:numPr>
          <w:ilvl w:val="0"/>
          <w:numId w:val="20"/>
        </w:numPr>
        <w:shd w:val="clear" w:color="auto" w:fill="FFFFFF"/>
        <w:jc w:val="both"/>
        <w:rPr>
          <w:rFonts w:cs="Arial"/>
          <w:color w:val="000000" w:themeColor="text1"/>
          <w:lang w:val="en"/>
        </w:rPr>
      </w:pPr>
      <w:r w:rsidRPr="0015014E">
        <w:rPr>
          <w:rFonts w:cs="Arial"/>
          <w:color w:val="000000" w:themeColor="text1"/>
          <w:lang w:val="en"/>
        </w:rPr>
        <w:t xml:space="preserve">UNSW Gendered Violence Research Network, </w:t>
      </w:r>
      <w:r w:rsidRPr="0015014E">
        <w:rPr>
          <w:rFonts w:cs="Arial"/>
          <w:i/>
          <w:color w:val="000000" w:themeColor="text1"/>
        </w:rPr>
        <w:t xml:space="preserve">Domestic Violence Workplace Rights &amp; Entitlements Project: </w:t>
      </w:r>
      <w:r w:rsidRPr="0015014E">
        <w:rPr>
          <w:rFonts w:cs="Arial"/>
          <w:i/>
          <w:color w:val="000000" w:themeColor="text1"/>
          <w:lang w:val="en"/>
        </w:rPr>
        <w:t>Safe at Home, Safe at Work</w:t>
      </w:r>
      <w:r w:rsidRPr="0015014E">
        <w:rPr>
          <w:rFonts w:cs="Arial"/>
          <w:color w:val="000000" w:themeColor="text1"/>
          <w:lang w:val="en"/>
        </w:rPr>
        <w:t xml:space="preserve">: </w:t>
      </w:r>
      <w:r w:rsidRPr="0015014E">
        <w:rPr>
          <w:rFonts w:cs="Arial"/>
          <w:color w:val="000000" w:themeColor="text1"/>
        </w:rPr>
        <w:t>Working nationally with employers and unions partners, the Project successful</w:t>
      </w:r>
      <w:r w:rsidR="00D2526F">
        <w:rPr>
          <w:rFonts w:cs="Arial"/>
          <w:color w:val="000000" w:themeColor="text1"/>
        </w:rPr>
        <w:t>ly</w:t>
      </w:r>
      <w:r w:rsidRPr="0015014E">
        <w:rPr>
          <w:rFonts w:cs="Arial"/>
          <w:color w:val="000000" w:themeColor="text1"/>
        </w:rPr>
        <w:t xml:space="preserve"> rais</w:t>
      </w:r>
      <w:r w:rsidR="00D2526F">
        <w:rPr>
          <w:rFonts w:cs="Arial"/>
          <w:color w:val="000000" w:themeColor="text1"/>
        </w:rPr>
        <w:t>ed</w:t>
      </w:r>
      <w:r w:rsidRPr="0015014E">
        <w:rPr>
          <w:rFonts w:cs="Arial"/>
          <w:color w:val="000000" w:themeColor="text1"/>
        </w:rPr>
        <w:t xml:space="preserve"> awareness of the connection between domestic violence and the workplace and promot</w:t>
      </w:r>
      <w:r w:rsidR="00D2526F">
        <w:rPr>
          <w:rFonts w:cs="Arial"/>
          <w:color w:val="000000" w:themeColor="text1"/>
        </w:rPr>
        <w:t>e</w:t>
      </w:r>
      <w:r w:rsidRPr="0015014E">
        <w:rPr>
          <w:rFonts w:cs="Arial"/>
          <w:color w:val="000000" w:themeColor="text1"/>
        </w:rPr>
        <w:t xml:space="preserve"> the introduction of domestic violence entitlements in industrial awards and agreements. </w:t>
      </w:r>
    </w:p>
    <w:p w14:paraId="121B01FB" w14:textId="77777777" w:rsidR="00637839" w:rsidRPr="00D2526F" w:rsidRDefault="00E23DBD" w:rsidP="00EB41CB">
      <w:pPr>
        <w:pStyle w:val="ListParagraph"/>
        <w:numPr>
          <w:ilvl w:val="0"/>
          <w:numId w:val="20"/>
        </w:numPr>
        <w:shd w:val="clear" w:color="auto" w:fill="FFFFFF"/>
        <w:jc w:val="both"/>
        <w:rPr>
          <w:rFonts w:cs="Arial"/>
          <w:color w:val="000000" w:themeColor="text1"/>
          <w:lang w:val="en"/>
        </w:rPr>
      </w:pPr>
      <w:r w:rsidRPr="0015014E">
        <w:rPr>
          <w:rFonts w:cs="Arial"/>
          <w:color w:val="000000" w:themeColor="text1"/>
        </w:rPr>
        <w:t xml:space="preserve">White Ribbon Australia, </w:t>
      </w:r>
      <w:r w:rsidRPr="0015014E">
        <w:rPr>
          <w:rFonts w:cs="Arial"/>
          <w:i/>
          <w:color w:val="000000" w:themeColor="text1"/>
        </w:rPr>
        <w:t>Workplace Accreditation Program</w:t>
      </w:r>
      <w:r w:rsidRPr="0015014E">
        <w:rPr>
          <w:rFonts w:cs="Arial"/>
          <w:color w:val="000000" w:themeColor="text1"/>
        </w:rPr>
        <w:t xml:space="preserve">: </w:t>
      </w:r>
      <w:r w:rsidRPr="0015014E">
        <w:rPr>
          <w:rFonts w:cs="Arial"/>
        </w:rPr>
        <w:t xml:space="preserve">recognises workplaces that are taking active steps to prevent and respond to violence against women, accrediting them as a </w:t>
      </w:r>
      <w:r w:rsidRPr="0015014E">
        <w:rPr>
          <w:rStyle w:val="Strong"/>
          <w:rFonts w:cs="Arial"/>
          <w:b w:val="0"/>
        </w:rPr>
        <w:t>White Ribbon Workplace</w:t>
      </w:r>
      <w:r w:rsidRPr="0015014E">
        <w:rPr>
          <w:rFonts w:cs="Arial"/>
          <w:b/>
        </w:rPr>
        <w:t>.</w:t>
      </w:r>
    </w:p>
    <w:p w14:paraId="3127B262" w14:textId="71F9AA27" w:rsidR="00637839" w:rsidRDefault="004471DD" w:rsidP="00637839">
      <w:pPr>
        <w:pStyle w:val="SubmissionNormal"/>
      </w:pPr>
      <w:r>
        <w:t>In 2005, two out of three</w:t>
      </w:r>
      <w:r w:rsidR="00637839">
        <w:t xml:space="preserve"> Australian women who reported violence by a current partner were in paid employment.</w:t>
      </w:r>
      <w:r w:rsidR="00637839" w:rsidRPr="00A91EF1">
        <w:rPr>
          <w:rStyle w:val="EndnoteReference"/>
          <w:sz w:val="24"/>
        </w:rPr>
        <w:t xml:space="preserve"> </w:t>
      </w:r>
      <w:r w:rsidR="00637839" w:rsidRPr="000D6209">
        <w:rPr>
          <w:rStyle w:val="EndnoteReference"/>
          <w:sz w:val="24"/>
        </w:rPr>
        <w:endnoteReference w:id="37"/>
      </w:r>
      <w:r w:rsidR="00637839">
        <w:t xml:space="preserve"> Nearly one third of the National Domestic Violence and the Workplace Survey respondents had personally experienced</w:t>
      </w:r>
      <w:r w:rsidR="00637839" w:rsidRPr="00A91EF1">
        <w:t xml:space="preserve"> </w:t>
      </w:r>
      <w:r w:rsidR="00637839" w:rsidRPr="00642D75">
        <w:t>domestic violence, of which nearly half reported that the violence affected their capacity to get to work. 19</w:t>
      </w:r>
      <w:r w:rsidR="00637839">
        <w:t xml:space="preserve"> percent</w:t>
      </w:r>
      <w:r w:rsidR="00637839" w:rsidRPr="00642D75">
        <w:t xml:space="preserve"> of respondents who experienced domestic violence in the last 12 months reported that the violence continued at the workplace.</w:t>
      </w:r>
      <w:r w:rsidR="00637839" w:rsidRPr="00A91EF1">
        <w:rPr>
          <w:vertAlign w:val="superscript"/>
        </w:rPr>
        <w:t xml:space="preserve"> </w:t>
      </w:r>
      <w:r w:rsidR="00637839" w:rsidRPr="00A91EF1">
        <w:rPr>
          <w:vertAlign w:val="superscript"/>
        </w:rPr>
        <w:endnoteReference w:id="38"/>
      </w:r>
      <w:r w:rsidR="00637839" w:rsidRPr="00642D75">
        <w:t xml:space="preserve"> </w:t>
      </w:r>
    </w:p>
    <w:p w14:paraId="5AF315EB" w14:textId="77777777" w:rsidR="00637839" w:rsidRDefault="00637839" w:rsidP="00D2526F">
      <w:pPr>
        <w:pStyle w:val="SubmissionNormal"/>
      </w:pPr>
      <w:r>
        <w:t xml:space="preserve">In 2013, the </w:t>
      </w:r>
      <w:r>
        <w:rPr>
          <w:i/>
        </w:rPr>
        <w:t>Fair Work Act 2009</w:t>
      </w:r>
      <w:r>
        <w:t xml:space="preserve"> (Cth) was amended to grant employees who are experiencing domestic violence the right to request flexible working arrangements to assist them with these circumstances.</w:t>
      </w:r>
      <w:r>
        <w:rPr>
          <w:rStyle w:val="EndnoteReference"/>
          <w:rFonts w:cs="Arial"/>
        </w:rPr>
        <w:endnoteReference w:id="39"/>
      </w:r>
      <w:r>
        <w:t xml:space="preserve"> </w:t>
      </w:r>
    </w:p>
    <w:p w14:paraId="3A9CBAAD" w14:textId="77777777" w:rsidR="00637839" w:rsidRDefault="00637839" w:rsidP="00D2526F">
      <w:pPr>
        <w:pStyle w:val="SubmissionNormal"/>
        <w:rPr>
          <w:rFonts w:eastAsia="Calibri"/>
          <w:lang w:eastAsia="en-US"/>
        </w:rPr>
      </w:pPr>
      <w:r>
        <w:t>L</w:t>
      </w:r>
      <w:r w:rsidRPr="00073CC1">
        <w:rPr>
          <w:rFonts w:eastAsia="Calibri"/>
          <w:lang w:eastAsia="en-US"/>
        </w:rPr>
        <w:t xml:space="preserve">eave and other protections </w:t>
      </w:r>
      <w:r>
        <w:rPr>
          <w:rFonts w:eastAsia="Calibri"/>
          <w:lang w:eastAsia="en-US"/>
        </w:rPr>
        <w:t>are</w:t>
      </w:r>
      <w:r w:rsidRPr="00073CC1">
        <w:rPr>
          <w:rFonts w:eastAsia="Calibri"/>
          <w:lang w:eastAsia="en-US"/>
        </w:rPr>
        <w:t xml:space="preserve"> available through d</w:t>
      </w:r>
      <w:r>
        <w:rPr>
          <w:rFonts w:eastAsia="Calibri"/>
          <w:lang w:eastAsia="en-US"/>
        </w:rPr>
        <w:t>omestic violence clauses in the</w:t>
      </w:r>
      <w:r w:rsidRPr="00073CC1">
        <w:rPr>
          <w:rFonts w:eastAsia="Calibri"/>
          <w:lang w:eastAsia="en-US"/>
        </w:rPr>
        <w:t xml:space="preserve"> </w:t>
      </w:r>
      <w:r>
        <w:rPr>
          <w:rFonts w:eastAsia="Calibri"/>
          <w:lang w:eastAsia="en-US"/>
        </w:rPr>
        <w:t>agreement or award conditions of over 1 million Australians (as at 2013).</w:t>
      </w:r>
      <w:r w:rsidRPr="00073CC1">
        <w:rPr>
          <w:vertAlign w:val="superscript"/>
        </w:rPr>
        <w:endnoteReference w:id="40"/>
      </w:r>
      <w:r>
        <w:rPr>
          <w:rFonts w:eastAsia="Calibri"/>
          <w:lang w:eastAsia="en-US"/>
        </w:rPr>
        <w:t xml:space="preserve"> </w:t>
      </w:r>
    </w:p>
    <w:p w14:paraId="29B264AD" w14:textId="77777777" w:rsidR="00637839" w:rsidRPr="00637839" w:rsidRDefault="00637839" w:rsidP="00D2526F">
      <w:pPr>
        <w:pStyle w:val="SubmissionNormal"/>
        <w:rPr>
          <w:rFonts w:eastAsia="Calibri"/>
          <w:lang w:eastAsia="en-US"/>
        </w:rPr>
      </w:pPr>
      <w:r>
        <w:rPr>
          <w:rFonts w:eastAsia="Calibri"/>
          <w:lang w:eastAsia="en-US"/>
        </w:rPr>
        <w:t>An ACTU/UNSW survey of employers in 2015 found that three quarters of respondents reported having a domestic/family violence clause in operation for over 12 months in their organisations.  Over a third of organisations reported that employees had requested leave in the past 12 months and of these 92 per cent were women. On average employees requested 43 hours of paid leave in a year and 19 hours of unpaid leave.</w:t>
      </w:r>
      <w:r>
        <w:rPr>
          <w:rStyle w:val="EndnoteReference"/>
          <w:rFonts w:eastAsia="Calibri" w:cs="Arial"/>
          <w:lang w:eastAsia="en-US"/>
        </w:rPr>
        <w:endnoteReference w:id="41"/>
      </w:r>
    </w:p>
    <w:p w14:paraId="3BCD14EB" w14:textId="725D58C1" w:rsidR="00D2526F" w:rsidRPr="00D2526F" w:rsidRDefault="00637839" w:rsidP="00D2526F">
      <w:pPr>
        <w:pStyle w:val="SubmissionNormal"/>
        <w:rPr>
          <w:bCs/>
        </w:rPr>
      </w:pPr>
      <w:r w:rsidRPr="00D2526F">
        <w:rPr>
          <w:bCs/>
        </w:rPr>
        <w:lastRenderedPageBreak/>
        <w:t xml:space="preserve">The Agreed Conclusions </w:t>
      </w:r>
      <w:r w:rsidR="00D2526F">
        <w:rPr>
          <w:bCs/>
        </w:rPr>
        <w:t>from the 57</w:t>
      </w:r>
      <w:r w:rsidR="00D2526F" w:rsidRPr="00D2526F">
        <w:rPr>
          <w:bCs/>
          <w:vertAlign w:val="superscript"/>
        </w:rPr>
        <w:t>th</w:t>
      </w:r>
      <w:r w:rsidR="00D2526F">
        <w:rPr>
          <w:bCs/>
        </w:rPr>
        <w:t xml:space="preserve"> session </w:t>
      </w:r>
      <w:r w:rsidR="0014319A">
        <w:rPr>
          <w:bCs/>
        </w:rPr>
        <w:t>o</w:t>
      </w:r>
      <w:r w:rsidR="00D2526F">
        <w:rPr>
          <w:bCs/>
        </w:rPr>
        <w:t xml:space="preserve">f the </w:t>
      </w:r>
      <w:r w:rsidR="0014319A">
        <w:rPr>
          <w:bCs/>
        </w:rPr>
        <w:t xml:space="preserve">UN </w:t>
      </w:r>
      <w:r w:rsidR="00D2526F">
        <w:rPr>
          <w:bCs/>
        </w:rPr>
        <w:t xml:space="preserve">Commission on the Status of Women </w:t>
      </w:r>
      <w:r w:rsidRPr="00D2526F">
        <w:rPr>
          <w:bCs/>
        </w:rPr>
        <w:t>identified the need for</w:t>
      </w:r>
      <w:r w:rsidRPr="00D2526F">
        <w:t xml:space="preserve"> </w:t>
      </w:r>
      <w:r w:rsidR="00D2526F">
        <w:t>‘</w:t>
      </w:r>
      <w:r w:rsidRPr="00D2526F">
        <w:t>measures to ensure that all workplaces are free from discrimination and exploitation, violence, and sexual harassment and bullying, and to address discrimination and violence against women and girls, as appropriate, through measures such as regulatory and oversight frameworks and reforms, collective agreements, codes of conduct, including appropriate disciplinary measures, protocols and procedures, referral of cases of violence to health services for treatment and police for investigation; as well as through awareness-raising and capacity-building, in collaboration with employers, unions and workers, including workplace services and flexibility for victims and survivors</w:t>
      </w:r>
      <w:r w:rsidR="00D2526F">
        <w:t>’</w:t>
      </w:r>
      <w:r w:rsidRPr="00D2526F">
        <w:t>.</w:t>
      </w:r>
      <w:r w:rsidRPr="00D2526F">
        <w:rPr>
          <w:rStyle w:val="EndnoteReference"/>
          <w:rFonts w:cs="Arial"/>
          <w:color w:val="000000" w:themeColor="text1"/>
        </w:rPr>
        <w:endnoteReference w:id="42"/>
      </w:r>
    </w:p>
    <w:p w14:paraId="45A84D91" w14:textId="1E10F832" w:rsidR="00D2526F" w:rsidRPr="00D2526F" w:rsidRDefault="00D2526F" w:rsidP="00D2526F">
      <w:pPr>
        <w:pStyle w:val="SubmissionNormal"/>
        <w:rPr>
          <w:bCs/>
        </w:rPr>
      </w:pPr>
      <w:r w:rsidRPr="00D2526F">
        <w:rPr>
          <w:rFonts w:cs="Arial"/>
          <w:b/>
          <w:bCs/>
          <w:i/>
          <w:color w:val="000000" w:themeColor="text1"/>
        </w:rPr>
        <w:t>Recommendation</w:t>
      </w:r>
      <w:r w:rsidR="00EE78C2">
        <w:rPr>
          <w:rFonts w:cs="Arial"/>
          <w:b/>
          <w:bCs/>
          <w:i/>
          <w:color w:val="000000" w:themeColor="text1"/>
        </w:rPr>
        <w:t xml:space="preserve"> </w:t>
      </w:r>
      <w:r w:rsidR="00081533">
        <w:rPr>
          <w:rFonts w:cs="Arial"/>
          <w:b/>
          <w:bCs/>
          <w:i/>
          <w:color w:val="000000" w:themeColor="text1"/>
        </w:rPr>
        <w:t>6</w:t>
      </w:r>
      <w:r w:rsidR="00637839" w:rsidRPr="00D2526F">
        <w:rPr>
          <w:rFonts w:cs="Arial"/>
          <w:b/>
          <w:bCs/>
          <w:i/>
          <w:color w:val="000000" w:themeColor="text1"/>
        </w:rPr>
        <w:t>:</w:t>
      </w:r>
      <w:r w:rsidRPr="00D2526F">
        <w:rPr>
          <w:rFonts w:cs="Arial"/>
          <w:b/>
          <w:i/>
          <w:color w:val="000000" w:themeColor="text1"/>
        </w:rPr>
        <w:t xml:space="preserve"> </w:t>
      </w:r>
      <w:r w:rsidR="00857B32">
        <w:rPr>
          <w:rFonts w:cs="Arial"/>
          <w:bCs/>
          <w:color w:val="000000" w:themeColor="text1"/>
        </w:rPr>
        <w:t>The Australian Government i</w:t>
      </w:r>
      <w:r w:rsidR="00637839" w:rsidRPr="00D2526F">
        <w:rPr>
          <w:rFonts w:cs="Arial"/>
          <w:bCs/>
          <w:color w:val="000000" w:themeColor="text1"/>
        </w:rPr>
        <w:t>ntroduce workplace entitlements to domestic and family violence leave in enterprise agreements and awards.</w:t>
      </w:r>
    </w:p>
    <w:p w14:paraId="64B4977A" w14:textId="0C0E5ACD" w:rsidR="00637839" w:rsidRPr="00D2526F" w:rsidRDefault="00D2526F" w:rsidP="00D2526F">
      <w:pPr>
        <w:pStyle w:val="SubmissionNormal"/>
        <w:rPr>
          <w:bCs/>
        </w:rPr>
      </w:pPr>
      <w:r w:rsidRPr="00D2526F">
        <w:rPr>
          <w:rFonts w:cs="Arial"/>
          <w:b/>
          <w:i/>
          <w:color w:val="000000" w:themeColor="text1"/>
        </w:rPr>
        <w:t>Recommendation</w:t>
      </w:r>
      <w:r w:rsidR="00EE78C2">
        <w:rPr>
          <w:rFonts w:cs="Arial"/>
          <w:b/>
          <w:i/>
          <w:color w:val="000000" w:themeColor="text1"/>
        </w:rPr>
        <w:t xml:space="preserve"> </w:t>
      </w:r>
      <w:r w:rsidR="00081533">
        <w:rPr>
          <w:rFonts w:cs="Arial"/>
          <w:b/>
          <w:i/>
          <w:color w:val="000000" w:themeColor="text1"/>
        </w:rPr>
        <w:t>7</w:t>
      </w:r>
      <w:r w:rsidRPr="00D2526F">
        <w:rPr>
          <w:rFonts w:cs="Arial"/>
          <w:b/>
          <w:i/>
          <w:color w:val="000000" w:themeColor="text1"/>
        </w:rPr>
        <w:t xml:space="preserve">: </w:t>
      </w:r>
      <w:r w:rsidR="00857B32">
        <w:rPr>
          <w:rFonts w:cs="Arial"/>
          <w:bCs/>
          <w:color w:val="000000" w:themeColor="text1"/>
        </w:rPr>
        <w:t>The Australian Government s</w:t>
      </w:r>
      <w:r w:rsidR="00637839" w:rsidRPr="00D2526F">
        <w:rPr>
          <w:rFonts w:cs="Arial"/>
          <w:bCs/>
          <w:color w:val="000000" w:themeColor="text1"/>
        </w:rPr>
        <w:t>upport workplaces to introduce and implement domestic and family violence policies and programs.</w:t>
      </w:r>
    </w:p>
    <w:p w14:paraId="7F24216C" w14:textId="77777777" w:rsidR="00CC78F5" w:rsidRDefault="00DF72E3" w:rsidP="00DF72E3">
      <w:pPr>
        <w:pStyle w:val="Heading1"/>
        <w:numPr>
          <w:ilvl w:val="0"/>
          <w:numId w:val="0"/>
        </w:numPr>
        <w:ind w:left="709" w:hanging="709"/>
      </w:pPr>
      <w:bookmarkStart w:id="30" w:name="_Toc447543650"/>
      <w:r>
        <w:t xml:space="preserve">7 </w:t>
      </w:r>
      <w:r>
        <w:tab/>
      </w:r>
      <w:r w:rsidR="00F57931">
        <w:t>A Coronial Approach to Domestic and Family Violence Homicides</w:t>
      </w:r>
      <w:bookmarkEnd w:id="30"/>
    </w:p>
    <w:p w14:paraId="282320F9" w14:textId="0222D21D" w:rsidR="00F57931" w:rsidRPr="002508BC" w:rsidRDefault="002508BC" w:rsidP="00F57931">
      <w:pPr>
        <w:pStyle w:val="SubmissionNormal"/>
        <w:rPr>
          <w:color w:val="000000" w:themeColor="text1"/>
        </w:rPr>
      </w:pPr>
      <w:r>
        <w:rPr>
          <w:rFonts w:cs="Arial"/>
          <w:color w:val="000000" w:themeColor="text1"/>
        </w:rPr>
        <w:t>In t</w:t>
      </w:r>
      <w:r w:rsidR="00F57931" w:rsidRPr="00D2526F">
        <w:rPr>
          <w:rFonts w:cs="Arial"/>
          <w:color w:val="000000" w:themeColor="text1"/>
        </w:rPr>
        <w:t>he</w:t>
      </w:r>
      <w:r>
        <w:rPr>
          <w:rFonts w:cs="Arial"/>
          <w:color w:val="000000" w:themeColor="text1"/>
        </w:rPr>
        <w:t xml:space="preserve"> Second Action Plan</w:t>
      </w:r>
      <w:r w:rsidR="00F57931" w:rsidRPr="00D2526F">
        <w:rPr>
          <w:rFonts w:cs="Arial"/>
          <w:color w:val="000000" w:themeColor="text1"/>
        </w:rPr>
        <w:t xml:space="preserve"> </w:t>
      </w:r>
      <w:r>
        <w:rPr>
          <w:rFonts w:cs="Arial"/>
          <w:color w:val="000000" w:themeColor="text1"/>
        </w:rPr>
        <w:t xml:space="preserve">under the </w:t>
      </w:r>
      <w:r w:rsidR="00F57931" w:rsidRPr="00D2526F">
        <w:rPr>
          <w:rFonts w:cs="Arial"/>
          <w:i/>
          <w:iCs/>
          <w:color w:val="000000" w:themeColor="text1"/>
        </w:rPr>
        <w:t>National Plan to Reduce Violence against Women and their Children 2010-2022</w:t>
      </w:r>
      <w:r>
        <w:rPr>
          <w:rFonts w:cs="Arial"/>
          <w:iCs/>
          <w:color w:val="000000" w:themeColor="text1"/>
        </w:rPr>
        <w:t>,</w:t>
      </w:r>
      <w:r w:rsidR="00F57931" w:rsidRPr="00D2526F">
        <w:rPr>
          <w:rFonts w:cs="Arial"/>
          <w:i/>
          <w:iCs/>
          <w:color w:val="000000" w:themeColor="text1"/>
        </w:rPr>
        <w:t xml:space="preserve"> </w:t>
      </w:r>
      <w:r w:rsidRPr="00417E6C">
        <w:rPr>
          <w:rFonts w:cs="Arial"/>
          <w:bCs/>
          <w:color w:val="000000" w:themeColor="text1"/>
        </w:rPr>
        <w:t>Action 19 requires review of domestic and family violence-related deaths</w:t>
      </w:r>
      <w:r>
        <w:rPr>
          <w:rFonts w:cs="Arial"/>
          <w:bCs/>
          <w:color w:val="000000" w:themeColor="text1"/>
        </w:rPr>
        <w:t>.</w:t>
      </w:r>
      <w:r w:rsidR="00594F72">
        <w:rPr>
          <w:rStyle w:val="EndnoteReference"/>
          <w:rFonts w:cs="Arial"/>
          <w:bCs/>
          <w:color w:val="000000" w:themeColor="text1"/>
        </w:rPr>
        <w:endnoteReference w:id="43"/>
      </w:r>
      <w:r>
        <w:rPr>
          <w:rFonts w:cs="Arial"/>
          <w:bCs/>
          <w:color w:val="000000" w:themeColor="text1"/>
        </w:rPr>
        <w:t xml:space="preserve"> The Action Plan</w:t>
      </w:r>
      <w:r w:rsidRPr="00D2526F">
        <w:rPr>
          <w:rFonts w:cs="Arial"/>
          <w:color w:val="000000" w:themeColor="text1"/>
        </w:rPr>
        <w:t xml:space="preserve"> </w:t>
      </w:r>
      <w:r w:rsidR="00F57931" w:rsidRPr="00D2526F">
        <w:rPr>
          <w:rFonts w:cs="Arial"/>
          <w:color w:val="000000" w:themeColor="text1"/>
        </w:rPr>
        <w:t xml:space="preserve">identifies the need to </w:t>
      </w:r>
      <w:r>
        <w:rPr>
          <w:rFonts w:cs="Arial"/>
          <w:color w:val="000000" w:themeColor="text1"/>
        </w:rPr>
        <w:t>‘</w:t>
      </w:r>
      <w:r w:rsidR="00F57931" w:rsidRPr="00D2526F">
        <w:rPr>
          <w:rFonts w:cs="Arial"/>
          <w:color w:val="000000" w:themeColor="text1"/>
        </w:rPr>
        <w:t>enhance review processes and drive improvements to Commonwealth, state and territory systems [so that they can] work together to identify and respond to women experiencing violence and, ultimately, prevent domestic and family violence homicides’</w:t>
      </w:r>
      <w:r w:rsidR="00F57931" w:rsidRPr="002508BC">
        <w:rPr>
          <w:rFonts w:cs="Arial"/>
          <w:color w:val="000000" w:themeColor="text1"/>
        </w:rPr>
        <w:t>.</w:t>
      </w:r>
      <w:r w:rsidR="00F57931" w:rsidRPr="002508BC">
        <w:rPr>
          <w:rStyle w:val="EndnoteReference"/>
          <w:rFonts w:cs="Arial"/>
          <w:color w:val="000000" w:themeColor="text1"/>
          <w:sz w:val="24"/>
        </w:rPr>
        <w:endnoteReference w:id="44"/>
      </w:r>
      <w:r w:rsidR="00F57931" w:rsidRPr="002508BC">
        <w:rPr>
          <w:rFonts w:cs="Arial"/>
          <w:color w:val="000000" w:themeColor="text1"/>
        </w:rPr>
        <w:t xml:space="preserve"> </w:t>
      </w:r>
      <w:r w:rsidRPr="002508BC">
        <w:rPr>
          <w:rFonts w:cs="Arial"/>
          <w:color w:val="000000" w:themeColor="text1"/>
        </w:rPr>
        <w:t xml:space="preserve"> </w:t>
      </w:r>
      <w:r w:rsidRPr="00761DFD">
        <w:rPr>
          <w:rFonts w:cs="Arial"/>
          <w:color w:val="000000" w:themeColor="text1"/>
        </w:rPr>
        <w:t>.</w:t>
      </w:r>
      <w:r w:rsidR="00F57931" w:rsidRPr="002508BC">
        <w:rPr>
          <w:rFonts w:cs="Arial"/>
          <w:color w:val="000000" w:themeColor="text1"/>
        </w:rPr>
        <w:t xml:space="preserve"> </w:t>
      </w:r>
    </w:p>
    <w:p w14:paraId="66B4CA4B" w14:textId="77777777" w:rsidR="00966BC9" w:rsidRPr="00D2526F" w:rsidRDefault="00F57931" w:rsidP="00F57931">
      <w:pPr>
        <w:pStyle w:val="SubmissionNormal"/>
        <w:rPr>
          <w:color w:val="000000" w:themeColor="text1"/>
        </w:rPr>
      </w:pPr>
      <w:r w:rsidRPr="00D2526F">
        <w:t xml:space="preserve">A critical component of addressing domestic and family violence has been reporting upon </w:t>
      </w:r>
      <w:r w:rsidR="00966BC9" w:rsidRPr="00D2526F">
        <w:t>the</w:t>
      </w:r>
      <w:r w:rsidRPr="00D2526F">
        <w:t xml:space="preserve"> prevalence of </w:t>
      </w:r>
      <w:r w:rsidR="00966BC9" w:rsidRPr="00D2526F">
        <w:t xml:space="preserve">domestic and family violence </w:t>
      </w:r>
      <w:r w:rsidRPr="00D2526F">
        <w:t xml:space="preserve">homicides, and acting upon the advice from experts who look closely at these deaths, </w:t>
      </w:r>
      <w:r w:rsidRPr="00D2526F">
        <w:rPr>
          <w:color w:val="000000" w:themeColor="text1"/>
        </w:rPr>
        <w:t xml:space="preserve">including coroners. </w:t>
      </w:r>
    </w:p>
    <w:p w14:paraId="40C19748" w14:textId="77777777" w:rsidR="00F57931" w:rsidRPr="00D2526F" w:rsidRDefault="00966BC9" w:rsidP="00F57931">
      <w:pPr>
        <w:pStyle w:val="SubmissionNormal"/>
        <w:rPr>
          <w:color w:val="000000" w:themeColor="text1"/>
        </w:rPr>
      </w:pPr>
      <w:r w:rsidRPr="00D2526F">
        <w:rPr>
          <w:color w:val="000000" w:themeColor="text1"/>
        </w:rPr>
        <w:t xml:space="preserve">The reviews of domestic and family violence deaths is an important means of identifying systemic issues, that when addressed are key to the prevention of domestic and family violence homicides. </w:t>
      </w:r>
    </w:p>
    <w:p w14:paraId="5DD57E8B" w14:textId="77777777" w:rsidR="00A014F1" w:rsidRPr="00D2526F" w:rsidRDefault="00F57931" w:rsidP="00F57931">
      <w:pPr>
        <w:pStyle w:val="SubmissionNormal"/>
        <w:rPr>
          <w:color w:val="000000" w:themeColor="text1"/>
        </w:rPr>
      </w:pPr>
      <w:r w:rsidRPr="00D2526F">
        <w:rPr>
          <w:rFonts w:cs="Arial"/>
          <w:color w:val="000000" w:themeColor="text1"/>
        </w:rPr>
        <w:t xml:space="preserve">Available data on domestic and family violence deaths indicates that in 2015 there were approximately two deaths a week but this data is not entirely reliable. </w:t>
      </w:r>
      <w:r w:rsidR="00A014F1" w:rsidRPr="00D2526F">
        <w:rPr>
          <w:rFonts w:cs="Arial"/>
          <w:color w:val="000000" w:themeColor="text1"/>
        </w:rPr>
        <w:t>There is currently</w:t>
      </w:r>
      <w:r w:rsidRPr="00D2526F">
        <w:rPr>
          <w:rFonts w:cs="Arial"/>
          <w:color w:val="000000" w:themeColor="text1"/>
        </w:rPr>
        <w:t xml:space="preserve"> </w:t>
      </w:r>
      <w:r w:rsidR="00A014F1" w:rsidRPr="00D2526F">
        <w:rPr>
          <w:rFonts w:cs="Arial"/>
          <w:color w:val="000000" w:themeColor="text1"/>
        </w:rPr>
        <w:t>no</w:t>
      </w:r>
      <w:r w:rsidRPr="00D2526F">
        <w:rPr>
          <w:rFonts w:cs="Arial"/>
          <w:color w:val="000000" w:themeColor="text1"/>
        </w:rPr>
        <w:t xml:space="preserve"> standardised definition of what constitutes a domestic and family violence death across Austral</w:t>
      </w:r>
      <w:r w:rsidR="00A014F1" w:rsidRPr="00D2526F">
        <w:rPr>
          <w:rFonts w:cs="Arial"/>
          <w:color w:val="000000" w:themeColor="text1"/>
        </w:rPr>
        <w:t xml:space="preserve">ia’s jurisdictions. </w:t>
      </w:r>
    </w:p>
    <w:p w14:paraId="62648F15" w14:textId="77777777" w:rsidR="00F57931" w:rsidRPr="00D2526F" w:rsidRDefault="00A014F1" w:rsidP="00F57931">
      <w:pPr>
        <w:pStyle w:val="SubmissionNormal"/>
        <w:rPr>
          <w:color w:val="000000" w:themeColor="text1"/>
        </w:rPr>
      </w:pPr>
      <w:r w:rsidRPr="00D2526F">
        <w:rPr>
          <w:rFonts w:cs="Arial"/>
          <w:color w:val="000000" w:themeColor="text1"/>
        </w:rPr>
        <w:t xml:space="preserve">In 2015, the Commission </w:t>
      </w:r>
      <w:r w:rsidR="00F57931" w:rsidRPr="00D2526F">
        <w:rPr>
          <w:rFonts w:cs="Arial"/>
          <w:color w:val="000000" w:themeColor="text1"/>
        </w:rPr>
        <w:t xml:space="preserve">commenced a project to standardise reporting on domestic and family violence deaths across Australian jurisdictions. The project’s stakeholders include Commonwealth, State and Territory Ministers; Coroners and </w:t>
      </w:r>
      <w:r w:rsidR="00F57931" w:rsidRPr="00D2526F">
        <w:rPr>
          <w:rFonts w:cs="Arial"/>
          <w:i/>
          <w:iCs/>
          <w:color w:val="000000" w:themeColor="text1"/>
        </w:rPr>
        <w:t>Family Violence Death Review Teams</w:t>
      </w:r>
      <w:r w:rsidR="00F57931" w:rsidRPr="00D2526F">
        <w:rPr>
          <w:rFonts w:cs="Arial"/>
          <w:color w:val="000000" w:themeColor="text1"/>
        </w:rPr>
        <w:t xml:space="preserve">. </w:t>
      </w:r>
    </w:p>
    <w:p w14:paraId="46D20ABF" w14:textId="6E79B7E5" w:rsidR="00F57931" w:rsidRPr="00D2526F" w:rsidRDefault="00A014F1" w:rsidP="00F57931">
      <w:pPr>
        <w:pStyle w:val="SubmissionNormal"/>
        <w:rPr>
          <w:color w:val="000000" w:themeColor="text1"/>
        </w:rPr>
      </w:pPr>
      <w:r w:rsidRPr="00D2526F">
        <w:rPr>
          <w:rFonts w:cs="Arial"/>
          <w:color w:val="000000" w:themeColor="text1"/>
        </w:rPr>
        <w:t xml:space="preserve">The project aims </w:t>
      </w:r>
      <w:r w:rsidR="00966BC9" w:rsidRPr="00D2526F">
        <w:rPr>
          <w:rFonts w:cs="Arial"/>
          <w:color w:val="000000" w:themeColor="text1"/>
        </w:rPr>
        <w:t>to redress</w:t>
      </w:r>
      <w:r w:rsidR="00F57931" w:rsidRPr="00D2526F">
        <w:rPr>
          <w:rFonts w:cs="Arial"/>
          <w:color w:val="000000" w:themeColor="text1"/>
        </w:rPr>
        <w:t xml:space="preserve"> the current gaps in data collection by working towards </w:t>
      </w:r>
      <w:r w:rsidRPr="00D2526F">
        <w:rPr>
          <w:rFonts w:cs="Arial"/>
          <w:color w:val="000000" w:themeColor="text1"/>
        </w:rPr>
        <w:t xml:space="preserve">establishing </w:t>
      </w:r>
      <w:r w:rsidR="00F57931" w:rsidRPr="00D2526F">
        <w:rPr>
          <w:rFonts w:cs="Arial"/>
          <w:color w:val="000000" w:themeColor="text1"/>
        </w:rPr>
        <w:t>coronial data collections in Tasmania</w:t>
      </w:r>
      <w:r w:rsidR="00192B11">
        <w:rPr>
          <w:rFonts w:cs="Arial"/>
          <w:color w:val="000000" w:themeColor="text1"/>
        </w:rPr>
        <w:t xml:space="preserve">, the Australian </w:t>
      </w:r>
      <w:r w:rsidR="00192B11">
        <w:rPr>
          <w:rFonts w:cs="Arial"/>
          <w:color w:val="000000" w:themeColor="text1"/>
        </w:rPr>
        <w:lastRenderedPageBreak/>
        <w:t>Capital Territory</w:t>
      </w:r>
      <w:r w:rsidR="00F57931" w:rsidRPr="00D2526F">
        <w:rPr>
          <w:rFonts w:cs="Arial"/>
          <w:color w:val="000000" w:themeColor="text1"/>
        </w:rPr>
        <w:t xml:space="preserve"> and the Northern Territory – jurisdictions that are currently without the domestic violence death review function. Through this project </w:t>
      </w:r>
      <w:r w:rsidRPr="00D2526F">
        <w:rPr>
          <w:rFonts w:cs="Arial"/>
          <w:color w:val="000000" w:themeColor="text1"/>
        </w:rPr>
        <w:t>the Commission</w:t>
      </w:r>
      <w:r w:rsidR="00F57931" w:rsidRPr="00D2526F">
        <w:rPr>
          <w:rFonts w:cs="Arial"/>
          <w:color w:val="000000" w:themeColor="text1"/>
        </w:rPr>
        <w:t xml:space="preserve"> </w:t>
      </w:r>
      <w:r w:rsidRPr="00D2526F">
        <w:rPr>
          <w:rFonts w:cs="Arial"/>
          <w:color w:val="000000" w:themeColor="text1"/>
        </w:rPr>
        <w:t xml:space="preserve">hopes </w:t>
      </w:r>
      <w:r w:rsidR="00F57931" w:rsidRPr="00D2526F">
        <w:rPr>
          <w:rFonts w:cs="Arial"/>
          <w:color w:val="000000" w:themeColor="text1"/>
        </w:rPr>
        <w:t xml:space="preserve">to complete a national picture on domestic and family violence deaths that will show where the patterns of deaths occur, where the system is failing the most vulnerable, and where resources and policies need to be targeted. </w:t>
      </w:r>
    </w:p>
    <w:p w14:paraId="02F30D5E" w14:textId="77777777" w:rsidR="00F57931" w:rsidRPr="00D2526F" w:rsidRDefault="00F57931" w:rsidP="00A014F1">
      <w:pPr>
        <w:pStyle w:val="SubmissionNormal"/>
        <w:rPr>
          <w:color w:val="000000" w:themeColor="text1"/>
        </w:rPr>
      </w:pPr>
      <w:r w:rsidRPr="00D2526F">
        <w:rPr>
          <w:rFonts w:cs="Arial"/>
          <w:color w:val="000000" w:themeColor="text1"/>
        </w:rPr>
        <w:t xml:space="preserve">A further role for this project is to raise awareness about the need to record, monitor and make recommendations about family violence deaths that are relevant to the Commonwealth jurisdiction. There is no Commonwealth coroner and so there is a need to monitor state and territory coronial recommendations directed to Commonwealth agencies such as the Family Court and Centrelink. Currently, there is no mechanism to monitor the implementation of these recommendations. </w:t>
      </w:r>
      <w:r w:rsidR="00A014F1" w:rsidRPr="00D2526F">
        <w:rPr>
          <w:rFonts w:cs="Arial"/>
          <w:color w:val="000000" w:themeColor="text1"/>
        </w:rPr>
        <w:t>The Commission is currently finalising the report for this project.</w:t>
      </w:r>
    </w:p>
    <w:p w14:paraId="415489AB" w14:textId="1DBE2CA3" w:rsidR="00DA08F8" w:rsidRPr="0084474E" w:rsidRDefault="0084474E" w:rsidP="0084474E">
      <w:pPr>
        <w:pStyle w:val="Heading1"/>
        <w:numPr>
          <w:ilvl w:val="0"/>
          <w:numId w:val="0"/>
        </w:numPr>
        <w:ind w:left="851" w:hanging="851"/>
      </w:pPr>
      <w:bookmarkStart w:id="31" w:name="_Toc447543651"/>
      <w:r>
        <w:t xml:space="preserve">Appendix A: </w:t>
      </w:r>
      <w:r w:rsidR="00081533" w:rsidRPr="00F1683A">
        <w:rPr>
          <w:i/>
        </w:rPr>
        <w:t>Children’s Rights Report</w:t>
      </w:r>
      <w:r w:rsidR="001A157A">
        <w:rPr>
          <w:i/>
        </w:rPr>
        <w:t xml:space="preserve"> 2015 (</w:t>
      </w:r>
      <w:r w:rsidR="00081533" w:rsidRPr="00F1683A">
        <w:rPr>
          <w:i/>
        </w:rPr>
        <w:t>Chapter 4</w:t>
      </w:r>
      <w:r w:rsidR="001A157A">
        <w:rPr>
          <w:i/>
        </w:rPr>
        <w:t>)</w:t>
      </w:r>
      <w:r w:rsidR="00081533" w:rsidRPr="00F1683A">
        <w:rPr>
          <w:i/>
        </w:rPr>
        <w:t>:</w:t>
      </w:r>
      <w:r w:rsidR="00081533">
        <w:t xml:space="preserve"> </w:t>
      </w:r>
      <w:r w:rsidR="0090213E">
        <w:rPr>
          <w:i/>
        </w:rPr>
        <w:t>All I want is a life free from violence</w:t>
      </w:r>
      <w:bookmarkEnd w:id="31"/>
    </w:p>
    <w:bookmarkEnd w:id="26"/>
    <w:bookmarkEnd w:id="27"/>
    <w:bookmarkEnd w:id="28"/>
    <w:p w14:paraId="633239A4" w14:textId="77777777" w:rsidR="00EB6A76" w:rsidRPr="00A96892" w:rsidRDefault="00EB6A76" w:rsidP="00B63D24"/>
    <w:sectPr w:rsidR="00EB6A76" w:rsidRPr="00A96892" w:rsidSect="00B63D24">
      <w:headerReference w:type="even" r:id="rId13"/>
      <w:headerReference w:type="default" r:id="rId14"/>
      <w:footerReference w:type="default" r:id="rId15"/>
      <w:headerReference w:type="first" r:id="rId16"/>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54D05" w14:textId="77777777" w:rsidR="00B20854" w:rsidRDefault="00B20854" w:rsidP="00F14C6D">
      <w:r>
        <w:separator/>
      </w:r>
    </w:p>
  </w:endnote>
  <w:endnote w:type="continuationSeparator" w:id="0">
    <w:p w14:paraId="4729A43C" w14:textId="77777777" w:rsidR="00B20854" w:rsidRDefault="00B20854" w:rsidP="00F14C6D">
      <w:r>
        <w:continuationSeparator/>
      </w:r>
    </w:p>
  </w:endnote>
  <w:endnote w:id="1">
    <w:p w14:paraId="280D7546" w14:textId="77777777" w:rsidR="00B20854" w:rsidRPr="00594F72" w:rsidRDefault="00B20854" w:rsidP="00D76BFE">
      <w:pPr>
        <w:pStyle w:val="EndnoteText"/>
      </w:pPr>
      <w:r w:rsidRPr="00594F72">
        <w:rPr>
          <w:rStyle w:val="EndnoteReference"/>
        </w:rPr>
        <w:endnoteRef/>
      </w:r>
      <w:r w:rsidRPr="00594F72">
        <w:t xml:space="preserve"> Australian Bureau of Statistics, </w:t>
      </w:r>
      <w:r w:rsidRPr="00594F72">
        <w:rPr>
          <w:i/>
        </w:rPr>
        <w:t>4906.0 Personal Safety Australia 2012</w:t>
      </w:r>
      <w:r w:rsidRPr="00594F72">
        <w:t xml:space="preserve"> (2013). At </w:t>
      </w:r>
      <w:hyperlink r:id="rId1" w:history="1">
        <w:r w:rsidRPr="00594F72">
          <w:rPr>
            <w:rStyle w:val="Hyperlink"/>
          </w:rPr>
          <w:t>http://www.abs.gov.au/ausstats/abs@.nsf/Lookup/4906.0Chapter2002012</w:t>
        </w:r>
      </w:hyperlink>
      <w:r w:rsidRPr="00594F72">
        <w:t xml:space="preserve"> (viewed 10 March 2016).</w:t>
      </w:r>
    </w:p>
  </w:endnote>
  <w:endnote w:id="2">
    <w:p w14:paraId="2758CE61" w14:textId="77777777" w:rsidR="00B20854" w:rsidRPr="00594F72" w:rsidRDefault="00B20854" w:rsidP="00842D51">
      <w:pPr>
        <w:pStyle w:val="EndnoteText"/>
      </w:pPr>
      <w:r w:rsidRPr="00594F72">
        <w:rPr>
          <w:rStyle w:val="EndnoteReference"/>
        </w:rPr>
        <w:endnoteRef/>
      </w:r>
      <w:r w:rsidRPr="00594F72">
        <w:t xml:space="preserve"> Secretary-General, </w:t>
      </w:r>
      <w:r w:rsidRPr="00594F72">
        <w:rPr>
          <w:i/>
        </w:rPr>
        <w:t>In-depth Study on all forms of Violence against Women</w:t>
      </w:r>
      <w:r w:rsidRPr="00594F72">
        <w:t xml:space="preserve"> (2006), UN Doc. A/61/122/Add.1, p13.  </w:t>
      </w:r>
    </w:p>
  </w:endnote>
  <w:endnote w:id="3">
    <w:p w14:paraId="14F231D0" w14:textId="77777777" w:rsidR="00B20854" w:rsidRPr="00594F72" w:rsidRDefault="00B20854">
      <w:pPr>
        <w:pStyle w:val="EndnoteText"/>
      </w:pPr>
      <w:r w:rsidRPr="00594F72">
        <w:rPr>
          <w:rStyle w:val="EndnoteReference"/>
        </w:rPr>
        <w:endnoteRef/>
      </w:r>
      <w:r w:rsidRPr="00594F72">
        <w:t xml:space="preserve"> United Nations, </w:t>
      </w:r>
      <w:r w:rsidRPr="00594F72">
        <w:rPr>
          <w:i/>
        </w:rPr>
        <w:t>Declaration on the Elimination of violence against Women</w:t>
      </w:r>
      <w:r w:rsidRPr="00594F72">
        <w:t xml:space="preserve"> (1993), UN Doc. A/RES/48/104. </w:t>
      </w:r>
    </w:p>
  </w:endnote>
  <w:endnote w:id="4">
    <w:p w14:paraId="2A6DB27C" w14:textId="77777777" w:rsidR="00B20854" w:rsidRPr="00594F72" w:rsidRDefault="00B20854">
      <w:pPr>
        <w:pStyle w:val="EndnoteText"/>
      </w:pPr>
      <w:r w:rsidRPr="00594F72">
        <w:rPr>
          <w:rStyle w:val="EndnoteReference"/>
        </w:rPr>
        <w:endnoteRef/>
      </w:r>
      <w:r w:rsidRPr="00594F72">
        <w:t xml:space="preserve"> </w:t>
      </w:r>
      <w:r w:rsidRPr="00594F72">
        <w:rPr>
          <w:rFonts w:cs="Arial"/>
        </w:rPr>
        <w:t xml:space="preserve">CEDAW Committee, </w:t>
      </w:r>
      <w:r w:rsidRPr="00594F72">
        <w:rPr>
          <w:rFonts w:cs="Arial"/>
          <w:i/>
          <w:iCs/>
        </w:rPr>
        <w:t>General Recommendation No. 19: Violence against Women</w:t>
      </w:r>
      <w:r w:rsidRPr="00594F72">
        <w:rPr>
          <w:rFonts w:cs="Arial"/>
        </w:rPr>
        <w:t>, UN Doc. A/47/38 (1992).</w:t>
      </w:r>
    </w:p>
  </w:endnote>
  <w:endnote w:id="5">
    <w:p w14:paraId="4D65022F" w14:textId="77777777" w:rsidR="00B20854" w:rsidRPr="00594F72" w:rsidRDefault="00B20854">
      <w:pPr>
        <w:pStyle w:val="EndnoteText"/>
      </w:pPr>
      <w:r w:rsidRPr="00594F72">
        <w:rPr>
          <w:rStyle w:val="EndnoteReference"/>
        </w:rPr>
        <w:endnoteRef/>
      </w:r>
      <w:r w:rsidRPr="00594F72">
        <w:t xml:space="preserve"> Secretary-General, </w:t>
      </w:r>
      <w:r w:rsidRPr="00594F72">
        <w:rPr>
          <w:i/>
        </w:rPr>
        <w:t>In-depth Study on all forms of Violence against Women</w:t>
      </w:r>
      <w:r w:rsidRPr="00594F72">
        <w:t xml:space="preserve"> (2006), UN Doc. A/61/122/Add.1.  </w:t>
      </w:r>
    </w:p>
  </w:endnote>
  <w:endnote w:id="6">
    <w:p w14:paraId="37119553" w14:textId="77777777" w:rsidR="00B20854" w:rsidRPr="00594F72" w:rsidRDefault="00B20854" w:rsidP="00E23DBD">
      <w:pPr>
        <w:pStyle w:val="EndnoteText"/>
        <w:rPr>
          <w:rFonts w:cs="Arial"/>
        </w:rPr>
      </w:pPr>
      <w:r w:rsidRPr="00594F72">
        <w:rPr>
          <w:rStyle w:val="EndnoteReference"/>
          <w:rFonts w:cs="Arial"/>
        </w:rPr>
        <w:endnoteRef/>
      </w:r>
      <w:r w:rsidRPr="00594F72">
        <w:rPr>
          <w:rFonts w:cs="Arial"/>
        </w:rPr>
        <w:t xml:space="preserve"> United Nations, </w:t>
      </w:r>
      <w:r w:rsidRPr="00594F72">
        <w:rPr>
          <w:rFonts w:cs="Arial"/>
          <w:i/>
        </w:rPr>
        <w:t>Convention on the Elimination of All Forms of Discrimination against Women</w:t>
      </w:r>
      <w:r w:rsidRPr="00594F72">
        <w:rPr>
          <w:rFonts w:cs="Arial"/>
        </w:rPr>
        <w:t xml:space="preserve">, UN Doc </w:t>
      </w:r>
      <w:r w:rsidRPr="00594F72">
        <w:rPr>
          <w:rStyle w:val="doccite"/>
          <w:rFonts w:cs="Arial"/>
        </w:rPr>
        <w:t>A/34/46</w:t>
      </w:r>
      <w:r w:rsidRPr="00594F72">
        <w:rPr>
          <w:rFonts w:cs="Arial"/>
        </w:rPr>
        <w:t xml:space="preserve"> (1979); CEDAW Committee, </w:t>
      </w:r>
      <w:r w:rsidRPr="00594F72">
        <w:rPr>
          <w:rFonts w:cs="Arial"/>
          <w:i/>
          <w:iCs/>
        </w:rPr>
        <w:t>General Recommendation No. 19: Violence against Women</w:t>
      </w:r>
      <w:r w:rsidRPr="00594F72">
        <w:rPr>
          <w:rFonts w:cs="Arial"/>
        </w:rPr>
        <w:t xml:space="preserve">, UN Doc. A/47/38, (1992), paras 1 and 6.  </w:t>
      </w:r>
    </w:p>
  </w:endnote>
  <w:endnote w:id="7">
    <w:p w14:paraId="389A593C" w14:textId="77777777" w:rsidR="00B20854" w:rsidRPr="00594F72" w:rsidRDefault="00B20854" w:rsidP="007B2340">
      <w:pPr>
        <w:pStyle w:val="EndnoteText"/>
        <w:rPr>
          <w:rFonts w:cs="Arial"/>
          <w:color w:val="000000" w:themeColor="text1"/>
        </w:rPr>
      </w:pPr>
      <w:r w:rsidRPr="00594F72">
        <w:rPr>
          <w:rStyle w:val="EndnoteReference"/>
          <w:rFonts w:cs="Arial"/>
        </w:rPr>
        <w:endnoteRef/>
      </w:r>
      <w:r w:rsidRPr="00594F72">
        <w:rPr>
          <w:rFonts w:cs="Arial"/>
        </w:rPr>
        <w:t xml:space="preserve"> Australian Bureau of Statistics, </w:t>
      </w:r>
      <w:r w:rsidRPr="00594F72">
        <w:rPr>
          <w:rFonts w:cs="Arial"/>
          <w:i/>
          <w:iCs/>
        </w:rPr>
        <w:t xml:space="preserve">Average Weekly Earnings </w:t>
      </w:r>
      <w:r w:rsidRPr="00594F72">
        <w:rPr>
          <w:rFonts w:cs="Arial"/>
        </w:rPr>
        <w:t xml:space="preserve">(ABS AWE - 6302.0), Full-Time Adult - Average Weekly Ordinary Time Earnings (Trend)), </w:t>
      </w:r>
      <w:hyperlink r:id="rId2" w:history="1">
        <w:r w:rsidRPr="00594F72">
          <w:rPr>
            <w:rStyle w:val="Hyperlink"/>
            <w:rFonts w:cs="Arial"/>
          </w:rPr>
          <w:t>http://www.abs.gov.au/ausstats/abs@.nsf/mf/6302.0/</w:t>
        </w:r>
      </w:hyperlink>
      <w:r w:rsidRPr="00594F72">
        <w:rPr>
          <w:rFonts w:cs="Arial"/>
        </w:rPr>
        <w:t xml:space="preserve">, cited in Workplace gender equality Agency, </w:t>
      </w:r>
      <w:r w:rsidRPr="00594F72">
        <w:rPr>
          <w:rFonts w:cs="Arial"/>
          <w:i/>
          <w:iCs/>
        </w:rPr>
        <w:t>Gender Pay Gap Statistics</w:t>
      </w:r>
      <w:r w:rsidRPr="00594F72">
        <w:rPr>
          <w:rFonts w:cs="Arial"/>
        </w:rPr>
        <w:t xml:space="preserve"> (September 2015) at: </w:t>
      </w:r>
      <w:hyperlink r:id="rId3" w:history="1">
        <w:r w:rsidRPr="00594F72">
          <w:rPr>
            <w:rStyle w:val="Hyperlink"/>
            <w:rFonts w:cs="Arial"/>
          </w:rPr>
          <w:t>https://www.wgea.gov.au/sites/default/files/Gender_Pay_Gap_Factsheet.pdf</w:t>
        </w:r>
      </w:hyperlink>
      <w:r w:rsidRPr="00594F72">
        <w:rPr>
          <w:rStyle w:val="Hyperlink"/>
          <w:rFonts w:cs="Arial"/>
        </w:rPr>
        <w:t xml:space="preserve"> </w:t>
      </w:r>
      <w:r w:rsidRPr="00594F72">
        <w:rPr>
          <w:rStyle w:val="Hyperlink"/>
          <w:rFonts w:cs="Arial"/>
          <w:color w:val="000000" w:themeColor="text1"/>
          <w:u w:val="none"/>
        </w:rPr>
        <w:t>(viewed 22 February 2016).</w:t>
      </w:r>
    </w:p>
  </w:endnote>
  <w:endnote w:id="8">
    <w:p w14:paraId="145E2299" w14:textId="77777777" w:rsidR="00B20854" w:rsidRPr="00594F72" w:rsidRDefault="00B20854" w:rsidP="007B2340">
      <w:pPr>
        <w:pStyle w:val="EndnoteText"/>
        <w:rPr>
          <w:rFonts w:cs="Arial"/>
        </w:rPr>
      </w:pPr>
      <w:r w:rsidRPr="00594F72">
        <w:rPr>
          <w:rStyle w:val="EndnoteReference"/>
          <w:rFonts w:cs="Arial"/>
        </w:rPr>
        <w:endnoteRef/>
      </w:r>
      <w:r w:rsidRPr="00594F72">
        <w:rPr>
          <w:rFonts w:cs="Arial"/>
        </w:rPr>
        <w:t xml:space="preserve"> Australian Bureau of Statistics, </w:t>
      </w:r>
      <w:r w:rsidRPr="00594F72">
        <w:rPr>
          <w:rFonts w:cs="Arial"/>
          <w:i/>
          <w:iCs/>
        </w:rPr>
        <w:t xml:space="preserve">Gender Indicators, Australia, August 2014 </w:t>
      </w:r>
      <w:r w:rsidRPr="00594F72">
        <w:rPr>
          <w:rFonts w:cs="Arial"/>
        </w:rPr>
        <w:t xml:space="preserve">(2014). At </w:t>
      </w:r>
      <w:hyperlink r:id="rId4" w:history="1">
        <w:r w:rsidRPr="00594F72">
          <w:rPr>
            <w:rStyle w:val="Hyperlink"/>
            <w:rFonts w:cs="Arial"/>
          </w:rPr>
          <w:t>http://www.abs.gov.au/ausstats/abs@.nsf/Lookup/by percent20Subject/4125.0~August percent202014~Media percent20Release~Women's percent20participation percent20in percent20paid percent20work percent20lower percent20than percent20men's percent20(Media percent20Release)~10008</w:t>
        </w:r>
      </w:hyperlink>
      <w:r w:rsidRPr="00594F72">
        <w:rPr>
          <w:rFonts w:cs="Arial"/>
        </w:rPr>
        <w:t xml:space="preserve"> </w:t>
      </w:r>
      <w:r w:rsidRPr="00594F72">
        <w:rPr>
          <w:rStyle w:val="Hyperlink"/>
          <w:rFonts w:cs="Arial"/>
          <w:color w:val="000000" w:themeColor="text1"/>
          <w:u w:val="none"/>
        </w:rPr>
        <w:t>(viewed 22 February 2016).</w:t>
      </w:r>
      <w:r w:rsidRPr="00594F72">
        <w:rPr>
          <w:rFonts w:cs="Arial"/>
          <w:color w:val="000000" w:themeColor="text1"/>
        </w:rPr>
        <w:t xml:space="preserve"> </w:t>
      </w:r>
      <w:r w:rsidRPr="00594F72">
        <w:rPr>
          <w:rFonts w:cs="Arial"/>
        </w:rPr>
        <w:t xml:space="preserve"> </w:t>
      </w:r>
    </w:p>
  </w:endnote>
  <w:endnote w:id="9">
    <w:p w14:paraId="7A620C37" w14:textId="77777777" w:rsidR="00B20854" w:rsidRPr="00594F72" w:rsidRDefault="00B20854" w:rsidP="007B2340">
      <w:pPr>
        <w:pStyle w:val="EndnoteText"/>
        <w:rPr>
          <w:rFonts w:cs="Arial"/>
        </w:rPr>
      </w:pPr>
      <w:r w:rsidRPr="00594F72">
        <w:rPr>
          <w:rStyle w:val="EndnoteReference"/>
          <w:rFonts w:cs="Arial"/>
        </w:rPr>
        <w:endnoteRef/>
      </w:r>
      <w:r w:rsidRPr="00594F72">
        <w:rPr>
          <w:rFonts w:cs="Arial"/>
        </w:rPr>
        <w:t xml:space="preserve"> Australian Bureau of Statistics, </w:t>
      </w:r>
      <w:r w:rsidRPr="00594F72">
        <w:rPr>
          <w:rFonts w:cs="Arial"/>
          <w:i/>
          <w:iCs/>
        </w:rPr>
        <w:t xml:space="preserve">Gender Indicators, Australia, August 2014 </w:t>
      </w:r>
      <w:r w:rsidRPr="00594F72">
        <w:rPr>
          <w:rFonts w:cs="Arial"/>
        </w:rPr>
        <w:t xml:space="preserve">(2014). At </w:t>
      </w:r>
      <w:hyperlink r:id="rId5" w:history="1">
        <w:r w:rsidRPr="00594F72">
          <w:rPr>
            <w:rStyle w:val="Hyperlink"/>
            <w:rFonts w:cs="Arial"/>
          </w:rPr>
          <w:t>http://www.abs.gov.au/ausstats/abs@.nsf/Lookup/by percent20Subject/4125.0~August percent202014~Media percent20Release~Women's percent20participation percent20in percent20paid percent20work percent20lower percent20than percent20men's percent20(Media percent20Release)~10008</w:t>
        </w:r>
      </w:hyperlink>
      <w:r w:rsidRPr="00594F72">
        <w:rPr>
          <w:rFonts w:cs="Arial"/>
        </w:rPr>
        <w:t xml:space="preserve"> </w:t>
      </w:r>
      <w:r w:rsidRPr="00594F72">
        <w:rPr>
          <w:rStyle w:val="Hyperlink"/>
          <w:rFonts w:cs="Arial"/>
          <w:color w:val="000000" w:themeColor="text1"/>
          <w:u w:val="none"/>
        </w:rPr>
        <w:t>(viewed 22 February 2016).</w:t>
      </w:r>
      <w:r w:rsidRPr="00594F72">
        <w:rPr>
          <w:rFonts w:cs="Arial"/>
          <w:color w:val="000000" w:themeColor="text1"/>
        </w:rPr>
        <w:t xml:space="preserve">   </w:t>
      </w:r>
    </w:p>
  </w:endnote>
  <w:endnote w:id="10">
    <w:p w14:paraId="1E7B8282" w14:textId="77777777" w:rsidR="00B20854" w:rsidRPr="00594F72" w:rsidRDefault="00B20854" w:rsidP="007B2340">
      <w:pPr>
        <w:pStyle w:val="EndnoteText"/>
        <w:rPr>
          <w:rFonts w:cs="Arial"/>
        </w:rPr>
      </w:pPr>
      <w:r w:rsidRPr="00594F72">
        <w:rPr>
          <w:rStyle w:val="EndnoteReference"/>
          <w:rFonts w:cs="Arial"/>
        </w:rPr>
        <w:endnoteRef/>
      </w:r>
      <w:r w:rsidRPr="00594F72">
        <w:rPr>
          <w:rFonts w:cs="Arial"/>
        </w:rPr>
        <w:t xml:space="preserve"> Workplace Gender Equality Agency, </w:t>
      </w:r>
      <w:r w:rsidRPr="00594F72">
        <w:rPr>
          <w:rFonts w:cs="Arial"/>
          <w:i/>
          <w:iCs/>
        </w:rPr>
        <w:t xml:space="preserve">Australia’s Gender Equality Scorecard: Key Results from the Workplace Gender Equality Agency’s 2014-15 Reporting Data </w:t>
      </w:r>
      <w:r w:rsidRPr="00594F72">
        <w:rPr>
          <w:rFonts w:cs="Arial"/>
        </w:rPr>
        <w:t xml:space="preserve">(2015), 4. At </w:t>
      </w:r>
      <w:hyperlink r:id="rId6" w:history="1">
        <w:r w:rsidRPr="00594F72">
          <w:rPr>
            <w:rStyle w:val="Hyperlink"/>
            <w:rFonts w:cs="Arial"/>
          </w:rPr>
          <w:t>https://www.wgea.gov.au/</w:t>
        </w:r>
      </w:hyperlink>
      <w:r w:rsidRPr="00594F72">
        <w:rPr>
          <w:rFonts w:cs="Arial"/>
        </w:rPr>
        <w:t xml:space="preserve"> </w:t>
      </w:r>
      <w:r w:rsidRPr="00594F72">
        <w:rPr>
          <w:rStyle w:val="Hyperlink"/>
          <w:rFonts w:cs="Arial"/>
          <w:color w:val="000000" w:themeColor="text1"/>
          <w:u w:val="none"/>
        </w:rPr>
        <w:t>(viewed 22 February 2016).</w:t>
      </w:r>
      <w:r w:rsidRPr="00594F72">
        <w:rPr>
          <w:rFonts w:cs="Arial"/>
          <w:color w:val="000000" w:themeColor="text1"/>
        </w:rPr>
        <w:t xml:space="preserve">    </w:t>
      </w:r>
    </w:p>
  </w:endnote>
  <w:endnote w:id="11">
    <w:p w14:paraId="034A77B1" w14:textId="7C8DEEE6" w:rsidR="00B20854" w:rsidRPr="00594F72" w:rsidRDefault="00B20854" w:rsidP="007B2340">
      <w:pPr>
        <w:pStyle w:val="EndnoteText"/>
        <w:rPr>
          <w:rFonts w:cs="Arial"/>
        </w:rPr>
      </w:pPr>
      <w:r w:rsidRPr="00594F72">
        <w:rPr>
          <w:rStyle w:val="EndnoteReference"/>
          <w:rFonts w:cs="Arial"/>
        </w:rPr>
        <w:endnoteRef/>
      </w:r>
      <w:r w:rsidRPr="00594F72">
        <w:rPr>
          <w:rFonts w:cs="Arial"/>
        </w:rPr>
        <w:t xml:space="preserve"> </w:t>
      </w:r>
      <w:r w:rsidR="00594F72" w:rsidRPr="00594F72">
        <w:rPr>
          <w:rFonts w:cs="Arial"/>
        </w:rPr>
        <w:t xml:space="preserve">R </w:t>
      </w:r>
      <w:r w:rsidRPr="00773C02">
        <w:rPr>
          <w:rFonts w:cs="Arial"/>
        </w:rPr>
        <w:t>Clare</w:t>
      </w:r>
      <w:r w:rsidRPr="00594F72">
        <w:rPr>
          <w:rFonts w:cs="Arial"/>
        </w:rPr>
        <w:t xml:space="preserve">, </w:t>
      </w:r>
      <w:r w:rsidRPr="00594F72">
        <w:rPr>
          <w:rFonts w:cs="Arial"/>
          <w:i/>
          <w:iCs/>
        </w:rPr>
        <w:t>Superannuation and high account balances, April 2015</w:t>
      </w:r>
      <w:r w:rsidRPr="00594F72">
        <w:rPr>
          <w:rFonts w:cs="Arial"/>
        </w:rPr>
        <w:t xml:space="preserve">, </w:t>
      </w:r>
      <w:r w:rsidR="00594F72" w:rsidRPr="00594F72">
        <w:rPr>
          <w:rFonts w:cs="Arial"/>
        </w:rPr>
        <w:t>(2015).</w:t>
      </w:r>
      <w:r w:rsidRPr="00594F72">
        <w:rPr>
          <w:rFonts w:cs="Arial"/>
        </w:rPr>
        <w:t xml:space="preserve">   </w:t>
      </w:r>
    </w:p>
  </w:endnote>
  <w:endnote w:id="12">
    <w:p w14:paraId="5ADE7932" w14:textId="77777777" w:rsidR="00B20854" w:rsidRPr="00594F72" w:rsidRDefault="00B20854" w:rsidP="007B2340">
      <w:pPr>
        <w:pStyle w:val="EndnoteText"/>
        <w:rPr>
          <w:rFonts w:cs="Arial"/>
          <w:color w:val="000000" w:themeColor="text1"/>
        </w:rPr>
      </w:pPr>
      <w:r w:rsidRPr="00594F72">
        <w:rPr>
          <w:rStyle w:val="EndnoteReference"/>
          <w:rFonts w:cs="Arial"/>
        </w:rPr>
        <w:endnoteRef/>
      </w:r>
      <w:r w:rsidRPr="00594F72">
        <w:rPr>
          <w:rFonts w:cs="Arial"/>
        </w:rPr>
        <w:t xml:space="preserve"> Australian Institute of Company Directors, Board Diversity Statistics, </w:t>
      </w:r>
      <w:hyperlink r:id="rId7" w:history="1">
        <w:r w:rsidRPr="00594F72">
          <w:rPr>
            <w:rStyle w:val="Hyperlink"/>
            <w:rFonts w:cs="Arial"/>
          </w:rPr>
          <w:t>http://www.companydirectors.com.au/director-resource-centre/governance-and-director-issues/board-diversity/statistics</w:t>
        </w:r>
      </w:hyperlink>
      <w:r w:rsidRPr="00594F72">
        <w:rPr>
          <w:rFonts w:cs="Arial"/>
        </w:rPr>
        <w:t xml:space="preserve"> </w:t>
      </w:r>
      <w:r w:rsidRPr="00594F72">
        <w:rPr>
          <w:rStyle w:val="Hyperlink"/>
          <w:rFonts w:cs="Arial"/>
          <w:color w:val="000000" w:themeColor="text1"/>
          <w:u w:val="none"/>
        </w:rPr>
        <w:t>(viewed 22 February 2016).</w:t>
      </w:r>
      <w:r w:rsidRPr="00594F72">
        <w:rPr>
          <w:rFonts w:cs="Arial"/>
          <w:color w:val="000000" w:themeColor="text1"/>
        </w:rPr>
        <w:t xml:space="preserve"> </w:t>
      </w:r>
    </w:p>
  </w:endnote>
  <w:endnote w:id="13">
    <w:p w14:paraId="23DC6057" w14:textId="77777777" w:rsidR="00B20854" w:rsidRPr="00594F72" w:rsidRDefault="00B20854" w:rsidP="007B2340">
      <w:pPr>
        <w:pStyle w:val="EndnoteText"/>
        <w:rPr>
          <w:rFonts w:cs="Arial"/>
          <w:color w:val="000000" w:themeColor="text1"/>
        </w:rPr>
      </w:pPr>
      <w:r w:rsidRPr="00594F72">
        <w:rPr>
          <w:rStyle w:val="EndnoteReference"/>
          <w:rFonts w:cs="Arial"/>
        </w:rPr>
        <w:endnoteRef/>
      </w:r>
      <w:r w:rsidRPr="00594F72">
        <w:rPr>
          <w:rFonts w:cs="Arial"/>
        </w:rPr>
        <w:t xml:space="preserve"> Workplace Gender Equality Agency, </w:t>
      </w:r>
      <w:r w:rsidRPr="00594F72">
        <w:rPr>
          <w:rFonts w:cs="Arial"/>
          <w:i/>
        </w:rPr>
        <w:t>2012 Australian Census of Women in Leadership</w:t>
      </w:r>
      <w:r w:rsidRPr="00594F72">
        <w:rPr>
          <w:rFonts w:cs="Arial"/>
        </w:rPr>
        <w:t xml:space="preserve"> (2012). At </w:t>
      </w:r>
      <w:hyperlink r:id="rId8" w:history="1">
        <w:r w:rsidRPr="00594F72">
          <w:rPr>
            <w:rStyle w:val="Hyperlink"/>
            <w:rFonts w:cs="Arial"/>
          </w:rPr>
          <w:t>https://www.wgea.gov.au/sites/default/files/2012_census_summary_tag.pdf</w:t>
        </w:r>
      </w:hyperlink>
      <w:r w:rsidRPr="00594F72">
        <w:rPr>
          <w:rStyle w:val="Hyperlink"/>
          <w:rFonts w:cs="Arial"/>
        </w:rPr>
        <w:t xml:space="preserve"> </w:t>
      </w:r>
      <w:r w:rsidRPr="00594F72">
        <w:rPr>
          <w:rStyle w:val="Hyperlink"/>
          <w:rFonts w:cs="Arial"/>
          <w:color w:val="000000" w:themeColor="text1"/>
          <w:u w:val="none"/>
        </w:rPr>
        <w:t>(viewed 22 February 2016)</w:t>
      </w:r>
      <w:r w:rsidRPr="00594F72">
        <w:rPr>
          <w:rFonts w:cs="Arial"/>
          <w:color w:val="000000" w:themeColor="text1"/>
        </w:rPr>
        <w:t>.</w:t>
      </w:r>
    </w:p>
  </w:endnote>
  <w:endnote w:id="14">
    <w:p w14:paraId="5868A6AC" w14:textId="357B259E" w:rsidR="00CB03C8" w:rsidRPr="00594F72" w:rsidRDefault="00CB03C8" w:rsidP="00CB03C8">
      <w:pPr>
        <w:pStyle w:val="Default"/>
        <w:rPr>
          <w:rFonts w:ascii="Arial" w:hAnsi="Arial" w:cs="Arial"/>
          <w:color w:val="000000" w:themeColor="text1"/>
          <w:sz w:val="20"/>
          <w:szCs w:val="20"/>
        </w:rPr>
      </w:pPr>
      <w:r w:rsidRPr="00761DFD">
        <w:rPr>
          <w:rStyle w:val="EndnoteReference"/>
          <w:szCs w:val="20"/>
        </w:rPr>
        <w:endnoteRef/>
      </w:r>
      <w:r w:rsidRPr="00761DFD">
        <w:rPr>
          <w:sz w:val="20"/>
          <w:szCs w:val="20"/>
        </w:rPr>
        <w:t xml:space="preserve"> </w:t>
      </w:r>
      <w:r w:rsidRPr="00594F72">
        <w:rPr>
          <w:rFonts w:ascii="Arial" w:hAnsi="Arial" w:cs="Arial"/>
          <w:color w:val="000000" w:themeColor="text1"/>
          <w:spacing w:val="-4"/>
          <w:sz w:val="20"/>
          <w:szCs w:val="20"/>
          <w:shd w:val="clear" w:color="auto" w:fill="FFFFFF"/>
        </w:rPr>
        <w:t xml:space="preserve">VicHealth, </w:t>
      </w:r>
      <w:r w:rsidRPr="00594F72">
        <w:rPr>
          <w:rStyle w:val="A0"/>
          <w:rFonts w:ascii="Arial" w:eastAsia="MS Mincho" w:hAnsi="Arial" w:cs="Arial"/>
          <w:b w:val="0"/>
          <w:i/>
          <w:color w:val="000000" w:themeColor="text1"/>
          <w:sz w:val="20"/>
          <w:szCs w:val="20"/>
        </w:rPr>
        <w:t>Australians’ attitudes to violence against women</w:t>
      </w:r>
      <w:r w:rsidRPr="00192B11">
        <w:rPr>
          <w:rStyle w:val="A0"/>
          <w:rFonts w:ascii="Arial" w:hAnsi="Arial" w:cs="Arial"/>
          <w:b w:val="0"/>
          <w:i/>
          <w:color w:val="000000" w:themeColor="text1"/>
          <w:sz w:val="20"/>
          <w:szCs w:val="20"/>
        </w:rPr>
        <w:t>:</w:t>
      </w:r>
      <w:r w:rsidRPr="00192B11">
        <w:rPr>
          <w:rFonts w:ascii="Arial" w:hAnsi="Arial" w:cs="Arial"/>
          <w:i/>
          <w:color w:val="000000" w:themeColor="text1"/>
          <w:sz w:val="20"/>
          <w:szCs w:val="20"/>
        </w:rPr>
        <w:t xml:space="preserve"> Findings from the 201</w:t>
      </w:r>
      <w:r w:rsidR="00D23549">
        <w:rPr>
          <w:rFonts w:ascii="Arial" w:hAnsi="Arial" w:cs="Arial"/>
          <w:i/>
          <w:color w:val="000000" w:themeColor="text1"/>
          <w:sz w:val="20"/>
          <w:szCs w:val="20"/>
        </w:rPr>
        <w:t>3 National Community Attitudes towards Violence Against</w:t>
      </w:r>
      <w:r w:rsidRPr="00192B11">
        <w:rPr>
          <w:rFonts w:ascii="Arial" w:hAnsi="Arial" w:cs="Arial"/>
          <w:i/>
          <w:color w:val="000000" w:themeColor="text1"/>
          <w:sz w:val="20"/>
          <w:szCs w:val="20"/>
        </w:rPr>
        <w:t xml:space="preserve"> Women Survey</w:t>
      </w:r>
      <w:r w:rsidR="00594F72" w:rsidRPr="00192B11">
        <w:rPr>
          <w:rFonts w:ascii="Arial" w:hAnsi="Arial" w:cs="Arial"/>
          <w:color w:val="000000" w:themeColor="text1"/>
          <w:spacing w:val="-4"/>
          <w:sz w:val="20"/>
          <w:szCs w:val="20"/>
          <w:shd w:val="clear" w:color="auto" w:fill="FFFFFF"/>
        </w:rPr>
        <w:t xml:space="preserve"> (</w:t>
      </w:r>
      <w:r w:rsidRPr="005E621D">
        <w:rPr>
          <w:rFonts w:ascii="Arial" w:hAnsi="Arial" w:cs="Arial"/>
          <w:color w:val="000000" w:themeColor="text1"/>
          <w:spacing w:val="-4"/>
          <w:sz w:val="20"/>
          <w:szCs w:val="20"/>
          <w:shd w:val="clear" w:color="auto" w:fill="FFFFFF"/>
        </w:rPr>
        <w:t>2013</w:t>
      </w:r>
      <w:r w:rsidR="00594F72" w:rsidRPr="00773C02">
        <w:rPr>
          <w:rFonts w:ascii="Arial" w:hAnsi="Arial" w:cs="Arial"/>
          <w:color w:val="000000" w:themeColor="text1"/>
          <w:spacing w:val="-4"/>
          <w:sz w:val="20"/>
          <w:szCs w:val="20"/>
          <w:shd w:val="clear" w:color="auto" w:fill="FFFFFF"/>
        </w:rPr>
        <w:t>)</w:t>
      </w:r>
      <w:r w:rsidRPr="00773C02">
        <w:rPr>
          <w:rFonts w:ascii="Arial" w:hAnsi="Arial" w:cs="Arial"/>
          <w:color w:val="000000" w:themeColor="text1"/>
          <w:spacing w:val="-4"/>
          <w:sz w:val="20"/>
          <w:szCs w:val="20"/>
          <w:shd w:val="clear" w:color="auto" w:fill="FFFFFF"/>
        </w:rPr>
        <w:t xml:space="preserve">, </w:t>
      </w:r>
      <w:r w:rsidRPr="00594F72">
        <w:rPr>
          <w:rFonts w:ascii="Arial" w:hAnsi="Arial" w:cs="Arial"/>
          <w:color w:val="000000" w:themeColor="text1"/>
          <w:spacing w:val="-4"/>
          <w:sz w:val="20"/>
          <w:szCs w:val="20"/>
          <w:shd w:val="clear" w:color="auto" w:fill="FFFFFF"/>
        </w:rPr>
        <w:t xml:space="preserve">p </w:t>
      </w:r>
      <w:r w:rsidR="00DF65DD" w:rsidRPr="00594F72">
        <w:rPr>
          <w:rFonts w:ascii="Arial" w:hAnsi="Arial" w:cs="Arial"/>
          <w:color w:val="000000" w:themeColor="text1"/>
          <w:spacing w:val="-4"/>
          <w:sz w:val="20"/>
          <w:szCs w:val="20"/>
          <w:shd w:val="clear" w:color="auto" w:fill="FFFFFF"/>
        </w:rPr>
        <w:t>13</w:t>
      </w:r>
      <w:r w:rsidRPr="00594F72">
        <w:rPr>
          <w:rFonts w:ascii="Arial" w:hAnsi="Arial" w:cs="Arial"/>
          <w:color w:val="000000" w:themeColor="text1"/>
          <w:spacing w:val="-4"/>
          <w:sz w:val="20"/>
          <w:szCs w:val="20"/>
          <w:shd w:val="clear" w:color="auto" w:fill="FFFFFF"/>
        </w:rPr>
        <w:t xml:space="preserve">. At </w:t>
      </w:r>
      <w:hyperlink r:id="rId9" w:history="1">
        <w:r w:rsidRPr="00594F72">
          <w:rPr>
            <w:rStyle w:val="Hyperlink"/>
            <w:rFonts w:ascii="Arial" w:hAnsi="Arial" w:cs="Arial"/>
            <w:spacing w:val="-4"/>
            <w:sz w:val="20"/>
            <w:szCs w:val="20"/>
            <w:shd w:val="clear" w:color="auto" w:fill="FFFFFF"/>
          </w:rPr>
          <w:t>https://www.vichealth.vic.gov.au/media-and-resources/publications/2013-national-community-attitudes-towards-violence-against-women-survey</w:t>
        </w:r>
      </w:hyperlink>
      <w:r w:rsidRPr="00594F72">
        <w:rPr>
          <w:rFonts w:ascii="Arial" w:hAnsi="Arial" w:cs="Arial"/>
          <w:color w:val="000000" w:themeColor="text1"/>
          <w:spacing w:val="-4"/>
          <w:sz w:val="20"/>
          <w:szCs w:val="20"/>
          <w:shd w:val="clear" w:color="auto" w:fill="FFFFFF"/>
        </w:rPr>
        <w:t xml:space="preserve"> (viewed 30 March 2016).</w:t>
      </w:r>
    </w:p>
  </w:endnote>
  <w:endnote w:id="15">
    <w:p w14:paraId="41CEEFBF" w14:textId="343ABEE8" w:rsidR="00B20854" w:rsidRPr="00594F72" w:rsidRDefault="00B20854">
      <w:pPr>
        <w:pStyle w:val="EndnoteText"/>
      </w:pPr>
      <w:r w:rsidRPr="00594F72">
        <w:rPr>
          <w:rStyle w:val="EndnoteReference"/>
        </w:rPr>
        <w:endnoteRef/>
      </w:r>
      <w:r w:rsidRPr="00594F72">
        <w:t xml:space="preserve"> Our Watch, VicHealth, ANROWS, </w:t>
      </w:r>
      <w:r w:rsidRPr="00594F72">
        <w:rPr>
          <w:i/>
        </w:rPr>
        <w:t>Change the Story: A shared framework for the primary prevention of violence against women and their children in Australia</w:t>
      </w:r>
      <w:r w:rsidR="00594F72" w:rsidRPr="00594F72">
        <w:t>, (</w:t>
      </w:r>
      <w:r w:rsidRPr="00594F72">
        <w:t>2015</w:t>
      </w:r>
      <w:r w:rsidR="00594F72" w:rsidRPr="00594F72">
        <w:t>)</w:t>
      </w:r>
      <w:r w:rsidRPr="00594F72">
        <w:rPr>
          <w:i/>
        </w:rPr>
        <w:t xml:space="preserve">. </w:t>
      </w:r>
      <w:r w:rsidRPr="00594F72">
        <w:t xml:space="preserve">At </w:t>
      </w:r>
      <w:hyperlink r:id="rId10" w:history="1">
        <w:r w:rsidRPr="00594F72">
          <w:rPr>
            <w:rStyle w:val="Hyperlink"/>
          </w:rPr>
          <w:t>http://www.ourwatch.org.au/getmedia/0aa0109b-6b03-43f2-85fe-a9f5ec92ae4e/Change-the-story-framework-prevent-violence-women-children-AA-new.pdf.aspx</w:t>
        </w:r>
      </w:hyperlink>
      <w:r w:rsidRPr="00594F72">
        <w:t xml:space="preserve"> (viewed 30 March 2016)</w:t>
      </w:r>
    </w:p>
  </w:endnote>
  <w:endnote w:id="16">
    <w:p w14:paraId="3AD0555E" w14:textId="77777777" w:rsidR="00B20854" w:rsidRPr="00594F72" w:rsidRDefault="00B20854">
      <w:pPr>
        <w:pStyle w:val="EndnoteText"/>
      </w:pPr>
      <w:r w:rsidRPr="00594F72">
        <w:rPr>
          <w:rStyle w:val="EndnoteReference"/>
        </w:rPr>
        <w:endnoteRef/>
      </w:r>
      <w:r w:rsidRPr="00594F72">
        <w:t xml:space="preserve"> Our Watch, VicHealth, ANROWS, </w:t>
      </w:r>
      <w:r w:rsidRPr="00594F72">
        <w:rPr>
          <w:i/>
        </w:rPr>
        <w:t>Change the Story: A shared framework for the primary prevention of violence against women and their children in Australia</w:t>
      </w:r>
      <w:r w:rsidRPr="00594F72">
        <w:t>, 2015, foreword</w:t>
      </w:r>
      <w:r w:rsidRPr="00594F72">
        <w:rPr>
          <w:i/>
        </w:rPr>
        <w:t xml:space="preserve">. </w:t>
      </w:r>
      <w:r w:rsidRPr="00594F72">
        <w:t xml:space="preserve">At </w:t>
      </w:r>
      <w:hyperlink r:id="rId11" w:history="1">
        <w:r w:rsidRPr="00594F72">
          <w:rPr>
            <w:rStyle w:val="Hyperlink"/>
          </w:rPr>
          <w:t>http://www.ourwatch.org.au/getmedia/0aa0109b-6b03-43f2-85fe-a9f5ec92ae4e/Change-the-story-framework-prevent-violence-women-children-AA-new.pdf.aspx</w:t>
        </w:r>
      </w:hyperlink>
      <w:r w:rsidRPr="00594F72">
        <w:t xml:space="preserve"> (viewed 30 March 2016)</w:t>
      </w:r>
    </w:p>
  </w:endnote>
  <w:endnote w:id="17">
    <w:p w14:paraId="6567CEF6" w14:textId="4CBA9B34" w:rsidR="00B20854" w:rsidRPr="00594F72" w:rsidRDefault="00B20854" w:rsidP="00B20854">
      <w:pPr>
        <w:pStyle w:val="EndnoteText"/>
      </w:pPr>
      <w:r w:rsidRPr="00594F72">
        <w:rPr>
          <w:rStyle w:val="EndnoteReference"/>
        </w:rPr>
        <w:endnoteRef/>
      </w:r>
      <w:r w:rsidRPr="00594F72">
        <w:t xml:space="preserve"> Our Watch, VicHealth, ANROWS, </w:t>
      </w:r>
      <w:r w:rsidRPr="00594F72">
        <w:rPr>
          <w:i/>
        </w:rPr>
        <w:t>Change the Story: A shared framework for the primary prevention of violence against women and their children in Australia</w:t>
      </w:r>
      <w:r w:rsidR="00594F72" w:rsidRPr="00594F72">
        <w:t>, (</w:t>
      </w:r>
      <w:r w:rsidRPr="00594F72">
        <w:t>2015</w:t>
      </w:r>
      <w:r w:rsidR="00594F72" w:rsidRPr="00594F72">
        <w:t>)</w:t>
      </w:r>
      <w:r w:rsidRPr="00594F72">
        <w:t>, p33</w:t>
      </w:r>
      <w:r w:rsidRPr="00594F72">
        <w:rPr>
          <w:i/>
        </w:rPr>
        <w:t xml:space="preserve">. </w:t>
      </w:r>
      <w:r w:rsidRPr="00594F72">
        <w:t xml:space="preserve">At </w:t>
      </w:r>
      <w:hyperlink r:id="rId12" w:history="1">
        <w:r w:rsidRPr="00594F72">
          <w:rPr>
            <w:rStyle w:val="Hyperlink"/>
          </w:rPr>
          <w:t>http://www.ourwatch.org.au/getmedia/0aa0109b-6b03-43f2-85fe-a9f5ec92ae4e/Change-the-story-framework-prevent-violence-women-children-AA-new.pdf.aspx</w:t>
        </w:r>
      </w:hyperlink>
      <w:r w:rsidRPr="00594F72">
        <w:t xml:space="preserve"> (viewed 30 March 2016)</w:t>
      </w:r>
    </w:p>
  </w:endnote>
  <w:endnote w:id="18">
    <w:p w14:paraId="5A7BAF13" w14:textId="4EE32970" w:rsidR="00B20854" w:rsidRPr="00594F72" w:rsidRDefault="00B20854" w:rsidP="00B20854">
      <w:pPr>
        <w:pStyle w:val="EndnoteText"/>
        <w:tabs>
          <w:tab w:val="left" w:pos="1134"/>
        </w:tabs>
      </w:pPr>
      <w:r w:rsidRPr="00594F72">
        <w:rPr>
          <w:rStyle w:val="EndnoteReference"/>
        </w:rPr>
        <w:endnoteRef/>
      </w:r>
      <w:r w:rsidRPr="00594F72">
        <w:t xml:space="preserve"> Our Watch, VicHealth, ANROWS, </w:t>
      </w:r>
      <w:r w:rsidRPr="00594F72">
        <w:rPr>
          <w:i/>
        </w:rPr>
        <w:t>Change the Story: A shared framework for the primary prevention of violence against women and their children in Australia</w:t>
      </w:r>
      <w:r w:rsidR="00594F72" w:rsidRPr="00594F72">
        <w:t>, (</w:t>
      </w:r>
      <w:r w:rsidRPr="00594F72">
        <w:t>2015</w:t>
      </w:r>
      <w:r w:rsidR="00594F72" w:rsidRPr="00594F72">
        <w:t>)</w:t>
      </w:r>
      <w:r w:rsidRPr="00594F72">
        <w:t>, p44</w:t>
      </w:r>
      <w:r w:rsidR="009545CB">
        <w:t>, Appendix 1</w:t>
      </w:r>
      <w:r w:rsidRPr="00594F72">
        <w:rPr>
          <w:i/>
        </w:rPr>
        <w:t xml:space="preserve">. </w:t>
      </w:r>
      <w:r w:rsidRPr="00594F72">
        <w:t xml:space="preserve">At </w:t>
      </w:r>
      <w:hyperlink r:id="rId13" w:history="1">
        <w:r w:rsidRPr="00594F72">
          <w:rPr>
            <w:rStyle w:val="Hyperlink"/>
          </w:rPr>
          <w:t>http://www.ourwatch.org.au/getmedia/0aa0109b-6b03-43f2-85fe-a9f5ec92ae4e/Change-the-story-framework-prevent-violence-women-children-AA-new.pdf.aspx</w:t>
        </w:r>
      </w:hyperlink>
      <w:r w:rsidRPr="00594F72">
        <w:t xml:space="preserve"> (viewed 30 March 2016)</w:t>
      </w:r>
    </w:p>
  </w:endnote>
  <w:endnote w:id="19">
    <w:p w14:paraId="55F84178" w14:textId="77777777" w:rsidR="00B20854" w:rsidRPr="00594F72" w:rsidRDefault="00B20854">
      <w:pPr>
        <w:pStyle w:val="EndnoteText"/>
      </w:pPr>
      <w:r w:rsidRPr="00594F72">
        <w:rPr>
          <w:rStyle w:val="EndnoteReference"/>
        </w:rPr>
        <w:endnoteRef/>
      </w:r>
      <w:r w:rsidRPr="00594F72">
        <w:t xml:space="preserve"> Our Watch, ‘</w:t>
      </w:r>
      <w:r w:rsidRPr="00594F72">
        <w:rPr>
          <w:spacing w:val="-4"/>
          <w:lang w:val="en"/>
        </w:rPr>
        <w:t>Respectful Relationships Education in Schools (Victoria)</w:t>
      </w:r>
      <w:r w:rsidRPr="00594F72">
        <w:t xml:space="preserve">, </w:t>
      </w:r>
      <w:hyperlink r:id="rId14" w:history="1">
        <w:r w:rsidRPr="00594F72">
          <w:rPr>
            <w:rStyle w:val="Hyperlink"/>
          </w:rPr>
          <w:t>http://www.ourwatch.org.au/What-We-Do-(1)/Respectful-Relationships-Education-in-Schools-(Vic</w:t>
        </w:r>
      </w:hyperlink>
      <w:r w:rsidRPr="00594F72">
        <w:t xml:space="preserve"> (viewed 30 March 2016).</w:t>
      </w:r>
    </w:p>
  </w:endnote>
  <w:endnote w:id="20">
    <w:p w14:paraId="2FF48311" w14:textId="2F846FC3" w:rsidR="00B20854" w:rsidRPr="00594F72" w:rsidRDefault="00B20854" w:rsidP="00963A7C">
      <w:pPr>
        <w:spacing w:before="100" w:after="225"/>
        <w:rPr>
          <w:rFonts w:cs="Arial"/>
          <w:color w:val="343434"/>
          <w:sz w:val="20"/>
          <w:szCs w:val="20"/>
        </w:rPr>
      </w:pPr>
      <w:r w:rsidRPr="00594F72">
        <w:rPr>
          <w:rStyle w:val="EndnoteReference"/>
          <w:szCs w:val="20"/>
        </w:rPr>
        <w:endnoteRef/>
      </w:r>
      <w:r w:rsidRPr="00594F72">
        <w:rPr>
          <w:rFonts w:cs="Arial"/>
          <w:sz w:val="20"/>
          <w:szCs w:val="20"/>
        </w:rPr>
        <w:t xml:space="preserve"> Council of Australian Governments, </w:t>
      </w:r>
      <w:r w:rsidRPr="00594F72">
        <w:rPr>
          <w:rFonts w:cs="Arial"/>
          <w:i/>
          <w:sz w:val="20"/>
          <w:szCs w:val="20"/>
        </w:rPr>
        <w:t>Communique</w:t>
      </w:r>
      <w:r w:rsidRPr="00594F72">
        <w:rPr>
          <w:rFonts w:cs="Arial"/>
          <w:sz w:val="20"/>
          <w:szCs w:val="20"/>
        </w:rPr>
        <w:t xml:space="preserve">, April 2015. At </w:t>
      </w:r>
      <w:hyperlink r:id="rId15" w:history="1">
        <w:r w:rsidRPr="00594F72">
          <w:rPr>
            <w:rStyle w:val="Hyperlink"/>
            <w:rFonts w:cs="Arial"/>
            <w:sz w:val="20"/>
            <w:szCs w:val="20"/>
          </w:rPr>
          <w:t>https://www.coag.gov.au/sites/default/files/coag%20communique%2017%20april%202015.pdf</w:t>
        </w:r>
      </w:hyperlink>
      <w:r w:rsidRPr="00594F72">
        <w:rPr>
          <w:rStyle w:val="Hyperlink"/>
          <w:rFonts w:cs="Arial"/>
          <w:sz w:val="20"/>
          <w:szCs w:val="20"/>
        </w:rPr>
        <w:t xml:space="preserve"> (viewed 22 February 2016); </w:t>
      </w:r>
      <w:r w:rsidRPr="00761DFD">
        <w:rPr>
          <w:rStyle w:val="Hyperlink"/>
          <w:rFonts w:cs="Arial"/>
          <w:color w:val="000000" w:themeColor="text1"/>
          <w:sz w:val="20"/>
          <w:szCs w:val="20"/>
          <w:u w:val="none"/>
        </w:rPr>
        <w:t>Malcolm Turnbull, Media Release:</w:t>
      </w:r>
      <w:r w:rsidRPr="00761DFD">
        <w:rPr>
          <w:rStyle w:val="Hyperlink"/>
          <w:rFonts w:cs="Arial"/>
          <w:color w:val="000000" w:themeColor="text1"/>
          <w:sz w:val="20"/>
          <w:szCs w:val="20"/>
        </w:rPr>
        <w:t xml:space="preserve"> </w:t>
      </w:r>
      <w:r w:rsidRPr="00594F72">
        <w:rPr>
          <w:rFonts w:cs="Arial"/>
          <w:i/>
          <w:color w:val="343434"/>
          <w:sz w:val="20"/>
          <w:szCs w:val="20"/>
        </w:rPr>
        <w:t>Women’s Sa</w:t>
      </w:r>
      <w:r w:rsidR="00D23549">
        <w:rPr>
          <w:rFonts w:cs="Arial"/>
          <w:i/>
          <w:color w:val="343434"/>
          <w:sz w:val="20"/>
          <w:szCs w:val="20"/>
        </w:rPr>
        <w:t>fety Package to #Stopthe</w:t>
      </w:r>
      <w:r w:rsidRPr="00594F72">
        <w:rPr>
          <w:rFonts w:cs="Arial"/>
          <w:i/>
          <w:color w:val="343434"/>
          <w:sz w:val="20"/>
          <w:szCs w:val="20"/>
        </w:rPr>
        <w:t>Violence,</w:t>
      </w:r>
      <w:r w:rsidRPr="00594F72">
        <w:rPr>
          <w:rFonts w:cs="Arial"/>
          <w:color w:val="343434"/>
          <w:sz w:val="20"/>
          <w:szCs w:val="20"/>
        </w:rPr>
        <w:t xml:space="preserve"> (24 September 2015). At </w:t>
      </w:r>
      <w:hyperlink r:id="rId16" w:history="1">
        <w:r w:rsidRPr="00594F72">
          <w:rPr>
            <w:rStyle w:val="Hyperlink"/>
            <w:rFonts w:cs="Arial"/>
            <w:sz w:val="20"/>
            <w:szCs w:val="20"/>
          </w:rPr>
          <w:t>http://www.malcolmturnbull.com.au/media/release-womens-safety-package-to-stoptheviolence</w:t>
        </w:r>
      </w:hyperlink>
      <w:r w:rsidRPr="00594F72">
        <w:rPr>
          <w:rFonts w:cs="Arial"/>
          <w:color w:val="343434"/>
          <w:sz w:val="20"/>
          <w:szCs w:val="20"/>
        </w:rPr>
        <w:t xml:space="preserve">  (viewed 22 February 2016)</w:t>
      </w:r>
    </w:p>
  </w:endnote>
  <w:endnote w:id="21">
    <w:p w14:paraId="52550149" w14:textId="77777777" w:rsidR="00B20854" w:rsidRPr="00594F72" w:rsidRDefault="00B20854" w:rsidP="00D020FD">
      <w:pPr>
        <w:pStyle w:val="EndnoteText"/>
        <w:rPr>
          <w:rFonts w:cs="Arial"/>
        </w:rPr>
      </w:pPr>
      <w:r w:rsidRPr="00773C02">
        <w:rPr>
          <w:rStyle w:val="EndnoteReference"/>
          <w:rFonts w:cs="Arial"/>
        </w:rPr>
        <w:endnoteRef/>
      </w:r>
      <w:r w:rsidRPr="00773C02">
        <w:rPr>
          <w:rFonts w:cs="Arial"/>
        </w:rPr>
        <w:t xml:space="preserve"> CEDAW Committee, </w:t>
      </w:r>
      <w:r w:rsidRPr="00594F72">
        <w:rPr>
          <w:rFonts w:cs="Arial"/>
          <w:i/>
          <w:iCs/>
        </w:rPr>
        <w:t>General Recommendation No. 19: Violence against Women</w:t>
      </w:r>
      <w:r w:rsidRPr="00594F72">
        <w:rPr>
          <w:rFonts w:cs="Arial"/>
        </w:rPr>
        <w:t xml:space="preserve">, UN Doc. A/47/38 (1992) [1], [6].  </w:t>
      </w:r>
    </w:p>
  </w:endnote>
  <w:endnote w:id="22">
    <w:p w14:paraId="221F2CC1" w14:textId="77777777" w:rsidR="00B20854" w:rsidRPr="00594F72" w:rsidRDefault="00B20854" w:rsidP="00D020FD">
      <w:pPr>
        <w:pStyle w:val="EndnoteText"/>
        <w:rPr>
          <w:rFonts w:cs="Arial"/>
        </w:rPr>
      </w:pPr>
      <w:r w:rsidRPr="00594F72">
        <w:rPr>
          <w:rStyle w:val="EndnoteReference"/>
          <w:rFonts w:cs="Arial"/>
        </w:rPr>
        <w:endnoteRef/>
      </w:r>
      <w:r w:rsidRPr="00594F72">
        <w:rPr>
          <w:rFonts w:cs="Arial"/>
        </w:rPr>
        <w:t xml:space="preserve"> See, for example, Commonwealth, </w:t>
      </w:r>
      <w:r w:rsidRPr="00594F72">
        <w:rPr>
          <w:rFonts w:cs="Arial"/>
          <w:i/>
          <w:iCs/>
        </w:rPr>
        <w:t>Parliamentary Debates</w:t>
      </w:r>
      <w:r w:rsidRPr="00594F72">
        <w:rPr>
          <w:rFonts w:cs="Arial"/>
        </w:rPr>
        <w:t xml:space="preserve">, Senate, 23 January 2013, 27-36 (Anna Davis, National Alliance of Working Women’s Centres; Shabnam Hameed, Australian Domestic and Family Violence Clearinghouse; Gaby Marcus, Australian Domestic and Family Violence Clearinghouse; Fiona McCormack, Domestic Violence Victoria; Ludo McFerran, Australian Domestic and Family Violence Clearinghouse). At </w:t>
      </w:r>
      <w:hyperlink r:id="rId17" w:history="1">
        <w:r w:rsidRPr="00594F72">
          <w:rPr>
            <w:rStyle w:val="Hyperlink"/>
            <w:rFonts w:cs="Arial"/>
          </w:rPr>
          <w:t>http://parlinfo.aph.gov.au/parlInfo/search/display/display.w3p;query=Id:%22committees/commsen/8eb3bdec-c603-4d2d-9564-674c7bd7b5c2/0000%22</w:t>
        </w:r>
      </w:hyperlink>
      <w:r w:rsidRPr="00594F72">
        <w:rPr>
          <w:rFonts w:cs="Arial"/>
        </w:rPr>
        <w:t xml:space="preserve"> (viewed 10 March 2016); Senate Standing Committee on Legal and Constitutional Affairs, Parliament of Australia, </w:t>
      </w:r>
      <w:r w:rsidRPr="00594F72">
        <w:rPr>
          <w:rFonts w:cs="Arial"/>
          <w:i/>
          <w:iCs/>
        </w:rPr>
        <w:t xml:space="preserve">Report on the Exposure Draft of the Human Rights and Anti-Discrimination Bill 2012 </w:t>
      </w:r>
      <w:r w:rsidRPr="00594F72">
        <w:rPr>
          <w:rFonts w:cs="Arial"/>
        </w:rPr>
        <w:t xml:space="preserve">(2013) [3.51]-[3.60]. At </w:t>
      </w:r>
      <w:hyperlink r:id="rId18" w:history="1">
        <w:r w:rsidRPr="00594F72">
          <w:rPr>
            <w:rStyle w:val="Hyperlink"/>
          </w:rPr>
          <w:t>http://www.aph.gov.au/Parliamentary_Business/Committees/Senate/Legal_and_Constitutional_Affairs/Completed_inquiries/2010-13/antidiscrimination2012/index</w:t>
        </w:r>
      </w:hyperlink>
      <w:r w:rsidRPr="00594F72">
        <w:rPr>
          <w:rFonts w:cs="Arial"/>
        </w:rPr>
        <w:t xml:space="preserve"> (viewed 10 March 2016).  </w:t>
      </w:r>
    </w:p>
  </w:endnote>
  <w:endnote w:id="23">
    <w:p w14:paraId="2104BCC9" w14:textId="77777777" w:rsidR="00B20854" w:rsidRPr="00594F72" w:rsidRDefault="00B20854" w:rsidP="00E23DBD">
      <w:pPr>
        <w:shd w:val="clear" w:color="auto" w:fill="FFFFFF"/>
        <w:spacing w:before="0" w:after="0"/>
        <w:rPr>
          <w:rFonts w:cs="Arial"/>
          <w:sz w:val="20"/>
          <w:szCs w:val="20"/>
          <w:lang w:val="en"/>
        </w:rPr>
      </w:pPr>
      <w:r w:rsidRPr="00594F72">
        <w:rPr>
          <w:rStyle w:val="EndnoteReference"/>
          <w:rFonts w:cs="Arial"/>
          <w:szCs w:val="20"/>
        </w:rPr>
        <w:endnoteRef/>
      </w:r>
      <w:r w:rsidRPr="00594F72">
        <w:rPr>
          <w:rFonts w:cs="Arial"/>
          <w:sz w:val="20"/>
          <w:szCs w:val="20"/>
        </w:rPr>
        <w:t xml:space="preserve"> The Australian Human Rights Commission recommended that </w:t>
      </w:r>
      <w:r w:rsidRPr="00594F72">
        <w:rPr>
          <w:rFonts w:cs="Arial"/>
          <w:bCs/>
          <w:iCs/>
          <w:sz w:val="20"/>
          <w:szCs w:val="20"/>
        </w:rPr>
        <w:t xml:space="preserve">federal anti-discrimination legislation and the </w:t>
      </w:r>
      <w:r w:rsidRPr="00594F72">
        <w:rPr>
          <w:rFonts w:cs="Arial"/>
          <w:bCs/>
          <w:i/>
          <w:iCs/>
          <w:sz w:val="20"/>
          <w:szCs w:val="20"/>
        </w:rPr>
        <w:t>Fair Work Act 2009</w:t>
      </w:r>
      <w:r w:rsidRPr="00773C02">
        <w:rPr>
          <w:rFonts w:cs="Arial"/>
          <w:bCs/>
          <w:iCs/>
          <w:sz w:val="20"/>
          <w:szCs w:val="20"/>
        </w:rPr>
        <w:t xml:space="preserve"> (Cth) prohibit discrimination on the ground of domestic and family violence. Australian Human Rights Commission, </w:t>
      </w:r>
      <w:r w:rsidRPr="00594F72">
        <w:rPr>
          <w:rFonts w:cs="Arial"/>
          <w:bCs/>
          <w:i/>
          <w:iCs/>
          <w:sz w:val="20"/>
          <w:szCs w:val="20"/>
        </w:rPr>
        <w:t>Consolidation of Commonwealth Discrimination Law – domestic and family violence</w:t>
      </w:r>
      <w:r w:rsidRPr="00594F72">
        <w:rPr>
          <w:rFonts w:cs="Arial"/>
          <w:bCs/>
          <w:iCs/>
          <w:sz w:val="20"/>
          <w:szCs w:val="20"/>
        </w:rPr>
        <w:t xml:space="preserve">, (2012). At </w:t>
      </w:r>
      <w:hyperlink r:id="rId19" w:history="1">
        <w:r w:rsidRPr="00594F72">
          <w:rPr>
            <w:rStyle w:val="Hyperlink"/>
            <w:rFonts w:cs="Arial"/>
            <w:bCs/>
            <w:iCs/>
            <w:sz w:val="20"/>
            <w:szCs w:val="20"/>
          </w:rPr>
          <w:t>http://www.humanrights.gov.au/consolidation-commonwealth-discrimination-law-domestic-and-family-violence</w:t>
        </w:r>
      </w:hyperlink>
      <w:r w:rsidRPr="00594F72">
        <w:rPr>
          <w:rFonts w:cs="Arial"/>
          <w:bCs/>
          <w:iCs/>
          <w:sz w:val="20"/>
          <w:szCs w:val="20"/>
        </w:rPr>
        <w:t xml:space="preserve"> (viewed </w:t>
      </w:r>
      <w:r w:rsidRPr="00761DFD">
        <w:rPr>
          <w:rFonts w:cs="Arial"/>
          <w:sz w:val="20"/>
          <w:szCs w:val="20"/>
        </w:rPr>
        <w:t>10 March 2016</w:t>
      </w:r>
      <w:r w:rsidRPr="00594F72">
        <w:rPr>
          <w:rFonts w:cs="Arial"/>
          <w:bCs/>
          <w:iCs/>
          <w:sz w:val="20"/>
          <w:szCs w:val="20"/>
        </w:rPr>
        <w:t xml:space="preserve">); Australian Human Rights Commission, </w:t>
      </w:r>
      <w:r w:rsidRPr="00594F72">
        <w:rPr>
          <w:rFonts w:cs="Arial"/>
          <w:sz w:val="20"/>
          <w:szCs w:val="20"/>
          <w:lang w:val="en"/>
        </w:rPr>
        <w:t>Post Implementation Review of the Fair Work Act 2009</w:t>
      </w:r>
      <w:r w:rsidRPr="00594F72">
        <w:rPr>
          <w:rFonts w:cs="Arial"/>
          <w:bCs/>
          <w:iCs/>
          <w:sz w:val="20"/>
          <w:szCs w:val="20"/>
        </w:rPr>
        <w:t xml:space="preserve"> (2012). At </w:t>
      </w:r>
      <w:hyperlink r:id="rId20" w:anchor="s8_3" w:history="1">
        <w:r w:rsidRPr="00594F72">
          <w:rPr>
            <w:rStyle w:val="Hyperlink"/>
            <w:rFonts w:cs="Arial"/>
            <w:bCs/>
            <w:iCs/>
            <w:sz w:val="20"/>
            <w:szCs w:val="20"/>
          </w:rPr>
          <w:t>http://www.humanrights.gov.au/post-implementation-review-fair-work-act-2009#s8_3</w:t>
        </w:r>
      </w:hyperlink>
      <w:r w:rsidRPr="00594F72">
        <w:rPr>
          <w:rFonts w:cs="Arial"/>
          <w:bCs/>
          <w:iCs/>
          <w:sz w:val="20"/>
          <w:szCs w:val="20"/>
        </w:rPr>
        <w:t xml:space="preserve"> (viewed 1</w:t>
      </w:r>
      <w:r w:rsidRPr="00761DFD">
        <w:rPr>
          <w:rFonts w:cs="Arial"/>
          <w:sz w:val="20"/>
          <w:szCs w:val="20"/>
        </w:rPr>
        <w:t>0 March 2016</w:t>
      </w:r>
      <w:r w:rsidRPr="00594F72">
        <w:rPr>
          <w:rFonts w:cs="Arial"/>
          <w:bCs/>
          <w:iCs/>
          <w:sz w:val="20"/>
          <w:szCs w:val="20"/>
        </w:rPr>
        <w:t xml:space="preserve">); Australian Human Rights Commission, </w:t>
      </w:r>
      <w:r w:rsidRPr="00594F72">
        <w:rPr>
          <w:rFonts w:cs="Arial"/>
          <w:sz w:val="20"/>
          <w:szCs w:val="20"/>
          <w:lang w:val="en"/>
        </w:rPr>
        <w:t xml:space="preserve">Australian Law Reform Commission: Family Violence and Commonwealth Laws: Employment and Superannuation </w:t>
      </w:r>
      <w:r w:rsidRPr="00594F72">
        <w:rPr>
          <w:rFonts w:cs="Arial"/>
          <w:bCs/>
          <w:iCs/>
          <w:sz w:val="20"/>
          <w:szCs w:val="20"/>
        </w:rPr>
        <w:t xml:space="preserve">(2011). At </w:t>
      </w:r>
      <w:hyperlink r:id="rId21" w:history="1">
        <w:r w:rsidRPr="00594F72">
          <w:rPr>
            <w:rStyle w:val="Hyperlink"/>
            <w:rFonts w:cs="Arial"/>
            <w:bCs/>
            <w:iCs/>
            <w:sz w:val="20"/>
            <w:szCs w:val="20"/>
          </w:rPr>
          <w:t>http://www.humanrights.gov.au/legal-research-and-resources-1</w:t>
        </w:r>
      </w:hyperlink>
      <w:r w:rsidRPr="00594F72">
        <w:rPr>
          <w:rFonts w:cs="Arial"/>
          <w:bCs/>
          <w:iCs/>
          <w:sz w:val="20"/>
          <w:szCs w:val="20"/>
        </w:rPr>
        <w:t xml:space="preserve"> (viewed </w:t>
      </w:r>
      <w:r w:rsidRPr="00761DFD">
        <w:rPr>
          <w:rFonts w:cs="Arial"/>
          <w:sz w:val="20"/>
          <w:szCs w:val="20"/>
        </w:rPr>
        <w:t>10 March 2016</w:t>
      </w:r>
      <w:r w:rsidRPr="00594F72">
        <w:rPr>
          <w:rFonts w:cs="Arial"/>
          <w:bCs/>
          <w:iCs/>
          <w:sz w:val="20"/>
          <w:szCs w:val="20"/>
        </w:rPr>
        <w:t>)</w:t>
      </w:r>
    </w:p>
  </w:endnote>
  <w:endnote w:id="24">
    <w:p w14:paraId="4DCB283C" w14:textId="77777777" w:rsidR="00B20854" w:rsidRPr="00594F72" w:rsidRDefault="00B20854" w:rsidP="00E23DBD">
      <w:pPr>
        <w:pStyle w:val="EndnoteText"/>
        <w:rPr>
          <w:rFonts w:cs="Arial"/>
        </w:rPr>
      </w:pPr>
      <w:r w:rsidRPr="00773C02">
        <w:rPr>
          <w:rStyle w:val="EndnoteReference"/>
          <w:rFonts w:cs="Arial"/>
        </w:rPr>
        <w:endnoteRef/>
      </w:r>
      <w:r w:rsidRPr="00773C02">
        <w:rPr>
          <w:rFonts w:cs="Arial"/>
        </w:rPr>
        <w:t xml:space="preserve"> Australian Law Reform Commission, </w:t>
      </w:r>
      <w:r w:rsidRPr="00594F72">
        <w:rPr>
          <w:rFonts w:cs="Arial"/>
          <w:i/>
        </w:rPr>
        <w:t xml:space="preserve">Family Violence and Commonwealth Laws - Improving Legal Frameworks Final Report </w:t>
      </w:r>
      <w:r w:rsidRPr="00594F72">
        <w:rPr>
          <w:rFonts w:cs="Arial"/>
        </w:rPr>
        <w:t xml:space="preserve">(2011), ALRC Report 117, Recommendation 16-8. At </w:t>
      </w:r>
      <w:hyperlink r:id="rId22" w:history="1">
        <w:r w:rsidRPr="00594F72">
          <w:rPr>
            <w:rStyle w:val="Hyperlink"/>
            <w:rFonts w:cs="Arial"/>
          </w:rPr>
          <w:t>http://www.alrc.gov.au/publications/family-violence-and-commonwealth-laws-improving-legal-frameworks-alrc-report-117</w:t>
        </w:r>
      </w:hyperlink>
      <w:r w:rsidRPr="00594F72">
        <w:rPr>
          <w:rFonts w:cs="Arial"/>
        </w:rPr>
        <w:t xml:space="preserve"> (viewed 10 March 2016).</w:t>
      </w:r>
    </w:p>
  </w:endnote>
  <w:endnote w:id="25">
    <w:p w14:paraId="05D36F00" w14:textId="77777777" w:rsidR="00B20854" w:rsidRPr="00594F72" w:rsidRDefault="00B20854" w:rsidP="00E23DBD">
      <w:pPr>
        <w:pStyle w:val="EndnoteText"/>
        <w:rPr>
          <w:rFonts w:cs="Arial"/>
        </w:rPr>
      </w:pPr>
      <w:r w:rsidRPr="00594F72">
        <w:rPr>
          <w:rStyle w:val="EndnoteReference"/>
          <w:rFonts w:cs="Arial"/>
        </w:rPr>
        <w:endnoteRef/>
      </w:r>
      <w:r w:rsidRPr="00594F72">
        <w:rPr>
          <w:rFonts w:cs="Arial"/>
        </w:rPr>
        <w:t xml:space="preserve"> Senate Legal and Constitutional Affairs Committee, </w:t>
      </w:r>
      <w:r w:rsidRPr="00594F72">
        <w:rPr>
          <w:rFonts w:cs="Arial"/>
          <w:i/>
        </w:rPr>
        <w:t xml:space="preserve">Report on the </w:t>
      </w:r>
      <w:r w:rsidRPr="00594F72">
        <w:rPr>
          <w:rFonts w:cs="Arial"/>
          <w:i/>
          <w:lang w:val="en"/>
        </w:rPr>
        <w:t>Exposure Draft of the Human Rights and Anti-Discrimination Bill 2012</w:t>
      </w:r>
      <w:r w:rsidRPr="00594F72">
        <w:rPr>
          <w:rFonts w:cs="Arial"/>
        </w:rPr>
        <w:t xml:space="preserve"> (2013), Recommendation 3. At </w:t>
      </w:r>
      <w:hyperlink r:id="rId23" w:history="1">
        <w:r w:rsidRPr="00594F72">
          <w:rPr>
            <w:rStyle w:val="Hyperlink"/>
            <w:rFonts w:cs="Arial"/>
          </w:rPr>
          <w:t>http://www.aph.gov.au/Parliamentary_Business/Committees/Senate/Legal_and_Constitutional_Affairs/Completed_inquiries/2010-13/antidiscrimination2012/report/index</w:t>
        </w:r>
      </w:hyperlink>
      <w:r w:rsidRPr="00594F72">
        <w:rPr>
          <w:rFonts w:cs="Arial"/>
        </w:rPr>
        <w:t xml:space="preserve"> (viewed 10 March 2016). </w:t>
      </w:r>
    </w:p>
  </w:endnote>
  <w:endnote w:id="26">
    <w:p w14:paraId="1B560761" w14:textId="77777777" w:rsidR="00B20854" w:rsidRPr="00594F72" w:rsidRDefault="00B20854" w:rsidP="00D53D5E">
      <w:pPr>
        <w:pStyle w:val="EndnoteText"/>
        <w:rPr>
          <w:rFonts w:cs="Arial"/>
          <w:b/>
        </w:rPr>
      </w:pPr>
      <w:r w:rsidRPr="00594F72">
        <w:rPr>
          <w:rStyle w:val="EndnoteReference"/>
          <w:rFonts w:cs="Arial"/>
        </w:rPr>
        <w:endnoteRef/>
      </w:r>
      <w:r w:rsidRPr="00594F72">
        <w:rPr>
          <w:rFonts w:cs="Arial"/>
        </w:rPr>
        <w:t xml:space="preserve"> VicHealth, </w:t>
      </w:r>
      <w:r w:rsidRPr="00594F72">
        <w:rPr>
          <w:rFonts w:cs="Arial"/>
          <w:i/>
          <w:iCs/>
        </w:rPr>
        <w:t xml:space="preserve">Preventing Violence against Women in Australia: Research Summary, </w:t>
      </w:r>
      <w:r w:rsidRPr="00594F72">
        <w:rPr>
          <w:rFonts w:cs="Arial"/>
        </w:rPr>
        <w:t xml:space="preserve">Victorian Health Promotion Foundation (2011). At </w:t>
      </w:r>
      <w:hyperlink r:id="rId24" w:history="1">
        <w:r w:rsidRPr="00594F72">
          <w:rPr>
            <w:rStyle w:val="Hyperlink"/>
            <w:rFonts w:cs="Arial"/>
          </w:rPr>
          <w:t>http://www.vichealth.vic.gov.au/Publications/Freedom-from-violence/Violence-against-women-in-Australia-research-summary.aspx</w:t>
        </w:r>
      </w:hyperlink>
      <w:r w:rsidRPr="00594F72">
        <w:rPr>
          <w:rFonts w:cs="Arial"/>
        </w:rPr>
        <w:t xml:space="preserve">  (viewed 10 March 2016).  </w:t>
      </w:r>
    </w:p>
  </w:endnote>
  <w:endnote w:id="27">
    <w:p w14:paraId="4E65C671" w14:textId="77777777" w:rsidR="00B20854" w:rsidRPr="00594F72" w:rsidRDefault="00B20854" w:rsidP="00E23DBD">
      <w:pPr>
        <w:pStyle w:val="EndnoteText"/>
        <w:rPr>
          <w:rFonts w:cs="Arial"/>
        </w:rPr>
      </w:pPr>
      <w:r w:rsidRPr="00594F72">
        <w:rPr>
          <w:rStyle w:val="EndnoteReference"/>
          <w:rFonts w:cs="Arial"/>
        </w:rPr>
        <w:endnoteRef/>
      </w:r>
      <w:r w:rsidRPr="00594F72">
        <w:rPr>
          <w:rFonts w:cs="Arial"/>
        </w:rPr>
        <w:t xml:space="preserve"> See Australian Human Rights Commission, Australian study tour report: Visit of the UN Special Rapporteur on violence against women 10-20 April 2012, (2012). At </w:t>
      </w:r>
      <w:hyperlink r:id="rId25" w:history="1">
        <w:r w:rsidRPr="00594F72">
          <w:rPr>
            <w:rFonts w:cs="Arial"/>
          </w:rPr>
          <w:t>http://humanrights.gov.au/sex_discrimination/publication/UNSRVAW%20report%202012/index.html</w:t>
        </w:r>
      </w:hyperlink>
      <w:r w:rsidRPr="00594F72">
        <w:rPr>
          <w:rFonts w:cs="Arial"/>
        </w:rPr>
        <w:t xml:space="preserve">    (viewed 10 March 2016).</w:t>
      </w:r>
    </w:p>
  </w:endnote>
  <w:endnote w:id="28">
    <w:p w14:paraId="317AAB5A" w14:textId="77777777" w:rsidR="00B20854" w:rsidRPr="00594F72" w:rsidRDefault="00B20854" w:rsidP="00407459">
      <w:pPr>
        <w:pStyle w:val="EndnoteText"/>
      </w:pPr>
      <w:r w:rsidRPr="00594F72">
        <w:rPr>
          <w:rStyle w:val="EndnoteReference"/>
        </w:rPr>
        <w:endnoteRef/>
      </w:r>
      <w:r w:rsidRPr="00594F72">
        <w:t xml:space="preserve"> Australian Human Rights Commission, </w:t>
      </w:r>
      <w:r w:rsidRPr="00594F72">
        <w:rPr>
          <w:i/>
        </w:rPr>
        <w:t>Resilient Individuals: Sexual Orientation, Gender Identity &amp; Intersex Rights</w:t>
      </w:r>
      <w:r w:rsidRPr="00594F72">
        <w:t xml:space="preserve"> (2015), pp78-79.</w:t>
      </w:r>
    </w:p>
  </w:endnote>
  <w:endnote w:id="29">
    <w:p w14:paraId="4A0C6E6A" w14:textId="77777777" w:rsidR="00B20854" w:rsidRPr="00594F72" w:rsidRDefault="00B20854" w:rsidP="00407459">
      <w:pPr>
        <w:pStyle w:val="EndnoteText"/>
      </w:pPr>
      <w:r w:rsidRPr="00594F72">
        <w:rPr>
          <w:rStyle w:val="EndnoteReference"/>
        </w:rPr>
        <w:endnoteRef/>
      </w:r>
      <w:r w:rsidRPr="00594F72">
        <w:t xml:space="preserve"> Kate O’Halloran, ‘Family Violence in an LGBTIQ Context’ (2015) 2 </w:t>
      </w:r>
      <w:r w:rsidRPr="00594F72">
        <w:rPr>
          <w:i/>
        </w:rPr>
        <w:t>DVRC Advocate</w:t>
      </w:r>
      <w:r w:rsidRPr="00594F72">
        <w:t xml:space="preserve"> 10, p10.</w:t>
      </w:r>
    </w:p>
  </w:endnote>
  <w:endnote w:id="30">
    <w:p w14:paraId="59F4C6BA" w14:textId="2AF0133A" w:rsidR="00B20854" w:rsidRPr="00594F72" w:rsidRDefault="00B20854" w:rsidP="00407459">
      <w:pPr>
        <w:pStyle w:val="EndnoteText"/>
      </w:pPr>
      <w:r w:rsidRPr="00594F72">
        <w:rPr>
          <w:rStyle w:val="EndnoteReference"/>
        </w:rPr>
        <w:endnoteRef/>
      </w:r>
      <w:r w:rsidRPr="00594F72">
        <w:t xml:space="preserve"> LGBTIQ Domestic and Family Violence Interagency and the Centre for Research in Health, University of NSW, </w:t>
      </w:r>
      <w:r w:rsidRPr="00594F72">
        <w:rPr>
          <w:i/>
        </w:rPr>
        <w:t xml:space="preserve">Calling it What it Really is: A report into Lesbian, Gay, Bisexual, Transgender, Gender Diverse, Intersex and Queer Experiences of Domestic and Family Violence </w:t>
      </w:r>
      <w:r w:rsidRPr="00594F72">
        <w:t>(2014)</w:t>
      </w:r>
      <w:r w:rsidR="00594F72">
        <w:t>,</w:t>
      </w:r>
      <w:r w:rsidRPr="00594F72">
        <w:rPr>
          <w:i/>
        </w:rPr>
        <w:t xml:space="preserve"> </w:t>
      </w:r>
      <w:r w:rsidRPr="00773C02">
        <w:t>p4.</w:t>
      </w:r>
    </w:p>
  </w:endnote>
  <w:endnote w:id="31">
    <w:p w14:paraId="1E78AED4" w14:textId="571E6013" w:rsidR="00B20854" w:rsidRPr="00192B11" w:rsidRDefault="00B20854" w:rsidP="00407459">
      <w:pPr>
        <w:pStyle w:val="EndnoteText"/>
      </w:pPr>
      <w:r w:rsidRPr="00594F72">
        <w:rPr>
          <w:rStyle w:val="EndnoteReference"/>
        </w:rPr>
        <w:endnoteRef/>
      </w:r>
      <w:r w:rsidRPr="00594F72">
        <w:t xml:space="preserve"> Monica Campo and Sarah Tayton, </w:t>
      </w:r>
      <w:r w:rsidRPr="00594F72">
        <w:rPr>
          <w:i/>
        </w:rPr>
        <w:t>Intimate Partner Violence in Lesbian, Gay, Bisexual, Trans, Intersex and Queer Communities</w:t>
      </w:r>
      <w:r w:rsidRPr="00594F72">
        <w:t xml:space="preserve"> (2015)</w:t>
      </w:r>
      <w:r w:rsidR="00594F72">
        <w:t>,</w:t>
      </w:r>
      <w:r w:rsidRPr="00594F72">
        <w:t xml:space="preserve"> pp3-4.</w:t>
      </w:r>
    </w:p>
  </w:endnote>
  <w:endnote w:id="32">
    <w:p w14:paraId="16D7CC04" w14:textId="77777777" w:rsidR="00B20854" w:rsidRPr="00594F72" w:rsidRDefault="00B20854" w:rsidP="00407459">
      <w:pPr>
        <w:pStyle w:val="EndnoteText"/>
      </w:pPr>
      <w:r w:rsidRPr="00773C02">
        <w:rPr>
          <w:rStyle w:val="EndnoteReference"/>
        </w:rPr>
        <w:endnoteRef/>
      </w:r>
      <w:r w:rsidRPr="00773C02">
        <w:t xml:space="preserve"> LGBTIQ Domestic and Family Violence Interagency</w:t>
      </w:r>
      <w:r w:rsidRPr="00594F72">
        <w:t xml:space="preserve"> and the Centre for Research in Health, University of NSW, </w:t>
      </w:r>
      <w:r w:rsidRPr="00594F72">
        <w:rPr>
          <w:i/>
        </w:rPr>
        <w:t xml:space="preserve">Calling it What it Really is: A report into Lesbian, Gay, Bisexual, Transgender, Gender Diverse, Intersex and Queer Experiences of Domestic and Family Violence </w:t>
      </w:r>
      <w:r w:rsidRPr="00594F72">
        <w:t>(2014)</w:t>
      </w:r>
      <w:r w:rsidRPr="00594F72">
        <w:rPr>
          <w:i/>
        </w:rPr>
        <w:t xml:space="preserve"> </w:t>
      </w:r>
      <w:r w:rsidRPr="00594F72">
        <w:t>p4.</w:t>
      </w:r>
    </w:p>
  </w:endnote>
  <w:endnote w:id="33">
    <w:p w14:paraId="6FBA767D" w14:textId="6304D4C2" w:rsidR="00B20854" w:rsidRPr="00761DFD" w:rsidRDefault="00B20854" w:rsidP="00321DE6">
      <w:pPr>
        <w:spacing w:before="0" w:after="0"/>
        <w:rPr>
          <w:rFonts w:ascii="Ubuntu" w:hAnsi="Ubuntu" w:hint="eastAsia"/>
          <w:color w:val="343434"/>
          <w:sz w:val="20"/>
          <w:szCs w:val="20"/>
        </w:rPr>
      </w:pPr>
      <w:r w:rsidRPr="00594F72">
        <w:rPr>
          <w:rStyle w:val="EndnoteReference"/>
          <w:szCs w:val="20"/>
        </w:rPr>
        <w:endnoteRef/>
      </w:r>
      <w:r w:rsidRPr="00761DFD">
        <w:rPr>
          <w:sz w:val="20"/>
          <w:szCs w:val="20"/>
        </w:rPr>
        <w:t xml:space="preserve"> </w:t>
      </w:r>
      <w:r w:rsidRPr="00594F72">
        <w:rPr>
          <w:rFonts w:cs="Arial"/>
          <w:sz w:val="20"/>
          <w:szCs w:val="20"/>
        </w:rPr>
        <w:t xml:space="preserve">Council of Australian Governments, </w:t>
      </w:r>
      <w:r w:rsidRPr="00594F72">
        <w:rPr>
          <w:rFonts w:cs="Arial"/>
          <w:i/>
          <w:sz w:val="20"/>
          <w:szCs w:val="20"/>
        </w:rPr>
        <w:t>Communique</w:t>
      </w:r>
      <w:r w:rsidRPr="00594F72">
        <w:rPr>
          <w:rFonts w:cs="Arial"/>
          <w:sz w:val="20"/>
          <w:szCs w:val="20"/>
        </w:rPr>
        <w:t xml:space="preserve">, April 2015. At </w:t>
      </w:r>
      <w:hyperlink r:id="rId26" w:history="1">
        <w:r w:rsidRPr="00594F72">
          <w:rPr>
            <w:rStyle w:val="Hyperlink"/>
            <w:rFonts w:cs="Arial"/>
            <w:sz w:val="20"/>
            <w:szCs w:val="20"/>
          </w:rPr>
          <w:t>https://www.coag.gov.au/sites/default/files/coag%20communique%2017%20april%202015.pdf</w:t>
        </w:r>
      </w:hyperlink>
      <w:r w:rsidRPr="00594F72">
        <w:rPr>
          <w:rStyle w:val="Hyperlink"/>
          <w:rFonts w:cs="Arial"/>
          <w:sz w:val="20"/>
          <w:szCs w:val="20"/>
        </w:rPr>
        <w:t xml:space="preserve"> (viewed 22 February 2016); Malcolm Turnbull, Media Release: </w:t>
      </w:r>
      <w:r w:rsidRPr="00773C02">
        <w:rPr>
          <w:rFonts w:cs="Arial"/>
          <w:i/>
          <w:color w:val="343434"/>
          <w:sz w:val="20"/>
          <w:szCs w:val="20"/>
        </w:rPr>
        <w:t>Wom</w:t>
      </w:r>
      <w:r w:rsidR="00D23549">
        <w:rPr>
          <w:rFonts w:cs="Arial"/>
          <w:i/>
          <w:color w:val="343434"/>
          <w:sz w:val="20"/>
          <w:szCs w:val="20"/>
        </w:rPr>
        <w:t>en’s Safety Package to #Stopthe</w:t>
      </w:r>
      <w:r w:rsidRPr="00773C02">
        <w:rPr>
          <w:rFonts w:cs="Arial"/>
          <w:i/>
          <w:color w:val="343434"/>
          <w:sz w:val="20"/>
          <w:szCs w:val="20"/>
        </w:rPr>
        <w:t>Violence,</w:t>
      </w:r>
      <w:r w:rsidRPr="00773C02">
        <w:rPr>
          <w:rFonts w:cs="Arial"/>
          <w:color w:val="343434"/>
          <w:sz w:val="20"/>
          <w:szCs w:val="20"/>
        </w:rPr>
        <w:t xml:space="preserve"> (24 September 2015). At </w:t>
      </w:r>
      <w:hyperlink r:id="rId27" w:history="1">
        <w:r w:rsidRPr="00594F72">
          <w:rPr>
            <w:rStyle w:val="Hyperlink"/>
            <w:rFonts w:cs="Arial"/>
            <w:sz w:val="20"/>
            <w:szCs w:val="20"/>
          </w:rPr>
          <w:t>http://www.malcolmturnbull.com.au/media/release-womens-safety-package-to-stoptheviolence</w:t>
        </w:r>
      </w:hyperlink>
      <w:r w:rsidRPr="00594F72">
        <w:rPr>
          <w:rFonts w:cs="Arial"/>
          <w:color w:val="343434"/>
          <w:sz w:val="20"/>
          <w:szCs w:val="20"/>
        </w:rPr>
        <w:t xml:space="preserve">  (viewed 22 February 2016).</w:t>
      </w:r>
      <w:r w:rsidRPr="00761DFD">
        <w:rPr>
          <w:rFonts w:ascii="Ubuntu" w:hAnsi="Ubuntu" w:hint="eastAsia"/>
          <w:color w:val="343434"/>
          <w:sz w:val="20"/>
          <w:szCs w:val="20"/>
        </w:rPr>
        <w:t xml:space="preserve"> </w:t>
      </w:r>
    </w:p>
  </w:endnote>
  <w:endnote w:id="34">
    <w:p w14:paraId="27399655" w14:textId="77777777" w:rsidR="00081533" w:rsidRPr="00594F72" w:rsidRDefault="00081533" w:rsidP="00081533">
      <w:pPr>
        <w:pStyle w:val="EndnoteText"/>
        <w:rPr>
          <w:i/>
        </w:rPr>
      </w:pPr>
      <w:r w:rsidRPr="00594F72">
        <w:rPr>
          <w:rStyle w:val="EndnoteReference"/>
        </w:rPr>
        <w:endnoteRef/>
      </w:r>
      <w:r w:rsidRPr="00594F72">
        <w:t xml:space="preserve"> Australian Human Rights Commission, </w:t>
      </w:r>
      <w:r w:rsidRPr="00594F72">
        <w:rPr>
          <w:i/>
        </w:rPr>
        <w:t>All I want is a life free from violence</w:t>
      </w:r>
      <w:r w:rsidRPr="00594F72">
        <w:t xml:space="preserve"> (2015). At </w:t>
      </w:r>
      <w:hyperlink r:id="rId28" w:history="1">
        <w:r w:rsidRPr="00594F72">
          <w:rPr>
            <w:rStyle w:val="Hyperlink"/>
          </w:rPr>
          <w:t>https://www.humanrights.gov.au/sites/default/files/AHRC_Summary_Childrens_Rights_Report_2015.pdf</w:t>
        </w:r>
      </w:hyperlink>
      <w:r w:rsidRPr="00594F72">
        <w:t xml:space="preserve"> (viewed 10 March 2016); Australian Human Rights Commission, </w:t>
      </w:r>
      <w:r w:rsidRPr="00594F72">
        <w:rPr>
          <w:i/>
        </w:rPr>
        <w:t>Children’s Rights Report 2015</w:t>
      </w:r>
      <w:r w:rsidRPr="00594F72">
        <w:t xml:space="preserve"> (2015), chapter 4. At </w:t>
      </w:r>
      <w:hyperlink r:id="rId29" w:history="1">
        <w:r w:rsidRPr="00594F72">
          <w:rPr>
            <w:rStyle w:val="Hyperlink"/>
          </w:rPr>
          <w:t>https://www.humanrights.gov.au/sites/default/files/AHRC_ChildrensRights_Report_2015_0.pdf</w:t>
        </w:r>
      </w:hyperlink>
      <w:r w:rsidRPr="00594F72">
        <w:t xml:space="preserve"> (viewed 10 March 2016). </w:t>
      </w:r>
      <w:r w:rsidRPr="00594F72">
        <w:rPr>
          <w:i/>
        </w:rPr>
        <w:t xml:space="preserve"> </w:t>
      </w:r>
    </w:p>
  </w:endnote>
  <w:endnote w:id="35">
    <w:p w14:paraId="16038407" w14:textId="77777777" w:rsidR="00B20854" w:rsidRPr="00594F72" w:rsidRDefault="00B20854" w:rsidP="00E23DBD">
      <w:pPr>
        <w:pStyle w:val="EndnoteText"/>
        <w:rPr>
          <w:rFonts w:cs="Arial"/>
        </w:rPr>
      </w:pPr>
      <w:r w:rsidRPr="00594F72">
        <w:rPr>
          <w:rStyle w:val="EndnoteReference"/>
          <w:rFonts w:cs="Arial"/>
        </w:rPr>
        <w:endnoteRef/>
      </w:r>
      <w:r w:rsidRPr="00594F72">
        <w:rPr>
          <w:rFonts w:cs="Arial"/>
        </w:rPr>
        <w:t xml:space="preserve"> National Council to Reduce Violence against Women and their Children,</w:t>
      </w:r>
      <w:r w:rsidRPr="00594F72">
        <w:rPr>
          <w:rFonts w:cs="Arial"/>
          <w:i/>
          <w:iCs/>
        </w:rPr>
        <w:t xml:space="preserve"> The Cost of Violence Against Women and Their Children</w:t>
      </w:r>
      <w:r w:rsidRPr="00594F72">
        <w:rPr>
          <w:rFonts w:cs="Arial"/>
        </w:rPr>
        <w:t xml:space="preserve"> (March 2009).</w:t>
      </w:r>
    </w:p>
  </w:endnote>
  <w:endnote w:id="36">
    <w:p w14:paraId="1FECCCD2" w14:textId="77777777" w:rsidR="00B20854" w:rsidRPr="00594F72" w:rsidRDefault="00B20854" w:rsidP="00E23DBD">
      <w:pPr>
        <w:pStyle w:val="EndnoteText"/>
        <w:rPr>
          <w:rFonts w:cs="Arial"/>
        </w:rPr>
      </w:pPr>
      <w:r w:rsidRPr="00594F72">
        <w:rPr>
          <w:rStyle w:val="EndnoteReference"/>
          <w:rFonts w:cs="Arial"/>
        </w:rPr>
        <w:endnoteRef/>
      </w:r>
      <w:r w:rsidRPr="00594F72">
        <w:rPr>
          <w:rFonts w:cs="Arial"/>
        </w:rPr>
        <w:t xml:space="preserve"> VicHealth, </w:t>
      </w:r>
      <w:r w:rsidRPr="00594F72">
        <w:rPr>
          <w:rFonts w:cs="Arial"/>
          <w:i/>
          <w:iCs/>
        </w:rPr>
        <w:t xml:space="preserve">Preventing Violence against Women in Australia: Research Summary, </w:t>
      </w:r>
      <w:r w:rsidRPr="00594F72">
        <w:rPr>
          <w:rFonts w:cs="Arial"/>
        </w:rPr>
        <w:t xml:space="preserve">Victorian Health Promotion Foundation (2011). At </w:t>
      </w:r>
      <w:hyperlink r:id="rId30" w:history="1">
        <w:r w:rsidRPr="00594F72">
          <w:rPr>
            <w:rStyle w:val="Hyperlink"/>
            <w:rFonts w:cs="Arial"/>
          </w:rPr>
          <w:t>http://www.vichealth.vic.gov.au/Publications/Freedom-from-violence/Violence-against-women-in-Australia-research-summary.aspx</w:t>
        </w:r>
      </w:hyperlink>
      <w:r w:rsidRPr="00594F72">
        <w:rPr>
          <w:rFonts w:cs="Arial"/>
        </w:rPr>
        <w:t xml:space="preserve"> (viewed 10 March 2016).  </w:t>
      </w:r>
    </w:p>
  </w:endnote>
  <w:endnote w:id="37">
    <w:p w14:paraId="5A7A6AAE" w14:textId="77777777" w:rsidR="00B20854" w:rsidRPr="00594F72" w:rsidRDefault="00B20854" w:rsidP="00637839">
      <w:pPr>
        <w:pStyle w:val="NormalWeb"/>
        <w:spacing w:before="0" w:after="0"/>
        <w:rPr>
          <w:rFonts w:ascii="Arial" w:hAnsi="Arial" w:cs="Arial"/>
          <w:sz w:val="20"/>
          <w:szCs w:val="20"/>
        </w:rPr>
      </w:pPr>
      <w:r w:rsidRPr="00594F72">
        <w:rPr>
          <w:rStyle w:val="EndnoteReference"/>
          <w:rFonts w:cs="Arial"/>
          <w:szCs w:val="20"/>
        </w:rPr>
        <w:endnoteRef/>
      </w:r>
      <w:r w:rsidRPr="00594F72">
        <w:rPr>
          <w:rFonts w:ascii="Arial" w:hAnsi="Arial" w:cs="Arial"/>
          <w:sz w:val="20"/>
          <w:szCs w:val="20"/>
        </w:rPr>
        <w:t xml:space="preserve"> Australian Bureau of Statistics, </w:t>
      </w:r>
      <w:r w:rsidRPr="00594F72">
        <w:rPr>
          <w:rFonts w:ascii="Arial" w:hAnsi="Arial" w:cs="Arial"/>
          <w:i/>
          <w:iCs/>
          <w:sz w:val="20"/>
          <w:szCs w:val="20"/>
        </w:rPr>
        <w:t>Personal Safety Survey 2005 (</w:t>
      </w:r>
      <w:r w:rsidRPr="00594F72">
        <w:rPr>
          <w:rFonts w:ascii="Arial" w:hAnsi="Arial" w:cs="Arial"/>
          <w:iCs/>
          <w:sz w:val="20"/>
          <w:szCs w:val="20"/>
        </w:rPr>
        <w:t>2005)</w:t>
      </w:r>
      <w:r w:rsidRPr="00594F72">
        <w:rPr>
          <w:rFonts w:ascii="Arial" w:hAnsi="Arial" w:cs="Arial"/>
          <w:sz w:val="20"/>
          <w:szCs w:val="20"/>
        </w:rPr>
        <w:t xml:space="preserve">, Canberra.  At: </w:t>
      </w:r>
      <w:hyperlink r:id="rId31" w:history="1">
        <w:r w:rsidRPr="00594F72">
          <w:rPr>
            <w:rStyle w:val="Hyperlink"/>
            <w:rFonts w:ascii="Arial" w:hAnsi="Arial" w:cs="Arial"/>
            <w:sz w:val="20"/>
            <w:szCs w:val="20"/>
          </w:rPr>
          <w:t>http://www.abs.gov.au/ausstats/abs@.nsf/mf/4906.0/</w:t>
        </w:r>
      </w:hyperlink>
      <w:r w:rsidRPr="00594F72">
        <w:rPr>
          <w:rStyle w:val="Hyperlink"/>
          <w:rFonts w:ascii="Arial" w:hAnsi="Arial" w:cs="Arial"/>
          <w:sz w:val="20"/>
          <w:szCs w:val="20"/>
        </w:rPr>
        <w:t xml:space="preserve"> </w:t>
      </w:r>
      <w:r w:rsidRPr="00594F72">
        <w:rPr>
          <w:rStyle w:val="Hyperlink"/>
          <w:rFonts w:ascii="Arial" w:hAnsi="Arial" w:cs="Arial"/>
          <w:color w:val="000000" w:themeColor="text1"/>
          <w:sz w:val="20"/>
          <w:szCs w:val="20"/>
          <w:u w:val="none"/>
        </w:rPr>
        <w:t>(viewed 22 February 2016)</w:t>
      </w:r>
      <w:r w:rsidRPr="00594F72">
        <w:rPr>
          <w:rFonts w:ascii="Arial" w:hAnsi="Arial" w:cs="Arial"/>
          <w:color w:val="000000" w:themeColor="text1"/>
          <w:sz w:val="20"/>
          <w:szCs w:val="20"/>
        </w:rPr>
        <w:t>.</w:t>
      </w:r>
    </w:p>
  </w:endnote>
  <w:endnote w:id="38">
    <w:p w14:paraId="255B7F9C" w14:textId="77777777" w:rsidR="00B20854" w:rsidRPr="00594F72" w:rsidRDefault="00B20854" w:rsidP="00637839">
      <w:pPr>
        <w:pStyle w:val="EndnoteText"/>
        <w:rPr>
          <w:rFonts w:cs="Arial"/>
        </w:rPr>
      </w:pPr>
      <w:r w:rsidRPr="00594F72">
        <w:rPr>
          <w:rStyle w:val="EndnoteReference"/>
          <w:rFonts w:cs="Arial"/>
        </w:rPr>
        <w:endnoteRef/>
      </w:r>
      <w:r w:rsidRPr="00594F72">
        <w:rPr>
          <w:rFonts w:cs="Arial"/>
        </w:rPr>
        <w:t xml:space="preserve"> </w:t>
      </w:r>
      <w:r w:rsidRPr="00594F72">
        <w:rPr>
          <w:rFonts w:cs="Arial"/>
          <w:color w:val="000000"/>
        </w:rPr>
        <w:t xml:space="preserve">Australian Domestic &amp; Family Violence Clearinghouse, </w:t>
      </w:r>
      <w:hyperlink r:id="rId32" w:history="1">
        <w:r w:rsidRPr="00594F72">
          <w:rPr>
            <w:rStyle w:val="Hyperlink"/>
            <w:rFonts w:cs="Arial"/>
            <w:i/>
            <w:color w:val="000000"/>
          </w:rPr>
          <w:t>Key Findings – National Domestic Violence and the Workplace Survey</w:t>
        </w:r>
        <w:r w:rsidRPr="00594F72">
          <w:rPr>
            <w:rStyle w:val="Hyperlink"/>
            <w:rFonts w:cs="Arial"/>
            <w:color w:val="000000"/>
          </w:rPr>
          <w:t xml:space="preserve"> (2011)</w:t>
        </w:r>
      </w:hyperlink>
      <w:r w:rsidRPr="00594F72">
        <w:rPr>
          <w:rFonts w:cs="Arial"/>
        </w:rPr>
        <w:t>.</w:t>
      </w:r>
    </w:p>
  </w:endnote>
  <w:endnote w:id="39">
    <w:p w14:paraId="423B5AD0" w14:textId="77777777" w:rsidR="00B20854" w:rsidRPr="00594F72" w:rsidRDefault="00B20854" w:rsidP="00637839">
      <w:pPr>
        <w:pStyle w:val="EndnoteText"/>
        <w:rPr>
          <w:rFonts w:cs="Arial"/>
        </w:rPr>
      </w:pPr>
      <w:r w:rsidRPr="00594F72">
        <w:rPr>
          <w:rStyle w:val="EndnoteReference"/>
          <w:rFonts w:cs="Arial"/>
        </w:rPr>
        <w:endnoteRef/>
      </w:r>
      <w:r w:rsidRPr="00594F72">
        <w:rPr>
          <w:rFonts w:cs="Arial"/>
        </w:rPr>
        <w:t xml:space="preserve"> Australian Human Rights Commission, </w:t>
      </w:r>
      <w:r w:rsidRPr="00594F72">
        <w:rPr>
          <w:rFonts w:cs="Arial"/>
          <w:i/>
        </w:rPr>
        <w:t>Fair work changes recognise carers and domestic violence</w:t>
      </w:r>
      <w:r w:rsidRPr="00594F72">
        <w:rPr>
          <w:rFonts w:cs="Arial"/>
        </w:rPr>
        <w:t xml:space="preserve"> (2013). At </w:t>
      </w:r>
      <w:hyperlink r:id="rId33" w:history="1">
        <w:r w:rsidRPr="00594F72">
          <w:rPr>
            <w:rStyle w:val="Hyperlink"/>
            <w:rFonts w:cs="Arial"/>
          </w:rPr>
          <w:t>https://www.humanrights.gov.au/news/stories/fair-work-changes-recognise-carers-and-domestic-violence-0</w:t>
        </w:r>
      </w:hyperlink>
      <w:r w:rsidRPr="00594F72">
        <w:rPr>
          <w:rStyle w:val="Hyperlink"/>
          <w:rFonts w:cs="Arial"/>
        </w:rPr>
        <w:t xml:space="preserve"> </w:t>
      </w:r>
      <w:r w:rsidRPr="00594F72">
        <w:rPr>
          <w:rStyle w:val="Hyperlink"/>
          <w:rFonts w:cs="Arial"/>
          <w:color w:val="000000" w:themeColor="text1"/>
          <w:u w:val="none"/>
        </w:rPr>
        <w:t>(viewed 22 February 2016)</w:t>
      </w:r>
      <w:r w:rsidRPr="00594F72">
        <w:rPr>
          <w:rFonts w:cs="Arial"/>
          <w:color w:val="000000" w:themeColor="text1"/>
        </w:rPr>
        <w:t>.</w:t>
      </w:r>
    </w:p>
  </w:endnote>
  <w:endnote w:id="40">
    <w:p w14:paraId="7A17C0EA" w14:textId="77777777" w:rsidR="00B20854" w:rsidRPr="00594F72" w:rsidRDefault="00B20854" w:rsidP="00637839">
      <w:pPr>
        <w:pStyle w:val="EndnoteText"/>
        <w:rPr>
          <w:rFonts w:cs="Arial"/>
          <w:color w:val="000000" w:themeColor="text1"/>
        </w:rPr>
      </w:pPr>
      <w:r w:rsidRPr="00594F72">
        <w:rPr>
          <w:rStyle w:val="EndnoteReference"/>
          <w:rFonts w:cs="Arial"/>
        </w:rPr>
        <w:endnoteRef/>
      </w:r>
      <w:r w:rsidRPr="00594F72">
        <w:rPr>
          <w:rFonts w:cs="Arial"/>
        </w:rPr>
        <w:t xml:space="preserve"> </w:t>
      </w:r>
      <w:r w:rsidRPr="00594F72">
        <w:rPr>
          <w:rFonts w:cs="Arial"/>
          <w:lang w:val="en"/>
        </w:rPr>
        <w:t xml:space="preserve">Ludo McFerran, Safe at Home, Safe At Work Project, Australian Domestic and Family Violence Clearing House, UNSW, ‘When domestic violence becomes a workplace problem’, ABC The Drum Opinion 13 February 2013. At </w:t>
      </w:r>
      <w:hyperlink r:id="rId34" w:history="1">
        <w:r w:rsidRPr="00594F72">
          <w:rPr>
            <w:rStyle w:val="Hyperlink"/>
            <w:rFonts w:cs="Arial"/>
            <w:color w:val="000000" w:themeColor="text1"/>
            <w:lang w:val="en"/>
          </w:rPr>
          <w:t>http://www.abc.net.au/unleashed/4516492.html</w:t>
        </w:r>
      </w:hyperlink>
      <w:r w:rsidRPr="00594F72">
        <w:rPr>
          <w:rStyle w:val="Hyperlink"/>
          <w:rFonts w:cs="Arial"/>
          <w:color w:val="000000" w:themeColor="text1"/>
          <w:lang w:val="en"/>
        </w:rPr>
        <w:t xml:space="preserve"> </w:t>
      </w:r>
      <w:r w:rsidRPr="00594F72">
        <w:rPr>
          <w:rStyle w:val="Hyperlink"/>
          <w:rFonts w:cs="Arial"/>
          <w:color w:val="000000" w:themeColor="text1"/>
          <w:u w:val="none"/>
        </w:rPr>
        <w:t>(viewed 22 February 2016)</w:t>
      </w:r>
      <w:r w:rsidRPr="00594F72">
        <w:rPr>
          <w:rFonts w:cs="Arial"/>
          <w:color w:val="000000" w:themeColor="text1"/>
        </w:rPr>
        <w:t>.</w:t>
      </w:r>
    </w:p>
  </w:endnote>
  <w:endnote w:id="41">
    <w:p w14:paraId="7C50CBA9" w14:textId="77777777" w:rsidR="00B20854" w:rsidRPr="00594F72" w:rsidRDefault="00B20854" w:rsidP="00637839">
      <w:pPr>
        <w:pStyle w:val="EndnoteText"/>
      </w:pPr>
      <w:r w:rsidRPr="00594F72">
        <w:rPr>
          <w:rStyle w:val="EndnoteReference"/>
        </w:rPr>
        <w:endnoteRef/>
      </w:r>
      <w:r w:rsidRPr="00594F72">
        <w:t xml:space="preserve"> Australian Council of Trade Unions, University of new South Wales, </w:t>
      </w:r>
      <w:r w:rsidRPr="00594F72">
        <w:rPr>
          <w:i/>
        </w:rPr>
        <w:t xml:space="preserve"> Implementation of Domestic Violence Clauses, - An Employer’s Perspective </w:t>
      </w:r>
      <w:r w:rsidRPr="00594F72">
        <w:t xml:space="preserve">(2015).  </w:t>
      </w:r>
    </w:p>
  </w:endnote>
  <w:endnote w:id="42">
    <w:p w14:paraId="42A21FEF" w14:textId="77777777" w:rsidR="00B20854" w:rsidRPr="00594F72" w:rsidRDefault="00B20854" w:rsidP="00637839">
      <w:pPr>
        <w:pStyle w:val="EndnoteText"/>
      </w:pPr>
      <w:r w:rsidRPr="00594F72">
        <w:rPr>
          <w:rStyle w:val="EndnoteReference"/>
        </w:rPr>
        <w:endnoteRef/>
      </w:r>
      <w:r w:rsidRPr="00594F72">
        <w:t xml:space="preserve"> UN Commission on Status of Women, </w:t>
      </w:r>
      <w:r w:rsidRPr="00594F72">
        <w:rPr>
          <w:i/>
        </w:rPr>
        <w:t>57</w:t>
      </w:r>
      <w:r w:rsidRPr="00594F72">
        <w:rPr>
          <w:i/>
          <w:vertAlign w:val="superscript"/>
        </w:rPr>
        <w:t>th</w:t>
      </w:r>
      <w:r w:rsidRPr="00594F72">
        <w:rPr>
          <w:i/>
        </w:rPr>
        <w:t xml:space="preserve"> Session Agreed Conclusions, </w:t>
      </w:r>
      <w:r w:rsidRPr="00594F72">
        <w:t xml:space="preserve">UN </w:t>
      </w:r>
      <w:r w:rsidRPr="00594F72">
        <w:rPr>
          <w:rFonts w:cs="Arial"/>
          <w:color w:val="000000" w:themeColor="text1"/>
        </w:rPr>
        <w:t>Doc.</w:t>
      </w:r>
      <w:r w:rsidRPr="00594F72">
        <w:rPr>
          <w:rFonts w:cs="Arial"/>
          <w:i/>
          <w:color w:val="000000" w:themeColor="text1"/>
        </w:rPr>
        <w:t xml:space="preserve"> </w:t>
      </w:r>
      <w:r w:rsidRPr="00594F72">
        <w:rPr>
          <w:rFonts w:cs="Arial"/>
          <w:color w:val="000000" w:themeColor="text1"/>
        </w:rPr>
        <w:t>E/2013/27</w:t>
      </w:r>
      <w:r w:rsidRPr="00594F72">
        <w:rPr>
          <w:color w:val="000000" w:themeColor="text1"/>
        </w:rPr>
        <w:t xml:space="preserve"> </w:t>
      </w:r>
      <w:r w:rsidRPr="00594F72">
        <w:t xml:space="preserve">(2013), para yy. At </w:t>
      </w:r>
      <w:hyperlink r:id="rId35" w:anchor="57" w:history="1">
        <w:r w:rsidRPr="00594F72">
          <w:rPr>
            <w:rStyle w:val="Hyperlink"/>
          </w:rPr>
          <w:t>http://www2.unwomen.org/en/csw/outcomes#57</w:t>
        </w:r>
      </w:hyperlink>
      <w:r w:rsidRPr="00594F72">
        <w:t xml:space="preserve">  (viewed 22 February 2016)</w:t>
      </w:r>
    </w:p>
  </w:endnote>
  <w:endnote w:id="43">
    <w:p w14:paraId="531E1A4A" w14:textId="360523E0" w:rsidR="00594F72" w:rsidRPr="00594F72" w:rsidRDefault="00594F72">
      <w:pPr>
        <w:pStyle w:val="EndnoteText"/>
      </w:pPr>
      <w:r w:rsidRPr="00594F72">
        <w:rPr>
          <w:rStyle w:val="EndnoteReference"/>
        </w:rPr>
        <w:endnoteRef/>
      </w:r>
      <w:r w:rsidRPr="00594F72">
        <w:t xml:space="preserve"> </w:t>
      </w:r>
      <w:r w:rsidRPr="00594F72">
        <w:rPr>
          <w:iCs/>
        </w:rPr>
        <w:t>Commonwealth Government, Department of Social Services,</w:t>
      </w:r>
      <w:r w:rsidRPr="00594F72">
        <w:rPr>
          <w:i/>
          <w:iCs/>
        </w:rPr>
        <w:t xml:space="preserve"> Second Action Plan 2013-2016, Moving Ahead of the National Plan to Reduce Violence against Women and their Children 2010-2022, </w:t>
      </w:r>
      <w:r w:rsidRPr="00594F72">
        <w:rPr>
          <w:iCs/>
        </w:rPr>
        <w:t>(2014), pp38-39</w:t>
      </w:r>
      <w:r w:rsidRPr="00594F72">
        <w:rPr>
          <w:i/>
          <w:iCs/>
        </w:rPr>
        <w:t xml:space="preserve">. </w:t>
      </w:r>
      <w:r w:rsidRPr="00594F72">
        <w:rPr>
          <w:iCs/>
        </w:rPr>
        <w:t xml:space="preserve">At </w:t>
      </w:r>
      <w:hyperlink r:id="rId36" w:history="1">
        <w:r w:rsidRPr="00594F72">
          <w:rPr>
            <w:rStyle w:val="Hyperlink"/>
            <w:iCs/>
          </w:rPr>
          <w:t>https://www.dss.gov.au/sites/default/files/documents/09_2014/dss012_14_book_tagged_reduced.pdf</w:t>
        </w:r>
      </w:hyperlink>
      <w:r w:rsidRPr="00594F72">
        <w:rPr>
          <w:iCs/>
        </w:rPr>
        <w:t xml:space="preserve"> (viewed 10 March 2016).</w:t>
      </w:r>
    </w:p>
  </w:endnote>
  <w:endnote w:id="44">
    <w:p w14:paraId="60AFF24F" w14:textId="3B358FD7" w:rsidR="00B20854" w:rsidRPr="00594F72" w:rsidRDefault="00B20854" w:rsidP="00F57931">
      <w:pPr>
        <w:pStyle w:val="EndnoteText"/>
      </w:pPr>
      <w:r w:rsidRPr="00594F72">
        <w:rPr>
          <w:rStyle w:val="EndnoteReference"/>
        </w:rPr>
        <w:endnoteRef/>
      </w:r>
      <w:r w:rsidRPr="00594F72">
        <w:t xml:space="preserve"> </w:t>
      </w:r>
      <w:r w:rsidRPr="00594F72">
        <w:rPr>
          <w:iCs/>
        </w:rPr>
        <w:t>Commonwealth Government, Department of Social Services,</w:t>
      </w:r>
      <w:r w:rsidRPr="00594F72">
        <w:rPr>
          <w:i/>
          <w:iCs/>
        </w:rPr>
        <w:t xml:space="preserve"> Second Action Plan 2013-2016, Moving Ahead of the National Plan to Reduce Violence against Women and their Children 2010-2022, </w:t>
      </w:r>
      <w:r w:rsidRPr="00594F72">
        <w:rPr>
          <w:iCs/>
        </w:rPr>
        <w:t>(2014), pp38-39</w:t>
      </w:r>
      <w:r w:rsidRPr="00594F72">
        <w:rPr>
          <w:i/>
          <w:iCs/>
        </w:rPr>
        <w:t xml:space="preserve">. </w:t>
      </w:r>
      <w:r w:rsidRPr="00594F72">
        <w:rPr>
          <w:iCs/>
        </w:rPr>
        <w:t xml:space="preserve">At </w:t>
      </w:r>
      <w:hyperlink r:id="rId37" w:history="1">
        <w:r w:rsidRPr="00594F72">
          <w:rPr>
            <w:rStyle w:val="Hyperlink"/>
            <w:iCs/>
          </w:rPr>
          <w:t>https://www.dss.gov.au/sites/default/files/documents/09_2014/dss012_14_book_tagged_reduced.pdf</w:t>
        </w:r>
      </w:hyperlink>
      <w:r w:rsidRPr="00594F72">
        <w:rPr>
          <w:iCs/>
        </w:rPr>
        <w:t xml:space="preserve"> (viewed 10 March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Trade Gothic LT Std Bold">
    <w:altName w:val="Trade Gothic LT Std Bold"/>
    <w:panose1 w:val="00000000000000000000"/>
    <w:charset w:val="00"/>
    <w:family w:val="swiss"/>
    <w:notTrueType/>
    <w:pitch w:val="default"/>
    <w:sig w:usb0="00000003" w:usb1="00000000" w:usb2="00000000" w:usb3="00000000" w:csb0="00000001" w:csb1="00000000"/>
  </w:font>
  <w:font w:name="Trade Gothic LT Std Cn">
    <w:altName w:val="Trade Gothic LT Std C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CSquareSansPro-Italic">
    <w:panose1 w:val="00000000000000000000"/>
    <w:charset w:val="00"/>
    <w:family w:val="swiss"/>
    <w:notTrueType/>
    <w:pitch w:val="default"/>
    <w:sig w:usb0="00000003" w:usb1="00000000" w:usb2="00000000" w:usb3="00000000" w:csb0="00000001" w:csb1="00000000"/>
  </w:font>
  <w:font w:name="FoundrySterling-Bold">
    <w:panose1 w:val="00000000000000000000"/>
    <w:charset w:val="00"/>
    <w:family w:val="auto"/>
    <w:notTrueType/>
    <w:pitch w:val="default"/>
    <w:sig w:usb0="00000003" w:usb1="00000000" w:usb2="00000000" w:usb3="00000000" w:csb0="00000001" w:csb1="00000000"/>
  </w:font>
  <w:font w:name="FoundrySterling-Light">
    <w:panose1 w:val="00000000000000000000"/>
    <w:charset w:val="00"/>
    <w:family w:val="auto"/>
    <w:notTrueType/>
    <w:pitch w:val="default"/>
    <w:sig w:usb0="00000003" w:usb1="00000000" w:usb2="00000000" w:usb3="00000000" w:csb0="00000001" w:csb1="00000000"/>
  </w:font>
  <w:font w:name="LZRTRU+HelveticaNeue-Light">
    <w:altName w:val="Helvetica Neue"/>
    <w:panose1 w:val="00000000000000000000"/>
    <w:charset w:val="00"/>
    <w:family w:val="swiss"/>
    <w:notTrueType/>
    <w:pitch w:val="default"/>
    <w:sig w:usb0="00000003" w:usb1="00000000" w:usb2="00000000" w:usb3="00000000" w:csb0="00000001" w:csb1="00000000"/>
  </w:font>
  <w:font w:name="Ubuntu">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9E338" w14:textId="77777777" w:rsidR="00B20854" w:rsidRPr="0090165F" w:rsidRDefault="00B20854"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1E139" w14:textId="77777777" w:rsidR="00B20854" w:rsidRPr="004A187B" w:rsidRDefault="00B20854" w:rsidP="008B23BC">
    <w:pPr>
      <w:pStyle w:val="Footer"/>
    </w:pPr>
    <w:r>
      <w:rPr>
        <w:noProof/>
      </w:rPr>
      <mc:AlternateContent>
        <mc:Choice Requires="wps">
          <w:drawing>
            <wp:anchor distT="0" distB="0" distL="114300" distR="114300" simplePos="0" relativeHeight="251660288" behindDoc="0" locked="0" layoutInCell="1" allowOverlap="1" wp14:anchorId="4299CF6C" wp14:editId="21B73854">
              <wp:simplePos x="0" y="0"/>
              <wp:positionH relativeFrom="column">
                <wp:posOffset>-548005</wp:posOffset>
              </wp:positionH>
              <wp:positionV relativeFrom="paragraph">
                <wp:posOffset>-1305560</wp:posOffset>
              </wp:positionV>
              <wp:extent cx="6071235" cy="854075"/>
              <wp:effectExtent l="0" t="0" r="571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14:paraId="282EE0FE" w14:textId="77777777" w:rsidR="00B20854" w:rsidRPr="0003606D" w:rsidRDefault="00B20854" w:rsidP="0003606D">
                          <w:pPr>
                            <w:pStyle w:val="coveraddresses"/>
                          </w:pPr>
                          <w:r w:rsidRPr="0003606D">
                            <w:t>ABN 47 996 232 602</w:t>
                          </w:r>
                        </w:p>
                        <w:p w14:paraId="297A3C54" w14:textId="77777777" w:rsidR="00B20854" w:rsidRPr="0003606D" w:rsidRDefault="00B20854" w:rsidP="0003606D">
                          <w:pPr>
                            <w:pStyle w:val="coveraddresses"/>
                          </w:pPr>
                          <w:r w:rsidRPr="0003606D">
                            <w:t>Level 3, 175 Pitt Street, Sydney NSW 2000</w:t>
                          </w:r>
                        </w:p>
                        <w:p w14:paraId="51692401" w14:textId="77777777" w:rsidR="00B20854" w:rsidRPr="0003606D" w:rsidRDefault="00B20854" w:rsidP="0003606D">
                          <w:pPr>
                            <w:pStyle w:val="coveraddresses"/>
                          </w:pPr>
                          <w:r w:rsidRPr="0003606D">
                            <w:t>GPO Box 5218, Sydney NSW 2001</w:t>
                          </w:r>
                        </w:p>
                        <w:p w14:paraId="49970AC3" w14:textId="77777777" w:rsidR="00B20854" w:rsidRPr="0003606D" w:rsidRDefault="00B20854" w:rsidP="0003606D">
                          <w:pPr>
                            <w:pStyle w:val="coveraddresses"/>
                          </w:pPr>
                          <w:r w:rsidRPr="0003606D">
                            <w:t>General enquiries 1300 369 711</w:t>
                          </w:r>
                        </w:p>
                        <w:p w14:paraId="4284B0DC" w14:textId="77777777" w:rsidR="00B20854" w:rsidRPr="0003606D" w:rsidRDefault="00B20854" w:rsidP="0003606D">
                          <w:pPr>
                            <w:pStyle w:val="coveraddresses"/>
                          </w:pPr>
                          <w:r w:rsidRPr="0003606D">
                            <w:t>Complaints info line 1300 656 419</w:t>
                          </w:r>
                        </w:p>
                        <w:p w14:paraId="7781AF7A" w14:textId="77777777" w:rsidR="00B20854" w:rsidRPr="0003606D" w:rsidRDefault="00B20854" w:rsidP="0003606D">
                          <w:pPr>
                            <w:pStyle w:val="coveraddresses"/>
                          </w:pPr>
                          <w:r w:rsidRPr="0003606D">
                            <w:t>TTY 1800 620 241</w:t>
                          </w:r>
                        </w:p>
                        <w:p w14:paraId="4535C711" w14:textId="77777777" w:rsidR="00B20854" w:rsidRPr="00B63D24" w:rsidRDefault="00B20854"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99CF6C"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14:paraId="282EE0FE" w14:textId="77777777" w:rsidR="00B20854" w:rsidRPr="0003606D" w:rsidRDefault="00B20854" w:rsidP="0003606D">
                    <w:pPr>
                      <w:pStyle w:val="coveraddresses"/>
                    </w:pPr>
                    <w:r w:rsidRPr="0003606D">
                      <w:t>ABN 47 996 232 602</w:t>
                    </w:r>
                  </w:p>
                  <w:p w14:paraId="297A3C54" w14:textId="77777777" w:rsidR="00B20854" w:rsidRPr="0003606D" w:rsidRDefault="00B20854" w:rsidP="0003606D">
                    <w:pPr>
                      <w:pStyle w:val="coveraddresses"/>
                    </w:pPr>
                    <w:r w:rsidRPr="0003606D">
                      <w:t>Level 3, 175 Pitt Street, Sydney NSW 2000</w:t>
                    </w:r>
                  </w:p>
                  <w:p w14:paraId="51692401" w14:textId="77777777" w:rsidR="00B20854" w:rsidRPr="0003606D" w:rsidRDefault="00B20854" w:rsidP="0003606D">
                    <w:pPr>
                      <w:pStyle w:val="coveraddresses"/>
                    </w:pPr>
                    <w:r w:rsidRPr="0003606D">
                      <w:t>GPO Box 5218, Sydney NSW 2001</w:t>
                    </w:r>
                  </w:p>
                  <w:p w14:paraId="49970AC3" w14:textId="77777777" w:rsidR="00B20854" w:rsidRPr="0003606D" w:rsidRDefault="00B20854" w:rsidP="0003606D">
                    <w:pPr>
                      <w:pStyle w:val="coveraddresses"/>
                    </w:pPr>
                    <w:r w:rsidRPr="0003606D">
                      <w:t>General enquiries 1300 369 711</w:t>
                    </w:r>
                  </w:p>
                  <w:p w14:paraId="4284B0DC" w14:textId="77777777" w:rsidR="00B20854" w:rsidRPr="0003606D" w:rsidRDefault="00B20854" w:rsidP="0003606D">
                    <w:pPr>
                      <w:pStyle w:val="coveraddresses"/>
                    </w:pPr>
                    <w:r w:rsidRPr="0003606D">
                      <w:t>Complaints info line 1300 656 419</w:t>
                    </w:r>
                  </w:p>
                  <w:p w14:paraId="7781AF7A" w14:textId="77777777" w:rsidR="00B20854" w:rsidRPr="0003606D" w:rsidRDefault="00B20854" w:rsidP="0003606D">
                    <w:pPr>
                      <w:pStyle w:val="coveraddresses"/>
                    </w:pPr>
                    <w:r w:rsidRPr="0003606D">
                      <w:t>TTY 1800 620 241</w:t>
                    </w:r>
                  </w:p>
                  <w:p w14:paraId="4535C711" w14:textId="77777777" w:rsidR="00B20854" w:rsidRPr="00B63D24" w:rsidRDefault="00B20854"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5A7E5" w14:textId="77777777" w:rsidR="00B20854" w:rsidRPr="0090165F" w:rsidRDefault="00B20854"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BF5133">
      <w:rPr>
        <w:rStyle w:val="PageNumber"/>
        <w:noProof/>
      </w:rPr>
      <w:t>16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B2641" w14:textId="77777777" w:rsidR="00B20854" w:rsidRDefault="00B20854" w:rsidP="00F14C6D">
      <w:r>
        <w:separator/>
      </w:r>
    </w:p>
  </w:footnote>
  <w:footnote w:type="continuationSeparator" w:id="0">
    <w:p w14:paraId="430F6852" w14:textId="77777777" w:rsidR="00B20854" w:rsidRDefault="00B20854"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3B210" w14:textId="77777777" w:rsidR="00B20854" w:rsidRDefault="00BF5133">
    <w:pPr>
      <w:pStyle w:val="Header"/>
    </w:pPr>
    <w:r>
      <w:rPr>
        <w:noProof/>
      </w:rPr>
      <w:pict w14:anchorId="2637DC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4CE27" w14:textId="77777777" w:rsidR="00B20854" w:rsidRPr="00D27262" w:rsidRDefault="00BF5133" w:rsidP="002B1B65">
    <w:pPr>
      <w:spacing w:before="0" w:after="0"/>
      <w:jc w:val="right"/>
      <w:rPr>
        <w:sz w:val="22"/>
        <w:szCs w:val="22"/>
      </w:rPr>
    </w:pPr>
    <w:r>
      <w:rPr>
        <w:noProof/>
        <w:sz w:val="22"/>
        <w:szCs w:val="22"/>
      </w:rPr>
      <w:pict w14:anchorId="480D91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B20854" w:rsidRPr="00D27262">
      <w:rPr>
        <w:sz w:val="22"/>
        <w:szCs w:val="22"/>
      </w:rPr>
      <w:t>Au</w:t>
    </w:r>
    <w:r w:rsidR="00B20854">
      <w:rPr>
        <w:sz w:val="22"/>
        <w:szCs w:val="22"/>
      </w:rPr>
      <w:t>stralian Human Rights Commission</w:t>
    </w:r>
  </w:p>
  <w:p w14:paraId="78C58635" w14:textId="77777777" w:rsidR="00B20854" w:rsidRDefault="00B20854"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B20854" w:rsidRPr="00B85DD4" w14:paraId="62B385FA" w14:textId="77777777" w:rsidTr="00165E3C">
      <w:trPr>
        <w:trHeight w:val="1276"/>
      </w:trPr>
      <w:tc>
        <w:tcPr>
          <w:tcW w:w="1508" w:type="dxa"/>
        </w:tcPr>
        <w:p w14:paraId="2209C942" w14:textId="77777777" w:rsidR="00B20854" w:rsidRPr="00B85DD4" w:rsidRDefault="00B20854" w:rsidP="00B520BC">
          <w:pPr>
            <w:pStyle w:val="Header"/>
            <w:tabs>
              <w:tab w:val="left" w:pos="4686"/>
              <w:tab w:val="left" w:pos="7088"/>
              <w:tab w:val="left" w:pos="7242"/>
            </w:tabs>
            <w:ind w:left="-108"/>
            <w:rPr>
              <w:rFonts w:cs="ArialMT"/>
              <w:b/>
              <w:spacing w:val="-20"/>
            </w:rPr>
          </w:pPr>
        </w:p>
      </w:tc>
      <w:tc>
        <w:tcPr>
          <w:tcW w:w="2688" w:type="dxa"/>
          <w:vAlign w:val="center"/>
        </w:tcPr>
        <w:p w14:paraId="6C7AB181" w14:textId="77777777" w:rsidR="00B20854" w:rsidRPr="00B85DD4" w:rsidRDefault="00B20854" w:rsidP="002B1B65">
          <w:pPr>
            <w:spacing w:before="0" w:after="0"/>
            <w:rPr>
              <w:rFonts w:cs="ArialMT"/>
              <w:i/>
              <w:color w:val="808080"/>
              <w:sz w:val="17"/>
            </w:rPr>
          </w:pPr>
        </w:p>
      </w:tc>
      <w:tc>
        <w:tcPr>
          <w:tcW w:w="2302" w:type="dxa"/>
        </w:tcPr>
        <w:p w14:paraId="39F89B79" w14:textId="77777777" w:rsidR="00B20854" w:rsidRPr="00B85DD4" w:rsidRDefault="00B20854" w:rsidP="00B520BC">
          <w:pPr>
            <w:pStyle w:val="HeaderFooter"/>
            <w:rPr>
              <w:b/>
              <w:spacing w:val="-20"/>
              <w:sz w:val="40"/>
            </w:rPr>
          </w:pPr>
        </w:p>
      </w:tc>
      <w:tc>
        <w:tcPr>
          <w:tcW w:w="2130" w:type="dxa"/>
        </w:tcPr>
        <w:p w14:paraId="1171434E" w14:textId="77777777" w:rsidR="00B20854" w:rsidRPr="00B85DD4" w:rsidRDefault="00B20854" w:rsidP="00B520BC">
          <w:pPr>
            <w:pStyle w:val="HeaderFooter"/>
            <w:rPr>
              <w:b/>
              <w:spacing w:val="-20"/>
              <w:sz w:val="40"/>
            </w:rPr>
          </w:pPr>
        </w:p>
      </w:tc>
      <w:tc>
        <w:tcPr>
          <w:tcW w:w="1721" w:type="dxa"/>
        </w:tcPr>
        <w:p w14:paraId="412FD2B7" w14:textId="77777777" w:rsidR="00B20854" w:rsidRPr="00B85DD4" w:rsidRDefault="00B20854" w:rsidP="00B520BC">
          <w:pPr>
            <w:pStyle w:val="HeaderFooter"/>
            <w:spacing w:before="227" w:after="340"/>
            <w:rPr>
              <w:b/>
              <w:spacing w:val="-20"/>
              <w:sz w:val="40"/>
            </w:rPr>
          </w:pPr>
        </w:p>
      </w:tc>
    </w:tr>
  </w:tbl>
  <w:p w14:paraId="1C27BD4F" w14:textId="77777777" w:rsidR="00B20854" w:rsidRDefault="00BF5133">
    <w:pPr>
      <w:pStyle w:val="Header"/>
    </w:pPr>
    <w:r>
      <w:rPr>
        <w:rFonts w:cs="ArialMT"/>
        <w:b/>
        <w:noProof/>
        <w:spacing w:val="-20"/>
      </w:rPr>
      <w:pict w14:anchorId="4B882F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6" type="#_x0000_t75" style="position:absolute;margin-left:-71.05pt;margin-top:-116pt;width:595.65pt;height:870.15pt;z-index:-251661312;mso-position-horizontal-relative:margin;mso-position-vertical-relative:margin" o:allowincell="f">
          <v:imagedata r:id="rId1" o:title="MS word cover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0B7D4" w14:textId="77777777" w:rsidR="00B20854" w:rsidRDefault="00BF5133">
    <w:pPr>
      <w:pStyle w:val="Header"/>
    </w:pPr>
    <w:r>
      <w:rPr>
        <w:noProof/>
      </w:rPr>
      <w:pict w14:anchorId="0CF8BD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11AD2" w14:textId="77777777" w:rsidR="00B20854" w:rsidRPr="00D27262" w:rsidRDefault="00B20854" w:rsidP="00B34946">
    <w:pPr>
      <w:spacing w:before="0" w:after="60"/>
      <w:jc w:val="right"/>
      <w:rPr>
        <w:sz w:val="22"/>
        <w:szCs w:val="22"/>
      </w:rPr>
    </w:pPr>
    <w:r w:rsidRPr="00D27262">
      <w:rPr>
        <w:sz w:val="22"/>
        <w:szCs w:val="22"/>
      </w:rPr>
      <w:t>Au</w:t>
    </w:r>
    <w:r>
      <w:rPr>
        <w:sz w:val="22"/>
        <w:szCs w:val="22"/>
      </w:rPr>
      <w:t>stralian Human Rights Commission</w:t>
    </w:r>
  </w:p>
  <w:p w14:paraId="7B2EB7C3" w14:textId="77777777" w:rsidR="00B20854" w:rsidRPr="00D729AD" w:rsidRDefault="00B20854" w:rsidP="002F4CE1">
    <w:pPr>
      <w:pStyle w:val="Footer"/>
      <w:spacing w:after="240"/>
      <w:jc w:val="right"/>
      <w:rPr>
        <w:i/>
        <w:szCs w:val="18"/>
      </w:rPr>
    </w:pPr>
    <w:r>
      <w:rPr>
        <w:b/>
        <w:i/>
        <w:szCs w:val="18"/>
      </w:rPr>
      <w:t>Inquiry into domestic violence and gender inequality</w:t>
    </w:r>
    <w:r w:rsidRPr="00D729AD">
      <w:rPr>
        <w:i/>
        <w:szCs w:val="18"/>
      </w:rPr>
      <w:t xml:space="preserve"> – </w:t>
    </w:r>
    <w:r>
      <w:rPr>
        <w:i/>
        <w:szCs w:val="18"/>
      </w:rPr>
      <w:t>4 March 2016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B20854" w:rsidRPr="00B85DD4" w14:paraId="422AF720" w14:textId="77777777" w:rsidTr="002B1B65">
      <w:trPr>
        <w:trHeight w:val="1603"/>
      </w:trPr>
      <w:tc>
        <w:tcPr>
          <w:tcW w:w="1508" w:type="dxa"/>
        </w:tcPr>
        <w:p w14:paraId="57A74EA5" w14:textId="77777777" w:rsidR="00B20854" w:rsidRPr="00B85DD4" w:rsidRDefault="00B20854" w:rsidP="00B520BC">
          <w:pPr>
            <w:pStyle w:val="Header"/>
            <w:tabs>
              <w:tab w:val="left" w:pos="4686"/>
              <w:tab w:val="left" w:pos="7088"/>
              <w:tab w:val="left" w:pos="7242"/>
            </w:tabs>
            <w:ind w:left="-108"/>
            <w:rPr>
              <w:rFonts w:cs="ArialMT"/>
              <w:b/>
              <w:spacing w:val="-20"/>
            </w:rPr>
          </w:pPr>
          <w:r w:rsidRPr="004D6E55">
            <w:rPr>
              <w:rFonts w:cs="ArialMT"/>
              <w:b/>
              <w:noProof/>
              <w:spacing w:val="-20"/>
            </w:rPr>
            <w:drawing>
              <wp:inline distT="0" distB="0" distL="0" distR="0" wp14:anchorId="3D791042" wp14:editId="687195D5">
                <wp:extent cx="819150" cy="819150"/>
                <wp:effectExtent l="0" t="0" r="0" b="0"/>
                <wp:docPr id="1"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14:paraId="4880F432" w14:textId="77777777" w:rsidR="00B20854" w:rsidRPr="00D36BB2" w:rsidRDefault="00B20854" w:rsidP="002B1B65">
          <w:pPr>
            <w:pStyle w:val="LogoType"/>
            <w:pBdr>
              <w:bottom w:val="single" w:sz="4" w:space="1" w:color="808080"/>
            </w:pBdr>
            <w:spacing w:line="240" w:lineRule="auto"/>
          </w:pPr>
          <w:r w:rsidRPr="00D36BB2">
            <w:t>Australian</w:t>
          </w:r>
        </w:p>
        <w:p w14:paraId="1624FD5B" w14:textId="77777777" w:rsidR="00B20854" w:rsidRPr="00D36BB2" w:rsidRDefault="00B20854" w:rsidP="002B1B65">
          <w:pPr>
            <w:pStyle w:val="LogoType"/>
            <w:pBdr>
              <w:bottom w:val="single" w:sz="4" w:space="1" w:color="808080"/>
            </w:pBdr>
            <w:spacing w:line="240" w:lineRule="auto"/>
          </w:pPr>
          <w:r w:rsidRPr="00D36BB2">
            <w:t>Human Rights</w:t>
          </w:r>
        </w:p>
        <w:p w14:paraId="241841B6" w14:textId="77777777" w:rsidR="00B20854" w:rsidRPr="00D36BB2" w:rsidRDefault="00B20854" w:rsidP="002B1B65">
          <w:pPr>
            <w:pStyle w:val="LogoType"/>
            <w:pBdr>
              <w:bottom w:val="single" w:sz="4" w:space="1" w:color="808080"/>
            </w:pBdr>
            <w:spacing w:line="240" w:lineRule="auto"/>
          </w:pPr>
          <w:r w:rsidRPr="00D36BB2">
            <w:t>Commission</w:t>
          </w:r>
        </w:p>
        <w:p w14:paraId="519D98B1" w14:textId="77777777" w:rsidR="00B20854" w:rsidRPr="00B85DD4" w:rsidRDefault="00B20854"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25F79345" w14:textId="77777777" w:rsidR="00B20854" w:rsidRPr="00B85DD4" w:rsidRDefault="00B20854" w:rsidP="00B520BC">
          <w:pPr>
            <w:pStyle w:val="HeaderFooter"/>
            <w:rPr>
              <w:b/>
              <w:spacing w:val="-20"/>
              <w:sz w:val="40"/>
            </w:rPr>
          </w:pPr>
        </w:p>
      </w:tc>
      <w:tc>
        <w:tcPr>
          <w:tcW w:w="2130" w:type="dxa"/>
        </w:tcPr>
        <w:p w14:paraId="25D99728" w14:textId="77777777" w:rsidR="00B20854" w:rsidRPr="00B85DD4" w:rsidRDefault="00B20854" w:rsidP="00B520BC">
          <w:pPr>
            <w:pStyle w:val="HeaderFooter"/>
            <w:rPr>
              <w:b/>
              <w:spacing w:val="-20"/>
              <w:sz w:val="40"/>
            </w:rPr>
          </w:pPr>
        </w:p>
      </w:tc>
      <w:tc>
        <w:tcPr>
          <w:tcW w:w="1721" w:type="dxa"/>
        </w:tcPr>
        <w:p w14:paraId="2788B240" w14:textId="77777777" w:rsidR="00B20854" w:rsidRPr="00B85DD4" w:rsidRDefault="00B20854" w:rsidP="00B520BC">
          <w:pPr>
            <w:pStyle w:val="HeaderFooter"/>
            <w:spacing w:before="227" w:after="340"/>
            <w:rPr>
              <w:b/>
              <w:spacing w:val="-20"/>
              <w:sz w:val="40"/>
            </w:rPr>
          </w:pPr>
        </w:p>
      </w:tc>
    </w:tr>
  </w:tbl>
  <w:p w14:paraId="0557511C" w14:textId="77777777" w:rsidR="00B20854" w:rsidRDefault="00BF5133">
    <w:pPr>
      <w:pStyle w:val="Header"/>
    </w:pPr>
    <w:r>
      <w:rPr>
        <w:rFonts w:cs="ArialMT"/>
        <w:b/>
        <w:noProof/>
        <w:spacing w:val="-20"/>
      </w:rPr>
      <w:pict w14:anchorId="688DEE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5" type="#_x0000_t75" style="position:absolute;margin-left:0;margin-top:0;width:595.65pt;height:870.15pt;z-index:-251658240;mso-position-horizontal:center;mso-position-horizontal-relative:margin;mso-position-vertical:center;mso-position-vertical-relative:margin" o:allowincell="f">
          <v:imagedata r:id="rId2" o:title="MS word cover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15:restartNumberingAfterBreak="0">
    <w:nsid w:val="104C567C"/>
    <w:multiLevelType w:val="hybridMultilevel"/>
    <w:tmpl w:val="5484CDCE"/>
    <w:lvl w:ilvl="0" w:tplc="0C090001">
      <w:start w:val="1"/>
      <w:numFmt w:val="bullet"/>
      <w:lvlText w:val=""/>
      <w:lvlJc w:val="left"/>
      <w:pPr>
        <w:ind w:left="1080" w:hanging="360"/>
      </w:pPr>
      <w:rPr>
        <w:rFonts w:ascii="Symbol" w:hAnsi="Symbol" w:hint="default"/>
        <w:color w:val="00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DCB237C"/>
    <w:multiLevelType w:val="hybridMultilevel"/>
    <w:tmpl w:val="241E0AC8"/>
    <w:lvl w:ilvl="0" w:tplc="A32EC982">
      <w:start w:val="1"/>
      <w:numFmt w:val="decimal"/>
      <w:pStyle w:val="SubmissionNor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FBB7F5B"/>
    <w:multiLevelType w:val="multilevel"/>
    <w:tmpl w:val="4016F0AC"/>
    <w:lvl w:ilvl="0">
      <w:start w:val="4"/>
      <w:numFmt w:val="decimal"/>
      <w:lvlText w:val="%1"/>
      <w:lvlJc w:val="left"/>
      <w:pPr>
        <w:ind w:left="405" w:hanging="405"/>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EC009A6"/>
    <w:multiLevelType w:val="multilevel"/>
    <w:tmpl w:val="D0445450"/>
    <w:lvl w:ilvl="0">
      <w:start w:val="4"/>
      <w:numFmt w:val="decimal"/>
      <w:lvlText w:val="%1"/>
      <w:lvlJc w:val="left"/>
      <w:pPr>
        <w:ind w:left="405" w:hanging="405"/>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F40351D"/>
    <w:multiLevelType w:val="hybridMultilevel"/>
    <w:tmpl w:val="9056D0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40D315F5"/>
    <w:multiLevelType w:val="hybridMultilevel"/>
    <w:tmpl w:val="FC62E3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45771C9"/>
    <w:multiLevelType w:val="hybridMultilevel"/>
    <w:tmpl w:val="F8A212B8"/>
    <w:lvl w:ilvl="0" w:tplc="0C090001">
      <w:start w:val="1"/>
      <w:numFmt w:val="bullet"/>
      <w:lvlText w:val=""/>
      <w:lvlJc w:val="left"/>
      <w:pPr>
        <w:tabs>
          <w:tab w:val="num" w:pos="1080"/>
        </w:tabs>
        <w:ind w:left="1080" w:hanging="360"/>
      </w:pPr>
      <w:rPr>
        <w:rFonts w:ascii="Symbol" w:hAnsi="Symbol" w:hint="default"/>
      </w:rPr>
    </w:lvl>
    <w:lvl w:ilvl="1" w:tplc="0C090019">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0" w15:restartNumberingAfterBreak="0">
    <w:nsid w:val="46213220"/>
    <w:multiLevelType w:val="hybridMultilevel"/>
    <w:tmpl w:val="7CCE4C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75B39E7"/>
    <w:multiLevelType w:val="hybridMultilevel"/>
    <w:tmpl w:val="38069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3"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4EB543F8"/>
    <w:multiLevelType w:val="hybridMultilevel"/>
    <w:tmpl w:val="8C32FF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5802FE3"/>
    <w:multiLevelType w:val="hybridMultilevel"/>
    <w:tmpl w:val="B288AB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27123B2"/>
    <w:multiLevelType w:val="hybridMultilevel"/>
    <w:tmpl w:val="59EC3F96"/>
    <w:lvl w:ilvl="0" w:tplc="0C090001">
      <w:start w:val="1"/>
      <w:numFmt w:val="bullet"/>
      <w:lvlText w:val=""/>
      <w:lvlJc w:val="left"/>
      <w:pPr>
        <w:ind w:left="720" w:hanging="360"/>
      </w:pPr>
      <w:rPr>
        <w:rFonts w:ascii="Symbol" w:hAnsi="Symbol" w:hint="default"/>
      </w:rPr>
    </w:lvl>
    <w:lvl w:ilvl="1" w:tplc="E6EA65D6">
      <w:start w:val="1"/>
      <w:numFmt w:val="lowerLetter"/>
      <w:lvlText w:val="%2."/>
      <w:lvlJc w:val="left"/>
      <w:pPr>
        <w:ind w:left="1440" w:hanging="360"/>
      </w:pPr>
      <w:rPr>
        <w:rFonts w:hint="default"/>
      </w:rPr>
    </w:lvl>
    <w:lvl w:ilvl="2" w:tplc="775EABD8">
      <w:start w:val="1"/>
      <w:numFmt w:val="decimal"/>
      <w:lvlText w:val="%3)"/>
      <w:lvlJc w:val="left"/>
      <w:pPr>
        <w:ind w:left="2370" w:hanging="39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3"/>
  </w:num>
  <w:num w:numId="13">
    <w:abstractNumId w:val="16"/>
  </w:num>
  <w:num w:numId="14">
    <w:abstractNumId w:val="14"/>
  </w:num>
  <w:num w:numId="15">
    <w:abstractNumId w:val="12"/>
  </w:num>
  <w:num w:numId="16">
    <w:abstractNumId w:val="10"/>
  </w:num>
  <w:num w:numId="17">
    <w:abstractNumId w:val="19"/>
  </w:num>
  <w:num w:numId="18">
    <w:abstractNumId w:val="24"/>
  </w:num>
  <w:num w:numId="19">
    <w:abstractNumId w:val="21"/>
  </w:num>
  <w:num w:numId="20">
    <w:abstractNumId w:val="20"/>
  </w:num>
  <w:num w:numId="21">
    <w:abstractNumId w:val="11"/>
  </w:num>
  <w:num w:numId="22">
    <w:abstractNumId w:val="26"/>
  </w:num>
  <w:num w:numId="23">
    <w:abstractNumId w:val="13"/>
  </w:num>
  <w:num w:numId="24">
    <w:abstractNumId w:val="15"/>
  </w:num>
  <w:num w:numId="25">
    <w:abstractNumId w:val="18"/>
  </w:num>
  <w:num w:numId="26">
    <w:abstractNumId w:val="25"/>
  </w:num>
  <w:num w:numId="27">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2D9"/>
    <w:rsid w:val="0003606D"/>
    <w:rsid w:val="00044F41"/>
    <w:rsid w:val="000579B1"/>
    <w:rsid w:val="00072D2F"/>
    <w:rsid w:val="00074319"/>
    <w:rsid w:val="00074C84"/>
    <w:rsid w:val="0007728F"/>
    <w:rsid w:val="00081533"/>
    <w:rsid w:val="00083C88"/>
    <w:rsid w:val="000A1DB8"/>
    <w:rsid w:val="000A48AC"/>
    <w:rsid w:val="000B0A5D"/>
    <w:rsid w:val="000D2D9C"/>
    <w:rsid w:val="000E130A"/>
    <w:rsid w:val="000E6B7D"/>
    <w:rsid w:val="00112EDA"/>
    <w:rsid w:val="00134774"/>
    <w:rsid w:val="00140274"/>
    <w:rsid w:val="0014319A"/>
    <w:rsid w:val="00151263"/>
    <w:rsid w:val="00152EFF"/>
    <w:rsid w:val="00154D08"/>
    <w:rsid w:val="00162A8D"/>
    <w:rsid w:val="00165E3C"/>
    <w:rsid w:val="00173DB1"/>
    <w:rsid w:val="00173FB5"/>
    <w:rsid w:val="00192B11"/>
    <w:rsid w:val="00196C64"/>
    <w:rsid w:val="001A157A"/>
    <w:rsid w:val="001B0353"/>
    <w:rsid w:val="001C1F8B"/>
    <w:rsid w:val="001F2BBB"/>
    <w:rsid w:val="001F322C"/>
    <w:rsid w:val="001F6736"/>
    <w:rsid w:val="00200677"/>
    <w:rsid w:val="002163A5"/>
    <w:rsid w:val="00224AA3"/>
    <w:rsid w:val="00231964"/>
    <w:rsid w:val="00231ED1"/>
    <w:rsid w:val="00242624"/>
    <w:rsid w:val="0024557E"/>
    <w:rsid w:val="002508BC"/>
    <w:rsid w:val="002863D7"/>
    <w:rsid w:val="002B1B65"/>
    <w:rsid w:val="002C1866"/>
    <w:rsid w:val="002E689A"/>
    <w:rsid w:val="002F4CE1"/>
    <w:rsid w:val="00300F22"/>
    <w:rsid w:val="00304A37"/>
    <w:rsid w:val="00310ED4"/>
    <w:rsid w:val="00312301"/>
    <w:rsid w:val="0031492A"/>
    <w:rsid w:val="00316C1A"/>
    <w:rsid w:val="00321DE6"/>
    <w:rsid w:val="00323C73"/>
    <w:rsid w:val="00331141"/>
    <w:rsid w:val="00344758"/>
    <w:rsid w:val="00347142"/>
    <w:rsid w:val="003565A8"/>
    <w:rsid w:val="003566EA"/>
    <w:rsid w:val="00372C79"/>
    <w:rsid w:val="00407459"/>
    <w:rsid w:val="00422417"/>
    <w:rsid w:val="00424233"/>
    <w:rsid w:val="0043042B"/>
    <w:rsid w:val="004471DD"/>
    <w:rsid w:val="00460311"/>
    <w:rsid w:val="004612A4"/>
    <w:rsid w:val="00472EFF"/>
    <w:rsid w:val="00474063"/>
    <w:rsid w:val="00476793"/>
    <w:rsid w:val="004942D9"/>
    <w:rsid w:val="004A187B"/>
    <w:rsid w:val="004A2D3C"/>
    <w:rsid w:val="004C7412"/>
    <w:rsid w:val="004D04BF"/>
    <w:rsid w:val="004D6E55"/>
    <w:rsid w:val="004E0DFF"/>
    <w:rsid w:val="004F1C7C"/>
    <w:rsid w:val="005123F0"/>
    <w:rsid w:val="00513540"/>
    <w:rsid w:val="00513941"/>
    <w:rsid w:val="00526146"/>
    <w:rsid w:val="0053051D"/>
    <w:rsid w:val="005376B3"/>
    <w:rsid w:val="00564208"/>
    <w:rsid w:val="00571CEB"/>
    <w:rsid w:val="00591951"/>
    <w:rsid w:val="00594F72"/>
    <w:rsid w:val="005C5D41"/>
    <w:rsid w:val="005D1F34"/>
    <w:rsid w:val="005D383D"/>
    <w:rsid w:val="005E3266"/>
    <w:rsid w:val="005E621D"/>
    <w:rsid w:val="00624212"/>
    <w:rsid w:val="00637839"/>
    <w:rsid w:val="00654793"/>
    <w:rsid w:val="00672D6E"/>
    <w:rsid w:val="0067376A"/>
    <w:rsid w:val="00674503"/>
    <w:rsid w:val="006A6BB3"/>
    <w:rsid w:val="006B23F6"/>
    <w:rsid w:val="006B3908"/>
    <w:rsid w:val="006D5EE5"/>
    <w:rsid w:val="00743727"/>
    <w:rsid w:val="00750079"/>
    <w:rsid w:val="007540BF"/>
    <w:rsid w:val="00761DFD"/>
    <w:rsid w:val="00770DCB"/>
    <w:rsid w:val="00773C02"/>
    <w:rsid w:val="00775485"/>
    <w:rsid w:val="00797F7A"/>
    <w:rsid w:val="007B2340"/>
    <w:rsid w:val="007C2BB0"/>
    <w:rsid w:val="007E5B88"/>
    <w:rsid w:val="007F0D0B"/>
    <w:rsid w:val="008007A8"/>
    <w:rsid w:val="008042D9"/>
    <w:rsid w:val="00814FC0"/>
    <w:rsid w:val="00842D51"/>
    <w:rsid w:val="0084474E"/>
    <w:rsid w:val="00847B47"/>
    <w:rsid w:val="00857B32"/>
    <w:rsid w:val="008724DE"/>
    <w:rsid w:val="00875EFB"/>
    <w:rsid w:val="008804FC"/>
    <w:rsid w:val="008A3D57"/>
    <w:rsid w:val="008B23BC"/>
    <w:rsid w:val="008E3D60"/>
    <w:rsid w:val="008E3F4C"/>
    <w:rsid w:val="008F6B7B"/>
    <w:rsid w:val="0090165F"/>
    <w:rsid w:val="00901B82"/>
    <w:rsid w:val="0090213E"/>
    <w:rsid w:val="00912B09"/>
    <w:rsid w:val="009545CB"/>
    <w:rsid w:val="00963A7C"/>
    <w:rsid w:val="009669EF"/>
    <w:rsid w:val="00966BC9"/>
    <w:rsid w:val="00966C2F"/>
    <w:rsid w:val="0097512B"/>
    <w:rsid w:val="009812C7"/>
    <w:rsid w:val="009D67F6"/>
    <w:rsid w:val="009E0FE1"/>
    <w:rsid w:val="009E3E00"/>
    <w:rsid w:val="00A014F1"/>
    <w:rsid w:val="00A0406E"/>
    <w:rsid w:val="00A11307"/>
    <w:rsid w:val="00A13AF3"/>
    <w:rsid w:val="00A21388"/>
    <w:rsid w:val="00A27791"/>
    <w:rsid w:val="00A41355"/>
    <w:rsid w:val="00A43B92"/>
    <w:rsid w:val="00A54251"/>
    <w:rsid w:val="00A6179E"/>
    <w:rsid w:val="00A64316"/>
    <w:rsid w:val="00A804D9"/>
    <w:rsid w:val="00A92F92"/>
    <w:rsid w:val="00A96892"/>
    <w:rsid w:val="00AA2051"/>
    <w:rsid w:val="00B02ACF"/>
    <w:rsid w:val="00B20854"/>
    <w:rsid w:val="00B24B1D"/>
    <w:rsid w:val="00B277E0"/>
    <w:rsid w:val="00B34946"/>
    <w:rsid w:val="00B5063B"/>
    <w:rsid w:val="00B519FD"/>
    <w:rsid w:val="00B520BC"/>
    <w:rsid w:val="00B63D24"/>
    <w:rsid w:val="00B6453D"/>
    <w:rsid w:val="00B924E6"/>
    <w:rsid w:val="00BA262D"/>
    <w:rsid w:val="00BA5698"/>
    <w:rsid w:val="00BC79EB"/>
    <w:rsid w:val="00BD7FCF"/>
    <w:rsid w:val="00BF5133"/>
    <w:rsid w:val="00C25BDA"/>
    <w:rsid w:val="00C33104"/>
    <w:rsid w:val="00C477BD"/>
    <w:rsid w:val="00C641D6"/>
    <w:rsid w:val="00C73B10"/>
    <w:rsid w:val="00C743EF"/>
    <w:rsid w:val="00C807E5"/>
    <w:rsid w:val="00C848DB"/>
    <w:rsid w:val="00C854D4"/>
    <w:rsid w:val="00C90556"/>
    <w:rsid w:val="00CA0D78"/>
    <w:rsid w:val="00CA4855"/>
    <w:rsid w:val="00CB03C8"/>
    <w:rsid w:val="00CB24FE"/>
    <w:rsid w:val="00CC78F5"/>
    <w:rsid w:val="00CD58FD"/>
    <w:rsid w:val="00CF2069"/>
    <w:rsid w:val="00CF2A00"/>
    <w:rsid w:val="00D020FD"/>
    <w:rsid w:val="00D23549"/>
    <w:rsid w:val="00D2526F"/>
    <w:rsid w:val="00D30A61"/>
    <w:rsid w:val="00D343FA"/>
    <w:rsid w:val="00D418FF"/>
    <w:rsid w:val="00D42CEE"/>
    <w:rsid w:val="00D53965"/>
    <w:rsid w:val="00D53D5E"/>
    <w:rsid w:val="00D65C76"/>
    <w:rsid w:val="00D729AD"/>
    <w:rsid w:val="00D734C7"/>
    <w:rsid w:val="00D76BFE"/>
    <w:rsid w:val="00DA08F8"/>
    <w:rsid w:val="00DA2F73"/>
    <w:rsid w:val="00DC462F"/>
    <w:rsid w:val="00DD6A21"/>
    <w:rsid w:val="00DE26B2"/>
    <w:rsid w:val="00DE280B"/>
    <w:rsid w:val="00DE60CA"/>
    <w:rsid w:val="00DF65DD"/>
    <w:rsid w:val="00DF72E3"/>
    <w:rsid w:val="00E23DBD"/>
    <w:rsid w:val="00E24FA3"/>
    <w:rsid w:val="00E26B28"/>
    <w:rsid w:val="00E31465"/>
    <w:rsid w:val="00E328CD"/>
    <w:rsid w:val="00E36B95"/>
    <w:rsid w:val="00E4003F"/>
    <w:rsid w:val="00E458F6"/>
    <w:rsid w:val="00E45954"/>
    <w:rsid w:val="00E823C6"/>
    <w:rsid w:val="00E9115F"/>
    <w:rsid w:val="00EA44D9"/>
    <w:rsid w:val="00EB18E3"/>
    <w:rsid w:val="00EB41CB"/>
    <w:rsid w:val="00EB4C9F"/>
    <w:rsid w:val="00EB6A76"/>
    <w:rsid w:val="00ED0BCD"/>
    <w:rsid w:val="00EE78C2"/>
    <w:rsid w:val="00F14C6D"/>
    <w:rsid w:val="00F1683A"/>
    <w:rsid w:val="00F50C78"/>
    <w:rsid w:val="00F57931"/>
    <w:rsid w:val="00FA10E9"/>
    <w:rsid w:val="00FA4916"/>
    <w:rsid w:val="00FD01B5"/>
    <w:rsid w:val="00FE5B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057265C5"/>
  <w15:chartTrackingRefBased/>
  <w15:docId w15:val="{71352214-0FF7-4708-8012-7037950CF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endnote reference" w:uiPriority="99"/>
    <w:lsdException w:name="endnote text" w:uiPriority="99" w:qFormat="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qFormat="1"/>
    <w:lsdException w:name="Document Map" w:locked="1"/>
    <w:lsdException w:name="Plain Text" w:locked="1" w:uiPriority="99"/>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99"/>
    <w:lsdException w:name="HTML Sample" w:locked="1"/>
    <w:lsdException w:name="HTML Typewriter" w:locked="1"/>
    <w:lsdException w:name="HTML Variable" w:locked="1"/>
    <w:lsdException w:name="Normal Table" w:semiHidden="1" w:unhideWhenUsed="1"/>
    <w:lsdException w:name="annotation subjec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uiPriority w:val="22"/>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uiPriority w:val="99"/>
    <w:qFormat/>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uiPriority w:val="99"/>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link w:val="HTMLPreformattedChar"/>
    <w:uiPriority w:val="99"/>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uiPriority w:val="99"/>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paragraph" w:styleId="ListParagraph">
    <w:name w:val="List Paragraph"/>
    <w:aliases w:val="Recommendation,List Paragraph1,List Paragraph11,L"/>
    <w:basedOn w:val="Normal"/>
    <w:link w:val="ListParagraphChar"/>
    <w:uiPriority w:val="34"/>
    <w:qFormat/>
    <w:rsid w:val="00CC78F5"/>
    <w:pPr>
      <w:ind w:left="720"/>
      <w:contextualSpacing/>
    </w:pPr>
  </w:style>
  <w:style w:type="paragraph" w:customStyle="1" w:styleId="Default">
    <w:name w:val="Default"/>
    <w:rsid w:val="001F322C"/>
    <w:pPr>
      <w:autoSpaceDE w:val="0"/>
      <w:autoSpaceDN w:val="0"/>
      <w:adjustRightInd w:val="0"/>
    </w:pPr>
    <w:rPr>
      <w:rFonts w:ascii="Myriad Pro" w:hAnsi="Myriad Pro" w:cs="Myriad Pro"/>
      <w:color w:val="000000"/>
      <w:sz w:val="24"/>
      <w:szCs w:val="24"/>
    </w:rPr>
  </w:style>
  <w:style w:type="paragraph" w:customStyle="1" w:styleId="Pa3">
    <w:name w:val="Pa3"/>
    <w:basedOn w:val="Default"/>
    <w:next w:val="Default"/>
    <w:uiPriority w:val="99"/>
    <w:rsid w:val="001F322C"/>
    <w:pPr>
      <w:spacing w:line="201" w:lineRule="atLeast"/>
    </w:pPr>
    <w:rPr>
      <w:rFonts w:cs="Times New Roman"/>
      <w:color w:val="auto"/>
    </w:rPr>
  </w:style>
  <w:style w:type="character" w:customStyle="1" w:styleId="PlainTextChar">
    <w:name w:val="Plain Text Char"/>
    <w:basedOn w:val="DefaultParagraphFont"/>
    <w:link w:val="PlainText"/>
    <w:uiPriority w:val="99"/>
    <w:semiHidden/>
    <w:rsid w:val="005376B3"/>
    <w:rPr>
      <w:rFonts w:ascii="Courier New" w:eastAsia="MS Mincho" w:hAnsi="Courier New" w:cs="Courier New"/>
    </w:rPr>
  </w:style>
  <w:style w:type="character" w:customStyle="1" w:styleId="ListParagraphChar">
    <w:name w:val="List Paragraph Char"/>
    <w:aliases w:val="Recommendation Char,List Paragraph1 Char,List Paragraph11 Char,L Char"/>
    <w:link w:val="ListParagraph"/>
    <w:uiPriority w:val="34"/>
    <w:locked/>
    <w:rsid w:val="00E23DBD"/>
    <w:rPr>
      <w:rFonts w:ascii="Arial" w:eastAsia="MS Mincho" w:hAnsi="Arial"/>
      <w:sz w:val="24"/>
      <w:szCs w:val="24"/>
    </w:rPr>
  </w:style>
  <w:style w:type="character" w:customStyle="1" w:styleId="doccite">
    <w:name w:val="doccite"/>
    <w:basedOn w:val="DefaultParagraphFont"/>
    <w:rsid w:val="00E23DBD"/>
  </w:style>
  <w:style w:type="character" w:customStyle="1" w:styleId="HTMLPreformattedChar">
    <w:name w:val="HTML Preformatted Char"/>
    <w:basedOn w:val="DefaultParagraphFont"/>
    <w:link w:val="HTMLPreformatted"/>
    <w:uiPriority w:val="99"/>
    <w:semiHidden/>
    <w:rsid w:val="00D76BFE"/>
    <w:rPr>
      <w:rFonts w:ascii="Courier New" w:eastAsia="MS Mincho" w:hAnsi="Courier New" w:cs="Courier New"/>
    </w:rPr>
  </w:style>
  <w:style w:type="character" w:customStyle="1" w:styleId="apple-converted-space">
    <w:name w:val="apple-converted-space"/>
    <w:rsid w:val="00637839"/>
  </w:style>
  <w:style w:type="character" w:customStyle="1" w:styleId="A0">
    <w:name w:val="A0"/>
    <w:uiPriority w:val="99"/>
    <w:rsid w:val="00CB03C8"/>
    <w:rPr>
      <w:rFonts w:cs="Trade Gothic LT Std Bold"/>
      <w:b/>
      <w:bCs/>
      <w:color w:val="000000"/>
      <w:sz w:val="106"/>
      <w:szCs w:val="106"/>
    </w:rPr>
  </w:style>
  <w:style w:type="character" w:customStyle="1" w:styleId="A1">
    <w:name w:val="A1"/>
    <w:uiPriority w:val="99"/>
    <w:rsid w:val="00CB03C8"/>
    <w:rPr>
      <w:rFonts w:cs="Trade Gothic LT Std Cn"/>
      <w:color w:val="000000"/>
      <w:sz w:val="49"/>
      <w:szCs w:val="49"/>
    </w:rPr>
  </w:style>
  <w:style w:type="character" w:styleId="CommentReference">
    <w:name w:val="annotation reference"/>
    <w:basedOn w:val="DefaultParagraphFont"/>
    <w:locked/>
    <w:rsid w:val="00750079"/>
    <w:rPr>
      <w:sz w:val="16"/>
      <w:szCs w:val="16"/>
    </w:rPr>
  </w:style>
  <w:style w:type="paragraph" w:styleId="CommentText">
    <w:name w:val="annotation text"/>
    <w:basedOn w:val="Normal"/>
    <w:link w:val="CommentTextChar"/>
    <w:locked/>
    <w:rsid w:val="00750079"/>
    <w:rPr>
      <w:sz w:val="20"/>
      <w:szCs w:val="20"/>
    </w:rPr>
  </w:style>
  <w:style w:type="character" w:customStyle="1" w:styleId="CommentTextChar">
    <w:name w:val="Comment Text Char"/>
    <w:basedOn w:val="DefaultParagraphFont"/>
    <w:link w:val="CommentText"/>
    <w:rsid w:val="00750079"/>
    <w:rPr>
      <w:rFonts w:ascii="Arial" w:eastAsia="MS Mincho" w:hAnsi="Arial"/>
    </w:rPr>
  </w:style>
  <w:style w:type="paragraph" w:styleId="CommentSubject">
    <w:name w:val="annotation subject"/>
    <w:basedOn w:val="CommentText"/>
    <w:next w:val="CommentText"/>
    <w:link w:val="CommentSubjectChar"/>
    <w:locked/>
    <w:rsid w:val="00750079"/>
    <w:rPr>
      <w:b/>
      <w:bCs/>
    </w:rPr>
  </w:style>
  <w:style w:type="character" w:customStyle="1" w:styleId="CommentSubjectChar">
    <w:name w:val="Comment Subject Char"/>
    <w:basedOn w:val="CommentTextChar"/>
    <w:link w:val="CommentSubject"/>
    <w:rsid w:val="00750079"/>
    <w:rPr>
      <w:rFonts w:ascii="Arial" w:eastAsia="MS Mincho"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52900803">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72462029">
      <w:bodyDiv w:val="1"/>
      <w:marLeft w:val="0"/>
      <w:marRight w:val="0"/>
      <w:marTop w:val="0"/>
      <w:marBottom w:val="0"/>
      <w:divBdr>
        <w:top w:val="none" w:sz="0" w:space="0" w:color="auto"/>
        <w:left w:val="none" w:sz="0" w:space="0" w:color="auto"/>
        <w:bottom w:val="none" w:sz="0" w:space="0" w:color="auto"/>
        <w:right w:val="none" w:sz="0" w:space="0" w:color="auto"/>
      </w:divBdr>
    </w:div>
    <w:div w:id="1244072405">
      <w:bodyDiv w:val="1"/>
      <w:marLeft w:val="0"/>
      <w:marRight w:val="0"/>
      <w:marTop w:val="0"/>
      <w:marBottom w:val="0"/>
      <w:divBdr>
        <w:top w:val="none" w:sz="0" w:space="0" w:color="auto"/>
        <w:left w:val="none" w:sz="0" w:space="0" w:color="auto"/>
        <w:bottom w:val="none" w:sz="0" w:space="0" w:color="auto"/>
        <w:right w:val="none" w:sz="0" w:space="0" w:color="auto"/>
      </w:divBdr>
    </w:div>
    <w:div w:id="188344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endnotes.xml.rels><?xml version="1.0" encoding="UTF-8" standalone="yes"?>
<Relationships xmlns="http://schemas.openxmlformats.org/package/2006/relationships"><Relationship Id="rId8" Type="http://schemas.openxmlformats.org/officeDocument/2006/relationships/hyperlink" Target="https://www.wgea.gov.au/sites/default/files/2012_census_summary_tag.pdf" TargetMode="External"/><Relationship Id="rId13" Type="http://schemas.openxmlformats.org/officeDocument/2006/relationships/hyperlink" Target="http://www.ourwatch.org.au/getmedia/0aa0109b-6b03-43f2-85fe-a9f5ec92ae4e/Change-the-story-framework-prevent-violence-women-children-AA-new.pdf.aspx" TargetMode="External"/><Relationship Id="rId18" Type="http://schemas.openxmlformats.org/officeDocument/2006/relationships/hyperlink" Target="http://www.aph.gov.au/Parliamentary_Business/Committees/Senate/Legal_and_Constitutional_Affairs/Completed_inquiries/2010-13/antidiscrimination2012/index" TargetMode="External"/><Relationship Id="rId26" Type="http://schemas.openxmlformats.org/officeDocument/2006/relationships/hyperlink" Target="https://www.coag.gov.au/sites/default/files/coag%20communique%2017%20april%202015.pdf" TargetMode="External"/><Relationship Id="rId3" Type="http://schemas.openxmlformats.org/officeDocument/2006/relationships/hyperlink" Target="https://www.wgea.gov.au/sites/default/files/Gender_Pay_Gap_Factsheet.pdf" TargetMode="External"/><Relationship Id="rId21" Type="http://schemas.openxmlformats.org/officeDocument/2006/relationships/hyperlink" Target="http://www.humanrights.gov.au/legal-research-and-resources-1" TargetMode="External"/><Relationship Id="rId34" Type="http://schemas.openxmlformats.org/officeDocument/2006/relationships/hyperlink" Target="http://www.abc.net.au/unleashed/4516492.html" TargetMode="External"/><Relationship Id="rId7" Type="http://schemas.openxmlformats.org/officeDocument/2006/relationships/hyperlink" Target="http://www.companydirectors.com.au/director-resource-centre/governance-and-director-issues/board-diversity/statistics" TargetMode="External"/><Relationship Id="rId12" Type="http://schemas.openxmlformats.org/officeDocument/2006/relationships/hyperlink" Target="http://www.ourwatch.org.au/getmedia/0aa0109b-6b03-43f2-85fe-a9f5ec92ae4e/Change-the-story-framework-prevent-violence-women-children-AA-new.pdf.aspx" TargetMode="External"/><Relationship Id="rId17" Type="http://schemas.openxmlformats.org/officeDocument/2006/relationships/hyperlink" Target="http://parlinfo.aph.gov.au/parlInfo/search/display/display.w3p;query=Id:%22committees/commsen/8eb3bdec-c603-4d2d-9564-674c7bd7b5c2/0000%22" TargetMode="External"/><Relationship Id="rId25" Type="http://schemas.openxmlformats.org/officeDocument/2006/relationships/hyperlink" Target="http://humanrights.gov.au/sex_discrimination/publication/UNSRVAW%20report%202012/index.html" TargetMode="External"/><Relationship Id="rId33" Type="http://schemas.openxmlformats.org/officeDocument/2006/relationships/hyperlink" Target="https://www.humanrights.gov.au/news/stories/fair-work-changes-recognise-carers-and-domestic-violence-0" TargetMode="External"/><Relationship Id="rId2" Type="http://schemas.openxmlformats.org/officeDocument/2006/relationships/hyperlink" Target="http://www.abs.gov.au/ausstats/abs@.nsf/mf/6302.0/" TargetMode="External"/><Relationship Id="rId16" Type="http://schemas.openxmlformats.org/officeDocument/2006/relationships/hyperlink" Target="http://www.malcolmturnbull.com.au/media/release-womens-safety-package-to-stoptheviolence" TargetMode="External"/><Relationship Id="rId20" Type="http://schemas.openxmlformats.org/officeDocument/2006/relationships/hyperlink" Target="http://www.humanrights.gov.au/post-implementation-review-fair-work-act-2009" TargetMode="External"/><Relationship Id="rId29" Type="http://schemas.openxmlformats.org/officeDocument/2006/relationships/hyperlink" Target="https://www.humanrights.gov.au/sites/default/files/AHRC_ChildrensRights_Report_2015_0.pdf" TargetMode="External"/><Relationship Id="rId1" Type="http://schemas.openxmlformats.org/officeDocument/2006/relationships/hyperlink" Target="http://www.abs.gov.au/ausstats/abs@.nsf/Lookup/4906.0Chapter2002012" TargetMode="External"/><Relationship Id="rId6" Type="http://schemas.openxmlformats.org/officeDocument/2006/relationships/hyperlink" Target="https://www.wgea.gov.au/" TargetMode="External"/><Relationship Id="rId11" Type="http://schemas.openxmlformats.org/officeDocument/2006/relationships/hyperlink" Target="http://www.ourwatch.org.au/getmedia/0aa0109b-6b03-43f2-85fe-a9f5ec92ae4e/Change-the-story-framework-prevent-violence-women-children-AA-new.pdf.aspx" TargetMode="External"/><Relationship Id="rId24" Type="http://schemas.openxmlformats.org/officeDocument/2006/relationships/hyperlink" Target="http://www.vichealth.vic.gov.au/Publications/Freedom-from-violence/Violence-against-women-in-Australia-research-summary.aspx" TargetMode="External"/><Relationship Id="rId32" Type="http://schemas.openxmlformats.org/officeDocument/2006/relationships/hyperlink" Target="http://www.dvandwork.unsw.edu.au/download/file/fid/27" TargetMode="External"/><Relationship Id="rId37" Type="http://schemas.openxmlformats.org/officeDocument/2006/relationships/hyperlink" Target="https://www.dss.gov.au/sites/default/files/documents/09_2014/dss012_14_book_tagged_reduced.pdf" TargetMode="External"/><Relationship Id="rId5" Type="http://schemas.openxmlformats.org/officeDocument/2006/relationships/hyperlink" Target="http://www.abs.gov.au/ausstats/abs@.nsf/Lookup/by%20Subject/4125.0~August%202014~Media%20Release~Women's%20participation%20in%20paid%20work%20lower%20than%20men's%20(Media%20Release)~10008" TargetMode="External"/><Relationship Id="rId15" Type="http://schemas.openxmlformats.org/officeDocument/2006/relationships/hyperlink" Target="https://www.coag.gov.au/sites/default/files/coag%20communique%2017%20april%202015.pdf" TargetMode="External"/><Relationship Id="rId23" Type="http://schemas.openxmlformats.org/officeDocument/2006/relationships/hyperlink" Target="http://www.aph.gov.au/Parliamentary_Business/Committees/Senate/Legal_and_Constitutional_Affairs/Completed_inquiries/2010-13/antidiscrimination2012/report/index" TargetMode="External"/><Relationship Id="rId28" Type="http://schemas.openxmlformats.org/officeDocument/2006/relationships/hyperlink" Target="https://www.humanrights.gov.au/sites/default/files/AHRC_Summary_Childrens_Rights_Report_2015.pdf" TargetMode="External"/><Relationship Id="rId36" Type="http://schemas.openxmlformats.org/officeDocument/2006/relationships/hyperlink" Target="https://www.dss.gov.au/sites/default/files/documents/09_2014/dss012_14_book_tagged_reduced.pdf" TargetMode="External"/><Relationship Id="rId10" Type="http://schemas.openxmlformats.org/officeDocument/2006/relationships/hyperlink" Target="http://www.ourwatch.org.au/getmedia/0aa0109b-6b03-43f2-85fe-a9f5ec92ae4e/Change-the-story-framework-prevent-violence-women-children-AA-new.pdf.aspx" TargetMode="External"/><Relationship Id="rId19" Type="http://schemas.openxmlformats.org/officeDocument/2006/relationships/hyperlink" Target="http://www.humanrights.gov.au/consolidation-commonwealth-discrimination-law-domestic-and-family-violence" TargetMode="External"/><Relationship Id="rId31" Type="http://schemas.openxmlformats.org/officeDocument/2006/relationships/hyperlink" Target="http://www.abs.gov.au/ausstats/abs@.nsf/mf/4906.0/" TargetMode="External"/><Relationship Id="rId4" Type="http://schemas.openxmlformats.org/officeDocument/2006/relationships/hyperlink" Target="http://www.abs.gov.au/ausstats/abs@.nsf/Lookup/by%20Subject/4125.0~August%202014~Media%20Release~Women's%20participation%20in%20paid%20work%20lower%20than%20men's%20(Media%20Release)~10008" TargetMode="External"/><Relationship Id="rId9" Type="http://schemas.openxmlformats.org/officeDocument/2006/relationships/hyperlink" Target="https://www.vichealth.vic.gov.au/media-and-resources/publications/2013-national-community-attitudes-towards-violence-against-women-survey" TargetMode="External"/><Relationship Id="rId14" Type="http://schemas.openxmlformats.org/officeDocument/2006/relationships/hyperlink" Target="http://www.ourwatch.org.au/What-We-Do-(1)/Respectful-Relationships-Education-in-Schools-(Vic" TargetMode="External"/><Relationship Id="rId22" Type="http://schemas.openxmlformats.org/officeDocument/2006/relationships/hyperlink" Target="http://www.alrc.gov.au/publications/family-violence-and-commonwealth-laws-improving-legal-frameworks-alrc-report-117" TargetMode="External"/><Relationship Id="rId27" Type="http://schemas.openxmlformats.org/officeDocument/2006/relationships/hyperlink" Target="http://www.malcolmturnbull.com.au/media/release-womens-safety-package-to-stoptheviolence" TargetMode="External"/><Relationship Id="rId30" Type="http://schemas.openxmlformats.org/officeDocument/2006/relationships/hyperlink" Target="http://www.vichealth.vic.gov.au/Publications/Freedom-from-violence/Violence-against-women-in-Australia-research-summary.aspx" TargetMode="External"/><Relationship Id="rId35" Type="http://schemas.openxmlformats.org/officeDocument/2006/relationships/hyperlink" Target="http://www2.unwomen.org/en/csw/outco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4CAD3-AC6A-45FF-ADEF-8A556D481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Submission.dot</Template>
  <TotalTime>37</TotalTime>
  <Pages>16</Pages>
  <Words>4090</Words>
  <Characters>24391</Characters>
  <Application>Microsoft Office Word</Application>
  <DocSecurity>0</DocSecurity>
  <Lines>203</Lines>
  <Paragraphs>56</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28425</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Alison Aggarwal</dc:creator>
  <cp:keywords/>
  <cp:lastModifiedBy>Alison Aggarwal</cp:lastModifiedBy>
  <cp:revision>7</cp:revision>
  <cp:lastPrinted>2016-04-04T05:10:00Z</cp:lastPrinted>
  <dcterms:created xsi:type="dcterms:W3CDTF">2016-04-04T04:31:00Z</dcterms:created>
  <dcterms:modified xsi:type="dcterms:W3CDTF">2016-04-04T05:12:00Z</dcterms:modified>
</cp:coreProperties>
</file>