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4449AB" w:rsidRDefault="004449AB" w:rsidP="00FA407F">
      <w:pPr>
        <w:jc w:val="both"/>
        <w:rPr>
          <w:rFonts w:asciiTheme="majorHAnsi" w:hAnsiTheme="majorHAnsi" w:cs="Arial"/>
        </w:rPr>
      </w:pPr>
      <w:r>
        <w:rPr>
          <w:rFonts w:asciiTheme="majorHAnsi" w:hAnsiTheme="majorHAnsi" w:cs="Arial"/>
          <w:b/>
          <w:sz w:val="28"/>
        </w:rPr>
        <w:t>0. Contents</w:t>
      </w:r>
    </w:p>
    <w:p w:rsidR="000A08DB" w:rsidRDefault="00243301" w:rsidP="003139BD">
      <w:pPr>
        <w:spacing w:before="100" w:after="100"/>
        <w:ind w:firstLine="720"/>
        <w:jc w:val="right"/>
        <w:rPr>
          <w:rFonts w:asciiTheme="majorHAnsi" w:hAnsiTheme="majorHAnsi" w:cs="Arial"/>
        </w:rPr>
      </w:pPr>
      <w:r>
        <w:rPr>
          <w:rFonts w:asciiTheme="majorHAnsi" w:hAnsiTheme="majorHAnsi" w:cs="Arial"/>
        </w:rPr>
        <w:t xml:space="preserve">1. The Spending Power of the Older Consumer </w:t>
      </w:r>
      <w:r w:rsidR="00FA407F">
        <w:rPr>
          <w:rFonts w:asciiTheme="majorHAnsi" w:hAnsiTheme="majorHAnsi" w:cs="Arial"/>
        </w:rPr>
        <w:t xml:space="preserve">_______________________________________________ </w:t>
      </w:r>
      <w:hyperlink w:anchor="SpendingPower" w:history="1">
        <w:r w:rsidRPr="005A12EC">
          <w:rPr>
            <w:rStyle w:val="Hyperlink"/>
            <w:rFonts w:asciiTheme="majorHAnsi" w:hAnsiTheme="majorHAnsi" w:cs="Arial"/>
          </w:rPr>
          <w:t>2</w:t>
        </w:r>
      </w:hyperlink>
    </w:p>
    <w:p w:rsidR="00243301" w:rsidRPr="00E67E24" w:rsidRDefault="00243301" w:rsidP="003139BD">
      <w:pPr>
        <w:spacing w:before="100" w:after="100"/>
        <w:jc w:val="right"/>
        <w:rPr>
          <w:rFonts w:asciiTheme="majorHAnsi" w:hAnsiTheme="majorHAnsi" w:cs="Arial"/>
          <w:i/>
        </w:rPr>
      </w:pPr>
      <w:r w:rsidRPr="00E67E24">
        <w:rPr>
          <w:rFonts w:asciiTheme="majorHAnsi" w:hAnsiTheme="majorHAnsi" w:cs="Arial"/>
          <w:i/>
        </w:rPr>
        <w:tab/>
      </w:r>
      <w:r w:rsidRPr="00E67E24">
        <w:rPr>
          <w:rFonts w:asciiTheme="majorHAnsi" w:hAnsiTheme="majorHAnsi" w:cs="Arial"/>
          <w:i/>
        </w:rPr>
        <w:tab/>
        <w:t xml:space="preserve">Facts and Stats </w:t>
      </w:r>
      <w:r w:rsidR="00FA407F" w:rsidRPr="00FA407F">
        <w:rPr>
          <w:rFonts w:asciiTheme="majorHAnsi" w:hAnsiTheme="majorHAnsi" w:cs="Arial"/>
        </w:rPr>
        <w:t>____________________________________________________________________</w:t>
      </w:r>
      <w:r w:rsidR="00FA407F">
        <w:rPr>
          <w:rFonts w:asciiTheme="majorHAnsi" w:hAnsiTheme="majorHAnsi" w:cs="Arial"/>
        </w:rPr>
        <w:t>______</w:t>
      </w:r>
      <w:r w:rsidR="00FA407F">
        <w:rPr>
          <w:rFonts w:asciiTheme="majorHAnsi" w:hAnsiTheme="majorHAnsi" w:cs="Arial"/>
          <w:i/>
        </w:rPr>
        <w:t xml:space="preserve"> </w:t>
      </w:r>
      <w:hyperlink w:anchor="SpendingPower" w:history="1">
        <w:r w:rsidRPr="005A12EC">
          <w:rPr>
            <w:rStyle w:val="Hyperlink"/>
            <w:rFonts w:asciiTheme="majorHAnsi" w:hAnsiTheme="majorHAnsi" w:cs="Arial"/>
          </w:rPr>
          <w:t>2</w:t>
        </w:r>
      </w:hyperlink>
    </w:p>
    <w:p w:rsidR="00243301" w:rsidRPr="00E67E24" w:rsidRDefault="00243301" w:rsidP="003139BD">
      <w:pPr>
        <w:spacing w:before="100" w:after="100"/>
        <w:jc w:val="right"/>
        <w:rPr>
          <w:rFonts w:asciiTheme="majorHAnsi" w:hAnsiTheme="majorHAnsi" w:cs="Arial"/>
          <w:i/>
        </w:rPr>
      </w:pPr>
      <w:r w:rsidRPr="00E67E24">
        <w:rPr>
          <w:rFonts w:asciiTheme="majorHAnsi" w:hAnsiTheme="majorHAnsi" w:cs="Arial"/>
          <w:i/>
        </w:rPr>
        <w:tab/>
      </w:r>
      <w:r w:rsidRPr="00E67E24">
        <w:rPr>
          <w:rFonts w:asciiTheme="majorHAnsi" w:hAnsiTheme="majorHAnsi" w:cs="Arial"/>
          <w:i/>
        </w:rPr>
        <w:tab/>
        <w:t xml:space="preserve">Quotes </w:t>
      </w:r>
      <w:r w:rsidR="00FA407F">
        <w:rPr>
          <w:rFonts w:asciiTheme="majorHAnsi" w:hAnsiTheme="majorHAnsi" w:cs="Arial"/>
        </w:rPr>
        <w:t>____________________________________________________________________________________</w:t>
      </w:r>
      <w:r w:rsidR="00FA407F" w:rsidRPr="00FA407F">
        <w:rPr>
          <w:rFonts w:asciiTheme="majorHAnsi" w:hAnsiTheme="majorHAnsi" w:cs="Arial"/>
        </w:rPr>
        <w:t xml:space="preserve"> </w:t>
      </w:r>
      <w:hyperlink w:anchor="SpendingPowerQuotes" w:history="1">
        <w:r w:rsidRPr="005A12EC">
          <w:rPr>
            <w:rStyle w:val="Hyperlink"/>
            <w:rFonts w:asciiTheme="majorHAnsi" w:hAnsiTheme="majorHAnsi" w:cs="Arial"/>
          </w:rPr>
          <w:t>3</w:t>
        </w:r>
      </w:hyperlink>
    </w:p>
    <w:p w:rsidR="00243301" w:rsidRDefault="00243301" w:rsidP="003139BD">
      <w:pPr>
        <w:spacing w:before="100" w:after="100"/>
        <w:jc w:val="right"/>
        <w:rPr>
          <w:rFonts w:asciiTheme="majorHAnsi" w:hAnsiTheme="majorHAnsi" w:cs="Arial"/>
        </w:rPr>
      </w:pPr>
      <w:r>
        <w:rPr>
          <w:rFonts w:asciiTheme="majorHAnsi" w:hAnsiTheme="majorHAnsi" w:cs="Arial"/>
        </w:rPr>
        <w:tab/>
        <w:t xml:space="preserve">2. The Spending Patterns of Older Consumers </w:t>
      </w:r>
      <w:r w:rsidR="00FA407F">
        <w:rPr>
          <w:rFonts w:asciiTheme="majorHAnsi" w:hAnsiTheme="majorHAnsi" w:cs="Arial"/>
        </w:rPr>
        <w:t xml:space="preserve">_______________________________________________ </w:t>
      </w:r>
      <w:hyperlink w:anchor="SpendingPatterns" w:history="1">
        <w:r w:rsidRPr="003E104C">
          <w:rPr>
            <w:rStyle w:val="Hyperlink"/>
            <w:rFonts w:asciiTheme="majorHAnsi" w:hAnsiTheme="majorHAnsi" w:cs="Arial"/>
          </w:rPr>
          <w:t>4</w:t>
        </w:r>
      </w:hyperlink>
    </w:p>
    <w:p w:rsidR="00243301" w:rsidRPr="00E67E24" w:rsidRDefault="00243301" w:rsidP="003139BD">
      <w:pPr>
        <w:spacing w:before="100" w:after="100"/>
        <w:jc w:val="right"/>
        <w:rPr>
          <w:rFonts w:asciiTheme="majorHAnsi" w:hAnsiTheme="majorHAnsi" w:cs="Arial"/>
          <w:i/>
        </w:rPr>
      </w:pPr>
      <w:r w:rsidRPr="00E67E24">
        <w:rPr>
          <w:rFonts w:asciiTheme="majorHAnsi" w:hAnsiTheme="majorHAnsi" w:cs="Arial"/>
          <w:i/>
        </w:rPr>
        <w:tab/>
      </w:r>
      <w:r w:rsidRPr="00E67E24">
        <w:rPr>
          <w:rFonts w:asciiTheme="majorHAnsi" w:hAnsiTheme="majorHAnsi" w:cs="Arial"/>
          <w:i/>
        </w:rPr>
        <w:tab/>
        <w:t xml:space="preserve">Facts and Stats </w:t>
      </w:r>
      <w:r w:rsidR="00FA407F" w:rsidRPr="00FA407F">
        <w:rPr>
          <w:rFonts w:asciiTheme="majorHAnsi" w:hAnsiTheme="majorHAnsi" w:cs="Arial"/>
        </w:rPr>
        <w:t>__________________________________________________________________________</w:t>
      </w:r>
      <w:r w:rsidR="00FA407F">
        <w:rPr>
          <w:rFonts w:asciiTheme="majorHAnsi" w:hAnsiTheme="majorHAnsi" w:cs="Arial"/>
        </w:rPr>
        <w:t xml:space="preserve"> </w:t>
      </w:r>
      <w:hyperlink w:anchor="SpendingPatterns" w:history="1">
        <w:r w:rsidRPr="003E104C">
          <w:rPr>
            <w:rStyle w:val="Hyperlink"/>
            <w:rFonts w:asciiTheme="majorHAnsi" w:hAnsiTheme="majorHAnsi" w:cs="Arial"/>
          </w:rPr>
          <w:t>4</w:t>
        </w:r>
      </w:hyperlink>
    </w:p>
    <w:p w:rsidR="00243301" w:rsidRPr="00E67E24" w:rsidRDefault="00243301" w:rsidP="003139BD">
      <w:pPr>
        <w:spacing w:before="100" w:after="100"/>
        <w:jc w:val="right"/>
        <w:rPr>
          <w:rFonts w:asciiTheme="majorHAnsi" w:hAnsiTheme="majorHAnsi" w:cs="Arial"/>
          <w:i/>
        </w:rPr>
      </w:pPr>
      <w:r w:rsidRPr="00E67E24">
        <w:rPr>
          <w:rFonts w:asciiTheme="majorHAnsi" w:hAnsiTheme="majorHAnsi" w:cs="Arial"/>
          <w:i/>
        </w:rPr>
        <w:tab/>
      </w:r>
      <w:r w:rsidRPr="00E67E24">
        <w:rPr>
          <w:rFonts w:asciiTheme="majorHAnsi" w:hAnsiTheme="majorHAnsi" w:cs="Arial"/>
          <w:i/>
        </w:rPr>
        <w:tab/>
        <w:t xml:space="preserve">Quotes </w:t>
      </w:r>
      <w:r w:rsidR="00FA407F">
        <w:rPr>
          <w:rFonts w:asciiTheme="majorHAnsi" w:hAnsiTheme="majorHAnsi" w:cs="Arial"/>
        </w:rPr>
        <w:t xml:space="preserve">____________________________________________________________________________________ </w:t>
      </w:r>
      <w:hyperlink w:anchor="SpendingPatternsQuotes" w:history="1">
        <w:r w:rsidRPr="003E104C">
          <w:rPr>
            <w:rStyle w:val="Hyperlink"/>
            <w:rFonts w:asciiTheme="majorHAnsi" w:hAnsiTheme="majorHAnsi" w:cs="Arial"/>
          </w:rPr>
          <w:t>6</w:t>
        </w:r>
      </w:hyperlink>
    </w:p>
    <w:p w:rsidR="00243301" w:rsidRDefault="00243301" w:rsidP="003139BD">
      <w:pPr>
        <w:spacing w:before="100" w:after="100"/>
        <w:jc w:val="right"/>
        <w:rPr>
          <w:rFonts w:asciiTheme="majorHAnsi" w:hAnsiTheme="majorHAnsi" w:cs="Arial"/>
        </w:rPr>
      </w:pPr>
      <w:r>
        <w:rPr>
          <w:rFonts w:asciiTheme="majorHAnsi" w:hAnsiTheme="majorHAnsi" w:cs="Arial"/>
        </w:rPr>
        <w:tab/>
        <w:t xml:space="preserve">3. Conventional (and bad) business approaches </w:t>
      </w:r>
      <w:r w:rsidR="00FA407F">
        <w:rPr>
          <w:rFonts w:asciiTheme="majorHAnsi" w:hAnsiTheme="majorHAnsi" w:cs="Arial"/>
        </w:rPr>
        <w:t xml:space="preserve">_____________________________________________ </w:t>
      </w:r>
      <w:hyperlink w:anchor="ConventionalPractice" w:history="1">
        <w:r w:rsidRPr="003E104C">
          <w:rPr>
            <w:rStyle w:val="Hyperlink"/>
            <w:rFonts w:asciiTheme="majorHAnsi" w:hAnsiTheme="majorHAnsi" w:cs="Arial"/>
          </w:rPr>
          <w:t>7</w:t>
        </w:r>
      </w:hyperlink>
    </w:p>
    <w:p w:rsidR="00243301" w:rsidRPr="00E67E24" w:rsidRDefault="00243301" w:rsidP="003139BD">
      <w:pPr>
        <w:spacing w:before="100" w:after="100"/>
        <w:jc w:val="right"/>
        <w:rPr>
          <w:rFonts w:asciiTheme="majorHAnsi" w:hAnsiTheme="majorHAnsi" w:cs="Arial"/>
          <w:i/>
        </w:rPr>
      </w:pPr>
      <w:r w:rsidRPr="00E67E24">
        <w:rPr>
          <w:rFonts w:asciiTheme="majorHAnsi" w:hAnsiTheme="majorHAnsi" w:cs="Arial"/>
          <w:i/>
        </w:rPr>
        <w:tab/>
      </w:r>
      <w:r w:rsidRPr="00E67E24">
        <w:rPr>
          <w:rFonts w:asciiTheme="majorHAnsi" w:hAnsiTheme="majorHAnsi" w:cs="Arial"/>
          <w:i/>
        </w:rPr>
        <w:tab/>
        <w:t xml:space="preserve">Facts and Stats </w:t>
      </w:r>
      <w:r w:rsidR="00CA0045">
        <w:rPr>
          <w:rFonts w:asciiTheme="majorHAnsi" w:hAnsiTheme="majorHAnsi" w:cs="Arial"/>
        </w:rPr>
        <w:t>__________________________________________________________________________</w:t>
      </w:r>
      <w:r w:rsidR="00CA0045">
        <w:rPr>
          <w:rFonts w:asciiTheme="majorHAnsi" w:hAnsiTheme="majorHAnsi" w:cs="Arial"/>
          <w:i/>
        </w:rPr>
        <w:t xml:space="preserve"> </w:t>
      </w:r>
      <w:hyperlink w:anchor="ConventionalPractice" w:history="1">
        <w:r w:rsidRPr="00926A8A">
          <w:rPr>
            <w:rStyle w:val="Hyperlink"/>
            <w:rFonts w:asciiTheme="majorHAnsi" w:hAnsiTheme="majorHAnsi" w:cs="Arial"/>
          </w:rPr>
          <w:t>7</w:t>
        </w:r>
      </w:hyperlink>
    </w:p>
    <w:p w:rsidR="00243301" w:rsidRPr="00E67E24" w:rsidRDefault="00243301" w:rsidP="003139BD">
      <w:pPr>
        <w:spacing w:before="100" w:after="100"/>
        <w:jc w:val="right"/>
        <w:rPr>
          <w:rFonts w:asciiTheme="majorHAnsi" w:hAnsiTheme="majorHAnsi" w:cs="Arial"/>
          <w:i/>
        </w:rPr>
      </w:pPr>
      <w:r w:rsidRPr="00E67E24">
        <w:rPr>
          <w:rFonts w:asciiTheme="majorHAnsi" w:hAnsiTheme="majorHAnsi" w:cs="Arial"/>
          <w:i/>
        </w:rPr>
        <w:tab/>
      </w:r>
      <w:r w:rsidRPr="00E67E24">
        <w:rPr>
          <w:rFonts w:asciiTheme="majorHAnsi" w:hAnsiTheme="majorHAnsi" w:cs="Arial"/>
          <w:i/>
        </w:rPr>
        <w:tab/>
        <w:t>Quotes</w:t>
      </w:r>
      <w:r w:rsidR="00CA0045">
        <w:rPr>
          <w:rFonts w:asciiTheme="majorHAnsi" w:hAnsiTheme="majorHAnsi" w:cs="Arial"/>
          <w:i/>
        </w:rPr>
        <w:t xml:space="preserve"> </w:t>
      </w:r>
      <w:r w:rsidR="00CA0045">
        <w:rPr>
          <w:rFonts w:asciiTheme="majorHAnsi" w:hAnsiTheme="majorHAnsi" w:cs="Arial"/>
        </w:rPr>
        <w:t>___________________________________________________________________________________</w:t>
      </w:r>
      <w:r w:rsidRPr="00CA0045">
        <w:rPr>
          <w:rFonts w:asciiTheme="majorHAnsi" w:hAnsiTheme="majorHAnsi" w:cs="Arial"/>
        </w:rPr>
        <w:t xml:space="preserve"> </w:t>
      </w:r>
      <w:hyperlink w:anchor="ConventionalPracticeQuotes" w:history="1">
        <w:r w:rsidRPr="00926A8A">
          <w:rPr>
            <w:rStyle w:val="Hyperlink"/>
            <w:rFonts w:asciiTheme="majorHAnsi" w:hAnsiTheme="majorHAnsi" w:cs="Arial"/>
          </w:rPr>
          <w:t>8</w:t>
        </w:r>
      </w:hyperlink>
    </w:p>
    <w:p w:rsidR="00243301" w:rsidRDefault="00243301" w:rsidP="003139BD">
      <w:pPr>
        <w:spacing w:before="100" w:after="100"/>
        <w:jc w:val="right"/>
        <w:rPr>
          <w:rFonts w:asciiTheme="majorHAnsi" w:hAnsiTheme="majorHAnsi" w:cs="Arial"/>
        </w:rPr>
      </w:pPr>
      <w:r>
        <w:rPr>
          <w:rFonts w:asciiTheme="majorHAnsi" w:hAnsiTheme="majorHAnsi" w:cs="Arial"/>
        </w:rPr>
        <w:tab/>
        <w:t xml:space="preserve">4. Good Practice – Segmentation and Realistic Portrayals </w:t>
      </w:r>
      <w:r w:rsidR="00CA0045">
        <w:rPr>
          <w:rFonts w:asciiTheme="majorHAnsi" w:hAnsiTheme="majorHAnsi" w:cs="Arial"/>
        </w:rPr>
        <w:t xml:space="preserve">__________________________________ </w:t>
      </w:r>
      <w:hyperlink w:anchor="Segmentation" w:history="1">
        <w:r w:rsidRPr="00926A8A">
          <w:rPr>
            <w:rStyle w:val="Hyperlink"/>
            <w:rFonts w:asciiTheme="majorHAnsi" w:hAnsiTheme="majorHAnsi" w:cs="Arial"/>
          </w:rPr>
          <w:t>9</w:t>
        </w:r>
      </w:hyperlink>
    </w:p>
    <w:p w:rsidR="00243301" w:rsidRPr="00E67E24" w:rsidRDefault="00243301" w:rsidP="003139BD">
      <w:pPr>
        <w:spacing w:before="100" w:after="100"/>
        <w:jc w:val="right"/>
        <w:rPr>
          <w:rFonts w:asciiTheme="majorHAnsi" w:hAnsiTheme="majorHAnsi" w:cs="Arial"/>
          <w:i/>
        </w:rPr>
      </w:pPr>
      <w:r w:rsidRPr="00E67E24">
        <w:rPr>
          <w:rFonts w:asciiTheme="majorHAnsi" w:hAnsiTheme="majorHAnsi" w:cs="Arial"/>
          <w:i/>
        </w:rPr>
        <w:tab/>
      </w:r>
      <w:r w:rsidRPr="00E67E24">
        <w:rPr>
          <w:rFonts w:asciiTheme="majorHAnsi" w:hAnsiTheme="majorHAnsi" w:cs="Arial"/>
          <w:i/>
        </w:rPr>
        <w:tab/>
        <w:t>Facts and Stats</w:t>
      </w:r>
      <w:r w:rsidR="00CA0045">
        <w:rPr>
          <w:rFonts w:asciiTheme="majorHAnsi" w:hAnsiTheme="majorHAnsi" w:cs="Arial"/>
        </w:rPr>
        <w:t xml:space="preserve"> __________________________________________________________________________</w:t>
      </w:r>
      <w:r w:rsidRPr="00CA0045">
        <w:rPr>
          <w:rFonts w:asciiTheme="majorHAnsi" w:hAnsiTheme="majorHAnsi" w:cs="Arial"/>
        </w:rPr>
        <w:t xml:space="preserve"> </w:t>
      </w:r>
      <w:hyperlink w:anchor="Segmentation" w:history="1">
        <w:r w:rsidRPr="00926A8A">
          <w:rPr>
            <w:rStyle w:val="Hyperlink"/>
            <w:rFonts w:asciiTheme="majorHAnsi" w:hAnsiTheme="majorHAnsi" w:cs="Arial"/>
          </w:rPr>
          <w:t>9</w:t>
        </w:r>
      </w:hyperlink>
    </w:p>
    <w:p w:rsidR="00243301" w:rsidRPr="00E67E24" w:rsidRDefault="00243301" w:rsidP="003139BD">
      <w:pPr>
        <w:spacing w:before="100" w:after="100"/>
        <w:jc w:val="right"/>
        <w:rPr>
          <w:rFonts w:asciiTheme="majorHAnsi" w:hAnsiTheme="majorHAnsi" w:cs="Arial"/>
          <w:i/>
        </w:rPr>
      </w:pPr>
      <w:r w:rsidRPr="00E67E24">
        <w:rPr>
          <w:rFonts w:asciiTheme="majorHAnsi" w:hAnsiTheme="majorHAnsi" w:cs="Arial"/>
          <w:i/>
        </w:rPr>
        <w:tab/>
      </w:r>
      <w:r w:rsidRPr="00E67E24">
        <w:rPr>
          <w:rFonts w:asciiTheme="majorHAnsi" w:hAnsiTheme="majorHAnsi" w:cs="Arial"/>
          <w:i/>
        </w:rPr>
        <w:tab/>
        <w:t>Examples and Case Studies</w:t>
      </w:r>
      <w:r w:rsidR="00CA0045">
        <w:rPr>
          <w:rFonts w:asciiTheme="majorHAnsi" w:hAnsiTheme="majorHAnsi" w:cs="Arial"/>
          <w:i/>
        </w:rPr>
        <w:t xml:space="preserve"> </w:t>
      </w:r>
      <w:r w:rsidR="00CA0045">
        <w:rPr>
          <w:rFonts w:asciiTheme="majorHAnsi" w:hAnsiTheme="majorHAnsi" w:cs="Arial"/>
        </w:rPr>
        <w:t>______________________________________________________________</w:t>
      </w:r>
      <w:r w:rsidRPr="00CA0045">
        <w:rPr>
          <w:rFonts w:asciiTheme="majorHAnsi" w:hAnsiTheme="majorHAnsi" w:cs="Arial"/>
        </w:rPr>
        <w:t xml:space="preserve"> </w:t>
      </w:r>
      <w:hyperlink w:anchor="SegmentationExamples" w:history="1">
        <w:r w:rsidRPr="00926A8A">
          <w:rPr>
            <w:rStyle w:val="Hyperlink"/>
            <w:rFonts w:asciiTheme="majorHAnsi" w:hAnsiTheme="majorHAnsi" w:cs="Arial"/>
          </w:rPr>
          <w:t>9</w:t>
        </w:r>
      </w:hyperlink>
    </w:p>
    <w:p w:rsidR="00243301" w:rsidRPr="00E67E24" w:rsidRDefault="00E67E24" w:rsidP="003139BD">
      <w:pPr>
        <w:spacing w:before="100" w:after="100"/>
        <w:jc w:val="right"/>
        <w:rPr>
          <w:rFonts w:asciiTheme="majorHAnsi" w:hAnsiTheme="majorHAnsi" w:cs="Arial"/>
          <w:i/>
        </w:rPr>
      </w:pPr>
      <w:r w:rsidRPr="00E67E24">
        <w:rPr>
          <w:rFonts w:asciiTheme="majorHAnsi" w:hAnsiTheme="majorHAnsi" w:cs="Arial"/>
          <w:i/>
        </w:rPr>
        <w:tab/>
      </w:r>
      <w:r w:rsidRPr="00E67E24">
        <w:rPr>
          <w:rFonts w:asciiTheme="majorHAnsi" w:hAnsiTheme="majorHAnsi" w:cs="Arial"/>
          <w:i/>
        </w:rPr>
        <w:tab/>
        <w:t>Quotes – from Professionals and Experts</w:t>
      </w:r>
      <w:r w:rsidR="00CA0045">
        <w:rPr>
          <w:rFonts w:asciiTheme="majorHAnsi" w:hAnsiTheme="majorHAnsi" w:cs="Arial"/>
          <w:i/>
        </w:rPr>
        <w:t xml:space="preserve"> </w:t>
      </w:r>
      <w:r w:rsidR="00CA0045">
        <w:rPr>
          <w:rFonts w:asciiTheme="majorHAnsi" w:hAnsiTheme="majorHAnsi" w:cs="Arial"/>
        </w:rPr>
        <w:t>_____________________________________________</w:t>
      </w:r>
      <w:r w:rsidRPr="00CA0045">
        <w:rPr>
          <w:rFonts w:asciiTheme="majorHAnsi" w:hAnsiTheme="majorHAnsi" w:cs="Arial"/>
        </w:rPr>
        <w:t xml:space="preserve"> </w:t>
      </w:r>
      <w:hyperlink w:anchor="SegmentationProQuotes" w:history="1">
        <w:r w:rsidRPr="00926A8A">
          <w:rPr>
            <w:rStyle w:val="Hyperlink"/>
            <w:rFonts w:asciiTheme="majorHAnsi" w:hAnsiTheme="majorHAnsi" w:cs="Arial"/>
          </w:rPr>
          <w:t>10</w:t>
        </w:r>
      </w:hyperlink>
    </w:p>
    <w:p w:rsidR="00E67E24" w:rsidRPr="00E67E24" w:rsidRDefault="00E67E24" w:rsidP="003139BD">
      <w:pPr>
        <w:spacing w:before="100" w:after="100"/>
        <w:jc w:val="right"/>
        <w:rPr>
          <w:rFonts w:asciiTheme="majorHAnsi" w:hAnsiTheme="majorHAnsi" w:cs="Arial"/>
          <w:i/>
        </w:rPr>
      </w:pPr>
      <w:r w:rsidRPr="00E67E24">
        <w:rPr>
          <w:rFonts w:asciiTheme="majorHAnsi" w:hAnsiTheme="majorHAnsi" w:cs="Arial"/>
          <w:i/>
        </w:rPr>
        <w:tab/>
      </w:r>
      <w:r w:rsidRPr="00E67E24">
        <w:rPr>
          <w:rFonts w:asciiTheme="majorHAnsi" w:hAnsiTheme="majorHAnsi" w:cs="Arial"/>
          <w:i/>
        </w:rPr>
        <w:tab/>
        <w:t>Quotes – from Older Consumers</w:t>
      </w:r>
      <w:r w:rsidR="00CA0045">
        <w:rPr>
          <w:rFonts w:asciiTheme="majorHAnsi" w:hAnsiTheme="majorHAnsi" w:cs="Arial"/>
        </w:rPr>
        <w:t xml:space="preserve"> _______________________________________________________</w:t>
      </w:r>
      <w:r w:rsidRPr="00E67E24">
        <w:rPr>
          <w:rFonts w:asciiTheme="majorHAnsi" w:hAnsiTheme="majorHAnsi" w:cs="Arial"/>
          <w:i/>
        </w:rPr>
        <w:t xml:space="preserve"> </w:t>
      </w:r>
      <w:hyperlink w:anchor="SegmentationConsumerQuotes" w:history="1">
        <w:r w:rsidRPr="00926A8A">
          <w:rPr>
            <w:rStyle w:val="Hyperlink"/>
            <w:rFonts w:asciiTheme="majorHAnsi" w:hAnsiTheme="majorHAnsi" w:cs="Arial"/>
          </w:rPr>
          <w:t>11</w:t>
        </w:r>
      </w:hyperlink>
    </w:p>
    <w:p w:rsidR="00E67E24" w:rsidRDefault="00E67E24" w:rsidP="003139BD">
      <w:pPr>
        <w:spacing w:before="100" w:after="100"/>
        <w:jc w:val="right"/>
        <w:rPr>
          <w:rFonts w:asciiTheme="majorHAnsi" w:hAnsiTheme="majorHAnsi" w:cs="Arial"/>
        </w:rPr>
      </w:pPr>
      <w:r>
        <w:rPr>
          <w:rFonts w:asciiTheme="majorHAnsi" w:hAnsiTheme="majorHAnsi" w:cs="Arial"/>
        </w:rPr>
        <w:tab/>
        <w:t>5. Good Practice – Universal Product Design</w:t>
      </w:r>
      <w:r w:rsidR="00F62C5E">
        <w:rPr>
          <w:rFonts w:asciiTheme="majorHAnsi" w:hAnsiTheme="majorHAnsi" w:cs="Arial"/>
        </w:rPr>
        <w:t xml:space="preserve"> ________________________________________________</w:t>
      </w:r>
      <w:r>
        <w:rPr>
          <w:rFonts w:asciiTheme="majorHAnsi" w:hAnsiTheme="majorHAnsi" w:cs="Arial"/>
        </w:rPr>
        <w:t xml:space="preserve"> </w:t>
      </w:r>
      <w:hyperlink w:anchor="UniversalDesign" w:history="1">
        <w:r w:rsidRPr="00926A8A">
          <w:rPr>
            <w:rStyle w:val="Hyperlink"/>
            <w:rFonts w:asciiTheme="majorHAnsi" w:hAnsiTheme="majorHAnsi" w:cs="Arial"/>
          </w:rPr>
          <w:t>12</w:t>
        </w:r>
      </w:hyperlink>
    </w:p>
    <w:p w:rsidR="00E67E24" w:rsidRPr="00E67E24" w:rsidRDefault="00E67E24" w:rsidP="003139BD">
      <w:pPr>
        <w:spacing w:before="100" w:after="100"/>
        <w:jc w:val="right"/>
        <w:rPr>
          <w:rFonts w:asciiTheme="majorHAnsi" w:hAnsiTheme="majorHAnsi" w:cs="Arial"/>
          <w:i/>
        </w:rPr>
      </w:pPr>
      <w:r w:rsidRPr="00E67E24">
        <w:rPr>
          <w:rFonts w:asciiTheme="majorHAnsi" w:hAnsiTheme="majorHAnsi" w:cs="Arial"/>
          <w:i/>
        </w:rPr>
        <w:tab/>
      </w:r>
      <w:r w:rsidRPr="00E67E24">
        <w:rPr>
          <w:rFonts w:asciiTheme="majorHAnsi" w:hAnsiTheme="majorHAnsi" w:cs="Arial"/>
          <w:i/>
        </w:rPr>
        <w:tab/>
        <w:t>Facts and Stats</w:t>
      </w:r>
      <w:r w:rsidR="00F62C5E">
        <w:rPr>
          <w:rFonts w:asciiTheme="majorHAnsi" w:hAnsiTheme="majorHAnsi" w:cs="Arial"/>
        </w:rPr>
        <w:t xml:space="preserve"> _________________________________________________________________________</w:t>
      </w:r>
      <w:r w:rsidRPr="00F62C5E">
        <w:rPr>
          <w:rFonts w:asciiTheme="majorHAnsi" w:hAnsiTheme="majorHAnsi" w:cs="Arial"/>
        </w:rPr>
        <w:t xml:space="preserve"> </w:t>
      </w:r>
      <w:hyperlink w:anchor="UniversalDesign" w:history="1">
        <w:r w:rsidRPr="00926A8A">
          <w:rPr>
            <w:rStyle w:val="Hyperlink"/>
            <w:rFonts w:asciiTheme="majorHAnsi" w:hAnsiTheme="majorHAnsi" w:cs="Arial"/>
          </w:rPr>
          <w:t>12</w:t>
        </w:r>
      </w:hyperlink>
    </w:p>
    <w:p w:rsidR="00E67E24" w:rsidRPr="00E67E24" w:rsidRDefault="00E67E24" w:rsidP="003139BD">
      <w:pPr>
        <w:spacing w:before="100" w:after="100"/>
        <w:jc w:val="right"/>
        <w:rPr>
          <w:rFonts w:asciiTheme="majorHAnsi" w:hAnsiTheme="majorHAnsi" w:cs="Arial"/>
          <w:i/>
        </w:rPr>
      </w:pPr>
      <w:r w:rsidRPr="00E67E24">
        <w:rPr>
          <w:rFonts w:asciiTheme="majorHAnsi" w:hAnsiTheme="majorHAnsi" w:cs="Arial"/>
          <w:i/>
        </w:rPr>
        <w:tab/>
      </w:r>
      <w:r w:rsidRPr="00E67E24">
        <w:rPr>
          <w:rFonts w:asciiTheme="majorHAnsi" w:hAnsiTheme="majorHAnsi" w:cs="Arial"/>
          <w:i/>
        </w:rPr>
        <w:tab/>
        <w:t>Examples and Case Studies</w:t>
      </w:r>
      <w:r w:rsidR="00F62C5E">
        <w:rPr>
          <w:rFonts w:asciiTheme="majorHAnsi" w:hAnsiTheme="majorHAnsi" w:cs="Arial"/>
        </w:rPr>
        <w:t xml:space="preserve"> ____________________________________________________________</w:t>
      </w:r>
      <w:r w:rsidRPr="00F62C5E">
        <w:rPr>
          <w:rFonts w:asciiTheme="majorHAnsi" w:hAnsiTheme="majorHAnsi" w:cs="Arial"/>
        </w:rPr>
        <w:t xml:space="preserve"> </w:t>
      </w:r>
      <w:hyperlink w:anchor="UniversalDesignExamples" w:history="1">
        <w:r w:rsidRPr="00926A8A">
          <w:rPr>
            <w:rStyle w:val="Hyperlink"/>
            <w:rFonts w:asciiTheme="majorHAnsi" w:hAnsiTheme="majorHAnsi" w:cs="Arial"/>
          </w:rPr>
          <w:t>12</w:t>
        </w:r>
      </w:hyperlink>
    </w:p>
    <w:p w:rsidR="00E67E24" w:rsidRPr="00E67E24" w:rsidRDefault="00E67E24" w:rsidP="003139BD">
      <w:pPr>
        <w:spacing w:before="100" w:after="100"/>
        <w:jc w:val="right"/>
        <w:rPr>
          <w:rFonts w:asciiTheme="majorHAnsi" w:hAnsiTheme="majorHAnsi" w:cs="Arial"/>
          <w:i/>
        </w:rPr>
      </w:pPr>
      <w:r w:rsidRPr="00E67E24">
        <w:rPr>
          <w:rFonts w:asciiTheme="majorHAnsi" w:hAnsiTheme="majorHAnsi" w:cs="Arial"/>
          <w:i/>
        </w:rPr>
        <w:tab/>
      </w:r>
      <w:r w:rsidRPr="00E67E24">
        <w:rPr>
          <w:rFonts w:asciiTheme="majorHAnsi" w:hAnsiTheme="majorHAnsi" w:cs="Arial"/>
          <w:i/>
        </w:rPr>
        <w:tab/>
        <w:t>Quotes – from Professionals and Experts</w:t>
      </w:r>
      <w:r w:rsidR="00F62C5E">
        <w:rPr>
          <w:rFonts w:asciiTheme="majorHAnsi" w:hAnsiTheme="majorHAnsi" w:cs="Arial"/>
        </w:rPr>
        <w:t xml:space="preserve"> _____________________________________________</w:t>
      </w:r>
      <w:r w:rsidRPr="00F62C5E">
        <w:rPr>
          <w:rFonts w:asciiTheme="majorHAnsi" w:hAnsiTheme="majorHAnsi" w:cs="Arial"/>
        </w:rPr>
        <w:t xml:space="preserve"> </w:t>
      </w:r>
      <w:hyperlink w:anchor="UniversalDesignProQuotes" w:history="1">
        <w:r w:rsidRPr="00926A8A">
          <w:rPr>
            <w:rStyle w:val="Hyperlink"/>
            <w:rFonts w:asciiTheme="majorHAnsi" w:hAnsiTheme="majorHAnsi" w:cs="Arial"/>
          </w:rPr>
          <w:t>13</w:t>
        </w:r>
      </w:hyperlink>
    </w:p>
    <w:p w:rsidR="00E67E24" w:rsidRDefault="00E67E24" w:rsidP="003139BD">
      <w:pPr>
        <w:spacing w:before="100" w:after="100"/>
        <w:jc w:val="right"/>
        <w:rPr>
          <w:rFonts w:asciiTheme="majorHAnsi" w:hAnsiTheme="majorHAnsi" w:cs="Arial"/>
        </w:rPr>
      </w:pPr>
      <w:r w:rsidRPr="00E67E24">
        <w:rPr>
          <w:rFonts w:asciiTheme="majorHAnsi" w:hAnsiTheme="majorHAnsi" w:cs="Arial"/>
          <w:i/>
        </w:rPr>
        <w:tab/>
      </w:r>
      <w:r w:rsidRPr="00E67E24">
        <w:rPr>
          <w:rFonts w:asciiTheme="majorHAnsi" w:hAnsiTheme="majorHAnsi" w:cs="Arial"/>
          <w:i/>
        </w:rPr>
        <w:tab/>
        <w:t>Quotes – from Older Consumers</w:t>
      </w:r>
      <w:r w:rsidR="00F62C5E">
        <w:rPr>
          <w:rFonts w:asciiTheme="majorHAnsi" w:hAnsiTheme="majorHAnsi" w:cs="Arial"/>
        </w:rPr>
        <w:t xml:space="preserve"> _______________________________________________________</w:t>
      </w:r>
      <w:r w:rsidRPr="00F62C5E">
        <w:rPr>
          <w:rFonts w:asciiTheme="majorHAnsi" w:hAnsiTheme="majorHAnsi" w:cs="Arial"/>
        </w:rPr>
        <w:t xml:space="preserve"> </w:t>
      </w:r>
      <w:hyperlink w:anchor="UniversalDesignConsumerQuotes" w:history="1">
        <w:r w:rsidRPr="00926A8A">
          <w:rPr>
            <w:rStyle w:val="Hyperlink"/>
            <w:rFonts w:asciiTheme="majorHAnsi" w:hAnsiTheme="majorHAnsi" w:cs="Arial"/>
          </w:rPr>
          <w:t>13</w:t>
        </w:r>
      </w:hyperlink>
    </w:p>
    <w:p w:rsidR="006A6EB3" w:rsidRPr="00E67E24" w:rsidRDefault="006A6EB3" w:rsidP="003139BD">
      <w:pPr>
        <w:spacing w:before="100" w:after="100"/>
        <w:jc w:val="right"/>
        <w:rPr>
          <w:rFonts w:asciiTheme="majorHAnsi" w:hAnsiTheme="majorHAnsi" w:cs="Arial"/>
          <w:i/>
        </w:rPr>
      </w:pPr>
      <w:r>
        <w:rPr>
          <w:rFonts w:asciiTheme="majorHAnsi" w:hAnsiTheme="majorHAnsi" w:cs="Arial"/>
        </w:rPr>
        <w:tab/>
        <w:t xml:space="preserve">6. References ___________________________________________________________________________________ </w:t>
      </w:r>
      <w:hyperlink w:anchor="References" w:history="1">
        <w:r w:rsidRPr="00926A8A">
          <w:rPr>
            <w:rStyle w:val="Hyperlink"/>
            <w:rFonts w:asciiTheme="majorHAnsi" w:hAnsiTheme="majorHAnsi" w:cs="Arial"/>
          </w:rPr>
          <w:t>14</w:t>
        </w:r>
      </w:hyperlink>
    </w:p>
    <w:p w:rsidR="000D2459" w:rsidRDefault="000D2459" w:rsidP="000B18C2">
      <w:pPr>
        <w:rPr>
          <w:rFonts w:asciiTheme="majorHAnsi" w:hAnsiTheme="majorHAnsi" w:cs="Arial"/>
          <w:b/>
          <w:sz w:val="28"/>
        </w:rPr>
      </w:pPr>
    </w:p>
    <w:p w:rsidR="004449AB" w:rsidRDefault="004449AB" w:rsidP="000B18C2">
      <w:pPr>
        <w:rPr>
          <w:rFonts w:asciiTheme="majorHAnsi" w:hAnsiTheme="majorHAnsi" w:cs="Arial"/>
          <w:sz w:val="28"/>
        </w:rPr>
      </w:pPr>
      <w:r>
        <w:rPr>
          <w:rFonts w:asciiTheme="majorHAnsi" w:hAnsiTheme="majorHAnsi" w:cs="Arial"/>
          <w:b/>
          <w:sz w:val="28"/>
        </w:rPr>
        <w:t>0.5. Colour Code</w:t>
      </w:r>
    </w:p>
    <w:p w:rsidR="004449AB" w:rsidRDefault="004449AB" w:rsidP="000B18C2">
      <w:pPr>
        <w:rPr>
          <w:rFonts w:asciiTheme="majorHAnsi" w:hAnsiTheme="majorHAnsi" w:cs="Arial"/>
        </w:rPr>
      </w:pPr>
      <w:r>
        <w:rPr>
          <w:rFonts w:asciiTheme="majorHAnsi" w:hAnsiTheme="majorHAnsi" w:cs="Arial"/>
        </w:rPr>
        <w:t xml:space="preserve">There are statistics from various regions and studies, and so for ease of reading the stats </w:t>
      </w:r>
      <w:r w:rsidR="00577159">
        <w:rPr>
          <w:rFonts w:asciiTheme="majorHAnsi" w:hAnsiTheme="majorHAnsi" w:cs="Arial"/>
        </w:rPr>
        <w:t xml:space="preserve">are colour coded </w:t>
      </w:r>
      <w:r>
        <w:rPr>
          <w:rFonts w:asciiTheme="majorHAnsi" w:hAnsiTheme="majorHAnsi" w:cs="Arial"/>
        </w:rPr>
        <w:t>so that:</w:t>
      </w:r>
    </w:p>
    <w:p w:rsidR="004449AB" w:rsidRPr="004449AB" w:rsidRDefault="004449AB" w:rsidP="004449AB">
      <w:pPr>
        <w:pStyle w:val="ListParagraph"/>
        <w:numPr>
          <w:ilvl w:val="0"/>
          <w:numId w:val="47"/>
        </w:numPr>
        <w:rPr>
          <w:rFonts w:asciiTheme="majorHAnsi" w:hAnsiTheme="majorHAnsi" w:cs="Arial"/>
          <w:color w:val="C00000"/>
        </w:rPr>
      </w:pPr>
      <w:r w:rsidRPr="004449AB">
        <w:rPr>
          <w:rFonts w:asciiTheme="majorHAnsi" w:hAnsiTheme="majorHAnsi" w:cs="Arial"/>
          <w:color w:val="C00000"/>
        </w:rPr>
        <w:t>Red: Australia</w:t>
      </w:r>
    </w:p>
    <w:p w:rsidR="004449AB" w:rsidRPr="004449AB" w:rsidRDefault="004449AB" w:rsidP="004449AB">
      <w:pPr>
        <w:pStyle w:val="ListParagraph"/>
        <w:numPr>
          <w:ilvl w:val="0"/>
          <w:numId w:val="47"/>
        </w:numPr>
        <w:rPr>
          <w:rFonts w:asciiTheme="majorHAnsi" w:hAnsiTheme="majorHAnsi" w:cs="Arial"/>
          <w:color w:val="0070C0"/>
        </w:rPr>
      </w:pPr>
      <w:r w:rsidRPr="004449AB">
        <w:rPr>
          <w:rFonts w:asciiTheme="majorHAnsi" w:hAnsiTheme="majorHAnsi" w:cs="Arial"/>
          <w:color w:val="0070C0"/>
        </w:rPr>
        <w:t>Blue: Other countries</w:t>
      </w:r>
    </w:p>
    <w:p w:rsidR="000A08DB" w:rsidRPr="00B83E27" w:rsidRDefault="004449AB" w:rsidP="000A08DB">
      <w:pPr>
        <w:pStyle w:val="ListParagraph"/>
        <w:numPr>
          <w:ilvl w:val="0"/>
          <w:numId w:val="47"/>
        </w:numPr>
        <w:rPr>
          <w:rFonts w:asciiTheme="majorHAnsi" w:hAnsiTheme="majorHAnsi" w:cs="Arial"/>
        </w:rPr>
      </w:pPr>
      <w:r w:rsidRPr="00B83E27">
        <w:rPr>
          <w:rFonts w:asciiTheme="majorHAnsi" w:hAnsiTheme="majorHAnsi" w:cs="Arial"/>
          <w:color w:val="7030A0"/>
        </w:rPr>
        <w:t>Purple: Global study</w:t>
      </w:r>
    </w:p>
    <w:p w:rsidR="000A08DB" w:rsidRDefault="000A08DB">
      <w:pPr>
        <w:spacing w:before="0" w:after="0"/>
        <w:rPr>
          <w:rFonts w:asciiTheme="majorHAnsi" w:hAnsiTheme="majorHAnsi" w:cs="Arial"/>
          <w:b/>
          <w:sz w:val="28"/>
        </w:rPr>
      </w:pPr>
      <w:r>
        <w:rPr>
          <w:rFonts w:asciiTheme="majorHAnsi" w:hAnsiTheme="majorHAnsi" w:cs="Arial"/>
          <w:b/>
          <w:sz w:val="28"/>
        </w:rPr>
        <w:br w:type="page"/>
      </w:r>
      <w:bookmarkStart w:id="0" w:name="_GoBack"/>
      <w:bookmarkEnd w:id="0"/>
    </w:p>
    <w:p w:rsidR="000B18C2" w:rsidRPr="00BB7FD2" w:rsidRDefault="0042091B" w:rsidP="000B18C2">
      <w:pPr>
        <w:rPr>
          <w:rFonts w:asciiTheme="majorHAnsi" w:hAnsiTheme="majorHAnsi" w:cs="Arial"/>
          <w:sz w:val="28"/>
        </w:rPr>
      </w:pPr>
      <w:r w:rsidRPr="00BB7FD2">
        <w:rPr>
          <w:rFonts w:asciiTheme="majorHAnsi" w:hAnsiTheme="majorHAnsi" w:cs="Arial"/>
          <w:b/>
          <w:sz w:val="28"/>
        </w:rPr>
        <w:lastRenderedPageBreak/>
        <w:t xml:space="preserve">1. </w:t>
      </w:r>
      <w:bookmarkStart w:id="1" w:name="SpendingPower"/>
      <w:r w:rsidRPr="00BB7FD2">
        <w:rPr>
          <w:rFonts w:asciiTheme="majorHAnsi" w:hAnsiTheme="majorHAnsi" w:cs="Arial"/>
          <w:b/>
          <w:sz w:val="28"/>
        </w:rPr>
        <w:t>The Spending Power of the Older Consumer</w:t>
      </w:r>
      <w:bookmarkEnd w:id="1"/>
    </w:p>
    <w:p w:rsidR="00BB7FD2" w:rsidRPr="00BB7FD2" w:rsidRDefault="00BB7FD2" w:rsidP="000B18C2">
      <w:pPr>
        <w:rPr>
          <w:rFonts w:asciiTheme="majorHAnsi" w:hAnsiTheme="majorHAnsi" w:cs="Arial"/>
        </w:rPr>
      </w:pPr>
      <w:r w:rsidRPr="00BB7FD2">
        <w:rPr>
          <w:rFonts w:asciiTheme="majorHAnsi" w:hAnsiTheme="majorHAnsi" w:cs="Arial"/>
          <w:u w:val="single"/>
        </w:rPr>
        <w:t>Facts and Stats</w:t>
      </w:r>
    </w:p>
    <w:p w:rsidR="00BB7FD2" w:rsidRPr="00C4466D" w:rsidRDefault="00BB7FD2" w:rsidP="00BB7FD2">
      <w:pPr>
        <w:pStyle w:val="ListParagraph"/>
        <w:numPr>
          <w:ilvl w:val="0"/>
          <w:numId w:val="32"/>
        </w:numPr>
        <w:rPr>
          <w:rFonts w:asciiTheme="majorHAnsi" w:hAnsiTheme="majorHAnsi" w:cs="Arial"/>
          <w:color w:val="C00000"/>
        </w:rPr>
      </w:pPr>
      <w:r w:rsidRPr="00C4466D">
        <w:rPr>
          <w:rFonts w:asciiTheme="majorHAnsi" w:hAnsiTheme="majorHAnsi" w:cs="Arial"/>
          <w:color w:val="C00000"/>
        </w:rPr>
        <w:t>Australia:</w:t>
      </w:r>
    </w:p>
    <w:p w:rsidR="00BB7FD2" w:rsidRPr="00C4466D" w:rsidRDefault="00DE3915" w:rsidP="00BB7FD2">
      <w:pPr>
        <w:pStyle w:val="ListParagraph"/>
        <w:numPr>
          <w:ilvl w:val="1"/>
          <w:numId w:val="32"/>
        </w:numPr>
        <w:rPr>
          <w:rFonts w:asciiTheme="majorHAnsi" w:hAnsiTheme="majorHAnsi" w:cs="Arial"/>
          <w:color w:val="C00000"/>
        </w:rPr>
      </w:pPr>
      <w:r w:rsidRPr="00C4466D">
        <w:rPr>
          <w:rFonts w:asciiTheme="majorHAnsi" w:hAnsiTheme="majorHAnsi" w:cs="Arial"/>
          <w:color w:val="C00000"/>
        </w:rPr>
        <w:t>50-69 year olds hold more than 40% of the nation’s wealth.</w:t>
      </w:r>
      <w:r w:rsidR="008E3604" w:rsidRPr="00C4466D">
        <w:rPr>
          <w:rStyle w:val="EndnoteReference"/>
          <w:rFonts w:cs="Arial"/>
          <w:color w:val="C00000"/>
        </w:rPr>
        <w:endnoteReference w:id="1"/>
      </w:r>
    </w:p>
    <w:p w:rsidR="00DE3915" w:rsidRPr="00C4466D" w:rsidRDefault="00DE3915" w:rsidP="00BB7FD2">
      <w:pPr>
        <w:pStyle w:val="ListParagraph"/>
        <w:numPr>
          <w:ilvl w:val="1"/>
          <w:numId w:val="32"/>
        </w:numPr>
        <w:rPr>
          <w:rFonts w:asciiTheme="majorHAnsi" w:hAnsiTheme="majorHAnsi" w:cs="Arial"/>
          <w:color w:val="C00000"/>
        </w:rPr>
      </w:pPr>
      <w:r w:rsidRPr="00C4466D">
        <w:rPr>
          <w:rFonts w:asciiTheme="majorHAnsi" w:hAnsiTheme="majorHAnsi" w:cs="Arial"/>
          <w:color w:val="C00000"/>
        </w:rPr>
        <w:t>Average household net worth is in excess of $1 million.</w:t>
      </w:r>
      <w:r w:rsidR="008E3604" w:rsidRPr="00C4466D">
        <w:rPr>
          <w:rStyle w:val="EndnoteReference"/>
          <w:rFonts w:cs="Arial"/>
          <w:color w:val="C00000"/>
        </w:rPr>
        <w:endnoteReference w:id="2"/>
      </w:r>
    </w:p>
    <w:p w:rsidR="00DE3915" w:rsidRPr="00C4466D" w:rsidRDefault="005A60D7" w:rsidP="00BB7FD2">
      <w:pPr>
        <w:pStyle w:val="ListParagraph"/>
        <w:numPr>
          <w:ilvl w:val="1"/>
          <w:numId w:val="32"/>
        </w:numPr>
        <w:rPr>
          <w:rFonts w:asciiTheme="majorHAnsi" w:hAnsiTheme="majorHAnsi" w:cs="Arial"/>
          <w:color w:val="C00000"/>
        </w:rPr>
      </w:pPr>
      <w:r w:rsidRPr="00C4466D">
        <w:rPr>
          <w:rFonts w:asciiTheme="majorHAnsi" w:hAnsiTheme="majorHAnsi" w:cs="Arial"/>
          <w:color w:val="C00000"/>
        </w:rPr>
        <w:t>49-68 year olds have a discretionary spending power of $218 billion.</w:t>
      </w:r>
      <w:r w:rsidR="008E3604" w:rsidRPr="00C4466D">
        <w:rPr>
          <w:rStyle w:val="EndnoteReference"/>
          <w:rFonts w:cs="Arial"/>
          <w:color w:val="C00000"/>
        </w:rPr>
        <w:endnoteReference w:id="3"/>
      </w:r>
    </w:p>
    <w:p w:rsidR="007E0E91" w:rsidRPr="00C4466D" w:rsidRDefault="007E0E91" w:rsidP="007E0E91">
      <w:pPr>
        <w:pStyle w:val="ListParagraph"/>
        <w:numPr>
          <w:ilvl w:val="2"/>
          <w:numId w:val="32"/>
        </w:numPr>
        <w:rPr>
          <w:rFonts w:asciiTheme="majorHAnsi" w:hAnsiTheme="majorHAnsi" w:cs="Arial"/>
          <w:color w:val="C00000"/>
        </w:rPr>
      </w:pPr>
      <w:r w:rsidRPr="00C4466D">
        <w:rPr>
          <w:rFonts w:asciiTheme="majorHAnsi" w:hAnsiTheme="majorHAnsi" w:cs="Arial"/>
          <w:color w:val="C00000"/>
        </w:rPr>
        <w:t xml:space="preserve">In 2011, Boomers had </w:t>
      </w:r>
      <w:r w:rsidR="00F77978" w:rsidRPr="00C4466D">
        <w:rPr>
          <w:rFonts w:asciiTheme="majorHAnsi" w:hAnsiTheme="majorHAnsi" w:cs="Arial"/>
          <w:color w:val="C00000"/>
        </w:rPr>
        <w:t>combined over $1 trillion in disposable income.</w:t>
      </w:r>
      <w:r w:rsidR="008E3604" w:rsidRPr="00C4466D">
        <w:rPr>
          <w:rStyle w:val="EndnoteReference"/>
          <w:rFonts w:cs="Arial"/>
          <w:color w:val="C00000"/>
        </w:rPr>
        <w:endnoteReference w:id="4"/>
      </w:r>
    </w:p>
    <w:p w:rsidR="00F60247" w:rsidRPr="00C4466D" w:rsidRDefault="005A60D7" w:rsidP="00DB1BD8">
      <w:pPr>
        <w:pStyle w:val="ListParagraph"/>
        <w:numPr>
          <w:ilvl w:val="1"/>
          <w:numId w:val="32"/>
        </w:numPr>
        <w:rPr>
          <w:rFonts w:asciiTheme="majorHAnsi" w:hAnsiTheme="majorHAnsi" w:cs="Arial"/>
          <w:color w:val="C00000"/>
        </w:rPr>
      </w:pPr>
      <w:r w:rsidRPr="00C4466D">
        <w:rPr>
          <w:rFonts w:asciiTheme="majorHAnsi" w:hAnsiTheme="majorHAnsi" w:cs="Arial"/>
          <w:color w:val="C00000"/>
        </w:rPr>
        <w:t>In 2011, the 55-75 age bracket held the greatest assets and had the greatest average net worth</w:t>
      </w:r>
      <w:r w:rsidR="00DB1BD8" w:rsidRPr="00C4466D">
        <w:rPr>
          <w:rFonts w:asciiTheme="majorHAnsi" w:hAnsiTheme="majorHAnsi" w:cs="Arial"/>
          <w:color w:val="C00000"/>
        </w:rPr>
        <w:t>, ranging from $743,000 - $828,800</w:t>
      </w:r>
      <w:r w:rsidRPr="00C4466D">
        <w:rPr>
          <w:rFonts w:asciiTheme="majorHAnsi" w:hAnsiTheme="majorHAnsi" w:cs="Arial"/>
          <w:color w:val="C00000"/>
        </w:rPr>
        <w:t>:</w:t>
      </w:r>
      <w:r w:rsidR="008E3604" w:rsidRPr="00C4466D">
        <w:rPr>
          <w:rStyle w:val="EndnoteReference"/>
          <w:rFonts w:cs="Arial"/>
          <w:color w:val="C00000"/>
        </w:rPr>
        <w:endnoteReference w:id="5"/>
      </w:r>
      <w:r w:rsidR="008E3604" w:rsidRPr="00C4466D">
        <w:rPr>
          <w:rFonts w:asciiTheme="majorHAnsi" w:hAnsiTheme="majorHAnsi" w:cs="Arial"/>
          <w:color w:val="C00000"/>
        </w:rPr>
        <w:t xml:space="preserve"> </w:t>
      </w:r>
    </w:p>
    <w:p w:rsidR="005A60D7" w:rsidRDefault="005A60D7" w:rsidP="00F60247">
      <w:pPr>
        <w:rPr>
          <w:rFonts w:asciiTheme="majorHAnsi" w:hAnsiTheme="majorHAnsi" w:cs="Arial"/>
        </w:rPr>
      </w:pPr>
      <w:r w:rsidRPr="00F60247">
        <w:rPr>
          <w:rFonts w:asciiTheme="majorHAnsi" w:hAnsiTheme="majorHAnsi" w:cs="Arial"/>
        </w:rPr>
        <w:br/>
      </w:r>
      <w:r>
        <w:rPr>
          <w:noProof/>
        </w:rPr>
        <w:drawing>
          <wp:inline distT="0" distB="0" distL="0" distR="0" wp14:anchorId="15888715" wp14:editId="31B2E72E">
            <wp:extent cx="6315888" cy="2466975"/>
            <wp:effectExtent l="0" t="0" r="8890" b="0"/>
            <wp:docPr id="1"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
                    <pic:cNvPicPr/>
                  </pic:nvPicPr>
                  <pic:blipFill>
                    <a:blip r:embed="rId9"/>
                    <a:stretch>
                      <a:fillRect/>
                    </a:stretch>
                  </pic:blipFill>
                  <pic:spPr>
                    <a:xfrm>
                      <a:off x="0" y="0"/>
                      <a:ext cx="6334091" cy="2474085"/>
                    </a:xfrm>
                    <a:prstGeom prst="rect">
                      <a:avLst/>
                    </a:prstGeom>
                  </pic:spPr>
                </pic:pic>
              </a:graphicData>
            </a:graphic>
          </wp:inline>
        </w:drawing>
      </w:r>
    </w:p>
    <w:p w:rsidR="005A60D7" w:rsidRPr="00C4466D" w:rsidRDefault="00F77978" w:rsidP="00F77978">
      <w:pPr>
        <w:pStyle w:val="ListParagraph"/>
        <w:numPr>
          <w:ilvl w:val="0"/>
          <w:numId w:val="32"/>
        </w:numPr>
        <w:rPr>
          <w:rFonts w:asciiTheme="majorHAnsi" w:hAnsiTheme="majorHAnsi" w:cs="Arial"/>
        </w:rPr>
      </w:pPr>
      <w:r w:rsidRPr="00C4466D">
        <w:rPr>
          <w:rFonts w:asciiTheme="majorHAnsi" w:hAnsiTheme="majorHAnsi" w:cs="Arial"/>
        </w:rPr>
        <w:t>Worldwide:</w:t>
      </w:r>
    </w:p>
    <w:p w:rsidR="00BA6709" w:rsidRPr="00C4466D" w:rsidRDefault="00BA6709" w:rsidP="00B1645C">
      <w:pPr>
        <w:pStyle w:val="ListParagraph"/>
        <w:numPr>
          <w:ilvl w:val="1"/>
          <w:numId w:val="32"/>
        </w:numPr>
        <w:rPr>
          <w:rFonts w:asciiTheme="majorHAnsi" w:hAnsiTheme="majorHAnsi" w:cs="Arial"/>
          <w:color w:val="7030A0"/>
        </w:rPr>
      </w:pPr>
      <w:r w:rsidRPr="00C4466D">
        <w:rPr>
          <w:rFonts w:asciiTheme="majorHAnsi" w:hAnsiTheme="majorHAnsi" w:cs="Arial"/>
          <w:color w:val="7030A0"/>
        </w:rPr>
        <w:t>Globally, over 60s spent $8 trillion in 2010, and by 2020, they will spend $15 trillion.</w:t>
      </w:r>
      <w:r w:rsidRPr="00C4466D">
        <w:rPr>
          <w:rStyle w:val="EndnoteReference"/>
          <w:rFonts w:cs="Arial"/>
          <w:color w:val="7030A0"/>
        </w:rPr>
        <w:endnoteReference w:id="6"/>
      </w:r>
    </w:p>
    <w:p w:rsidR="00AD2297" w:rsidRPr="00C4466D" w:rsidRDefault="00AD2297" w:rsidP="00B1645C">
      <w:pPr>
        <w:pStyle w:val="ListParagraph"/>
        <w:numPr>
          <w:ilvl w:val="1"/>
          <w:numId w:val="32"/>
        </w:numPr>
        <w:rPr>
          <w:rFonts w:asciiTheme="majorHAnsi" w:hAnsiTheme="majorHAnsi" w:cs="Arial"/>
          <w:color w:val="0070C0"/>
        </w:rPr>
      </w:pPr>
      <w:r w:rsidRPr="00C4466D">
        <w:rPr>
          <w:rFonts w:asciiTheme="majorHAnsi" w:hAnsiTheme="majorHAnsi" w:cs="Arial"/>
          <w:color w:val="0070C0"/>
        </w:rPr>
        <w:t>In the USA, consumers 50 and over had $1 trillion in 2007, which has only</w:t>
      </w:r>
      <w:r w:rsidR="00B1645C" w:rsidRPr="00C4466D">
        <w:rPr>
          <w:rFonts w:asciiTheme="majorHAnsi" w:hAnsiTheme="majorHAnsi" w:cs="Arial"/>
          <w:color w:val="0070C0"/>
        </w:rPr>
        <w:t xml:space="preserve"> gone up; t</w:t>
      </w:r>
      <w:r w:rsidR="00C060D0" w:rsidRPr="00C4466D">
        <w:rPr>
          <w:rFonts w:asciiTheme="majorHAnsi" w:hAnsiTheme="majorHAnsi" w:cs="Arial"/>
          <w:color w:val="0070C0"/>
        </w:rPr>
        <w:t>heir median net worth in 201 dollars was $241,333 USD</w:t>
      </w:r>
      <w:r w:rsidR="008E3604" w:rsidRPr="00C4466D">
        <w:rPr>
          <w:rStyle w:val="EndnoteReference"/>
          <w:rFonts w:cs="Arial"/>
          <w:color w:val="0070C0"/>
        </w:rPr>
        <w:endnoteReference w:id="7"/>
      </w:r>
    </w:p>
    <w:p w:rsidR="00C060D0" w:rsidRPr="00C4466D" w:rsidRDefault="00C060D0" w:rsidP="00BA6709">
      <w:pPr>
        <w:pStyle w:val="ListParagraph"/>
        <w:numPr>
          <w:ilvl w:val="2"/>
          <w:numId w:val="32"/>
        </w:numPr>
        <w:rPr>
          <w:rFonts w:asciiTheme="majorHAnsi" w:hAnsiTheme="majorHAnsi" w:cs="Arial"/>
          <w:color w:val="0070C0"/>
        </w:rPr>
      </w:pPr>
      <w:r w:rsidRPr="00C4466D">
        <w:rPr>
          <w:rFonts w:asciiTheme="majorHAnsi" w:hAnsiTheme="majorHAnsi" w:cs="Arial"/>
          <w:color w:val="0070C0"/>
        </w:rPr>
        <w:t>They control 70% of US disposable income</w:t>
      </w:r>
      <w:r w:rsidR="004611C3" w:rsidRPr="00C4466D">
        <w:rPr>
          <w:rFonts w:asciiTheme="majorHAnsi" w:hAnsiTheme="majorHAnsi" w:cs="Arial"/>
          <w:color w:val="0070C0"/>
        </w:rPr>
        <w:t>,</w:t>
      </w:r>
      <w:r w:rsidR="008E3604" w:rsidRPr="00C4466D">
        <w:rPr>
          <w:rStyle w:val="EndnoteReference"/>
          <w:rFonts w:cs="Arial"/>
          <w:color w:val="0070C0"/>
        </w:rPr>
        <w:endnoteReference w:id="8"/>
      </w:r>
      <w:r w:rsidR="004611C3" w:rsidRPr="00C4466D">
        <w:rPr>
          <w:rFonts w:asciiTheme="majorHAnsi" w:hAnsiTheme="majorHAnsi" w:cs="Arial"/>
          <w:color w:val="0070C0"/>
        </w:rPr>
        <w:t xml:space="preserve"> and </w:t>
      </w:r>
      <w:r w:rsidR="00F60247" w:rsidRPr="00C4466D">
        <w:rPr>
          <w:rFonts w:asciiTheme="majorHAnsi" w:hAnsiTheme="majorHAnsi" w:cs="Arial"/>
          <w:color w:val="0070C0"/>
        </w:rPr>
        <w:t>50% of discretionary income</w:t>
      </w:r>
      <w:r w:rsidR="008E3604" w:rsidRPr="00C4466D">
        <w:rPr>
          <w:rStyle w:val="EndnoteReference"/>
          <w:rFonts w:cs="Arial"/>
          <w:color w:val="0070C0"/>
        </w:rPr>
        <w:endnoteReference w:id="9"/>
      </w:r>
      <w:r w:rsidR="00F60247" w:rsidRPr="00C4466D">
        <w:rPr>
          <w:rFonts w:asciiTheme="majorHAnsi" w:hAnsiTheme="majorHAnsi" w:cs="Arial"/>
          <w:color w:val="0070C0"/>
        </w:rPr>
        <w:t xml:space="preserve"> and total US consumer spending.</w:t>
      </w:r>
      <w:r w:rsidR="00F60247" w:rsidRPr="00C4466D">
        <w:rPr>
          <w:rStyle w:val="EndnoteReference"/>
          <w:rFonts w:cs="Arial"/>
          <w:color w:val="0070C0"/>
        </w:rPr>
        <w:endnoteReference w:id="10"/>
      </w:r>
    </w:p>
    <w:p w:rsidR="00C060D0" w:rsidRPr="00C4466D" w:rsidRDefault="008E3604" w:rsidP="008E3604">
      <w:pPr>
        <w:pStyle w:val="ListParagraph"/>
        <w:numPr>
          <w:ilvl w:val="1"/>
          <w:numId w:val="32"/>
        </w:numPr>
        <w:rPr>
          <w:rFonts w:asciiTheme="majorHAnsi" w:hAnsiTheme="majorHAnsi" w:cs="Arial"/>
          <w:color w:val="0070C0"/>
        </w:rPr>
      </w:pPr>
      <w:r w:rsidRPr="00C4466D">
        <w:rPr>
          <w:rFonts w:asciiTheme="majorHAnsi" w:hAnsiTheme="majorHAnsi" w:cs="Arial"/>
          <w:color w:val="0070C0"/>
        </w:rPr>
        <w:t xml:space="preserve">In the UK, </w:t>
      </w:r>
      <w:r w:rsidR="00BA6709" w:rsidRPr="00C4466D">
        <w:rPr>
          <w:rFonts w:asciiTheme="majorHAnsi" w:hAnsiTheme="majorHAnsi" w:cs="Arial"/>
          <w:color w:val="0070C0"/>
        </w:rPr>
        <w:t xml:space="preserve">34% of the population is older than 50, but they control nearly 75% of </w:t>
      </w:r>
      <w:r w:rsidR="00C506A4" w:rsidRPr="00C4466D">
        <w:rPr>
          <w:rFonts w:asciiTheme="majorHAnsi" w:hAnsiTheme="majorHAnsi" w:cs="Arial"/>
          <w:color w:val="0070C0"/>
        </w:rPr>
        <w:t>total wealth.</w:t>
      </w:r>
      <w:r w:rsidR="00C506A4" w:rsidRPr="00C4466D">
        <w:rPr>
          <w:rStyle w:val="EndnoteReference"/>
          <w:rFonts w:cs="Arial"/>
          <w:color w:val="0070C0"/>
        </w:rPr>
        <w:endnoteReference w:id="11"/>
      </w:r>
    </w:p>
    <w:p w:rsidR="00FD2F99" w:rsidRPr="00C4466D" w:rsidRDefault="00C506A4" w:rsidP="008E3604">
      <w:pPr>
        <w:pStyle w:val="ListParagraph"/>
        <w:numPr>
          <w:ilvl w:val="1"/>
          <w:numId w:val="32"/>
        </w:numPr>
        <w:rPr>
          <w:rFonts w:asciiTheme="majorHAnsi" w:hAnsiTheme="majorHAnsi" w:cs="Arial"/>
          <w:color w:val="7030A0"/>
        </w:rPr>
      </w:pPr>
      <w:r w:rsidRPr="00C4466D">
        <w:rPr>
          <w:rFonts w:asciiTheme="majorHAnsi" w:hAnsiTheme="majorHAnsi" w:cs="Arial"/>
          <w:color w:val="7030A0"/>
        </w:rPr>
        <w:t>The table below</w:t>
      </w:r>
      <w:r w:rsidR="005F7B18" w:rsidRPr="00C4466D">
        <w:rPr>
          <w:rStyle w:val="EndnoteReference"/>
          <w:rFonts w:cs="Arial"/>
          <w:color w:val="7030A0"/>
        </w:rPr>
        <w:endnoteReference w:id="12"/>
      </w:r>
      <w:r w:rsidRPr="00C4466D">
        <w:rPr>
          <w:rFonts w:asciiTheme="majorHAnsi" w:hAnsiTheme="majorHAnsi" w:cs="Arial"/>
          <w:color w:val="7030A0"/>
        </w:rPr>
        <w:t xml:space="preserve"> shows the 2005 share of income and the projected 2020 share of income</w:t>
      </w:r>
      <w:r w:rsidR="005F7B18" w:rsidRPr="00C4466D">
        <w:rPr>
          <w:rFonts w:asciiTheme="majorHAnsi" w:hAnsiTheme="majorHAnsi" w:cs="Arial"/>
          <w:color w:val="7030A0"/>
        </w:rPr>
        <w:t xml:space="preserve"> in various countries. </w:t>
      </w:r>
    </w:p>
    <w:p w:rsidR="00C506A4" w:rsidRPr="00C4466D" w:rsidRDefault="005300E5" w:rsidP="00FD2F99">
      <w:pPr>
        <w:pStyle w:val="ListParagraph"/>
        <w:numPr>
          <w:ilvl w:val="2"/>
          <w:numId w:val="32"/>
        </w:numPr>
        <w:rPr>
          <w:rFonts w:asciiTheme="majorHAnsi" w:hAnsiTheme="majorHAnsi" w:cs="Arial"/>
          <w:color w:val="7030A0"/>
        </w:rPr>
      </w:pPr>
      <w:r w:rsidRPr="00C4466D">
        <w:rPr>
          <w:rFonts w:asciiTheme="majorHAnsi" w:hAnsiTheme="majorHAnsi" w:cs="Arial"/>
          <w:color w:val="7030A0"/>
        </w:rPr>
        <w:t>Green are the stats with over 25</w:t>
      </w:r>
      <w:r w:rsidR="00FD2F99" w:rsidRPr="00C4466D">
        <w:rPr>
          <w:rFonts w:asciiTheme="majorHAnsi" w:hAnsiTheme="majorHAnsi" w:cs="Arial"/>
          <w:color w:val="7030A0"/>
        </w:rPr>
        <w:t>% share by 2020, orange</w:t>
      </w:r>
      <w:r w:rsidR="005F7B18" w:rsidRPr="00C4466D">
        <w:rPr>
          <w:rFonts w:asciiTheme="majorHAnsi" w:hAnsiTheme="majorHAnsi" w:cs="Arial"/>
          <w:color w:val="7030A0"/>
        </w:rPr>
        <w:t xml:space="preserve"> are the stats with </w:t>
      </w:r>
      <w:r w:rsidR="00FD2F99" w:rsidRPr="00C4466D">
        <w:rPr>
          <w:rFonts w:asciiTheme="majorHAnsi" w:hAnsiTheme="majorHAnsi" w:cs="Arial"/>
          <w:color w:val="7030A0"/>
        </w:rPr>
        <w:t>over 20%</w:t>
      </w:r>
      <w:r w:rsidR="005F7B18" w:rsidRPr="00C4466D">
        <w:rPr>
          <w:rFonts w:asciiTheme="majorHAnsi" w:hAnsiTheme="majorHAnsi" w:cs="Arial"/>
          <w:color w:val="7030A0"/>
        </w:rPr>
        <w:t xml:space="preserve"> </w:t>
      </w:r>
      <w:r w:rsidR="00C567B6" w:rsidRPr="00C4466D">
        <w:rPr>
          <w:rFonts w:asciiTheme="majorHAnsi" w:hAnsiTheme="majorHAnsi" w:cs="Arial"/>
          <w:color w:val="7030A0"/>
        </w:rPr>
        <w:t xml:space="preserve">share </w:t>
      </w:r>
      <w:r w:rsidR="00FD2F99" w:rsidRPr="00C4466D">
        <w:rPr>
          <w:rFonts w:asciiTheme="majorHAnsi" w:hAnsiTheme="majorHAnsi" w:cs="Arial"/>
          <w:color w:val="7030A0"/>
        </w:rPr>
        <w:t>by 2020</w:t>
      </w:r>
      <w:r w:rsidR="00C506A4" w:rsidRPr="00C4466D">
        <w:rPr>
          <w:rFonts w:asciiTheme="majorHAnsi" w:hAnsiTheme="majorHAnsi" w:cs="Arial"/>
          <w:color w:val="7030A0"/>
        </w:rPr>
        <w:t>:</w:t>
      </w:r>
    </w:p>
    <w:tbl>
      <w:tblPr>
        <w:tblStyle w:val="TableGrid"/>
        <w:tblW w:w="0" w:type="auto"/>
        <w:tblInd w:w="1440" w:type="dxa"/>
        <w:tblLook w:val="04A0" w:firstRow="1" w:lastRow="0" w:firstColumn="1" w:lastColumn="0" w:noHBand="0" w:noVBand="1"/>
      </w:tblPr>
      <w:tblGrid>
        <w:gridCol w:w="2679"/>
        <w:gridCol w:w="2551"/>
        <w:gridCol w:w="2572"/>
      </w:tblGrid>
      <w:tr w:rsidR="006C61C4" w:rsidRPr="006C61C4" w:rsidTr="006C61C4">
        <w:tc>
          <w:tcPr>
            <w:tcW w:w="2679" w:type="dxa"/>
            <w:shd w:val="clear" w:color="auto" w:fill="4F81BD" w:themeFill="accent1"/>
          </w:tcPr>
          <w:p w:rsidR="00C506A4" w:rsidRPr="006C61C4" w:rsidRDefault="005F7B18" w:rsidP="005F7B18">
            <w:pPr>
              <w:rPr>
                <w:rFonts w:asciiTheme="majorHAnsi" w:hAnsiTheme="majorHAnsi" w:cs="Arial"/>
                <w:color w:val="FFFFFF" w:themeColor="background1"/>
              </w:rPr>
            </w:pPr>
            <w:r w:rsidRPr="006C61C4">
              <w:rPr>
                <w:rFonts w:asciiTheme="majorHAnsi" w:hAnsiTheme="majorHAnsi" w:cs="Arial"/>
                <w:color w:val="FFFFFF" w:themeColor="background1"/>
              </w:rPr>
              <w:t>Country</w:t>
            </w:r>
          </w:p>
        </w:tc>
        <w:tc>
          <w:tcPr>
            <w:tcW w:w="2551" w:type="dxa"/>
            <w:shd w:val="clear" w:color="auto" w:fill="4F81BD" w:themeFill="accent1"/>
          </w:tcPr>
          <w:p w:rsidR="00C506A4" w:rsidRPr="006C61C4" w:rsidRDefault="005F7B18" w:rsidP="005F7B18">
            <w:pPr>
              <w:rPr>
                <w:rFonts w:asciiTheme="majorHAnsi" w:hAnsiTheme="majorHAnsi" w:cs="Arial"/>
                <w:color w:val="FFFFFF" w:themeColor="background1"/>
              </w:rPr>
            </w:pPr>
            <w:r w:rsidRPr="006C61C4">
              <w:rPr>
                <w:rFonts w:asciiTheme="majorHAnsi" w:hAnsiTheme="majorHAnsi" w:cs="Arial"/>
                <w:color w:val="FFFFFF" w:themeColor="background1"/>
              </w:rPr>
              <w:t>Age 60+ share of income (2005)</w:t>
            </w:r>
          </w:p>
        </w:tc>
        <w:tc>
          <w:tcPr>
            <w:tcW w:w="2572" w:type="dxa"/>
            <w:shd w:val="clear" w:color="auto" w:fill="4F81BD" w:themeFill="accent1"/>
          </w:tcPr>
          <w:p w:rsidR="00C506A4" w:rsidRPr="006C61C4" w:rsidRDefault="005F7B18" w:rsidP="005F7B18">
            <w:pPr>
              <w:rPr>
                <w:rFonts w:asciiTheme="majorHAnsi" w:hAnsiTheme="majorHAnsi" w:cs="Arial"/>
                <w:color w:val="FFFFFF" w:themeColor="background1"/>
              </w:rPr>
            </w:pPr>
            <w:r w:rsidRPr="006C61C4">
              <w:rPr>
                <w:rFonts w:asciiTheme="majorHAnsi" w:hAnsiTheme="majorHAnsi" w:cs="Arial"/>
                <w:color w:val="FFFFFF" w:themeColor="background1"/>
              </w:rPr>
              <w:t>Age 60+ share of income (2020e)</w:t>
            </w:r>
          </w:p>
        </w:tc>
      </w:tr>
      <w:tr w:rsidR="00C506A4" w:rsidTr="006C61C4">
        <w:trPr>
          <w:trHeight w:val="284"/>
        </w:trPr>
        <w:tc>
          <w:tcPr>
            <w:tcW w:w="2679" w:type="dxa"/>
            <w:shd w:val="clear" w:color="auto" w:fill="92D050"/>
          </w:tcPr>
          <w:p w:rsidR="00C506A4" w:rsidRPr="005F7B18" w:rsidRDefault="005F7B18" w:rsidP="006C61C4">
            <w:pPr>
              <w:spacing w:before="0" w:after="0"/>
              <w:contextualSpacing/>
              <w:rPr>
                <w:rFonts w:asciiTheme="majorHAnsi" w:hAnsiTheme="majorHAnsi" w:cs="Arial"/>
              </w:rPr>
            </w:pPr>
            <w:r>
              <w:rPr>
                <w:rFonts w:asciiTheme="majorHAnsi" w:hAnsiTheme="majorHAnsi" w:cs="Arial"/>
              </w:rPr>
              <w:t>Belgium</w:t>
            </w:r>
          </w:p>
        </w:tc>
        <w:tc>
          <w:tcPr>
            <w:tcW w:w="2551" w:type="dxa"/>
            <w:shd w:val="clear" w:color="auto" w:fill="92D050"/>
          </w:tcPr>
          <w:p w:rsidR="00C506A4" w:rsidRPr="005F7B18" w:rsidRDefault="005F7B18" w:rsidP="006C61C4">
            <w:pPr>
              <w:spacing w:before="0" w:after="0"/>
              <w:contextualSpacing/>
              <w:rPr>
                <w:rFonts w:asciiTheme="majorHAnsi" w:hAnsiTheme="majorHAnsi" w:cs="Arial"/>
              </w:rPr>
            </w:pPr>
            <w:r>
              <w:rPr>
                <w:rFonts w:asciiTheme="majorHAnsi" w:hAnsiTheme="majorHAnsi" w:cs="Arial"/>
              </w:rPr>
              <w:t>26.6%</w:t>
            </w:r>
          </w:p>
        </w:tc>
        <w:tc>
          <w:tcPr>
            <w:tcW w:w="2572" w:type="dxa"/>
            <w:shd w:val="clear" w:color="auto" w:fill="92D050"/>
          </w:tcPr>
          <w:p w:rsidR="00C506A4" w:rsidRPr="005F7B18" w:rsidRDefault="005F7B18" w:rsidP="006C61C4">
            <w:pPr>
              <w:spacing w:before="0" w:after="0"/>
              <w:contextualSpacing/>
              <w:rPr>
                <w:rFonts w:asciiTheme="majorHAnsi" w:hAnsiTheme="majorHAnsi" w:cs="Arial"/>
              </w:rPr>
            </w:pPr>
            <w:r>
              <w:rPr>
                <w:rFonts w:asciiTheme="majorHAnsi" w:hAnsiTheme="majorHAnsi" w:cs="Arial"/>
              </w:rPr>
              <w:t>32.3%</w:t>
            </w:r>
          </w:p>
        </w:tc>
      </w:tr>
      <w:tr w:rsidR="00C506A4" w:rsidTr="006D1000">
        <w:trPr>
          <w:trHeight w:val="284"/>
        </w:trPr>
        <w:tc>
          <w:tcPr>
            <w:tcW w:w="2679" w:type="dxa"/>
            <w:shd w:val="clear" w:color="auto" w:fill="F2F2F2" w:themeFill="background1" w:themeFillShade="F2"/>
          </w:tcPr>
          <w:p w:rsidR="00C506A4" w:rsidRPr="005F7B18" w:rsidRDefault="005F7B18" w:rsidP="006C61C4">
            <w:pPr>
              <w:spacing w:before="0" w:after="0"/>
              <w:contextualSpacing/>
              <w:rPr>
                <w:rFonts w:asciiTheme="majorHAnsi" w:hAnsiTheme="majorHAnsi" w:cs="Arial"/>
              </w:rPr>
            </w:pPr>
            <w:r>
              <w:rPr>
                <w:rFonts w:asciiTheme="majorHAnsi" w:hAnsiTheme="majorHAnsi" w:cs="Arial"/>
              </w:rPr>
              <w:t>Brazil</w:t>
            </w:r>
          </w:p>
        </w:tc>
        <w:tc>
          <w:tcPr>
            <w:tcW w:w="2551" w:type="dxa"/>
            <w:shd w:val="clear" w:color="auto" w:fill="F2F2F2" w:themeFill="background1" w:themeFillShade="F2"/>
          </w:tcPr>
          <w:p w:rsidR="00C506A4" w:rsidRPr="005F7B18" w:rsidRDefault="005F7B18" w:rsidP="006C61C4">
            <w:pPr>
              <w:spacing w:before="0" w:after="0"/>
              <w:contextualSpacing/>
              <w:rPr>
                <w:rFonts w:asciiTheme="majorHAnsi" w:hAnsiTheme="majorHAnsi" w:cs="Arial"/>
              </w:rPr>
            </w:pPr>
            <w:r>
              <w:rPr>
                <w:rFonts w:asciiTheme="majorHAnsi" w:hAnsiTheme="majorHAnsi" w:cs="Arial"/>
              </w:rPr>
              <w:t>9.7%</w:t>
            </w:r>
          </w:p>
        </w:tc>
        <w:tc>
          <w:tcPr>
            <w:tcW w:w="2572" w:type="dxa"/>
            <w:shd w:val="clear" w:color="auto" w:fill="F2F2F2" w:themeFill="background1" w:themeFillShade="F2"/>
          </w:tcPr>
          <w:p w:rsidR="00C506A4" w:rsidRPr="005F7B18" w:rsidRDefault="005F7B18" w:rsidP="006C61C4">
            <w:pPr>
              <w:spacing w:before="0" w:after="0"/>
              <w:contextualSpacing/>
              <w:rPr>
                <w:rFonts w:asciiTheme="majorHAnsi" w:hAnsiTheme="majorHAnsi" w:cs="Arial"/>
              </w:rPr>
            </w:pPr>
            <w:r>
              <w:rPr>
                <w:rFonts w:asciiTheme="majorHAnsi" w:hAnsiTheme="majorHAnsi" w:cs="Arial"/>
              </w:rPr>
              <w:t>15</w:t>
            </w:r>
            <w:r w:rsidR="00C567B6">
              <w:rPr>
                <w:rFonts w:asciiTheme="majorHAnsi" w:hAnsiTheme="majorHAnsi" w:cs="Arial"/>
              </w:rPr>
              <w:t>.4%</w:t>
            </w:r>
          </w:p>
        </w:tc>
      </w:tr>
      <w:tr w:rsidR="00C506A4" w:rsidTr="006D1000">
        <w:trPr>
          <w:trHeight w:val="284"/>
        </w:trPr>
        <w:tc>
          <w:tcPr>
            <w:tcW w:w="2679" w:type="dxa"/>
            <w:shd w:val="clear" w:color="auto" w:fill="F2F2F2" w:themeFill="background1" w:themeFillShade="F2"/>
          </w:tcPr>
          <w:p w:rsidR="00C506A4" w:rsidRPr="005F7B18" w:rsidRDefault="00C567B6" w:rsidP="006C61C4">
            <w:pPr>
              <w:spacing w:before="0" w:after="0"/>
              <w:contextualSpacing/>
              <w:rPr>
                <w:rFonts w:asciiTheme="majorHAnsi" w:hAnsiTheme="majorHAnsi" w:cs="Arial"/>
              </w:rPr>
            </w:pPr>
            <w:r>
              <w:rPr>
                <w:rFonts w:asciiTheme="majorHAnsi" w:hAnsiTheme="majorHAnsi" w:cs="Arial"/>
              </w:rPr>
              <w:t>Bulgaria</w:t>
            </w:r>
          </w:p>
        </w:tc>
        <w:tc>
          <w:tcPr>
            <w:tcW w:w="2551" w:type="dxa"/>
            <w:shd w:val="clear" w:color="auto" w:fill="F2F2F2" w:themeFill="background1" w:themeFillShade="F2"/>
          </w:tcPr>
          <w:p w:rsidR="00C506A4" w:rsidRPr="005F7B18" w:rsidRDefault="00C567B6" w:rsidP="006C61C4">
            <w:pPr>
              <w:spacing w:before="0" w:after="0"/>
              <w:contextualSpacing/>
              <w:rPr>
                <w:rFonts w:asciiTheme="majorHAnsi" w:hAnsiTheme="majorHAnsi" w:cs="Arial"/>
              </w:rPr>
            </w:pPr>
            <w:r>
              <w:rPr>
                <w:rFonts w:asciiTheme="majorHAnsi" w:hAnsiTheme="majorHAnsi" w:cs="Arial"/>
              </w:rPr>
              <w:t>14.8%</w:t>
            </w:r>
          </w:p>
        </w:tc>
        <w:tc>
          <w:tcPr>
            <w:tcW w:w="2572" w:type="dxa"/>
            <w:shd w:val="clear" w:color="auto" w:fill="F2F2F2" w:themeFill="background1" w:themeFillShade="F2"/>
          </w:tcPr>
          <w:p w:rsidR="00C506A4" w:rsidRPr="005F7B18" w:rsidRDefault="00C567B6" w:rsidP="006C61C4">
            <w:pPr>
              <w:spacing w:before="0" w:after="0"/>
              <w:contextualSpacing/>
              <w:rPr>
                <w:rFonts w:asciiTheme="majorHAnsi" w:hAnsiTheme="majorHAnsi" w:cs="Arial"/>
              </w:rPr>
            </w:pPr>
            <w:r>
              <w:rPr>
                <w:rFonts w:asciiTheme="majorHAnsi" w:hAnsiTheme="majorHAnsi" w:cs="Arial"/>
              </w:rPr>
              <w:t>19.2%</w:t>
            </w:r>
          </w:p>
        </w:tc>
      </w:tr>
      <w:tr w:rsidR="00C506A4" w:rsidTr="006D1000">
        <w:trPr>
          <w:trHeight w:val="284"/>
        </w:trPr>
        <w:tc>
          <w:tcPr>
            <w:tcW w:w="2679" w:type="dxa"/>
            <w:shd w:val="clear" w:color="auto" w:fill="F2F2F2" w:themeFill="background1" w:themeFillShade="F2"/>
          </w:tcPr>
          <w:p w:rsidR="00C506A4" w:rsidRPr="005F7B18" w:rsidRDefault="00C567B6" w:rsidP="006C61C4">
            <w:pPr>
              <w:spacing w:before="0" w:after="0"/>
              <w:contextualSpacing/>
              <w:rPr>
                <w:rFonts w:asciiTheme="majorHAnsi" w:hAnsiTheme="majorHAnsi" w:cs="Arial"/>
              </w:rPr>
            </w:pPr>
            <w:r>
              <w:rPr>
                <w:rFonts w:asciiTheme="majorHAnsi" w:hAnsiTheme="majorHAnsi" w:cs="Arial"/>
              </w:rPr>
              <w:t>China</w:t>
            </w:r>
          </w:p>
        </w:tc>
        <w:tc>
          <w:tcPr>
            <w:tcW w:w="2551" w:type="dxa"/>
            <w:shd w:val="clear" w:color="auto" w:fill="F2F2F2" w:themeFill="background1" w:themeFillShade="F2"/>
          </w:tcPr>
          <w:p w:rsidR="00C506A4" w:rsidRPr="005F7B18" w:rsidRDefault="00C567B6" w:rsidP="006C61C4">
            <w:pPr>
              <w:spacing w:before="0" w:after="0"/>
              <w:contextualSpacing/>
              <w:rPr>
                <w:rFonts w:asciiTheme="majorHAnsi" w:hAnsiTheme="majorHAnsi" w:cs="Arial"/>
              </w:rPr>
            </w:pPr>
            <w:r>
              <w:rPr>
                <w:rFonts w:asciiTheme="majorHAnsi" w:hAnsiTheme="majorHAnsi" w:cs="Arial"/>
              </w:rPr>
              <w:t>11.2%</w:t>
            </w:r>
          </w:p>
        </w:tc>
        <w:tc>
          <w:tcPr>
            <w:tcW w:w="2572" w:type="dxa"/>
            <w:shd w:val="clear" w:color="auto" w:fill="F2F2F2" w:themeFill="background1" w:themeFillShade="F2"/>
          </w:tcPr>
          <w:p w:rsidR="00C506A4" w:rsidRPr="005F7B18" w:rsidRDefault="00C567B6" w:rsidP="006C61C4">
            <w:pPr>
              <w:spacing w:before="0" w:after="0"/>
              <w:contextualSpacing/>
              <w:rPr>
                <w:rFonts w:asciiTheme="majorHAnsi" w:hAnsiTheme="majorHAnsi" w:cs="Arial"/>
              </w:rPr>
            </w:pPr>
            <w:r>
              <w:rPr>
                <w:rFonts w:asciiTheme="majorHAnsi" w:hAnsiTheme="majorHAnsi" w:cs="Arial"/>
              </w:rPr>
              <w:t>17.4%</w:t>
            </w:r>
          </w:p>
        </w:tc>
      </w:tr>
      <w:tr w:rsidR="00C506A4" w:rsidTr="006C61C4">
        <w:trPr>
          <w:trHeight w:val="284"/>
        </w:trPr>
        <w:tc>
          <w:tcPr>
            <w:tcW w:w="2679" w:type="dxa"/>
            <w:shd w:val="clear" w:color="auto" w:fill="FFC000"/>
          </w:tcPr>
          <w:p w:rsidR="00C506A4" w:rsidRPr="005F7B18" w:rsidRDefault="00C567B6" w:rsidP="006C61C4">
            <w:pPr>
              <w:spacing w:before="0" w:after="0"/>
              <w:contextualSpacing/>
              <w:rPr>
                <w:rFonts w:asciiTheme="majorHAnsi" w:hAnsiTheme="majorHAnsi" w:cs="Arial"/>
              </w:rPr>
            </w:pPr>
            <w:r>
              <w:rPr>
                <w:rFonts w:asciiTheme="majorHAnsi" w:hAnsiTheme="majorHAnsi" w:cs="Arial"/>
              </w:rPr>
              <w:t>Denmark</w:t>
            </w:r>
          </w:p>
        </w:tc>
        <w:tc>
          <w:tcPr>
            <w:tcW w:w="2551" w:type="dxa"/>
            <w:shd w:val="clear" w:color="auto" w:fill="FFC000"/>
          </w:tcPr>
          <w:p w:rsidR="00C506A4" w:rsidRPr="005F7B18" w:rsidRDefault="00C567B6" w:rsidP="006C61C4">
            <w:pPr>
              <w:spacing w:before="0" w:after="0"/>
              <w:contextualSpacing/>
              <w:rPr>
                <w:rFonts w:asciiTheme="majorHAnsi" w:hAnsiTheme="majorHAnsi" w:cs="Arial"/>
              </w:rPr>
            </w:pPr>
            <w:r>
              <w:rPr>
                <w:rFonts w:asciiTheme="majorHAnsi" w:hAnsiTheme="majorHAnsi" w:cs="Arial"/>
              </w:rPr>
              <w:t>18.9%</w:t>
            </w:r>
          </w:p>
        </w:tc>
        <w:tc>
          <w:tcPr>
            <w:tcW w:w="2572" w:type="dxa"/>
            <w:shd w:val="clear" w:color="auto" w:fill="FFC000"/>
          </w:tcPr>
          <w:p w:rsidR="00C506A4" w:rsidRPr="005F7B18" w:rsidRDefault="00C567B6" w:rsidP="006C61C4">
            <w:pPr>
              <w:spacing w:before="0" w:after="0"/>
              <w:contextualSpacing/>
              <w:rPr>
                <w:rFonts w:asciiTheme="majorHAnsi" w:hAnsiTheme="majorHAnsi" w:cs="Arial"/>
              </w:rPr>
            </w:pPr>
            <w:r>
              <w:rPr>
                <w:rFonts w:asciiTheme="majorHAnsi" w:hAnsiTheme="majorHAnsi" w:cs="Arial"/>
              </w:rPr>
              <w:t>23.5%</w:t>
            </w:r>
          </w:p>
        </w:tc>
      </w:tr>
      <w:tr w:rsidR="00C506A4" w:rsidTr="006C61C4">
        <w:trPr>
          <w:trHeight w:val="284"/>
        </w:trPr>
        <w:tc>
          <w:tcPr>
            <w:tcW w:w="2679" w:type="dxa"/>
            <w:shd w:val="clear" w:color="auto" w:fill="92D050"/>
          </w:tcPr>
          <w:p w:rsidR="00C506A4" w:rsidRPr="005F7B18" w:rsidRDefault="00C567B6" w:rsidP="006C61C4">
            <w:pPr>
              <w:spacing w:before="0" w:after="0"/>
              <w:contextualSpacing/>
              <w:rPr>
                <w:rFonts w:asciiTheme="majorHAnsi" w:hAnsiTheme="majorHAnsi" w:cs="Arial"/>
              </w:rPr>
            </w:pPr>
            <w:r>
              <w:rPr>
                <w:rFonts w:asciiTheme="majorHAnsi" w:hAnsiTheme="majorHAnsi" w:cs="Arial"/>
              </w:rPr>
              <w:lastRenderedPageBreak/>
              <w:t>Finland</w:t>
            </w:r>
          </w:p>
        </w:tc>
        <w:tc>
          <w:tcPr>
            <w:tcW w:w="2551" w:type="dxa"/>
            <w:shd w:val="clear" w:color="auto" w:fill="92D050"/>
          </w:tcPr>
          <w:p w:rsidR="00C506A4" w:rsidRPr="005F7B18" w:rsidRDefault="00C567B6" w:rsidP="006C61C4">
            <w:pPr>
              <w:spacing w:before="0" w:after="0"/>
              <w:contextualSpacing/>
              <w:rPr>
                <w:rFonts w:asciiTheme="majorHAnsi" w:hAnsiTheme="majorHAnsi" w:cs="Arial"/>
              </w:rPr>
            </w:pPr>
            <w:r>
              <w:rPr>
                <w:rFonts w:asciiTheme="majorHAnsi" w:hAnsiTheme="majorHAnsi" w:cs="Arial"/>
              </w:rPr>
              <w:t>23.9%</w:t>
            </w:r>
          </w:p>
        </w:tc>
        <w:tc>
          <w:tcPr>
            <w:tcW w:w="2572" w:type="dxa"/>
            <w:shd w:val="clear" w:color="auto" w:fill="92D050"/>
          </w:tcPr>
          <w:p w:rsidR="00C506A4" w:rsidRPr="005F7B18" w:rsidRDefault="00C567B6" w:rsidP="006C61C4">
            <w:pPr>
              <w:spacing w:before="0" w:after="0"/>
              <w:contextualSpacing/>
              <w:rPr>
                <w:rFonts w:asciiTheme="majorHAnsi" w:hAnsiTheme="majorHAnsi" w:cs="Arial"/>
              </w:rPr>
            </w:pPr>
            <w:r>
              <w:rPr>
                <w:rFonts w:asciiTheme="majorHAnsi" w:hAnsiTheme="majorHAnsi" w:cs="Arial"/>
              </w:rPr>
              <w:t>34.1%</w:t>
            </w:r>
          </w:p>
        </w:tc>
      </w:tr>
      <w:tr w:rsidR="00C506A4" w:rsidTr="006C61C4">
        <w:trPr>
          <w:trHeight w:val="284"/>
        </w:trPr>
        <w:tc>
          <w:tcPr>
            <w:tcW w:w="2679" w:type="dxa"/>
            <w:shd w:val="clear" w:color="auto" w:fill="92D050"/>
          </w:tcPr>
          <w:p w:rsidR="00C506A4" w:rsidRPr="005F7B18" w:rsidRDefault="00C567B6" w:rsidP="006C61C4">
            <w:pPr>
              <w:spacing w:before="0" w:after="0"/>
              <w:contextualSpacing/>
              <w:rPr>
                <w:rFonts w:asciiTheme="majorHAnsi" w:hAnsiTheme="majorHAnsi" w:cs="Arial"/>
              </w:rPr>
            </w:pPr>
            <w:r>
              <w:rPr>
                <w:rFonts w:asciiTheme="majorHAnsi" w:hAnsiTheme="majorHAnsi" w:cs="Arial"/>
              </w:rPr>
              <w:t>France</w:t>
            </w:r>
          </w:p>
        </w:tc>
        <w:tc>
          <w:tcPr>
            <w:tcW w:w="2551" w:type="dxa"/>
            <w:shd w:val="clear" w:color="auto" w:fill="92D050"/>
          </w:tcPr>
          <w:p w:rsidR="00C506A4" w:rsidRPr="005F7B18" w:rsidRDefault="00C567B6" w:rsidP="006C61C4">
            <w:pPr>
              <w:spacing w:before="0" w:after="0"/>
              <w:contextualSpacing/>
              <w:rPr>
                <w:rFonts w:asciiTheme="majorHAnsi" w:hAnsiTheme="majorHAnsi" w:cs="Arial"/>
              </w:rPr>
            </w:pPr>
            <w:r>
              <w:rPr>
                <w:rFonts w:asciiTheme="majorHAnsi" w:hAnsiTheme="majorHAnsi" w:cs="Arial"/>
              </w:rPr>
              <w:t>24.8%</w:t>
            </w:r>
          </w:p>
        </w:tc>
        <w:tc>
          <w:tcPr>
            <w:tcW w:w="2572" w:type="dxa"/>
            <w:shd w:val="clear" w:color="auto" w:fill="92D050"/>
          </w:tcPr>
          <w:p w:rsidR="00C506A4" w:rsidRPr="005F7B18" w:rsidRDefault="00C567B6" w:rsidP="006C61C4">
            <w:pPr>
              <w:spacing w:before="0" w:after="0"/>
              <w:contextualSpacing/>
              <w:rPr>
                <w:rFonts w:asciiTheme="majorHAnsi" w:hAnsiTheme="majorHAnsi" w:cs="Arial"/>
              </w:rPr>
            </w:pPr>
            <w:r>
              <w:rPr>
                <w:rFonts w:asciiTheme="majorHAnsi" w:hAnsiTheme="majorHAnsi" w:cs="Arial"/>
              </w:rPr>
              <w:t>31.6%</w:t>
            </w:r>
          </w:p>
        </w:tc>
      </w:tr>
      <w:tr w:rsidR="00C506A4" w:rsidTr="006C61C4">
        <w:trPr>
          <w:trHeight w:val="284"/>
        </w:trPr>
        <w:tc>
          <w:tcPr>
            <w:tcW w:w="2679" w:type="dxa"/>
            <w:shd w:val="clear" w:color="auto" w:fill="92D050"/>
          </w:tcPr>
          <w:p w:rsidR="00C506A4" w:rsidRPr="005F7B18" w:rsidRDefault="00C567B6" w:rsidP="006C61C4">
            <w:pPr>
              <w:spacing w:before="0" w:after="0"/>
              <w:contextualSpacing/>
              <w:rPr>
                <w:rFonts w:asciiTheme="majorHAnsi" w:hAnsiTheme="majorHAnsi" w:cs="Arial"/>
              </w:rPr>
            </w:pPr>
            <w:r>
              <w:rPr>
                <w:rFonts w:asciiTheme="majorHAnsi" w:hAnsiTheme="majorHAnsi" w:cs="Arial"/>
              </w:rPr>
              <w:t>Germany</w:t>
            </w:r>
          </w:p>
        </w:tc>
        <w:tc>
          <w:tcPr>
            <w:tcW w:w="2551" w:type="dxa"/>
            <w:shd w:val="clear" w:color="auto" w:fill="92D050"/>
          </w:tcPr>
          <w:p w:rsidR="00C506A4" w:rsidRPr="005F7B18" w:rsidRDefault="00C567B6" w:rsidP="006C61C4">
            <w:pPr>
              <w:spacing w:before="0" w:after="0"/>
              <w:contextualSpacing/>
              <w:rPr>
                <w:rFonts w:asciiTheme="majorHAnsi" w:hAnsiTheme="majorHAnsi" w:cs="Arial"/>
              </w:rPr>
            </w:pPr>
            <w:r>
              <w:rPr>
                <w:rFonts w:asciiTheme="majorHAnsi" w:hAnsiTheme="majorHAnsi" w:cs="Arial"/>
              </w:rPr>
              <w:t>27.1%</w:t>
            </w:r>
          </w:p>
        </w:tc>
        <w:tc>
          <w:tcPr>
            <w:tcW w:w="2572" w:type="dxa"/>
            <w:shd w:val="clear" w:color="auto" w:fill="92D050"/>
          </w:tcPr>
          <w:p w:rsidR="00C506A4" w:rsidRPr="005F7B18" w:rsidRDefault="00C567B6" w:rsidP="006C61C4">
            <w:pPr>
              <w:spacing w:before="0" w:after="0"/>
              <w:contextualSpacing/>
              <w:rPr>
                <w:rFonts w:asciiTheme="majorHAnsi" w:hAnsiTheme="majorHAnsi" w:cs="Arial"/>
              </w:rPr>
            </w:pPr>
            <w:r>
              <w:rPr>
                <w:rFonts w:asciiTheme="majorHAnsi" w:hAnsiTheme="majorHAnsi" w:cs="Arial"/>
              </w:rPr>
              <w:t>29.7%</w:t>
            </w:r>
          </w:p>
        </w:tc>
      </w:tr>
      <w:tr w:rsidR="00C506A4" w:rsidTr="006D1000">
        <w:trPr>
          <w:trHeight w:val="284"/>
        </w:trPr>
        <w:tc>
          <w:tcPr>
            <w:tcW w:w="2679" w:type="dxa"/>
            <w:shd w:val="clear" w:color="auto" w:fill="F2F2F2" w:themeFill="background1" w:themeFillShade="F2"/>
          </w:tcPr>
          <w:p w:rsidR="00C506A4" w:rsidRPr="005F7B18" w:rsidRDefault="00C567B6" w:rsidP="006C61C4">
            <w:pPr>
              <w:spacing w:before="0" w:after="0"/>
              <w:contextualSpacing/>
              <w:rPr>
                <w:rFonts w:asciiTheme="majorHAnsi" w:hAnsiTheme="majorHAnsi" w:cs="Arial"/>
              </w:rPr>
            </w:pPr>
            <w:r>
              <w:rPr>
                <w:rFonts w:asciiTheme="majorHAnsi" w:hAnsiTheme="majorHAnsi" w:cs="Arial"/>
              </w:rPr>
              <w:t>India</w:t>
            </w:r>
          </w:p>
        </w:tc>
        <w:tc>
          <w:tcPr>
            <w:tcW w:w="2551" w:type="dxa"/>
            <w:shd w:val="clear" w:color="auto" w:fill="F2F2F2" w:themeFill="background1" w:themeFillShade="F2"/>
          </w:tcPr>
          <w:p w:rsidR="00C506A4" w:rsidRPr="005F7B18" w:rsidRDefault="00C567B6" w:rsidP="006C61C4">
            <w:pPr>
              <w:spacing w:before="0" w:after="0"/>
              <w:contextualSpacing/>
              <w:rPr>
                <w:rFonts w:asciiTheme="majorHAnsi" w:hAnsiTheme="majorHAnsi" w:cs="Arial"/>
              </w:rPr>
            </w:pPr>
            <w:r>
              <w:rPr>
                <w:rFonts w:asciiTheme="majorHAnsi" w:hAnsiTheme="majorHAnsi" w:cs="Arial"/>
              </w:rPr>
              <w:t>8.4%</w:t>
            </w:r>
          </w:p>
        </w:tc>
        <w:tc>
          <w:tcPr>
            <w:tcW w:w="2572" w:type="dxa"/>
            <w:shd w:val="clear" w:color="auto" w:fill="F2F2F2" w:themeFill="background1" w:themeFillShade="F2"/>
          </w:tcPr>
          <w:p w:rsidR="00C506A4" w:rsidRPr="005F7B18" w:rsidRDefault="00C567B6" w:rsidP="006C61C4">
            <w:pPr>
              <w:spacing w:before="0" w:after="0"/>
              <w:contextualSpacing/>
              <w:rPr>
                <w:rFonts w:asciiTheme="majorHAnsi" w:hAnsiTheme="majorHAnsi" w:cs="Arial"/>
              </w:rPr>
            </w:pPr>
            <w:r>
              <w:rPr>
                <w:rFonts w:asciiTheme="majorHAnsi" w:hAnsiTheme="majorHAnsi" w:cs="Arial"/>
              </w:rPr>
              <w:t>10.3%</w:t>
            </w:r>
          </w:p>
        </w:tc>
      </w:tr>
      <w:tr w:rsidR="00C506A4" w:rsidTr="006D1000">
        <w:trPr>
          <w:trHeight w:val="284"/>
        </w:trPr>
        <w:tc>
          <w:tcPr>
            <w:tcW w:w="2679" w:type="dxa"/>
            <w:shd w:val="clear" w:color="auto" w:fill="F2F2F2" w:themeFill="background1" w:themeFillShade="F2"/>
          </w:tcPr>
          <w:p w:rsidR="00C506A4" w:rsidRPr="005F7B18" w:rsidRDefault="00C567B6" w:rsidP="006C61C4">
            <w:pPr>
              <w:spacing w:before="0" w:after="0"/>
              <w:contextualSpacing/>
              <w:rPr>
                <w:rFonts w:asciiTheme="majorHAnsi" w:hAnsiTheme="majorHAnsi" w:cs="Arial"/>
              </w:rPr>
            </w:pPr>
            <w:r>
              <w:rPr>
                <w:rFonts w:asciiTheme="majorHAnsi" w:hAnsiTheme="majorHAnsi" w:cs="Arial"/>
              </w:rPr>
              <w:t>Indonesia</w:t>
            </w:r>
          </w:p>
        </w:tc>
        <w:tc>
          <w:tcPr>
            <w:tcW w:w="2551" w:type="dxa"/>
            <w:shd w:val="clear" w:color="auto" w:fill="F2F2F2" w:themeFill="background1" w:themeFillShade="F2"/>
          </w:tcPr>
          <w:p w:rsidR="00C506A4" w:rsidRPr="005F7B18" w:rsidRDefault="00C567B6" w:rsidP="006C61C4">
            <w:pPr>
              <w:spacing w:before="0" w:after="0"/>
              <w:contextualSpacing/>
              <w:rPr>
                <w:rFonts w:asciiTheme="majorHAnsi" w:hAnsiTheme="majorHAnsi" w:cs="Arial"/>
              </w:rPr>
            </w:pPr>
            <w:r>
              <w:rPr>
                <w:rFonts w:asciiTheme="majorHAnsi" w:hAnsiTheme="majorHAnsi" w:cs="Arial"/>
              </w:rPr>
              <w:t>8.6%</w:t>
            </w:r>
          </w:p>
        </w:tc>
        <w:tc>
          <w:tcPr>
            <w:tcW w:w="2572" w:type="dxa"/>
            <w:shd w:val="clear" w:color="auto" w:fill="F2F2F2" w:themeFill="background1" w:themeFillShade="F2"/>
          </w:tcPr>
          <w:p w:rsidR="00C506A4" w:rsidRPr="005F7B18" w:rsidRDefault="00C567B6" w:rsidP="006C61C4">
            <w:pPr>
              <w:spacing w:before="0" w:after="0"/>
              <w:contextualSpacing/>
              <w:rPr>
                <w:rFonts w:asciiTheme="majorHAnsi" w:hAnsiTheme="majorHAnsi" w:cs="Arial"/>
              </w:rPr>
            </w:pPr>
            <w:r>
              <w:rPr>
                <w:rFonts w:asciiTheme="majorHAnsi" w:hAnsiTheme="majorHAnsi" w:cs="Arial"/>
              </w:rPr>
              <w:t>12.0%</w:t>
            </w:r>
          </w:p>
        </w:tc>
      </w:tr>
      <w:tr w:rsidR="00C506A4" w:rsidTr="006C61C4">
        <w:trPr>
          <w:trHeight w:val="284"/>
        </w:trPr>
        <w:tc>
          <w:tcPr>
            <w:tcW w:w="2679" w:type="dxa"/>
            <w:shd w:val="clear" w:color="auto" w:fill="FFC000"/>
          </w:tcPr>
          <w:p w:rsidR="00C506A4" w:rsidRPr="005F7B18" w:rsidRDefault="00C567B6" w:rsidP="006C61C4">
            <w:pPr>
              <w:spacing w:before="0" w:after="0"/>
              <w:contextualSpacing/>
              <w:rPr>
                <w:rFonts w:asciiTheme="majorHAnsi" w:hAnsiTheme="majorHAnsi" w:cs="Arial"/>
              </w:rPr>
            </w:pPr>
            <w:r>
              <w:rPr>
                <w:rFonts w:asciiTheme="majorHAnsi" w:hAnsiTheme="majorHAnsi" w:cs="Arial"/>
              </w:rPr>
              <w:t>Italy</w:t>
            </w:r>
          </w:p>
        </w:tc>
        <w:tc>
          <w:tcPr>
            <w:tcW w:w="2551" w:type="dxa"/>
            <w:shd w:val="clear" w:color="auto" w:fill="FFC000"/>
          </w:tcPr>
          <w:p w:rsidR="00C506A4" w:rsidRPr="005F7B18" w:rsidRDefault="00C567B6" w:rsidP="006C61C4">
            <w:pPr>
              <w:spacing w:before="0" w:after="0"/>
              <w:contextualSpacing/>
              <w:rPr>
                <w:rFonts w:asciiTheme="majorHAnsi" w:hAnsiTheme="majorHAnsi" w:cs="Arial"/>
              </w:rPr>
            </w:pPr>
            <w:r>
              <w:rPr>
                <w:rFonts w:asciiTheme="majorHAnsi" w:hAnsiTheme="majorHAnsi" w:cs="Arial"/>
              </w:rPr>
              <w:t>24.0%</w:t>
            </w:r>
          </w:p>
        </w:tc>
        <w:tc>
          <w:tcPr>
            <w:tcW w:w="2572" w:type="dxa"/>
            <w:shd w:val="clear" w:color="auto" w:fill="FFC000"/>
          </w:tcPr>
          <w:p w:rsidR="00C506A4" w:rsidRPr="005F7B18" w:rsidRDefault="00C567B6" w:rsidP="006C61C4">
            <w:pPr>
              <w:spacing w:before="0" w:after="0"/>
              <w:contextualSpacing/>
              <w:rPr>
                <w:rFonts w:asciiTheme="majorHAnsi" w:hAnsiTheme="majorHAnsi" w:cs="Arial"/>
              </w:rPr>
            </w:pPr>
            <w:r>
              <w:rPr>
                <w:rFonts w:asciiTheme="majorHAnsi" w:hAnsiTheme="majorHAnsi" w:cs="Arial"/>
              </w:rPr>
              <w:t>24.1%</w:t>
            </w:r>
          </w:p>
        </w:tc>
      </w:tr>
      <w:tr w:rsidR="00C506A4" w:rsidTr="006C61C4">
        <w:trPr>
          <w:trHeight w:val="284"/>
        </w:trPr>
        <w:tc>
          <w:tcPr>
            <w:tcW w:w="2679" w:type="dxa"/>
            <w:shd w:val="clear" w:color="auto" w:fill="92D050"/>
          </w:tcPr>
          <w:p w:rsidR="00C506A4" w:rsidRPr="005F7B18" w:rsidRDefault="00C567B6" w:rsidP="006C61C4">
            <w:pPr>
              <w:spacing w:before="0" w:after="0"/>
              <w:contextualSpacing/>
              <w:rPr>
                <w:rFonts w:asciiTheme="majorHAnsi" w:hAnsiTheme="majorHAnsi" w:cs="Arial"/>
              </w:rPr>
            </w:pPr>
            <w:r>
              <w:rPr>
                <w:rFonts w:asciiTheme="majorHAnsi" w:hAnsiTheme="majorHAnsi" w:cs="Arial"/>
              </w:rPr>
              <w:t>Japan</w:t>
            </w:r>
          </w:p>
        </w:tc>
        <w:tc>
          <w:tcPr>
            <w:tcW w:w="2551" w:type="dxa"/>
            <w:shd w:val="clear" w:color="auto" w:fill="92D050"/>
          </w:tcPr>
          <w:p w:rsidR="00C506A4" w:rsidRPr="005F7B18" w:rsidRDefault="00C567B6" w:rsidP="006C61C4">
            <w:pPr>
              <w:spacing w:before="0" w:after="0"/>
              <w:contextualSpacing/>
              <w:rPr>
                <w:rFonts w:asciiTheme="majorHAnsi" w:hAnsiTheme="majorHAnsi" w:cs="Arial"/>
              </w:rPr>
            </w:pPr>
            <w:r>
              <w:rPr>
                <w:rFonts w:asciiTheme="majorHAnsi" w:hAnsiTheme="majorHAnsi" w:cs="Arial"/>
              </w:rPr>
              <w:t>26.2%</w:t>
            </w:r>
          </w:p>
        </w:tc>
        <w:tc>
          <w:tcPr>
            <w:tcW w:w="2572" w:type="dxa"/>
            <w:shd w:val="clear" w:color="auto" w:fill="92D050"/>
          </w:tcPr>
          <w:p w:rsidR="00C506A4" w:rsidRPr="005F7B18" w:rsidRDefault="00C567B6" w:rsidP="006C61C4">
            <w:pPr>
              <w:spacing w:before="0" w:after="0"/>
              <w:contextualSpacing/>
              <w:rPr>
                <w:rFonts w:asciiTheme="majorHAnsi" w:hAnsiTheme="majorHAnsi" w:cs="Arial"/>
              </w:rPr>
            </w:pPr>
            <w:r>
              <w:rPr>
                <w:rFonts w:asciiTheme="majorHAnsi" w:hAnsiTheme="majorHAnsi" w:cs="Arial"/>
              </w:rPr>
              <w:t>31.4%</w:t>
            </w:r>
          </w:p>
        </w:tc>
      </w:tr>
      <w:tr w:rsidR="00C506A4" w:rsidTr="006D1000">
        <w:trPr>
          <w:trHeight w:val="284"/>
        </w:trPr>
        <w:tc>
          <w:tcPr>
            <w:tcW w:w="2679" w:type="dxa"/>
            <w:shd w:val="clear" w:color="auto" w:fill="F2F2F2" w:themeFill="background1" w:themeFillShade="F2"/>
          </w:tcPr>
          <w:p w:rsidR="00C506A4" w:rsidRPr="005F7B18" w:rsidRDefault="00FD2F99" w:rsidP="006C61C4">
            <w:pPr>
              <w:spacing w:before="0" w:after="0"/>
              <w:contextualSpacing/>
              <w:rPr>
                <w:rFonts w:asciiTheme="majorHAnsi" w:hAnsiTheme="majorHAnsi" w:cs="Arial"/>
              </w:rPr>
            </w:pPr>
            <w:r>
              <w:rPr>
                <w:rFonts w:asciiTheme="majorHAnsi" w:hAnsiTheme="majorHAnsi" w:cs="Arial"/>
              </w:rPr>
              <w:t>Mexico</w:t>
            </w:r>
          </w:p>
        </w:tc>
        <w:tc>
          <w:tcPr>
            <w:tcW w:w="2551" w:type="dxa"/>
            <w:shd w:val="clear" w:color="auto" w:fill="F2F2F2" w:themeFill="background1" w:themeFillShade="F2"/>
          </w:tcPr>
          <w:p w:rsidR="00C506A4" w:rsidRPr="005F7B18" w:rsidRDefault="00FD2F99" w:rsidP="006C61C4">
            <w:pPr>
              <w:spacing w:before="0" w:after="0"/>
              <w:contextualSpacing/>
              <w:rPr>
                <w:rFonts w:asciiTheme="majorHAnsi" w:hAnsiTheme="majorHAnsi" w:cs="Arial"/>
              </w:rPr>
            </w:pPr>
            <w:r>
              <w:rPr>
                <w:rFonts w:asciiTheme="majorHAnsi" w:hAnsiTheme="majorHAnsi" w:cs="Arial"/>
              </w:rPr>
              <w:t>9.0%</w:t>
            </w:r>
          </w:p>
        </w:tc>
        <w:tc>
          <w:tcPr>
            <w:tcW w:w="2572" w:type="dxa"/>
            <w:shd w:val="clear" w:color="auto" w:fill="F2F2F2" w:themeFill="background1" w:themeFillShade="F2"/>
          </w:tcPr>
          <w:p w:rsidR="00C506A4" w:rsidRPr="005F7B18" w:rsidRDefault="00FD2F99" w:rsidP="006C61C4">
            <w:pPr>
              <w:spacing w:before="0" w:after="0"/>
              <w:contextualSpacing/>
              <w:rPr>
                <w:rFonts w:asciiTheme="majorHAnsi" w:hAnsiTheme="majorHAnsi" w:cs="Arial"/>
              </w:rPr>
            </w:pPr>
            <w:r>
              <w:rPr>
                <w:rFonts w:asciiTheme="majorHAnsi" w:hAnsiTheme="majorHAnsi" w:cs="Arial"/>
              </w:rPr>
              <w:t>13.1%</w:t>
            </w:r>
          </w:p>
        </w:tc>
      </w:tr>
      <w:tr w:rsidR="00C506A4" w:rsidTr="006C61C4">
        <w:trPr>
          <w:trHeight w:val="284"/>
        </w:trPr>
        <w:tc>
          <w:tcPr>
            <w:tcW w:w="2679" w:type="dxa"/>
            <w:shd w:val="clear" w:color="auto" w:fill="92D050"/>
          </w:tcPr>
          <w:p w:rsidR="00C506A4" w:rsidRPr="005F7B18" w:rsidRDefault="00FD2F99" w:rsidP="006C61C4">
            <w:pPr>
              <w:spacing w:before="0" w:after="0"/>
              <w:contextualSpacing/>
              <w:rPr>
                <w:rFonts w:asciiTheme="majorHAnsi" w:hAnsiTheme="majorHAnsi" w:cs="Arial"/>
              </w:rPr>
            </w:pPr>
            <w:r>
              <w:rPr>
                <w:rFonts w:asciiTheme="majorHAnsi" w:hAnsiTheme="majorHAnsi" w:cs="Arial"/>
              </w:rPr>
              <w:t>Netherlands</w:t>
            </w:r>
          </w:p>
        </w:tc>
        <w:tc>
          <w:tcPr>
            <w:tcW w:w="2551" w:type="dxa"/>
            <w:shd w:val="clear" w:color="auto" w:fill="92D050"/>
          </w:tcPr>
          <w:p w:rsidR="00C506A4" w:rsidRPr="005F7B18" w:rsidRDefault="00FD2F99" w:rsidP="006C61C4">
            <w:pPr>
              <w:spacing w:before="0" w:after="0"/>
              <w:contextualSpacing/>
              <w:rPr>
                <w:rFonts w:asciiTheme="majorHAnsi" w:hAnsiTheme="majorHAnsi" w:cs="Arial"/>
              </w:rPr>
            </w:pPr>
            <w:r>
              <w:rPr>
                <w:rFonts w:asciiTheme="majorHAnsi" w:hAnsiTheme="majorHAnsi" w:cs="Arial"/>
              </w:rPr>
              <w:t>20.9%</w:t>
            </w:r>
          </w:p>
        </w:tc>
        <w:tc>
          <w:tcPr>
            <w:tcW w:w="2572" w:type="dxa"/>
            <w:shd w:val="clear" w:color="auto" w:fill="92D050"/>
          </w:tcPr>
          <w:p w:rsidR="00C506A4" w:rsidRPr="005F7B18" w:rsidRDefault="00FD2F99" w:rsidP="006C61C4">
            <w:pPr>
              <w:spacing w:before="0" w:after="0"/>
              <w:contextualSpacing/>
              <w:rPr>
                <w:rFonts w:asciiTheme="majorHAnsi" w:hAnsiTheme="majorHAnsi" w:cs="Arial"/>
              </w:rPr>
            </w:pPr>
            <w:r>
              <w:rPr>
                <w:rFonts w:asciiTheme="majorHAnsi" w:hAnsiTheme="majorHAnsi" w:cs="Arial"/>
              </w:rPr>
              <w:t>27.8%</w:t>
            </w:r>
          </w:p>
        </w:tc>
      </w:tr>
      <w:tr w:rsidR="00C506A4" w:rsidTr="006C61C4">
        <w:trPr>
          <w:trHeight w:val="284"/>
        </w:trPr>
        <w:tc>
          <w:tcPr>
            <w:tcW w:w="2679" w:type="dxa"/>
            <w:shd w:val="clear" w:color="auto" w:fill="92D050"/>
          </w:tcPr>
          <w:p w:rsidR="00C506A4" w:rsidRPr="005F7B18" w:rsidRDefault="00FD2F99" w:rsidP="006C61C4">
            <w:pPr>
              <w:spacing w:before="0" w:after="0"/>
              <w:contextualSpacing/>
              <w:rPr>
                <w:rFonts w:asciiTheme="majorHAnsi" w:hAnsiTheme="majorHAnsi" w:cs="Arial"/>
              </w:rPr>
            </w:pPr>
            <w:r>
              <w:rPr>
                <w:rFonts w:asciiTheme="majorHAnsi" w:hAnsiTheme="majorHAnsi" w:cs="Arial"/>
              </w:rPr>
              <w:t>Norway</w:t>
            </w:r>
          </w:p>
        </w:tc>
        <w:tc>
          <w:tcPr>
            <w:tcW w:w="2551" w:type="dxa"/>
            <w:shd w:val="clear" w:color="auto" w:fill="92D050"/>
          </w:tcPr>
          <w:p w:rsidR="00C506A4" w:rsidRPr="005F7B18" w:rsidRDefault="00FD2F99" w:rsidP="006C61C4">
            <w:pPr>
              <w:spacing w:before="0" w:after="0"/>
              <w:contextualSpacing/>
              <w:rPr>
                <w:rFonts w:asciiTheme="majorHAnsi" w:hAnsiTheme="majorHAnsi" w:cs="Arial"/>
              </w:rPr>
            </w:pPr>
            <w:r>
              <w:rPr>
                <w:rFonts w:asciiTheme="majorHAnsi" w:hAnsiTheme="majorHAnsi" w:cs="Arial"/>
              </w:rPr>
              <w:t>22.2%</w:t>
            </w:r>
          </w:p>
        </w:tc>
        <w:tc>
          <w:tcPr>
            <w:tcW w:w="2572" w:type="dxa"/>
            <w:shd w:val="clear" w:color="auto" w:fill="92D050"/>
          </w:tcPr>
          <w:p w:rsidR="00C506A4" w:rsidRPr="005F7B18" w:rsidRDefault="00FD2F99" w:rsidP="006C61C4">
            <w:pPr>
              <w:spacing w:before="0" w:after="0"/>
              <w:contextualSpacing/>
              <w:rPr>
                <w:rFonts w:asciiTheme="majorHAnsi" w:hAnsiTheme="majorHAnsi" w:cs="Arial"/>
              </w:rPr>
            </w:pPr>
            <w:r>
              <w:rPr>
                <w:rFonts w:asciiTheme="majorHAnsi" w:hAnsiTheme="majorHAnsi" w:cs="Arial"/>
              </w:rPr>
              <w:t>28.8%</w:t>
            </w:r>
          </w:p>
        </w:tc>
      </w:tr>
      <w:tr w:rsidR="00C506A4" w:rsidTr="006C61C4">
        <w:trPr>
          <w:trHeight w:val="284"/>
        </w:trPr>
        <w:tc>
          <w:tcPr>
            <w:tcW w:w="2679" w:type="dxa"/>
            <w:shd w:val="clear" w:color="auto" w:fill="FFC000"/>
          </w:tcPr>
          <w:p w:rsidR="00C506A4" w:rsidRPr="005F7B18" w:rsidRDefault="00FD2F99" w:rsidP="006C61C4">
            <w:pPr>
              <w:spacing w:before="0" w:after="0"/>
              <w:contextualSpacing/>
              <w:rPr>
                <w:rFonts w:asciiTheme="majorHAnsi" w:hAnsiTheme="majorHAnsi" w:cs="Arial"/>
              </w:rPr>
            </w:pPr>
            <w:r>
              <w:rPr>
                <w:rFonts w:asciiTheme="majorHAnsi" w:hAnsiTheme="majorHAnsi" w:cs="Arial"/>
              </w:rPr>
              <w:t>Romania</w:t>
            </w:r>
          </w:p>
        </w:tc>
        <w:tc>
          <w:tcPr>
            <w:tcW w:w="2551" w:type="dxa"/>
            <w:shd w:val="clear" w:color="auto" w:fill="FFC000"/>
          </w:tcPr>
          <w:p w:rsidR="00C506A4" w:rsidRPr="005F7B18" w:rsidRDefault="00FD2F99" w:rsidP="006C61C4">
            <w:pPr>
              <w:spacing w:before="0" w:after="0"/>
              <w:contextualSpacing/>
              <w:rPr>
                <w:rFonts w:asciiTheme="majorHAnsi" w:hAnsiTheme="majorHAnsi" w:cs="Arial"/>
              </w:rPr>
            </w:pPr>
            <w:r>
              <w:rPr>
                <w:rFonts w:asciiTheme="majorHAnsi" w:hAnsiTheme="majorHAnsi" w:cs="Arial"/>
              </w:rPr>
              <w:t>14.4%</w:t>
            </w:r>
          </w:p>
        </w:tc>
        <w:tc>
          <w:tcPr>
            <w:tcW w:w="2572" w:type="dxa"/>
            <w:shd w:val="clear" w:color="auto" w:fill="FFC000"/>
          </w:tcPr>
          <w:p w:rsidR="00C506A4" w:rsidRPr="005F7B18" w:rsidRDefault="00FD2F99" w:rsidP="006C61C4">
            <w:pPr>
              <w:spacing w:before="0" w:after="0"/>
              <w:contextualSpacing/>
              <w:rPr>
                <w:rFonts w:asciiTheme="majorHAnsi" w:hAnsiTheme="majorHAnsi" w:cs="Arial"/>
              </w:rPr>
            </w:pPr>
            <w:r>
              <w:rPr>
                <w:rFonts w:asciiTheme="majorHAnsi" w:hAnsiTheme="majorHAnsi" w:cs="Arial"/>
              </w:rPr>
              <w:t>20.8%</w:t>
            </w:r>
          </w:p>
        </w:tc>
      </w:tr>
      <w:tr w:rsidR="00C506A4" w:rsidTr="006C61C4">
        <w:trPr>
          <w:trHeight w:val="284"/>
        </w:trPr>
        <w:tc>
          <w:tcPr>
            <w:tcW w:w="2679" w:type="dxa"/>
            <w:shd w:val="clear" w:color="auto" w:fill="92D050"/>
          </w:tcPr>
          <w:p w:rsidR="00C506A4" w:rsidRPr="005F7B18" w:rsidRDefault="00FD2F99" w:rsidP="006C61C4">
            <w:pPr>
              <w:spacing w:before="0" w:after="0"/>
              <w:contextualSpacing/>
              <w:rPr>
                <w:rFonts w:asciiTheme="majorHAnsi" w:hAnsiTheme="majorHAnsi" w:cs="Arial"/>
              </w:rPr>
            </w:pPr>
            <w:r>
              <w:rPr>
                <w:rFonts w:asciiTheme="majorHAnsi" w:hAnsiTheme="majorHAnsi" w:cs="Arial"/>
              </w:rPr>
              <w:t>Russia</w:t>
            </w:r>
          </w:p>
        </w:tc>
        <w:tc>
          <w:tcPr>
            <w:tcW w:w="2551" w:type="dxa"/>
            <w:shd w:val="clear" w:color="auto" w:fill="92D050"/>
          </w:tcPr>
          <w:p w:rsidR="00C506A4" w:rsidRPr="005F7B18" w:rsidRDefault="00FD2F99" w:rsidP="006C61C4">
            <w:pPr>
              <w:spacing w:before="0" w:after="0"/>
              <w:contextualSpacing/>
              <w:rPr>
                <w:rFonts w:asciiTheme="majorHAnsi" w:hAnsiTheme="majorHAnsi" w:cs="Arial"/>
              </w:rPr>
            </w:pPr>
            <w:r>
              <w:rPr>
                <w:rFonts w:asciiTheme="majorHAnsi" w:hAnsiTheme="majorHAnsi" w:cs="Arial"/>
              </w:rPr>
              <w:t>18.4%</w:t>
            </w:r>
          </w:p>
        </w:tc>
        <w:tc>
          <w:tcPr>
            <w:tcW w:w="2572" w:type="dxa"/>
            <w:shd w:val="clear" w:color="auto" w:fill="92D050"/>
          </w:tcPr>
          <w:p w:rsidR="00C506A4" w:rsidRPr="005F7B18" w:rsidRDefault="00FD2F99" w:rsidP="006C61C4">
            <w:pPr>
              <w:spacing w:before="0" w:after="0"/>
              <w:contextualSpacing/>
              <w:rPr>
                <w:rFonts w:asciiTheme="majorHAnsi" w:hAnsiTheme="majorHAnsi" w:cs="Arial"/>
              </w:rPr>
            </w:pPr>
            <w:r>
              <w:rPr>
                <w:rFonts w:asciiTheme="majorHAnsi" w:hAnsiTheme="majorHAnsi" w:cs="Arial"/>
              </w:rPr>
              <w:t>26.7%</w:t>
            </w:r>
          </w:p>
        </w:tc>
      </w:tr>
      <w:tr w:rsidR="00C506A4" w:rsidTr="006D1000">
        <w:trPr>
          <w:trHeight w:val="284"/>
        </w:trPr>
        <w:tc>
          <w:tcPr>
            <w:tcW w:w="2679" w:type="dxa"/>
            <w:shd w:val="clear" w:color="auto" w:fill="F2F2F2" w:themeFill="background1" w:themeFillShade="F2"/>
          </w:tcPr>
          <w:p w:rsidR="00C506A4" w:rsidRPr="005F7B18" w:rsidRDefault="00FD2F99" w:rsidP="006C61C4">
            <w:pPr>
              <w:spacing w:before="0" w:after="0"/>
              <w:contextualSpacing/>
              <w:rPr>
                <w:rFonts w:asciiTheme="majorHAnsi" w:hAnsiTheme="majorHAnsi" w:cs="Arial"/>
              </w:rPr>
            </w:pPr>
            <w:r>
              <w:rPr>
                <w:rFonts w:asciiTheme="majorHAnsi" w:hAnsiTheme="majorHAnsi" w:cs="Arial"/>
              </w:rPr>
              <w:t>South Africa</w:t>
            </w:r>
          </w:p>
        </w:tc>
        <w:tc>
          <w:tcPr>
            <w:tcW w:w="2551" w:type="dxa"/>
            <w:shd w:val="clear" w:color="auto" w:fill="F2F2F2" w:themeFill="background1" w:themeFillShade="F2"/>
          </w:tcPr>
          <w:p w:rsidR="00C506A4" w:rsidRPr="005F7B18" w:rsidRDefault="00FD2F99" w:rsidP="006C61C4">
            <w:pPr>
              <w:spacing w:before="0" w:after="0"/>
              <w:contextualSpacing/>
              <w:rPr>
                <w:rFonts w:asciiTheme="majorHAnsi" w:hAnsiTheme="majorHAnsi" w:cs="Arial"/>
              </w:rPr>
            </w:pPr>
            <w:r>
              <w:rPr>
                <w:rFonts w:asciiTheme="majorHAnsi" w:hAnsiTheme="majorHAnsi" w:cs="Arial"/>
              </w:rPr>
              <w:t>11.7%</w:t>
            </w:r>
          </w:p>
        </w:tc>
        <w:tc>
          <w:tcPr>
            <w:tcW w:w="2572" w:type="dxa"/>
            <w:shd w:val="clear" w:color="auto" w:fill="F2F2F2" w:themeFill="background1" w:themeFillShade="F2"/>
          </w:tcPr>
          <w:p w:rsidR="00C506A4" w:rsidRPr="005F7B18" w:rsidRDefault="00FD2F99" w:rsidP="006C61C4">
            <w:pPr>
              <w:spacing w:before="0" w:after="0"/>
              <w:contextualSpacing/>
              <w:rPr>
                <w:rFonts w:asciiTheme="majorHAnsi" w:hAnsiTheme="majorHAnsi" w:cs="Arial"/>
              </w:rPr>
            </w:pPr>
            <w:r>
              <w:rPr>
                <w:rFonts w:asciiTheme="majorHAnsi" w:hAnsiTheme="majorHAnsi" w:cs="Arial"/>
              </w:rPr>
              <w:t>16.5%</w:t>
            </w:r>
          </w:p>
        </w:tc>
      </w:tr>
      <w:tr w:rsidR="005300E5" w:rsidTr="006C61C4">
        <w:trPr>
          <w:trHeight w:val="284"/>
        </w:trPr>
        <w:tc>
          <w:tcPr>
            <w:tcW w:w="2679" w:type="dxa"/>
            <w:shd w:val="clear" w:color="auto" w:fill="FFC000"/>
          </w:tcPr>
          <w:p w:rsidR="005300E5" w:rsidRDefault="005300E5" w:rsidP="006C61C4">
            <w:pPr>
              <w:spacing w:before="0" w:after="0"/>
              <w:contextualSpacing/>
              <w:rPr>
                <w:rFonts w:asciiTheme="majorHAnsi" w:hAnsiTheme="majorHAnsi" w:cs="Arial"/>
              </w:rPr>
            </w:pPr>
            <w:r>
              <w:rPr>
                <w:rFonts w:asciiTheme="majorHAnsi" w:hAnsiTheme="majorHAnsi" w:cs="Arial"/>
              </w:rPr>
              <w:t>Spain</w:t>
            </w:r>
          </w:p>
        </w:tc>
        <w:tc>
          <w:tcPr>
            <w:tcW w:w="2551" w:type="dxa"/>
            <w:shd w:val="clear" w:color="auto" w:fill="FFC000"/>
          </w:tcPr>
          <w:p w:rsidR="005300E5" w:rsidRDefault="005300E5" w:rsidP="006C61C4">
            <w:pPr>
              <w:spacing w:before="0" w:after="0"/>
              <w:contextualSpacing/>
              <w:rPr>
                <w:rFonts w:asciiTheme="majorHAnsi" w:hAnsiTheme="majorHAnsi" w:cs="Arial"/>
              </w:rPr>
            </w:pPr>
            <w:r>
              <w:rPr>
                <w:rFonts w:asciiTheme="majorHAnsi" w:hAnsiTheme="majorHAnsi" w:cs="Arial"/>
              </w:rPr>
              <w:t>21.6%</w:t>
            </w:r>
          </w:p>
        </w:tc>
        <w:tc>
          <w:tcPr>
            <w:tcW w:w="2572" w:type="dxa"/>
            <w:shd w:val="clear" w:color="auto" w:fill="FFC000"/>
          </w:tcPr>
          <w:p w:rsidR="005300E5" w:rsidRDefault="005300E5" w:rsidP="006C61C4">
            <w:pPr>
              <w:spacing w:before="0" w:after="0"/>
              <w:contextualSpacing/>
              <w:rPr>
                <w:rFonts w:asciiTheme="majorHAnsi" w:hAnsiTheme="majorHAnsi" w:cs="Arial"/>
              </w:rPr>
            </w:pPr>
            <w:r>
              <w:rPr>
                <w:rFonts w:asciiTheme="majorHAnsi" w:hAnsiTheme="majorHAnsi" w:cs="Arial"/>
              </w:rPr>
              <w:t>24.4%</w:t>
            </w:r>
          </w:p>
        </w:tc>
      </w:tr>
      <w:tr w:rsidR="00C506A4" w:rsidTr="006C61C4">
        <w:trPr>
          <w:trHeight w:val="284"/>
        </w:trPr>
        <w:tc>
          <w:tcPr>
            <w:tcW w:w="2679" w:type="dxa"/>
            <w:shd w:val="clear" w:color="auto" w:fill="92D050"/>
          </w:tcPr>
          <w:p w:rsidR="00C506A4" w:rsidRPr="005F7B18" w:rsidRDefault="005300E5" w:rsidP="006C61C4">
            <w:pPr>
              <w:spacing w:before="0" w:after="0"/>
              <w:contextualSpacing/>
              <w:rPr>
                <w:rFonts w:asciiTheme="majorHAnsi" w:hAnsiTheme="majorHAnsi" w:cs="Arial"/>
              </w:rPr>
            </w:pPr>
            <w:r>
              <w:rPr>
                <w:rFonts w:asciiTheme="majorHAnsi" w:hAnsiTheme="majorHAnsi" w:cs="Arial"/>
              </w:rPr>
              <w:t>Sweden</w:t>
            </w:r>
          </w:p>
        </w:tc>
        <w:tc>
          <w:tcPr>
            <w:tcW w:w="2551" w:type="dxa"/>
            <w:shd w:val="clear" w:color="auto" w:fill="92D050"/>
          </w:tcPr>
          <w:p w:rsidR="00C506A4" w:rsidRPr="005F7B18" w:rsidRDefault="005300E5" w:rsidP="006C61C4">
            <w:pPr>
              <w:spacing w:before="0" w:after="0"/>
              <w:contextualSpacing/>
              <w:rPr>
                <w:rFonts w:asciiTheme="majorHAnsi" w:hAnsiTheme="majorHAnsi" w:cs="Arial"/>
              </w:rPr>
            </w:pPr>
            <w:r>
              <w:rPr>
                <w:rFonts w:asciiTheme="majorHAnsi" w:hAnsiTheme="majorHAnsi" w:cs="Arial"/>
              </w:rPr>
              <w:t>30.2%</w:t>
            </w:r>
          </w:p>
        </w:tc>
        <w:tc>
          <w:tcPr>
            <w:tcW w:w="2572" w:type="dxa"/>
            <w:shd w:val="clear" w:color="auto" w:fill="92D050"/>
          </w:tcPr>
          <w:p w:rsidR="00C506A4" w:rsidRPr="005F7B18" w:rsidRDefault="005300E5" w:rsidP="006C61C4">
            <w:pPr>
              <w:spacing w:before="0" w:after="0"/>
              <w:contextualSpacing/>
              <w:rPr>
                <w:rFonts w:asciiTheme="majorHAnsi" w:hAnsiTheme="majorHAnsi" w:cs="Arial"/>
              </w:rPr>
            </w:pPr>
            <w:r>
              <w:rPr>
                <w:rFonts w:asciiTheme="majorHAnsi" w:hAnsiTheme="majorHAnsi" w:cs="Arial"/>
              </w:rPr>
              <w:t>34.3%</w:t>
            </w:r>
          </w:p>
        </w:tc>
      </w:tr>
      <w:tr w:rsidR="00C506A4" w:rsidTr="006D1000">
        <w:trPr>
          <w:trHeight w:val="284"/>
        </w:trPr>
        <w:tc>
          <w:tcPr>
            <w:tcW w:w="2679" w:type="dxa"/>
            <w:shd w:val="clear" w:color="auto" w:fill="F2F2F2" w:themeFill="background1" w:themeFillShade="F2"/>
          </w:tcPr>
          <w:p w:rsidR="00C506A4" w:rsidRPr="005F7B18" w:rsidRDefault="005300E5" w:rsidP="006C61C4">
            <w:pPr>
              <w:spacing w:before="0" w:after="0"/>
              <w:contextualSpacing/>
              <w:rPr>
                <w:rFonts w:asciiTheme="majorHAnsi" w:hAnsiTheme="majorHAnsi" w:cs="Arial"/>
              </w:rPr>
            </w:pPr>
            <w:r>
              <w:rPr>
                <w:rFonts w:asciiTheme="majorHAnsi" w:hAnsiTheme="majorHAnsi" w:cs="Arial"/>
              </w:rPr>
              <w:t>Turkey</w:t>
            </w:r>
          </w:p>
        </w:tc>
        <w:tc>
          <w:tcPr>
            <w:tcW w:w="2551" w:type="dxa"/>
            <w:shd w:val="clear" w:color="auto" w:fill="F2F2F2" w:themeFill="background1" w:themeFillShade="F2"/>
          </w:tcPr>
          <w:p w:rsidR="00C506A4" w:rsidRPr="005F7B18" w:rsidRDefault="005300E5" w:rsidP="006C61C4">
            <w:pPr>
              <w:spacing w:before="0" w:after="0"/>
              <w:contextualSpacing/>
              <w:rPr>
                <w:rFonts w:asciiTheme="majorHAnsi" w:hAnsiTheme="majorHAnsi" w:cs="Arial"/>
              </w:rPr>
            </w:pPr>
            <w:r>
              <w:rPr>
                <w:rFonts w:asciiTheme="majorHAnsi" w:hAnsiTheme="majorHAnsi" w:cs="Arial"/>
              </w:rPr>
              <w:t>11.6%</w:t>
            </w:r>
          </w:p>
        </w:tc>
        <w:tc>
          <w:tcPr>
            <w:tcW w:w="2572" w:type="dxa"/>
            <w:shd w:val="clear" w:color="auto" w:fill="F2F2F2" w:themeFill="background1" w:themeFillShade="F2"/>
          </w:tcPr>
          <w:p w:rsidR="00C506A4" w:rsidRPr="005F7B18" w:rsidRDefault="005300E5" w:rsidP="006C61C4">
            <w:pPr>
              <w:spacing w:before="0" w:after="0"/>
              <w:contextualSpacing/>
              <w:rPr>
                <w:rFonts w:asciiTheme="majorHAnsi" w:hAnsiTheme="majorHAnsi" w:cs="Arial"/>
              </w:rPr>
            </w:pPr>
            <w:r>
              <w:rPr>
                <w:rFonts w:asciiTheme="majorHAnsi" w:hAnsiTheme="majorHAnsi" w:cs="Arial"/>
              </w:rPr>
              <w:t>15.7%</w:t>
            </w:r>
          </w:p>
        </w:tc>
      </w:tr>
      <w:tr w:rsidR="00C506A4" w:rsidTr="006C61C4">
        <w:trPr>
          <w:trHeight w:val="284"/>
        </w:trPr>
        <w:tc>
          <w:tcPr>
            <w:tcW w:w="2679" w:type="dxa"/>
            <w:shd w:val="clear" w:color="auto" w:fill="92D050"/>
          </w:tcPr>
          <w:p w:rsidR="00C506A4" w:rsidRPr="005F7B18" w:rsidRDefault="005300E5" w:rsidP="006C61C4">
            <w:pPr>
              <w:spacing w:before="0" w:after="0"/>
              <w:contextualSpacing/>
              <w:rPr>
                <w:rFonts w:asciiTheme="majorHAnsi" w:hAnsiTheme="majorHAnsi" w:cs="Arial"/>
              </w:rPr>
            </w:pPr>
            <w:r>
              <w:rPr>
                <w:rFonts w:asciiTheme="majorHAnsi" w:hAnsiTheme="majorHAnsi" w:cs="Arial"/>
              </w:rPr>
              <w:t>United Kingdom</w:t>
            </w:r>
          </w:p>
        </w:tc>
        <w:tc>
          <w:tcPr>
            <w:tcW w:w="2551" w:type="dxa"/>
            <w:shd w:val="clear" w:color="auto" w:fill="92D050"/>
          </w:tcPr>
          <w:p w:rsidR="00C506A4" w:rsidRPr="005F7B18" w:rsidRDefault="005300E5" w:rsidP="006C61C4">
            <w:pPr>
              <w:spacing w:before="0" w:after="0"/>
              <w:contextualSpacing/>
              <w:rPr>
                <w:rFonts w:asciiTheme="majorHAnsi" w:hAnsiTheme="majorHAnsi" w:cs="Arial"/>
              </w:rPr>
            </w:pPr>
            <w:r>
              <w:rPr>
                <w:rFonts w:asciiTheme="majorHAnsi" w:hAnsiTheme="majorHAnsi" w:cs="Arial"/>
              </w:rPr>
              <w:t>23.4%</w:t>
            </w:r>
          </w:p>
        </w:tc>
        <w:tc>
          <w:tcPr>
            <w:tcW w:w="2572" w:type="dxa"/>
            <w:shd w:val="clear" w:color="auto" w:fill="92D050"/>
          </w:tcPr>
          <w:p w:rsidR="00C506A4" w:rsidRPr="005F7B18" w:rsidRDefault="005300E5" w:rsidP="006C61C4">
            <w:pPr>
              <w:spacing w:before="0" w:after="0"/>
              <w:contextualSpacing/>
              <w:rPr>
                <w:rFonts w:asciiTheme="majorHAnsi" w:hAnsiTheme="majorHAnsi" w:cs="Arial"/>
              </w:rPr>
            </w:pPr>
            <w:r>
              <w:rPr>
                <w:rFonts w:asciiTheme="majorHAnsi" w:hAnsiTheme="majorHAnsi" w:cs="Arial"/>
              </w:rPr>
              <w:t>29.2%</w:t>
            </w:r>
          </w:p>
        </w:tc>
      </w:tr>
      <w:tr w:rsidR="00C506A4" w:rsidTr="006C61C4">
        <w:trPr>
          <w:trHeight w:val="284"/>
        </w:trPr>
        <w:tc>
          <w:tcPr>
            <w:tcW w:w="2679" w:type="dxa"/>
            <w:shd w:val="clear" w:color="auto" w:fill="FFC000"/>
          </w:tcPr>
          <w:p w:rsidR="00C506A4" w:rsidRPr="005F7B18" w:rsidRDefault="005300E5" w:rsidP="006C61C4">
            <w:pPr>
              <w:spacing w:before="0" w:after="0"/>
              <w:contextualSpacing/>
              <w:rPr>
                <w:rFonts w:asciiTheme="majorHAnsi" w:hAnsiTheme="majorHAnsi" w:cs="Arial"/>
              </w:rPr>
            </w:pPr>
            <w:r>
              <w:rPr>
                <w:rFonts w:asciiTheme="majorHAnsi" w:hAnsiTheme="majorHAnsi" w:cs="Arial"/>
              </w:rPr>
              <w:t>United States</w:t>
            </w:r>
          </w:p>
        </w:tc>
        <w:tc>
          <w:tcPr>
            <w:tcW w:w="2551" w:type="dxa"/>
            <w:shd w:val="clear" w:color="auto" w:fill="FFC000"/>
          </w:tcPr>
          <w:p w:rsidR="00C506A4" w:rsidRPr="005F7B18" w:rsidRDefault="005300E5" w:rsidP="006C61C4">
            <w:pPr>
              <w:spacing w:before="0" w:after="0"/>
              <w:contextualSpacing/>
              <w:rPr>
                <w:rFonts w:asciiTheme="majorHAnsi" w:hAnsiTheme="majorHAnsi" w:cs="Arial"/>
              </w:rPr>
            </w:pPr>
            <w:r>
              <w:rPr>
                <w:rFonts w:asciiTheme="majorHAnsi" w:hAnsiTheme="majorHAnsi" w:cs="Arial"/>
              </w:rPr>
              <w:t>15.7%</w:t>
            </w:r>
          </w:p>
        </w:tc>
        <w:tc>
          <w:tcPr>
            <w:tcW w:w="2572" w:type="dxa"/>
            <w:shd w:val="clear" w:color="auto" w:fill="FFC000"/>
          </w:tcPr>
          <w:p w:rsidR="00C506A4" w:rsidRPr="005F7B18" w:rsidRDefault="005300E5" w:rsidP="006C61C4">
            <w:pPr>
              <w:spacing w:before="0" w:after="0"/>
              <w:contextualSpacing/>
              <w:rPr>
                <w:rFonts w:asciiTheme="majorHAnsi" w:hAnsiTheme="majorHAnsi" w:cs="Arial"/>
              </w:rPr>
            </w:pPr>
            <w:r>
              <w:rPr>
                <w:rFonts w:asciiTheme="majorHAnsi" w:hAnsiTheme="majorHAnsi" w:cs="Arial"/>
              </w:rPr>
              <w:t>23.6%</w:t>
            </w:r>
          </w:p>
        </w:tc>
      </w:tr>
    </w:tbl>
    <w:p w:rsidR="00C506A4" w:rsidRDefault="006D1000" w:rsidP="006D1000">
      <w:pPr>
        <w:rPr>
          <w:rFonts w:asciiTheme="majorHAnsi" w:hAnsiTheme="majorHAnsi" w:cs="Arial"/>
        </w:rPr>
      </w:pPr>
      <w:bookmarkStart w:id="2" w:name="SpendingPowerQuotes"/>
      <w:r>
        <w:rPr>
          <w:rFonts w:asciiTheme="majorHAnsi" w:hAnsiTheme="majorHAnsi" w:cs="Arial"/>
          <w:u w:val="single"/>
        </w:rPr>
        <w:t>Quotes</w:t>
      </w:r>
    </w:p>
    <w:bookmarkEnd w:id="2"/>
    <w:p w:rsidR="0071477B" w:rsidRDefault="0071477B" w:rsidP="0071477B">
      <w:pPr>
        <w:pStyle w:val="ListParagraph"/>
        <w:numPr>
          <w:ilvl w:val="0"/>
          <w:numId w:val="33"/>
        </w:numPr>
        <w:rPr>
          <w:rFonts w:asciiTheme="majorHAnsi" w:hAnsiTheme="majorHAnsi" w:cs="Arial"/>
        </w:rPr>
      </w:pPr>
      <w:r>
        <w:rPr>
          <w:rFonts w:asciiTheme="majorHAnsi" w:hAnsiTheme="majorHAnsi" w:cs="Arial"/>
        </w:rPr>
        <w:t>Paul Buckle, Nestlé CEO</w:t>
      </w:r>
    </w:p>
    <w:p w:rsidR="0071477B" w:rsidRDefault="0071477B" w:rsidP="0071477B">
      <w:pPr>
        <w:pStyle w:val="ListParagraph"/>
        <w:numPr>
          <w:ilvl w:val="1"/>
          <w:numId w:val="33"/>
        </w:numPr>
        <w:rPr>
          <w:rFonts w:asciiTheme="majorHAnsi" w:hAnsiTheme="majorHAnsi" w:cs="Arial"/>
        </w:rPr>
      </w:pPr>
      <w:r>
        <w:rPr>
          <w:rFonts w:asciiTheme="majorHAnsi" w:hAnsiTheme="majorHAnsi" w:cs="Arial"/>
        </w:rPr>
        <w:t>“Consumer goods industries have a huge and rapidly increasing opportunity to provide ageing consumers with the appropriate goods and services that serve their needs and expectations”</w:t>
      </w:r>
      <w:r>
        <w:rPr>
          <w:rStyle w:val="EndnoteReference"/>
          <w:rFonts w:cs="Arial"/>
        </w:rPr>
        <w:endnoteReference w:id="13"/>
      </w:r>
    </w:p>
    <w:p w:rsidR="0071477B" w:rsidRDefault="0071477B" w:rsidP="0071477B">
      <w:pPr>
        <w:pStyle w:val="ListParagraph"/>
        <w:numPr>
          <w:ilvl w:val="0"/>
          <w:numId w:val="33"/>
        </w:numPr>
        <w:rPr>
          <w:rFonts w:asciiTheme="majorHAnsi" w:hAnsiTheme="majorHAnsi" w:cs="Arial"/>
        </w:rPr>
      </w:pPr>
      <w:r>
        <w:rPr>
          <w:rFonts w:asciiTheme="majorHAnsi" w:hAnsiTheme="majorHAnsi" w:cs="Arial"/>
        </w:rPr>
        <w:t xml:space="preserve">Dr Harry R Moody, Director of Academic Affairs for </w:t>
      </w:r>
      <w:r w:rsidR="005A2418">
        <w:rPr>
          <w:rFonts w:asciiTheme="majorHAnsi" w:hAnsiTheme="majorHAnsi" w:cs="Arial"/>
        </w:rPr>
        <w:t>AARP:</w:t>
      </w:r>
    </w:p>
    <w:p w:rsidR="005A2418" w:rsidRDefault="005A2418" w:rsidP="005A2418">
      <w:pPr>
        <w:pStyle w:val="ListParagraph"/>
        <w:numPr>
          <w:ilvl w:val="1"/>
          <w:numId w:val="33"/>
        </w:numPr>
        <w:rPr>
          <w:rFonts w:asciiTheme="majorHAnsi" w:hAnsiTheme="majorHAnsi" w:cs="Arial"/>
        </w:rPr>
      </w:pPr>
      <w:r>
        <w:rPr>
          <w:rFonts w:asciiTheme="majorHAnsi" w:hAnsiTheme="majorHAnsi" w:cs="Arial"/>
        </w:rPr>
        <w:t>“We need creative responses to the coming of an ageing society, yet we behave as if we were driving by looking through a rear-view mirror. We mainly see problems, when the opportunities are where we need to be looking. It is the business sector, above all, that can lead the way to a focus on opportunities”</w:t>
      </w:r>
      <w:r>
        <w:rPr>
          <w:rStyle w:val="EndnoteReference"/>
          <w:rFonts w:cs="Arial"/>
        </w:rPr>
        <w:endnoteReference w:id="14"/>
      </w:r>
    </w:p>
    <w:p w:rsidR="006E17AD" w:rsidRDefault="006E17AD" w:rsidP="006E17AD">
      <w:pPr>
        <w:pStyle w:val="ListParagraph"/>
        <w:numPr>
          <w:ilvl w:val="0"/>
          <w:numId w:val="33"/>
        </w:numPr>
        <w:rPr>
          <w:rFonts w:asciiTheme="majorHAnsi" w:hAnsiTheme="majorHAnsi" w:cs="Arial"/>
        </w:rPr>
      </w:pPr>
      <w:r>
        <w:rPr>
          <w:rFonts w:asciiTheme="majorHAnsi" w:hAnsiTheme="majorHAnsi" w:cs="Arial"/>
        </w:rPr>
        <w:t>Sean Seitzinger, analyst formerly with SymphonyIRI:</w:t>
      </w:r>
    </w:p>
    <w:p w:rsidR="006E17AD" w:rsidRDefault="006E17AD" w:rsidP="006E17AD">
      <w:pPr>
        <w:pStyle w:val="ListParagraph"/>
        <w:numPr>
          <w:ilvl w:val="1"/>
          <w:numId w:val="33"/>
        </w:numPr>
        <w:rPr>
          <w:rFonts w:asciiTheme="majorHAnsi" w:hAnsiTheme="majorHAnsi" w:cs="Arial"/>
        </w:rPr>
      </w:pPr>
      <w:r>
        <w:rPr>
          <w:rFonts w:asciiTheme="majorHAnsi" w:hAnsiTheme="majorHAnsi" w:cs="Arial"/>
        </w:rPr>
        <w:t>“As a generation, they’re large enough that they expect to be served uniquely as they a</w:t>
      </w:r>
      <w:r w:rsidR="00F60247">
        <w:rPr>
          <w:rFonts w:asciiTheme="majorHAnsi" w:hAnsiTheme="majorHAnsi" w:cs="Arial"/>
        </w:rPr>
        <w:t>ge…that’s very different from the generations before them”</w:t>
      </w:r>
      <w:r w:rsidR="00F60247">
        <w:rPr>
          <w:rStyle w:val="EndnoteReference"/>
          <w:rFonts w:cs="Arial"/>
        </w:rPr>
        <w:endnoteReference w:id="15"/>
      </w:r>
    </w:p>
    <w:p w:rsidR="00470587" w:rsidRDefault="00470587" w:rsidP="00F60247">
      <w:pPr>
        <w:pStyle w:val="ListParagraph"/>
        <w:numPr>
          <w:ilvl w:val="0"/>
          <w:numId w:val="33"/>
        </w:numPr>
        <w:rPr>
          <w:rFonts w:asciiTheme="majorHAnsi" w:hAnsiTheme="majorHAnsi" w:cs="Arial"/>
        </w:rPr>
      </w:pPr>
      <w:r>
        <w:rPr>
          <w:rFonts w:asciiTheme="majorHAnsi" w:hAnsiTheme="majorHAnsi" w:cs="Arial"/>
        </w:rPr>
        <w:t>Matthew Boyle, reporter for Bloomberg:</w:t>
      </w:r>
    </w:p>
    <w:p w:rsidR="00470587" w:rsidRDefault="00470587" w:rsidP="00470587">
      <w:pPr>
        <w:pStyle w:val="ListParagraph"/>
        <w:numPr>
          <w:ilvl w:val="1"/>
          <w:numId w:val="33"/>
        </w:numPr>
        <w:rPr>
          <w:rFonts w:asciiTheme="majorHAnsi" w:hAnsiTheme="majorHAnsi" w:cs="Arial"/>
        </w:rPr>
      </w:pPr>
      <w:r>
        <w:rPr>
          <w:rFonts w:asciiTheme="majorHAnsi" w:hAnsiTheme="majorHAnsi" w:cs="Arial"/>
        </w:rPr>
        <w:t>“</w:t>
      </w:r>
      <w:r w:rsidRPr="00470587">
        <w:rPr>
          <w:rFonts w:asciiTheme="majorHAnsi" w:hAnsiTheme="majorHAnsi" w:cs="Arial"/>
        </w:rPr>
        <w:t>Nobody aspires to own adult diapers. Boomers don’t want to just spend money on the things they need; they have the dollars and the desire to splurge on the things they truly want.</w:t>
      </w:r>
      <w:r>
        <w:rPr>
          <w:rFonts w:asciiTheme="majorHAnsi" w:hAnsiTheme="majorHAnsi" w:cs="Arial"/>
        </w:rPr>
        <w:t>”</w:t>
      </w:r>
      <w:r>
        <w:rPr>
          <w:rStyle w:val="EndnoteReference"/>
          <w:rFonts w:cs="Arial"/>
        </w:rPr>
        <w:endnoteReference w:id="16"/>
      </w:r>
    </w:p>
    <w:p w:rsidR="00F60247" w:rsidRDefault="003C2EFA" w:rsidP="00F60247">
      <w:pPr>
        <w:pStyle w:val="ListParagraph"/>
        <w:numPr>
          <w:ilvl w:val="0"/>
          <w:numId w:val="33"/>
        </w:numPr>
        <w:rPr>
          <w:rFonts w:asciiTheme="majorHAnsi" w:hAnsiTheme="majorHAnsi" w:cs="Arial"/>
        </w:rPr>
      </w:pPr>
      <w:r>
        <w:rPr>
          <w:rFonts w:asciiTheme="majorHAnsi" w:hAnsiTheme="majorHAnsi" w:cs="Arial"/>
        </w:rPr>
        <w:t>University of Cincinnati:</w:t>
      </w:r>
    </w:p>
    <w:p w:rsidR="003C2EFA" w:rsidRDefault="003C2EFA" w:rsidP="003C2EFA">
      <w:pPr>
        <w:pStyle w:val="ListParagraph"/>
        <w:numPr>
          <w:ilvl w:val="1"/>
          <w:numId w:val="33"/>
        </w:numPr>
        <w:rPr>
          <w:rFonts w:asciiTheme="majorHAnsi" w:hAnsiTheme="majorHAnsi" w:cs="Arial"/>
        </w:rPr>
      </w:pPr>
      <w:r>
        <w:rPr>
          <w:rFonts w:asciiTheme="majorHAnsi" w:hAnsiTheme="majorHAnsi" w:cs="Arial"/>
        </w:rPr>
        <w:t>“The world has never before seen such a powerful market”</w:t>
      </w:r>
      <w:r>
        <w:rPr>
          <w:rStyle w:val="EndnoteReference"/>
          <w:rFonts w:cs="Arial"/>
        </w:rPr>
        <w:endnoteReference w:id="17"/>
      </w:r>
    </w:p>
    <w:p w:rsidR="00454165" w:rsidRDefault="00454165">
      <w:pPr>
        <w:spacing w:before="0" w:after="0"/>
        <w:rPr>
          <w:rFonts w:asciiTheme="majorHAnsi" w:hAnsiTheme="majorHAnsi" w:cs="Arial"/>
        </w:rPr>
      </w:pPr>
      <w:r>
        <w:rPr>
          <w:rFonts w:asciiTheme="majorHAnsi" w:hAnsiTheme="majorHAnsi" w:cs="Arial"/>
        </w:rPr>
        <w:br w:type="page"/>
      </w:r>
    </w:p>
    <w:p w:rsidR="00113BC3" w:rsidRDefault="00113BC3" w:rsidP="00113BC3">
      <w:pPr>
        <w:rPr>
          <w:rFonts w:asciiTheme="majorHAnsi" w:hAnsiTheme="majorHAnsi" w:cs="Arial"/>
        </w:rPr>
      </w:pPr>
      <w:r>
        <w:rPr>
          <w:rFonts w:asciiTheme="majorHAnsi" w:hAnsiTheme="majorHAnsi" w:cs="Arial"/>
          <w:b/>
          <w:sz w:val="28"/>
        </w:rPr>
        <w:lastRenderedPageBreak/>
        <w:t xml:space="preserve">2. </w:t>
      </w:r>
      <w:bookmarkStart w:id="3" w:name="SpendingPatterns"/>
      <w:r>
        <w:rPr>
          <w:rFonts w:asciiTheme="majorHAnsi" w:hAnsiTheme="majorHAnsi" w:cs="Arial"/>
          <w:b/>
          <w:sz w:val="28"/>
        </w:rPr>
        <w:t>The Spending Patterns of Older Consumers</w:t>
      </w:r>
      <w:bookmarkEnd w:id="3"/>
    </w:p>
    <w:p w:rsidR="00113BC3" w:rsidRDefault="00430EC2" w:rsidP="00113BC3">
      <w:pPr>
        <w:rPr>
          <w:rFonts w:asciiTheme="majorHAnsi" w:hAnsiTheme="majorHAnsi" w:cs="Arial"/>
        </w:rPr>
      </w:pPr>
      <w:r>
        <w:rPr>
          <w:rFonts w:asciiTheme="majorHAnsi" w:hAnsiTheme="majorHAnsi" w:cs="Arial"/>
          <w:u w:val="single"/>
        </w:rPr>
        <w:t>Facts</w:t>
      </w:r>
      <w:r w:rsidR="00772979">
        <w:rPr>
          <w:rFonts w:asciiTheme="majorHAnsi" w:hAnsiTheme="majorHAnsi" w:cs="Arial"/>
          <w:u w:val="single"/>
        </w:rPr>
        <w:t xml:space="preserve"> and Stats</w:t>
      </w:r>
    </w:p>
    <w:p w:rsidR="00430EC2" w:rsidRDefault="00430EC2" w:rsidP="00430EC2">
      <w:pPr>
        <w:pStyle w:val="ListParagraph"/>
        <w:numPr>
          <w:ilvl w:val="0"/>
          <w:numId w:val="35"/>
        </w:numPr>
        <w:rPr>
          <w:rFonts w:asciiTheme="majorHAnsi" w:hAnsiTheme="majorHAnsi" w:cs="Arial"/>
        </w:rPr>
      </w:pPr>
      <w:r>
        <w:rPr>
          <w:rFonts w:asciiTheme="majorHAnsi" w:hAnsiTheme="majorHAnsi" w:cs="Arial"/>
        </w:rPr>
        <w:t xml:space="preserve">Older consumers </w:t>
      </w:r>
      <w:r w:rsidR="009D6C91">
        <w:rPr>
          <w:rFonts w:asciiTheme="majorHAnsi" w:hAnsiTheme="majorHAnsi" w:cs="Arial"/>
        </w:rPr>
        <w:t>are spending more on themselves, instead of saving it up:</w:t>
      </w:r>
    </w:p>
    <w:p w:rsidR="009D6C91" w:rsidRPr="00C4466D" w:rsidRDefault="009D6C91" w:rsidP="009D6C91">
      <w:pPr>
        <w:pStyle w:val="ListParagraph"/>
        <w:numPr>
          <w:ilvl w:val="1"/>
          <w:numId w:val="35"/>
        </w:numPr>
        <w:rPr>
          <w:rFonts w:asciiTheme="majorHAnsi" w:hAnsiTheme="majorHAnsi" w:cs="Arial"/>
          <w:color w:val="C00000"/>
        </w:rPr>
      </w:pPr>
      <w:r w:rsidRPr="00C4466D">
        <w:rPr>
          <w:rFonts w:asciiTheme="majorHAnsi" w:hAnsiTheme="majorHAnsi" w:cs="Arial"/>
          <w:color w:val="C00000"/>
        </w:rPr>
        <w:t>They are SKI-ing: Spending Kids’ Inheritance.</w:t>
      </w:r>
      <w:r w:rsidR="00772979" w:rsidRPr="00C4466D">
        <w:rPr>
          <w:rFonts w:asciiTheme="majorHAnsi" w:hAnsiTheme="majorHAnsi" w:cs="Arial"/>
          <w:color w:val="C00000"/>
        </w:rPr>
        <w:t xml:space="preserve"> 14% of Australians intend to spend all of their superannuation on themselves.</w:t>
      </w:r>
      <w:r w:rsidRPr="00C4466D">
        <w:rPr>
          <w:rStyle w:val="EndnoteReference"/>
          <w:rFonts w:cs="Arial"/>
          <w:color w:val="C00000"/>
        </w:rPr>
        <w:endnoteReference w:id="18"/>
      </w:r>
    </w:p>
    <w:p w:rsidR="009D6C91" w:rsidRDefault="00772979" w:rsidP="009D6C91">
      <w:pPr>
        <w:pStyle w:val="ListParagraph"/>
        <w:numPr>
          <w:ilvl w:val="1"/>
          <w:numId w:val="35"/>
        </w:numPr>
        <w:rPr>
          <w:rFonts w:asciiTheme="majorHAnsi" w:hAnsiTheme="majorHAnsi" w:cs="Arial"/>
        </w:rPr>
      </w:pPr>
      <w:r>
        <w:rPr>
          <w:rFonts w:asciiTheme="majorHAnsi" w:hAnsiTheme="majorHAnsi" w:cs="Arial"/>
        </w:rPr>
        <w:t>This has been tied to the increasing pursuit of active lifestyles in ageing.</w:t>
      </w:r>
      <w:r>
        <w:rPr>
          <w:rStyle w:val="EndnoteReference"/>
          <w:rFonts w:cs="Arial"/>
        </w:rPr>
        <w:endnoteReference w:id="19"/>
      </w:r>
    </w:p>
    <w:p w:rsidR="00C404CD" w:rsidRPr="00C4466D" w:rsidRDefault="00FE2041" w:rsidP="009D6C91">
      <w:pPr>
        <w:pStyle w:val="ListParagraph"/>
        <w:numPr>
          <w:ilvl w:val="1"/>
          <w:numId w:val="35"/>
        </w:numPr>
        <w:rPr>
          <w:rFonts w:asciiTheme="majorHAnsi" w:hAnsiTheme="majorHAnsi" w:cs="Arial"/>
          <w:color w:val="0070C0"/>
        </w:rPr>
      </w:pPr>
      <w:r w:rsidRPr="00C4466D">
        <w:rPr>
          <w:rFonts w:asciiTheme="majorHAnsi" w:hAnsiTheme="majorHAnsi" w:cs="Arial"/>
          <w:color w:val="0070C0"/>
        </w:rPr>
        <w:t>Their increased spending may also be because over 1/3 in the US plan to downsize housing once they become ‘empty nesters’ (SymphonyIRI research).</w:t>
      </w:r>
      <w:r w:rsidRPr="00C4466D">
        <w:rPr>
          <w:rStyle w:val="EndnoteReference"/>
          <w:rFonts w:cs="Arial"/>
          <w:color w:val="0070C0"/>
        </w:rPr>
        <w:endnoteReference w:id="20"/>
      </w:r>
    </w:p>
    <w:p w:rsidR="00772979" w:rsidRDefault="00772979" w:rsidP="00772979">
      <w:pPr>
        <w:pStyle w:val="ListParagraph"/>
        <w:numPr>
          <w:ilvl w:val="0"/>
          <w:numId w:val="35"/>
        </w:numPr>
        <w:rPr>
          <w:rFonts w:asciiTheme="majorHAnsi" w:hAnsiTheme="majorHAnsi" w:cs="Arial"/>
        </w:rPr>
      </w:pPr>
      <w:r>
        <w:rPr>
          <w:rFonts w:asciiTheme="majorHAnsi" w:hAnsiTheme="majorHAnsi" w:cs="Arial"/>
        </w:rPr>
        <w:t xml:space="preserve">A large portion of their expenditure </w:t>
      </w:r>
      <w:r w:rsidR="0018471A">
        <w:rPr>
          <w:rFonts w:asciiTheme="majorHAnsi" w:hAnsiTheme="majorHAnsi" w:cs="Arial"/>
        </w:rPr>
        <w:t xml:space="preserve">(global trend) </w:t>
      </w:r>
      <w:r w:rsidR="00A43550">
        <w:rPr>
          <w:rFonts w:asciiTheme="majorHAnsi" w:hAnsiTheme="majorHAnsi" w:cs="Arial"/>
        </w:rPr>
        <w:t xml:space="preserve">is towards </w:t>
      </w:r>
      <w:r w:rsidR="00A43550" w:rsidRPr="005D3200">
        <w:rPr>
          <w:rFonts w:asciiTheme="majorHAnsi" w:hAnsiTheme="majorHAnsi" w:cs="Arial"/>
          <w:b/>
        </w:rPr>
        <w:t>recreation, culture and travel</w:t>
      </w:r>
      <w:r w:rsidR="00A43550">
        <w:rPr>
          <w:rFonts w:asciiTheme="majorHAnsi" w:hAnsiTheme="majorHAnsi" w:cs="Arial"/>
        </w:rPr>
        <w:t>:</w:t>
      </w:r>
      <w:r w:rsidR="0018471A">
        <w:rPr>
          <w:rStyle w:val="EndnoteReference"/>
          <w:rFonts w:cs="Arial"/>
        </w:rPr>
        <w:endnoteReference w:id="21"/>
      </w:r>
    </w:p>
    <w:p w:rsidR="00945343" w:rsidRPr="00C4466D" w:rsidRDefault="00945343" w:rsidP="00945343">
      <w:pPr>
        <w:pStyle w:val="ListParagraph"/>
        <w:numPr>
          <w:ilvl w:val="1"/>
          <w:numId w:val="35"/>
        </w:numPr>
        <w:rPr>
          <w:rFonts w:asciiTheme="majorHAnsi" w:hAnsiTheme="majorHAnsi" w:cs="Arial"/>
          <w:color w:val="C00000"/>
        </w:rPr>
      </w:pPr>
      <w:r w:rsidRPr="00C4466D">
        <w:rPr>
          <w:rFonts w:asciiTheme="majorHAnsi" w:hAnsiTheme="majorHAnsi" w:cs="Arial"/>
          <w:color w:val="C00000"/>
        </w:rPr>
        <w:t>In Australia, 56% have purchased travel online, 37% books/ebooks online and 36% computer hardware and software online.</w:t>
      </w:r>
      <w:r w:rsidRPr="00C4466D">
        <w:rPr>
          <w:rStyle w:val="EndnoteReference"/>
          <w:rFonts w:cs="Arial"/>
          <w:color w:val="C00000"/>
        </w:rPr>
        <w:endnoteReference w:id="22"/>
      </w:r>
    </w:p>
    <w:p w:rsidR="003A2C9B" w:rsidRPr="00C4466D" w:rsidRDefault="003A2C9B" w:rsidP="003A2C9B">
      <w:pPr>
        <w:pStyle w:val="ListParagraph"/>
        <w:numPr>
          <w:ilvl w:val="1"/>
          <w:numId w:val="35"/>
        </w:numPr>
        <w:rPr>
          <w:rFonts w:asciiTheme="majorHAnsi" w:hAnsiTheme="majorHAnsi" w:cs="Arial"/>
          <w:color w:val="0070C0"/>
        </w:rPr>
      </w:pPr>
      <w:r w:rsidRPr="00C4466D">
        <w:rPr>
          <w:rFonts w:asciiTheme="majorHAnsi" w:hAnsiTheme="majorHAnsi" w:cs="Arial"/>
          <w:color w:val="0070C0"/>
        </w:rPr>
        <w:t xml:space="preserve">In the UK, </w:t>
      </w:r>
      <w:r w:rsidRPr="00C4466D">
        <w:rPr>
          <w:rFonts w:asciiTheme="majorHAnsi" w:hAnsiTheme="majorHAnsi"/>
          <w:color w:val="0070C0"/>
        </w:rPr>
        <w:t>50-75 year olds are spending over 20% of their weekly expenditure on recreation, culture, restaurants and hotels.</w:t>
      </w:r>
    </w:p>
    <w:p w:rsidR="003A2C9B" w:rsidRPr="00C4466D" w:rsidRDefault="003A2C9B" w:rsidP="003A2C9B">
      <w:pPr>
        <w:pStyle w:val="ListParagraph"/>
        <w:numPr>
          <w:ilvl w:val="2"/>
          <w:numId w:val="35"/>
        </w:numPr>
        <w:rPr>
          <w:rFonts w:asciiTheme="majorHAnsi" w:hAnsiTheme="majorHAnsi" w:cs="Arial"/>
          <w:color w:val="0070C0"/>
        </w:rPr>
      </w:pPr>
      <w:r w:rsidRPr="00C4466D">
        <w:rPr>
          <w:rFonts w:asciiTheme="majorHAnsi" w:hAnsiTheme="majorHAnsi"/>
          <w:color w:val="0070C0"/>
        </w:rPr>
        <w:t>That is 5% higher than fuel, power and essential household goods and services combined.</w:t>
      </w:r>
      <w:r w:rsidRPr="00C4466D">
        <w:rPr>
          <w:rStyle w:val="EndnoteReference"/>
          <w:color w:val="0070C0"/>
        </w:rPr>
        <w:endnoteReference w:id="23"/>
      </w:r>
    </w:p>
    <w:p w:rsidR="002F1899" w:rsidRDefault="002F1899" w:rsidP="002F1899">
      <w:pPr>
        <w:pStyle w:val="ListParagraph"/>
        <w:numPr>
          <w:ilvl w:val="1"/>
          <w:numId w:val="35"/>
        </w:numPr>
        <w:rPr>
          <w:rFonts w:asciiTheme="majorHAnsi" w:hAnsiTheme="majorHAnsi" w:cs="Arial"/>
        </w:rPr>
      </w:pPr>
      <w:r>
        <w:rPr>
          <w:rFonts w:asciiTheme="majorHAnsi" w:hAnsiTheme="majorHAnsi" w:cs="Arial"/>
        </w:rPr>
        <w:t>Travel:</w:t>
      </w:r>
    </w:p>
    <w:p w:rsidR="00A43550" w:rsidRPr="00C4466D" w:rsidRDefault="00A43550" w:rsidP="002F1899">
      <w:pPr>
        <w:pStyle w:val="ListParagraph"/>
        <w:numPr>
          <w:ilvl w:val="2"/>
          <w:numId w:val="35"/>
        </w:numPr>
        <w:rPr>
          <w:rFonts w:asciiTheme="majorHAnsi" w:hAnsiTheme="majorHAnsi" w:cs="Arial"/>
          <w:color w:val="C00000"/>
        </w:rPr>
      </w:pPr>
      <w:r w:rsidRPr="00C4466D">
        <w:rPr>
          <w:rFonts w:asciiTheme="majorHAnsi" w:hAnsiTheme="majorHAnsi" w:cs="Arial"/>
          <w:color w:val="C00000"/>
        </w:rPr>
        <w:t xml:space="preserve">In Australia, 61% have travelled domestically and 32% internationally within the </w:t>
      </w:r>
      <w:r w:rsidR="0018471A" w:rsidRPr="00C4466D">
        <w:rPr>
          <w:rFonts w:asciiTheme="majorHAnsi" w:hAnsiTheme="majorHAnsi" w:cs="Arial"/>
          <w:color w:val="C00000"/>
        </w:rPr>
        <w:t>last 12 months.</w:t>
      </w:r>
      <w:r w:rsidR="0018471A" w:rsidRPr="00C4466D">
        <w:rPr>
          <w:rStyle w:val="EndnoteReference"/>
          <w:rFonts w:cs="Arial"/>
          <w:color w:val="C00000"/>
        </w:rPr>
        <w:endnoteReference w:id="24"/>
      </w:r>
    </w:p>
    <w:p w:rsidR="0018471A" w:rsidRPr="00C4466D" w:rsidRDefault="003A2C9B" w:rsidP="002F1899">
      <w:pPr>
        <w:pStyle w:val="ListParagraph"/>
        <w:numPr>
          <w:ilvl w:val="2"/>
          <w:numId w:val="35"/>
        </w:numPr>
        <w:rPr>
          <w:rFonts w:asciiTheme="majorHAnsi" w:hAnsiTheme="majorHAnsi" w:cs="Arial"/>
          <w:color w:val="0070C0"/>
        </w:rPr>
      </w:pPr>
      <w:r w:rsidRPr="00C4466D">
        <w:rPr>
          <w:rFonts w:asciiTheme="majorHAnsi" w:hAnsiTheme="majorHAnsi" w:cs="Arial"/>
          <w:color w:val="0070C0"/>
        </w:rPr>
        <w:t>In the UK:</w:t>
      </w:r>
      <w:r w:rsidR="00E42841" w:rsidRPr="00C4466D">
        <w:rPr>
          <w:rStyle w:val="EndnoteReference"/>
          <w:rFonts w:cs="Arial"/>
          <w:color w:val="0070C0"/>
        </w:rPr>
        <w:t xml:space="preserve"> </w:t>
      </w:r>
      <w:r w:rsidR="00E42841" w:rsidRPr="00C4466D">
        <w:rPr>
          <w:rStyle w:val="EndnoteReference"/>
          <w:rFonts w:cs="Arial"/>
          <w:color w:val="0070C0"/>
        </w:rPr>
        <w:endnoteReference w:id="25"/>
      </w:r>
    </w:p>
    <w:p w:rsidR="003A2C9B" w:rsidRPr="00C4466D" w:rsidRDefault="003A2C9B" w:rsidP="003A2C9B">
      <w:pPr>
        <w:pStyle w:val="ListParagraph"/>
        <w:numPr>
          <w:ilvl w:val="3"/>
          <w:numId w:val="35"/>
        </w:numPr>
        <w:rPr>
          <w:rFonts w:asciiTheme="majorHAnsi" w:hAnsiTheme="majorHAnsi" w:cs="Arial"/>
          <w:color w:val="0070C0"/>
        </w:rPr>
      </w:pPr>
      <w:r w:rsidRPr="00C4466D">
        <w:rPr>
          <w:rFonts w:asciiTheme="majorHAnsi" w:hAnsiTheme="majorHAnsi" w:cs="Arial"/>
          <w:color w:val="0070C0"/>
        </w:rPr>
        <w:t>Over 50s made up almost 30% of travel expenditure in 2010-2011</w:t>
      </w:r>
      <w:r w:rsidR="006C79EA" w:rsidRPr="00C4466D">
        <w:rPr>
          <w:rFonts w:asciiTheme="majorHAnsi" w:hAnsiTheme="majorHAnsi" w:cs="Arial"/>
          <w:color w:val="0070C0"/>
        </w:rPr>
        <w:t>.</w:t>
      </w:r>
    </w:p>
    <w:p w:rsidR="006C79EA" w:rsidRPr="00C4466D" w:rsidRDefault="006C79EA" w:rsidP="003A2C9B">
      <w:pPr>
        <w:pStyle w:val="ListParagraph"/>
        <w:numPr>
          <w:ilvl w:val="3"/>
          <w:numId w:val="35"/>
        </w:numPr>
        <w:rPr>
          <w:rFonts w:asciiTheme="majorHAnsi" w:hAnsiTheme="majorHAnsi" w:cs="Arial"/>
          <w:color w:val="0070C0"/>
        </w:rPr>
      </w:pPr>
      <w:r w:rsidRPr="00C4466D">
        <w:rPr>
          <w:rFonts w:asciiTheme="majorHAnsi" w:hAnsiTheme="majorHAnsi" w:cs="Arial"/>
          <w:color w:val="0070C0"/>
        </w:rPr>
        <w:t>By 2011, those 65+ were spending £1.3 billion more on foreign travel than they were in 1999</w:t>
      </w:r>
      <w:r w:rsidR="00427C7F" w:rsidRPr="00C4466D">
        <w:rPr>
          <w:rFonts w:asciiTheme="majorHAnsi" w:hAnsiTheme="majorHAnsi" w:cs="Arial"/>
          <w:color w:val="0070C0"/>
        </w:rPr>
        <w:t xml:space="preserve"> (figures are adjusted for inflation)</w:t>
      </w:r>
    </w:p>
    <w:p w:rsidR="006C79EA" w:rsidRPr="00C4466D" w:rsidRDefault="006C79EA" w:rsidP="003A2C9B">
      <w:pPr>
        <w:pStyle w:val="ListParagraph"/>
        <w:numPr>
          <w:ilvl w:val="3"/>
          <w:numId w:val="35"/>
        </w:numPr>
        <w:rPr>
          <w:rFonts w:asciiTheme="majorHAnsi" w:hAnsiTheme="majorHAnsi" w:cs="Arial"/>
          <w:color w:val="0070C0"/>
        </w:rPr>
      </w:pPr>
      <w:r w:rsidRPr="00C4466D">
        <w:rPr>
          <w:rFonts w:asciiTheme="majorHAnsi" w:hAnsiTheme="majorHAnsi" w:cs="Arial"/>
          <w:color w:val="0070C0"/>
        </w:rPr>
        <w:t>Across 1999-2011, the number of over 55s travelling steadily increased, whereas in other age groups</w:t>
      </w:r>
      <w:r w:rsidR="00E42841" w:rsidRPr="00C4466D">
        <w:rPr>
          <w:rFonts w:asciiTheme="majorHAnsi" w:hAnsiTheme="majorHAnsi" w:cs="Arial"/>
          <w:color w:val="0070C0"/>
        </w:rPr>
        <w:t xml:space="preserve"> the proportion remained flat or shrank.</w:t>
      </w:r>
    </w:p>
    <w:p w:rsidR="0033452D" w:rsidRDefault="008D3EDC" w:rsidP="0033452D">
      <w:pPr>
        <w:pStyle w:val="ListParagraph"/>
        <w:numPr>
          <w:ilvl w:val="1"/>
          <w:numId w:val="35"/>
        </w:numPr>
        <w:rPr>
          <w:rFonts w:asciiTheme="majorHAnsi" w:hAnsiTheme="majorHAnsi" w:cs="Arial"/>
        </w:rPr>
      </w:pPr>
      <w:r>
        <w:rPr>
          <w:rFonts w:asciiTheme="majorHAnsi" w:hAnsiTheme="majorHAnsi" w:cs="Arial"/>
        </w:rPr>
        <w:t>Food:</w:t>
      </w:r>
    </w:p>
    <w:p w:rsidR="005C13AE" w:rsidRDefault="005C13AE" w:rsidP="005C13AE">
      <w:pPr>
        <w:pStyle w:val="ListParagraph"/>
        <w:numPr>
          <w:ilvl w:val="2"/>
          <w:numId w:val="35"/>
        </w:numPr>
        <w:rPr>
          <w:rFonts w:asciiTheme="majorHAnsi" w:hAnsiTheme="majorHAnsi" w:cs="Arial"/>
        </w:rPr>
      </w:pPr>
      <w:r>
        <w:rPr>
          <w:rFonts w:asciiTheme="majorHAnsi" w:hAnsiTheme="majorHAnsi" w:cs="Arial"/>
        </w:rPr>
        <w:t>Generally, they spend more on food and beverages than those under 60.</w:t>
      </w:r>
      <w:r>
        <w:rPr>
          <w:rStyle w:val="EndnoteReference"/>
          <w:rFonts w:cs="Arial"/>
        </w:rPr>
        <w:endnoteReference w:id="26"/>
      </w:r>
    </w:p>
    <w:p w:rsidR="008D3EDC" w:rsidRPr="00C4466D" w:rsidRDefault="008D3EDC" w:rsidP="008D3EDC">
      <w:pPr>
        <w:pStyle w:val="ListParagraph"/>
        <w:numPr>
          <w:ilvl w:val="2"/>
          <w:numId w:val="35"/>
        </w:numPr>
        <w:rPr>
          <w:rFonts w:asciiTheme="majorHAnsi" w:hAnsiTheme="majorHAnsi" w:cs="Arial"/>
          <w:color w:val="0070C0"/>
        </w:rPr>
      </w:pPr>
      <w:r w:rsidRPr="00C4466D">
        <w:rPr>
          <w:rFonts w:asciiTheme="majorHAnsi" w:hAnsiTheme="majorHAnsi" w:cs="Arial"/>
          <w:color w:val="0070C0"/>
        </w:rPr>
        <w:t>In the UK:</w:t>
      </w:r>
      <w:r w:rsidRPr="00C4466D">
        <w:rPr>
          <w:rStyle w:val="EndnoteReference"/>
          <w:rFonts w:cs="Arial"/>
          <w:color w:val="0070C0"/>
        </w:rPr>
        <w:endnoteReference w:id="27"/>
      </w:r>
    </w:p>
    <w:p w:rsidR="008D3EDC" w:rsidRPr="00C4466D" w:rsidRDefault="008A605B" w:rsidP="008D3EDC">
      <w:pPr>
        <w:pStyle w:val="ListParagraph"/>
        <w:numPr>
          <w:ilvl w:val="3"/>
          <w:numId w:val="35"/>
        </w:numPr>
        <w:rPr>
          <w:rFonts w:asciiTheme="majorHAnsi" w:hAnsiTheme="majorHAnsi" w:cs="Arial"/>
          <w:color w:val="0070C0"/>
        </w:rPr>
      </w:pPr>
      <w:r w:rsidRPr="00C4466D">
        <w:rPr>
          <w:rFonts w:asciiTheme="majorHAnsi" w:hAnsiTheme="majorHAnsi" w:cs="Arial"/>
          <w:color w:val="0070C0"/>
        </w:rPr>
        <w:t>The average per capita increase in spending on food eaten at home for the 65-74 group doubled that of the under 30s, and almost tripled that of the 30-49 group. (2000-2010)</w:t>
      </w:r>
    </w:p>
    <w:p w:rsidR="008A605B" w:rsidRPr="00C4466D" w:rsidRDefault="008A605B" w:rsidP="008D3EDC">
      <w:pPr>
        <w:pStyle w:val="ListParagraph"/>
        <w:numPr>
          <w:ilvl w:val="3"/>
          <w:numId w:val="35"/>
        </w:numPr>
        <w:rPr>
          <w:rFonts w:asciiTheme="majorHAnsi" w:hAnsiTheme="majorHAnsi" w:cs="Arial"/>
          <w:color w:val="0070C0"/>
        </w:rPr>
      </w:pPr>
      <w:r w:rsidRPr="00C4466D">
        <w:rPr>
          <w:rFonts w:asciiTheme="majorHAnsi" w:hAnsiTheme="majorHAnsi" w:cs="Arial"/>
          <w:color w:val="0070C0"/>
        </w:rPr>
        <w:t xml:space="preserve">Those over 65 increased their spending on eating out by 30%, compared to </w:t>
      </w:r>
      <w:r w:rsidR="00C8601E" w:rsidRPr="00C4466D">
        <w:rPr>
          <w:rFonts w:asciiTheme="majorHAnsi" w:hAnsiTheme="majorHAnsi" w:cs="Arial"/>
          <w:color w:val="0070C0"/>
        </w:rPr>
        <w:t>minor changes for the 30-64 range (less than 5%), and a huge drop for the under 30s (negative 20%). (2000-2010)</w:t>
      </w:r>
    </w:p>
    <w:p w:rsidR="00C8601E" w:rsidRDefault="00C8601E" w:rsidP="00C8601E">
      <w:pPr>
        <w:pStyle w:val="ListParagraph"/>
        <w:numPr>
          <w:ilvl w:val="1"/>
          <w:numId w:val="35"/>
        </w:numPr>
        <w:rPr>
          <w:rFonts w:asciiTheme="majorHAnsi" w:hAnsiTheme="majorHAnsi" w:cs="Arial"/>
        </w:rPr>
      </w:pPr>
      <w:r>
        <w:rPr>
          <w:rFonts w:asciiTheme="majorHAnsi" w:hAnsiTheme="majorHAnsi" w:cs="Arial"/>
        </w:rPr>
        <w:t>Cars:</w:t>
      </w:r>
    </w:p>
    <w:p w:rsidR="00C8601E" w:rsidRPr="00C4466D" w:rsidRDefault="00791C69" w:rsidP="00C8601E">
      <w:pPr>
        <w:pStyle w:val="ListParagraph"/>
        <w:numPr>
          <w:ilvl w:val="2"/>
          <w:numId w:val="35"/>
        </w:numPr>
        <w:rPr>
          <w:rFonts w:asciiTheme="majorHAnsi" w:hAnsiTheme="majorHAnsi" w:cs="Arial"/>
          <w:color w:val="0070C0"/>
        </w:rPr>
      </w:pPr>
      <w:r w:rsidRPr="00C4466D">
        <w:rPr>
          <w:rFonts w:asciiTheme="majorHAnsi" w:hAnsiTheme="majorHAnsi" w:cs="Arial"/>
          <w:color w:val="0070C0"/>
        </w:rPr>
        <w:t>In the USA, in 2011, those in the 45-54, 55-64 and 65-74 age groups were at least twice as likely in relative terms to buy a car than other age groups.</w:t>
      </w:r>
      <w:r w:rsidRPr="00C4466D">
        <w:rPr>
          <w:rStyle w:val="EndnoteReference"/>
          <w:rFonts w:cs="Arial"/>
          <w:color w:val="0070C0"/>
        </w:rPr>
        <w:endnoteReference w:id="28"/>
      </w:r>
    </w:p>
    <w:p w:rsidR="005D3200" w:rsidRDefault="00E30E23" w:rsidP="005D3200">
      <w:pPr>
        <w:pStyle w:val="ListParagraph"/>
        <w:numPr>
          <w:ilvl w:val="0"/>
          <w:numId w:val="35"/>
        </w:numPr>
        <w:rPr>
          <w:rFonts w:asciiTheme="majorHAnsi" w:hAnsiTheme="majorHAnsi" w:cs="Arial"/>
        </w:rPr>
      </w:pPr>
      <w:r>
        <w:rPr>
          <w:rFonts w:asciiTheme="majorHAnsi" w:hAnsiTheme="majorHAnsi" w:cs="Arial"/>
        </w:rPr>
        <w:t xml:space="preserve">Older consumers </w:t>
      </w:r>
      <w:r w:rsidRPr="00945343">
        <w:rPr>
          <w:rFonts w:asciiTheme="majorHAnsi" w:hAnsiTheme="majorHAnsi" w:cs="Arial"/>
          <w:b/>
        </w:rPr>
        <w:t>shop more frequently</w:t>
      </w:r>
      <w:r>
        <w:rPr>
          <w:rFonts w:asciiTheme="majorHAnsi" w:hAnsiTheme="majorHAnsi" w:cs="Arial"/>
        </w:rPr>
        <w:t>:</w:t>
      </w:r>
    </w:p>
    <w:p w:rsidR="00E30E23" w:rsidRDefault="00FF4820" w:rsidP="00E30E23">
      <w:pPr>
        <w:pStyle w:val="ListParagraph"/>
        <w:numPr>
          <w:ilvl w:val="1"/>
          <w:numId w:val="35"/>
        </w:numPr>
        <w:rPr>
          <w:rFonts w:asciiTheme="majorHAnsi" w:hAnsiTheme="majorHAnsi" w:cs="Arial"/>
        </w:rPr>
      </w:pPr>
      <w:r>
        <w:rPr>
          <w:rFonts w:asciiTheme="majorHAnsi" w:hAnsiTheme="majorHAnsi" w:cs="Arial"/>
        </w:rPr>
        <w:t>Older people enjoy shopping as a social and leisure experience:</w:t>
      </w:r>
      <w:r w:rsidRPr="00FF4820">
        <w:rPr>
          <w:rStyle w:val="EndnoteReference"/>
          <w:rFonts w:cs="Arial"/>
        </w:rPr>
        <w:t xml:space="preserve"> </w:t>
      </w:r>
      <w:r>
        <w:rPr>
          <w:rStyle w:val="EndnoteReference"/>
          <w:rFonts w:cs="Arial"/>
        </w:rPr>
        <w:endnoteReference w:id="29"/>
      </w:r>
    </w:p>
    <w:p w:rsidR="00FF4820" w:rsidRPr="00C4466D" w:rsidRDefault="00FF4820" w:rsidP="00FF4820">
      <w:pPr>
        <w:pStyle w:val="ListParagraph"/>
        <w:numPr>
          <w:ilvl w:val="2"/>
          <w:numId w:val="35"/>
        </w:numPr>
        <w:rPr>
          <w:rFonts w:asciiTheme="majorHAnsi" w:hAnsiTheme="majorHAnsi" w:cs="Arial"/>
          <w:color w:val="7030A0"/>
        </w:rPr>
      </w:pPr>
      <w:r w:rsidRPr="00C4466D">
        <w:rPr>
          <w:rFonts w:asciiTheme="majorHAnsi" w:hAnsiTheme="majorHAnsi" w:cs="Arial"/>
          <w:color w:val="7030A0"/>
        </w:rPr>
        <w:t>2/3 in the 70-80 group say they shop twice a week or more.</w:t>
      </w:r>
    </w:p>
    <w:p w:rsidR="00FF4820" w:rsidRPr="00C4466D" w:rsidRDefault="00FF4820" w:rsidP="00FF4820">
      <w:pPr>
        <w:pStyle w:val="ListParagraph"/>
        <w:numPr>
          <w:ilvl w:val="2"/>
          <w:numId w:val="35"/>
        </w:numPr>
        <w:rPr>
          <w:rFonts w:asciiTheme="majorHAnsi" w:hAnsiTheme="majorHAnsi" w:cs="Arial"/>
          <w:color w:val="7030A0"/>
        </w:rPr>
      </w:pPr>
      <w:r w:rsidRPr="00C4466D">
        <w:rPr>
          <w:rFonts w:asciiTheme="majorHAnsi" w:hAnsiTheme="majorHAnsi" w:cs="Arial"/>
          <w:color w:val="7030A0"/>
        </w:rPr>
        <w:t>They prefer to shop on weekdays, and earlier to avoid busy times</w:t>
      </w:r>
    </w:p>
    <w:p w:rsidR="00FF4820" w:rsidRPr="00C4466D" w:rsidRDefault="00FF4820" w:rsidP="00FF4820">
      <w:pPr>
        <w:pStyle w:val="ListParagraph"/>
        <w:numPr>
          <w:ilvl w:val="2"/>
          <w:numId w:val="35"/>
        </w:numPr>
        <w:rPr>
          <w:rFonts w:asciiTheme="majorHAnsi" w:hAnsiTheme="majorHAnsi" w:cs="Arial"/>
          <w:color w:val="7030A0"/>
        </w:rPr>
      </w:pPr>
      <w:r w:rsidRPr="00C4466D">
        <w:rPr>
          <w:rFonts w:asciiTheme="majorHAnsi" w:hAnsiTheme="majorHAnsi" w:cs="Arial"/>
          <w:color w:val="7030A0"/>
        </w:rPr>
        <w:t>As people get older 68% prefer smaller shops and shops closer to home.</w:t>
      </w:r>
    </w:p>
    <w:p w:rsidR="005C13AE" w:rsidRDefault="005C13AE" w:rsidP="0023027D">
      <w:pPr>
        <w:pStyle w:val="ListParagraph"/>
        <w:numPr>
          <w:ilvl w:val="0"/>
          <w:numId w:val="35"/>
        </w:numPr>
        <w:rPr>
          <w:rFonts w:asciiTheme="majorHAnsi" w:hAnsiTheme="majorHAnsi" w:cs="Arial"/>
        </w:rPr>
      </w:pPr>
      <w:r>
        <w:rPr>
          <w:rFonts w:asciiTheme="majorHAnsi" w:hAnsiTheme="majorHAnsi" w:cs="Arial"/>
        </w:rPr>
        <w:t xml:space="preserve">Older consumers tend to </w:t>
      </w:r>
      <w:r w:rsidRPr="00945343">
        <w:rPr>
          <w:rFonts w:asciiTheme="majorHAnsi" w:hAnsiTheme="majorHAnsi" w:cs="Arial"/>
          <w:b/>
        </w:rPr>
        <w:t>be less price sensitive</w:t>
      </w:r>
      <w:r>
        <w:rPr>
          <w:rFonts w:asciiTheme="majorHAnsi" w:hAnsiTheme="majorHAnsi" w:cs="Arial"/>
        </w:rPr>
        <w:t>:</w:t>
      </w:r>
      <w:r w:rsidR="000B7FA0">
        <w:rPr>
          <w:rStyle w:val="EndnoteReference"/>
          <w:rFonts w:cs="Arial"/>
        </w:rPr>
        <w:endnoteReference w:id="30"/>
      </w:r>
    </w:p>
    <w:p w:rsidR="005C13AE" w:rsidRPr="00C4466D" w:rsidRDefault="005C13AE" w:rsidP="005C13AE">
      <w:pPr>
        <w:pStyle w:val="ListParagraph"/>
        <w:numPr>
          <w:ilvl w:val="1"/>
          <w:numId w:val="35"/>
        </w:numPr>
        <w:rPr>
          <w:rFonts w:asciiTheme="majorHAnsi" w:hAnsiTheme="majorHAnsi" w:cs="Arial"/>
          <w:color w:val="7030A0"/>
        </w:rPr>
      </w:pPr>
      <w:r w:rsidRPr="00C4466D">
        <w:rPr>
          <w:rFonts w:asciiTheme="majorHAnsi" w:hAnsiTheme="majorHAnsi" w:cs="Arial"/>
          <w:color w:val="7030A0"/>
        </w:rPr>
        <w:t>In developed countries, only 32% rated price above all else</w:t>
      </w:r>
    </w:p>
    <w:p w:rsidR="005C13AE" w:rsidRPr="00C4466D" w:rsidRDefault="005C13AE" w:rsidP="005C13AE">
      <w:pPr>
        <w:pStyle w:val="ListParagraph"/>
        <w:numPr>
          <w:ilvl w:val="1"/>
          <w:numId w:val="35"/>
        </w:numPr>
        <w:rPr>
          <w:rFonts w:asciiTheme="majorHAnsi" w:hAnsiTheme="majorHAnsi" w:cs="Arial"/>
          <w:color w:val="7030A0"/>
        </w:rPr>
      </w:pPr>
      <w:r w:rsidRPr="00C4466D">
        <w:rPr>
          <w:rFonts w:asciiTheme="majorHAnsi" w:hAnsiTheme="majorHAnsi" w:cs="Arial"/>
          <w:color w:val="7030A0"/>
        </w:rPr>
        <w:t>Price sensitivity was higher in emerging countries (50%), but still not overwhelming.</w:t>
      </w:r>
    </w:p>
    <w:p w:rsidR="0023027D" w:rsidRDefault="0023027D" w:rsidP="0023027D">
      <w:pPr>
        <w:pStyle w:val="ListParagraph"/>
        <w:numPr>
          <w:ilvl w:val="0"/>
          <w:numId w:val="35"/>
        </w:numPr>
        <w:rPr>
          <w:rFonts w:asciiTheme="majorHAnsi" w:hAnsiTheme="majorHAnsi" w:cs="Arial"/>
        </w:rPr>
      </w:pPr>
      <w:r>
        <w:rPr>
          <w:rFonts w:asciiTheme="majorHAnsi" w:hAnsiTheme="majorHAnsi" w:cs="Arial"/>
        </w:rPr>
        <w:lastRenderedPageBreak/>
        <w:t xml:space="preserve">They </w:t>
      </w:r>
      <w:r w:rsidRPr="00E44471">
        <w:rPr>
          <w:rFonts w:asciiTheme="majorHAnsi" w:hAnsiTheme="majorHAnsi" w:cs="Arial"/>
          <w:b/>
        </w:rPr>
        <w:t>buy fewer items, but spend more per item</w:t>
      </w:r>
      <w:r w:rsidR="005C13AE">
        <w:rPr>
          <w:rFonts w:asciiTheme="majorHAnsi" w:hAnsiTheme="majorHAnsi" w:cs="Arial"/>
        </w:rPr>
        <w:t>, seeking quality above all:</w:t>
      </w:r>
      <w:r w:rsidR="007A58B2">
        <w:rPr>
          <w:rStyle w:val="EndnoteReference"/>
          <w:rFonts w:cs="Arial"/>
        </w:rPr>
        <w:endnoteReference w:id="31"/>
      </w:r>
    </w:p>
    <w:p w:rsidR="005C13AE" w:rsidRDefault="007A58B2" w:rsidP="005C13AE">
      <w:pPr>
        <w:pStyle w:val="ListParagraph"/>
        <w:numPr>
          <w:ilvl w:val="1"/>
          <w:numId w:val="35"/>
        </w:numPr>
        <w:rPr>
          <w:rFonts w:asciiTheme="majorHAnsi" w:hAnsiTheme="majorHAnsi" w:cs="Arial"/>
        </w:rPr>
      </w:pPr>
      <w:r>
        <w:rPr>
          <w:rFonts w:asciiTheme="majorHAnsi" w:hAnsiTheme="majorHAnsi" w:cs="Arial"/>
        </w:rPr>
        <w:t>They also closely scrutinise special offers:</w:t>
      </w:r>
      <w:r>
        <w:rPr>
          <w:rStyle w:val="EndnoteReference"/>
          <w:rFonts w:cs="Arial"/>
        </w:rPr>
        <w:endnoteReference w:id="32"/>
      </w:r>
    </w:p>
    <w:p w:rsidR="007A58B2" w:rsidRPr="00C4466D" w:rsidRDefault="007A58B2" w:rsidP="007A58B2">
      <w:pPr>
        <w:pStyle w:val="ListParagraph"/>
        <w:numPr>
          <w:ilvl w:val="2"/>
          <w:numId w:val="35"/>
        </w:numPr>
        <w:rPr>
          <w:rFonts w:asciiTheme="majorHAnsi" w:hAnsiTheme="majorHAnsi" w:cs="Arial"/>
          <w:color w:val="7030A0"/>
        </w:rPr>
      </w:pPr>
      <w:r w:rsidRPr="00C4466D">
        <w:rPr>
          <w:rFonts w:asciiTheme="majorHAnsi" w:hAnsiTheme="majorHAnsi" w:cs="Arial"/>
          <w:color w:val="7030A0"/>
        </w:rPr>
        <w:t>43% of a global study said they would only buy with special offers if the quality was comparable</w:t>
      </w:r>
      <w:r w:rsidR="002A5388" w:rsidRPr="00C4466D">
        <w:rPr>
          <w:rFonts w:asciiTheme="majorHAnsi" w:hAnsiTheme="majorHAnsi" w:cs="Arial"/>
          <w:color w:val="7030A0"/>
        </w:rPr>
        <w:t xml:space="preserve"> to what they normally bought</w:t>
      </w:r>
    </w:p>
    <w:p w:rsidR="007A58B2" w:rsidRDefault="002A5388" w:rsidP="007A58B2">
      <w:pPr>
        <w:pStyle w:val="ListParagraph"/>
        <w:numPr>
          <w:ilvl w:val="2"/>
          <w:numId w:val="35"/>
        </w:numPr>
        <w:rPr>
          <w:rFonts w:asciiTheme="majorHAnsi" w:hAnsiTheme="majorHAnsi" w:cs="Arial"/>
        </w:rPr>
      </w:pPr>
      <w:r>
        <w:rPr>
          <w:rFonts w:asciiTheme="majorHAnsi" w:hAnsiTheme="majorHAnsi" w:cs="Arial"/>
        </w:rPr>
        <w:t xml:space="preserve">Much hesitation was around the </w:t>
      </w:r>
      <w:r>
        <w:rPr>
          <w:rFonts w:asciiTheme="majorHAnsi" w:hAnsiTheme="majorHAnsi" w:cs="Arial"/>
          <w:b/>
        </w:rPr>
        <w:t>type of special offer</w:t>
      </w:r>
      <w:r>
        <w:rPr>
          <w:rFonts w:asciiTheme="majorHAnsi" w:hAnsiTheme="majorHAnsi" w:cs="Arial"/>
        </w:rPr>
        <w:t>:</w:t>
      </w:r>
    </w:p>
    <w:p w:rsidR="002A5388" w:rsidRDefault="002A5388" w:rsidP="002A5388">
      <w:pPr>
        <w:pStyle w:val="ListParagraph"/>
        <w:numPr>
          <w:ilvl w:val="3"/>
          <w:numId w:val="35"/>
        </w:numPr>
        <w:rPr>
          <w:rFonts w:asciiTheme="majorHAnsi" w:hAnsiTheme="majorHAnsi" w:cs="Arial"/>
        </w:rPr>
      </w:pPr>
      <w:r>
        <w:rPr>
          <w:rFonts w:asciiTheme="majorHAnsi" w:hAnsiTheme="majorHAnsi" w:cs="Arial"/>
        </w:rPr>
        <w:t>Two for one offers were less attractive because older consumers felt that they would be wasting product if they were perishable, and so opted to not take the offers.</w:t>
      </w:r>
    </w:p>
    <w:p w:rsidR="002A5388" w:rsidRDefault="005E28FF" w:rsidP="002A5388">
      <w:pPr>
        <w:pStyle w:val="ListParagraph"/>
        <w:numPr>
          <w:ilvl w:val="0"/>
          <w:numId w:val="35"/>
        </w:numPr>
        <w:rPr>
          <w:rFonts w:asciiTheme="majorHAnsi" w:hAnsiTheme="majorHAnsi" w:cs="Arial"/>
        </w:rPr>
      </w:pPr>
      <w:r>
        <w:rPr>
          <w:rFonts w:asciiTheme="majorHAnsi" w:hAnsiTheme="majorHAnsi" w:cs="Arial"/>
        </w:rPr>
        <w:t xml:space="preserve">Increasing numbers of older consumers are </w:t>
      </w:r>
      <w:r>
        <w:rPr>
          <w:rFonts w:asciiTheme="majorHAnsi" w:hAnsiTheme="majorHAnsi" w:cs="Arial"/>
          <w:b/>
        </w:rPr>
        <w:t>actually technology friendly</w:t>
      </w:r>
      <w:r>
        <w:rPr>
          <w:rFonts w:asciiTheme="majorHAnsi" w:hAnsiTheme="majorHAnsi" w:cs="Arial"/>
        </w:rPr>
        <w:t>:</w:t>
      </w:r>
    </w:p>
    <w:p w:rsidR="00594857" w:rsidRPr="005E3065" w:rsidRDefault="00594857" w:rsidP="00594857">
      <w:pPr>
        <w:pStyle w:val="ListParagraph"/>
        <w:numPr>
          <w:ilvl w:val="1"/>
          <w:numId w:val="35"/>
        </w:numPr>
        <w:rPr>
          <w:rFonts w:asciiTheme="majorHAnsi" w:hAnsiTheme="majorHAnsi" w:cs="Arial"/>
          <w:color w:val="C00000"/>
        </w:rPr>
      </w:pPr>
      <w:r w:rsidRPr="005E3065">
        <w:rPr>
          <w:rFonts w:asciiTheme="majorHAnsi" w:hAnsiTheme="majorHAnsi" w:cs="Arial"/>
          <w:color w:val="C00000"/>
        </w:rPr>
        <w:t>Almost three quarters (72 per cent) have a positive attitude towards technology, viewing it as one of the greatest changes of their lifetime and 71% believe it plays an important part in their lives.</w:t>
      </w:r>
      <w:r w:rsidRPr="005E3065">
        <w:rPr>
          <w:rStyle w:val="EndnoteReference"/>
          <w:rFonts w:cs="Arial"/>
          <w:color w:val="C00000"/>
        </w:rPr>
        <w:endnoteReference w:id="33"/>
      </w:r>
    </w:p>
    <w:p w:rsidR="005E28FF" w:rsidRPr="005E3065" w:rsidRDefault="00C04DD1" w:rsidP="005E28FF">
      <w:pPr>
        <w:pStyle w:val="ListParagraph"/>
        <w:numPr>
          <w:ilvl w:val="1"/>
          <w:numId w:val="35"/>
        </w:numPr>
        <w:rPr>
          <w:rFonts w:asciiTheme="majorHAnsi" w:hAnsiTheme="majorHAnsi" w:cs="Arial"/>
          <w:color w:val="C00000"/>
        </w:rPr>
      </w:pPr>
      <w:r w:rsidRPr="005E3065">
        <w:rPr>
          <w:rFonts w:asciiTheme="majorHAnsi" w:hAnsiTheme="majorHAnsi" w:cs="Arial"/>
          <w:color w:val="C00000"/>
        </w:rPr>
        <w:t>A report by eMarketer found that 78% of Boomers are online.</w:t>
      </w:r>
      <w:r w:rsidRPr="005E3065">
        <w:rPr>
          <w:rStyle w:val="EndnoteReference"/>
          <w:rFonts w:cs="Arial"/>
          <w:color w:val="C00000"/>
        </w:rPr>
        <w:endnoteReference w:id="34"/>
      </w:r>
    </w:p>
    <w:p w:rsidR="00594857" w:rsidRPr="005E3065" w:rsidRDefault="00594857" w:rsidP="00594857">
      <w:pPr>
        <w:pStyle w:val="ListParagraph"/>
        <w:numPr>
          <w:ilvl w:val="2"/>
          <w:numId w:val="35"/>
        </w:numPr>
        <w:rPr>
          <w:rFonts w:asciiTheme="majorHAnsi" w:hAnsiTheme="majorHAnsi" w:cs="Arial"/>
          <w:color w:val="C00000"/>
        </w:rPr>
      </w:pPr>
      <w:r w:rsidRPr="005E3065">
        <w:rPr>
          <w:rFonts w:asciiTheme="majorHAnsi" w:hAnsiTheme="majorHAnsi" w:cs="Arial"/>
          <w:color w:val="C00000"/>
        </w:rPr>
        <w:t>They spend on average 21 hours a week online.</w:t>
      </w:r>
      <w:r w:rsidRPr="005E3065">
        <w:rPr>
          <w:rStyle w:val="EndnoteReference"/>
          <w:rFonts w:cs="Arial"/>
          <w:color w:val="C00000"/>
        </w:rPr>
        <w:endnoteReference w:id="35"/>
      </w:r>
    </w:p>
    <w:p w:rsidR="00E44471" w:rsidRPr="005E3065" w:rsidRDefault="00F73056" w:rsidP="00594857">
      <w:pPr>
        <w:pStyle w:val="ListParagraph"/>
        <w:numPr>
          <w:ilvl w:val="2"/>
          <w:numId w:val="35"/>
        </w:numPr>
        <w:rPr>
          <w:rFonts w:asciiTheme="majorHAnsi" w:hAnsiTheme="majorHAnsi" w:cs="Arial"/>
          <w:color w:val="C00000"/>
        </w:rPr>
      </w:pPr>
      <w:r w:rsidRPr="005E3065">
        <w:rPr>
          <w:rFonts w:asciiTheme="majorHAnsi" w:hAnsiTheme="majorHAnsi" w:cs="Arial"/>
          <w:color w:val="C00000"/>
        </w:rPr>
        <w:t>73% of Boomers maintain a Facebook profile.</w:t>
      </w:r>
      <w:r w:rsidRPr="005E3065">
        <w:rPr>
          <w:rStyle w:val="EndnoteReference"/>
          <w:rFonts w:cs="Arial"/>
          <w:color w:val="C00000"/>
        </w:rPr>
        <w:endnoteReference w:id="36"/>
      </w:r>
    </w:p>
    <w:p w:rsidR="003575BB" w:rsidRPr="005E3065" w:rsidRDefault="003575BB" w:rsidP="003575BB">
      <w:pPr>
        <w:pStyle w:val="ListParagraph"/>
        <w:numPr>
          <w:ilvl w:val="1"/>
          <w:numId w:val="35"/>
        </w:numPr>
        <w:rPr>
          <w:rFonts w:asciiTheme="majorHAnsi" w:hAnsiTheme="majorHAnsi" w:cs="Arial"/>
          <w:color w:val="C00000"/>
        </w:rPr>
      </w:pPr>
      <w:r w:rsidRPr="005E3065">
        <w:rPr>
          <w:rFonts w:asciiTheme="majorHAnsi" w:hAnsiTheme="majorHAnsi" w:cs="Arial"/>
          <w:color w:val="C00000"/>
        </w:rPr>
        <w:t>45 per cent have watched live Catch Up TV, a third (33 per cent) are cross-screeners who are online while watching TV and 29 per cent say the internet has replaced their need for newspapers and magazines.</w:t>
      </w:r>
      <w:r w:rsidRPr="005E3065">
        <w:rPr>
          <w:rStyle w:val="EndnoteReference"/>
          <w:rFonts w:cs="Arial"/>
          <w:color w:val="C00000"/>
        </w:rPr>
        <w:endnoteReference w:id="37"/>
      </w:r>
    </w:p>
    <w:p w:rsidR="003575BB" w:rsidRPr="005E3065" w:rsidRDefault="003575BB" w:rsidP="003575BB">
      <w:pPr>
        <w:pStyle w:val="ListParagraph"/>
        <w:numPr>
          <w:ilvl w:val="1"/>
          <w:numId w:val="35"/>
        </w:numPr>
        <w:rPr>
          <w:rFonts w:asciiTheme="majorHAnsi" w:hAnsiTheme="majorHAnsi" w:cs="Arial"/>
          <w:color w:val="C00000"/>
        </w:rPr>
      </w:pPr>
      <w:r w:rsidRPr="005E3065">
        <w:rPr>
          <w:rFonts w:asciiTheme="majorHAnsi" w:hAnsiTheme="majorHAnsi" w:cs="Arial"/>
          <w:color w:val="C00000"/>
        </w:rPr>
        <w:t>They own an average of two internet-connected devices – including a desktop computer (81 per cent), laptop (67 per cent), smartphone (40 per cent), tablet (19 per cent) and PVR (69 per cent) and one third are multi-screeners.</w:t>
      </w:r>
      <w:r w:rsidRPr="005E3065">
        <w:rPr>
          <w:rStyle w:val="EndnoteReference"/>
          <w:rFonts w:cs="Arial"/>
          <w:color w:val="C00000"/>
        </w:rPr>
        <w:endnoteReference w:id="38"/>
      </w:r>
    </w:p>
    <w:p w:rsidR="00594857" w:rsidRPr="005E3065" w:rsidRDefault="003575BB" w:rsidP="00594857">
      <w:pPr>
        <w:pStyle w:val="ListParagraph"/>
        <w:numPr>
          <w:ilvl w:val="1"/>
          <w:numId w:val="35"/>
        </w:numPr>
        <w:rPr>
          <w:rFonts w:asciiTheme="majorHAnsi" w:hAnsiTheme="majorHAnsi" w:cs="Arial"/>
          <w:color w:val="C00000"/>
        </w:rPr>
      </w:pPr>
      <w:r w:rsidRPr="005E3065">
        <w:rPr>
          <w:rFonts w:asciiTheme="majorHAnsi" w:hAnsiTheme="majorHAnsi" w:cs="Arial"/>
          <w:color w:val="C00000"/>
        </w:rPr>
        <w:t>They also enjoy shopping online:</w:t>
      </w:r>
    </w:p>
    <w:p w:rsidR="001F6652" w:rsidRPr="005E3065" w:rsidRDefault="00DB1BD8" w:rsidP="00DB1BD8">
      <w:pPr>
        <w:pStyle w:val="ListParagraph"/>
        <w:numPr>
          <w:ilvl w:val="2"/>
          <w:numId w:val="35"/>
        </w:numPr>
        <w:rPr>
          <w:rFonts w:asciiTheme="majorHAnsi" w:hAnsiTheme="majorHAnsi" w:cs="Arial"/>
          <w:color w:val="C00000"/>
        </w:rPr>
      </w:pPr>
      <w:r w:rsidRPr="005E3065">
        <w:rPr>
          <w:rFonts w:asciiTheme="majorHAnsi" w:hAnsiTheme="majorHAnsi" w:cs="Arial"/>
          <w:color w:val="C00000"/>
        </w:rPr>
        <w:t>90</w:t>
      </w:r>
      <w:r w:rsidR="00945343" w:rsidRPr="005E3065">
        <w:rPr>
          <w:rFonts w:asciiTheme="majorHAnsi" w:hAnsiTheme="majorHAnsi" w:cs="Arial"/>
          <w:color w:val="C00000"/>
        </w:rPr>
        <w:t>%</w:t>
      </w:r>
      <w:r w:rsidRPr="005E3065">
        <w:rPr>
          <w:rFonts w:asciiTheme="majorHAnsi" w:hAnsiTheme="majorHAnsi" w:cs="Arial"/>
          <w:color w:val="C00000"/>
        </w:rPr>
        <w:t xml:space="preserve"> have purchased online and </w:t>
      </w:r>
      <w:r w:rsidR="00945343" w:rsidRPr="005E3065">
        <w:rPr>
          <w:rFonts w:asciiTheme="majorHAnsi" w:hAnsiTheme="majorHAnsi" w:cs="Arial"/>
          <w:color w:val="C00000"/>
        </w:rPr>
        <w:t>25%</w:t>
      </w:r>
      <w:r w:rsidRPr="005E3065">
        <w:rPr>
          <w:rFonts w:asciiTheme="majorHAnsi" w:hAnsiTheme="majorHAnsi" w:cs="Arial"/>
          <w:color w:val="C00000"/>
        </w:rPr>
        <w:t xml:space="preserve"> </w:t>
      </w:r>
      <w:r w:rsidR="00945343" w:rsidRPr="005E3065">
        <w:rPr>
          <w:rFonts w:asciiTheme="majorHAnsi" w:hAnsiTheme="majorHAnsi" w:cs="Arial"/>
          <w:color w:val="C00000"/>
        </w:rPr>
        <w:t>do so every week:</w:t>
      </w:r>
      <w:r w:rsidR="00945343" w:rsidRPr="005E3065">
        <w:rPr>
          <w:rStyle w:val="EndnoteReference"/>
          <w:rFonts w:cs="Arial"/>
          <w:color w:val="C00000"/>
        </w:rPr>
        <w:endnoteReference w:id="39"/>
      </w:r>
    </w:p>
    <w:p w:rsidR="00945343" w:rsidRPr="005E3065" w:rsidRDefault="00945343" w:rsidP="00945343">
      <w:pPr>
        <w:pStyle w:val="ListParagraph"/>
        <w:numPr>
          <w:ilvl w:val="3"/>
          <w:numId w:val="35"/>
        </w:numPr>
        <w:rPr>
          <w:rFonts w:asciiTheme="majorHAnsi" w:hAnsiTheme="majorHAnsi" w:cs="Arial"/>
          <w:color w:val="C00000"/>
        </w:rPr>
      </w:pPr>
      <w:r w:rsidRPr="005E3065">
        <w:rPr>
          <w:rFonts w:asciiTheme="majorHAnsi" w:hAnsiTheme="majorHAnsi" w:cs="Arial"/>
          <w:color w:val="C00000"/>
        </w:rPr>
        <w:t>45% have overcome reluctance towards shopping online, while 64 per cent agree its convenience and the option of home delivery will be will be increasingly useful as they get older</w:t>
      </w:r>
    </w:p>
    <w:p w:rsidR="003575BB" w:rsidRPr="005E3065" w:rsidRDefault="003575BB" w:rsidP="003575BB">
      <w:pPr>
        <w:pStyle w:val="ListParagraph"/>
        <w:numPr>
          <w:ilvl w:val="2"/>
          <w:numId w:val="35"/>
        </w:numPr>
        <w:rPr>
          <w:rFonts w:asciiTheme="majorHAnsi" w:hAnsiTheme="majorHAnsi" w:cs="Arial"/>
          <w:color w:val="C00000"/>
        </w:rPr>
      </w:pPr>
      <w:r w:rsidRPr="005E3065">
        <w:rPr>
          <w:rFonts w:asciiTheme="majorHAnsi" w:hAnsiTheme="majorHAnsi" w:cs="Arial"/>
          <w:color w:val="C00000"/>
        </w:rPr>
        <w:t>Commonly, they will merge in store and online purchases, finding something that works in-store, but then purchasing online.</w:t>
      </w:r>
      <w:r w:rsidRPr="005E3065">
        <w:rPr>
          <w:rStyle w:val="EndnoteReference"/>
          <w:rFonts w:cs="Arial"/>
          <w:color w:val="C00000"/>
        </w:rPr>
        <w:endnoteReference w:id="40"/>
      </w:r>
    </w:p>
    <w:p w:rsidR="001F6652" w:rsidRPr="005E3065" w:rsidRDefault="006C01FE" w:rsidP="001F6652">
      <w:pPr>
        <w:pStyle w:val="ListParagraph"/>
        <w:numPr>
          <w:ilvl w:val="2"/>
          <w:numId w:val="35"/>
        </w:numPr>
        <w:rPr>
          <w:rFonts w:asciiTheme="majorHAnsi" w:hAnsiTheme="majorHAnsi" w:cs="Arial"/>
          <w:color w:val="C00000"/>
        </w:rPr>
      </w:pPr>
      <w:r w:rsidRPr="005E3065">
        <w:rPr>
          <w:rFonts w:asciiTheme="majorHAnsi" w:hAnsiTheme="majorHAnsi" w:cs="Arial"/>
          <w:color w:val="C00000"/>
        </w:rPr>
        <w:t>They spend more money online than any other age group (Forrester Research):</w:t>
      </w:r>
      <w:r w:rsidR="001F6652" w:rsidRPr="005E3065">
        <w:rPr>
          <w:rFonts w:asciiTheme="majorHAnsi" w:hAnsiTheme="majorHAnsi" w:cs="Arial"/>
          <w:color w:val="C00000"/>
        </w:rPr>
        <w:t xml:space="preserve"> on average, over a 3 month period:</w:t>
      </w:r>
      <w:r w:rsidR="001F6652" w:rsidRPr="005E3065">
        <w:rPr>
          <w:rStyle w:val="EndnoteReference"/>
          <w:rFonts w:cs="Arial"/>
          <w:color w:val="C00000"/>
        </w:rPr>
        <w:t xml:space="preserve"> </w:t>
      </w:r>
      <w:r w:rsidR="001F6652" w:rsidRPr="005E3065">
        <w:rPr>
          <w:rStyle w:val="EndnoteReference"/>
          <w:rFonts w:cs="Arial"/>
          <w:color w:val="C00000"/>
        </w:rPr>
        <w:endnoteReference w:id="41"/>
      </w:r>
    </w:p>
    <w:p w:rsidR="001F6652" w:rsidRPr="005E3065" w:rsidRDefault="001F6652" w:rsidP="001F6652">
      <w:pPr>
        <w:pStyle w:val="ListParagraph"/>
        <w:numPr>
          <w:ilvl w:val="3"/>
          <w:numId w:val="35"/>
        </w:numPr>
        <w:rPr>
          <w:rFonts w:asciiTheme="majorHAnsi" w:hAnsiTheme="majorHAnsi" w:cs="Arial"/>
          <w:color w:val="C00000"/>
        </w:rPr>
      </w:pPr>
      <w:r w:rsidRPr="005E3065">
        <w:rPr>
          <w:rFonts w:asciiTheme="majorHAnsi" w:hAnsiTheme="majorHAnsi" w:cs="Arial"/>
          <w:color w:val="C00000"/>
        </w:rPr>
        <w:t>Boomers: $650</w:t>
      </w:r>
    </w:p>
    <w:p w:rsidR="001F6652" w:rsidRPr="005E3065" w:rsidRDefault="001F6652" w:rsidP="001F6652">
      <w:pPr>
        <w:pStyle w:val="ListParagraph"/>
        <w:numPr>
          <w:ilvl w:val="3"/>
          <w:numId w:val="35"/>
        </w:numPr>
        <w:rPr>
          <w:rFonts w:asciiTheme="majorHAnsi" w:hAnsiTheme="majorHAnsi" w:cs="Arial"/>
          <w:color w:val="C00000"/>
        </w:rPr>
      </w:pPr>
      <w:r w:rsidRPr="005E3065">
        <w:rPr>
          <w:rFonts w:asciiTheme="majorHAnsi" w:hAnsiTheme="majorHAnsi" w:cs="Arial"/>
          <w:color w:val="C00000"/>
        </w:rPr>
        <w:t>Gen X: $581</w:t>
      </w:r>
    </w:p>
    <w:p w:rsidR="001F6652" w:rsidRPr="005E3065" w:rsidRDefault="001F6652" w:rsidP="001F6652">
      <w:pPr>
        <w:pStyle w:val="ListParagraph"/>
        <w:numPr>
          <w:ilvl w:val="3"/>
          <w:numId w:val="35"/>
        </w:numPr>
        <w:rPr>
          <w:rFonts w:asciiTheme="majorHAnsi" w:hAnsiTheme="majorHAnsi" w:cs="Arial"/>
          <w:color w:val="C00000"/>
        </w:rPr>
      </w:pPr>
      <w:r w:rsidRPr="005E3065">
        <w:rPr>
          <w:rFonts w:asciiTheme="majorHAnsi" w:hAnsiTheme="majorHAnsi" w:cs="Arial"/>
          <w:color w:val="C00000"/>
        </w:rPr>
        <w:t>Gen Y: $429</w:t>
      </w:r>
    </w:p>
    <w:p w:rsidR="001F6652" w:rsidRPr="005E3065" w:rsidRDefault="00E44471" w:rsidP="00E44471">
      <w:pPr>
        <w:pStyle w:val="ListParagraph"/>
        <w:numPr>
          <w:ilvl w:val="1"/>
          <w:numId w:val="35"/>
        </w:numPr>
        <w:rPr>
          <w:rFonts w:asciiTheme="majorHAnsi" w:hAnsiTheme="majorHAnsi" w:cs="Arial"/>
          <w:color w:val="0070C0"/>
        </w:rPr>
      </w:pPr>
      <w:r w:rsidRPr="005E3065">
        <w:rPr>
          <w:rFonts w:asciiTheme="majorHAnsi" w:hAnsiTheme="majorHAnsi" w:cs="Arial"/>
          <w:color w:val="0070C0"/>
        </w:rPr>
        <w:t>In the USA:</w:t>
      </w:r>
      <w:r w:rsidRPr="005E3065">
        <w:rPr>
          <w:rStyle w:val="EndnoteReference"/>
          <w:rFonts w:cs="Arial"/>
          <w:color w:val="0070C0"/>
        </w:rPr>
        <w:endnoteReference w:id="42"/>
      </w:r>
    </w:p>
    <w:p w:rsidR="00E44471" w:rsidRPr="005E3065" w:rsidRDefault="00E44471" w:rsidP="00E44471">
      <w:pPr>
        <w:pStyle w:val="ListParagraph"/>
        <w:numPr>
          <w:ilvl w:val="2"/>
          <w:numId w:val="35"/>
        </w:numPr>
        <w:rPr>
          <w:rFonts w:asciiTheme="majorHAnsi" w:hAnsiTheme="majorHAnsi" w:cs="Arial"/>
          <w:color w:val="0070C0"/>
        </w:rPr>
      </w:pPr>
      <w:r w:rsidRPr="005E3065">
        <w:rPr>
          <w:rFonts w:asciiTheme="majorHAnsi" w:hAnsiTheme="majorHAnsi" w:cs="Arial"/>
          <w:color w:val="0070C0"/>
        </w:rPr>
        <w:t>40% of customers paying for wireless are boomers</w:t>
      </w:r>
    </w:p>
    <w:p w:rsidR="00E44471" w:rsidRPr="005E3065" w:rsidRDefault="00E44471" w:rsidP="00E44471">
      <w:pPr>
        <w:pStyle w:val="ListParagraph"/>
        <w:numPr>
          <w:ilvl w:val="2"/>
          <w:numId w:val="35"/>
        </w:numPr>
        <w:rPr>
          <w:rFonts w:asciiTheme="majorHAnsi" w:hAnsiTheme="majorHAnsi" w:cs="Arial"/>
          <w:color w:val="0070C0"/>
        </w:rPr>
      </w:pPr>
      <w:r w:rsidRPr="005E3065">
        <w:rPr>
          <w:rFonts w:asciiTheme="majorHAnsi" w:hAnsiTheme="majorHAnsi" w:cs="Arial"/>
          <w:color w:val="0070C0"/>
        </w:rPr>
        <w:t>41% of the customers buying Apple computers are boomers</w:t>
      </w:r>
    </w:p>
    <w:p w:rsidR="00E44471" w:rsidRPr="005E3065" w:rsidRDefault="00E44471" w:rsidP="00E44471">
      <w:pPr>
        <w:pStyle w:val="ListParagraph"/>
        <w:numPr>
          <w:ilvl w:val="2"/>
          <w:numId w:val="35"/>
        </w:numPr>
        <w:rPr>
          <w:rFonts w:asciiTheme="majorHAnsi" w:hAnsiTheme="majorHAnsi" w:cs="Arial"/>
          <w:color w:val="0070C0"/>
        </w:rPr>
      </w:pPr>
      <w:r w:rsidRPr="005E3065">
        <w:rPr>
          <w:rFonts w:asciiTheme="majorHAnsi" w:hAnsiTheme="majorHAnsi" w:cs="Arial"/>
          <w:color w:val="0070C0"/>
        </w:rPr>
        <w:t xml:space="preserve">53% of boomers are on </w:t>
      </w:r>
      <w:r w:rsidR="00F73056" w:rsidRPr="005E3065">
        <w:rPr>
          <w:rFonts w:asciiTheme="majorHAnsi" w:hAnsiTheme="majorHAnsi" w:cs="Arial"/>
          <w:color w:val="0070C0"/>
        </w:rPr>
        <w:t>Facebook</w:t>
      </w:r>
    </w:p>
    <w:p w:rsidR="00E44471" w:rsidRPr="005E3065" w:rsidRDefault="00541E3A" w:rsidP="00541E3A">
      <w:pPr>
        <w:pStyle w:val="ListParagraph"/>
        <w:numPr>
          <w:ilvl w:val="1"/>
          <w:numId w:val="35"/>
        </w:numPr>
        <w:rPr>
          <w:rFonts w:asciiTheme="majorHAnsi" w:hAnsiTheme="majorHAnsi" w:cs="Arial"/>
          <w:color w:val="7030A0"/>
        </w:rPr>
      </w:pPr>
      <w:r w:rsidRPr="005E3065">
        <w:rPr>
          <w:rFonts w:asciiTheme="majorHAnsi" w:hAnsiTheme="majorHAnsi" w:cs="Arial"/>
          <w:color w:val="7030A0"/>
        </w:rPr>
        <w:t>Globally: A.T. Kearney study:</w:t>
      </w:r>
      <w:r w:rsidRPr="005E3065">
        <w:rPr>
          <w:rStyle w:val="EndnoteReference"/>
          <w:rFonts w:cs="Arial"/>
          <w:color w:val="7030A0"/>
        </w:rPr>
        <w:endnoteReference w:id="43"/>
      </w:r>
    </w:p>
    <w:p w:rsidR="00541E3A" w:rsidRPr="005E3065" w:rsidRDefault="00541E3A" w:rsidP="00541E3A">
      <w:pPr>
        <w:pStyle w:val="ListParagraph"/>
        <w:numPr>
          <w:ilvl w:val="2"/>
          <w:numId w:val="35"/>
        </w:numPr>
        <w:rPr>
          <w:rFonts w:asciiTheme="majorHAnsi" w:hAnsiTheme="majorHAnsi" w:cs="Arial"/>
          <w:color w:val="7030A0"/>
        </w:rPr>
      </w:pPr>
      <w:r w:rsidRPr="005E3065">
        <w:rPr>
          <w:rFonts w:asciiTheme="majorHAnsi" w:hAnsiTheme="majorHAnsi" w:cs="Arial"/>
          <w:color w:val="7030A0"/>
        </w:rPr>
        <w:t xml:space="preserve">69% </w:t>
      </w:r>
      <w:r w:rsidR="00886A2D" w:rsidRPr="005E3065">
        <w:rPr>
          <w:rFonts w:asciiTheme="majorHAnsi" w:hAnsiTheme="majorHAnsi" w:cs="Arial"/>
          <w:color w:val="7030A0"/>
        </w:rPr>
        <w:t>of respondents had both fixed line and mobile phones</w:t>
      </w:r>
    </w:p>
    <w:p w:rsidR="00886A2D" w:rsidRPr="005E3065" w:rsidRDefault="00886A2D" w:rsidP="00541E3A">
      <w:pPr>
        <w:pStyle w:val="ListParagraph"/>
        <w:numPr>
          <w:ilvl w:val="2"/>
          <w:numId w:val="35"/>
        </w:numPr>
        <w:rPr>
          <w:rFonts w:asciiTheme="majorHAnsi" w:hAnsiTheme="majorHAnsi" w:cs="Arial"/>
          <w:color w:val="7030A0"/>
        </w:rPr>
      </w:pPr>
      <w:r w:rsidRPr="005E3065">
        <w:rPr>
          <w:rFonts w:asciiTheme="majorHAnsi" w:hAnsiTheme="majorHAnsi" w:cs="Arial"/>
          <w:color w:val="7030A0"/>
        </w:rPr>
        <w:t>50% used the internet</w:t>
      </w:r>
    </w:p>
    <w:p w:rsidR="00886A2D" w:rsidRPr="005E3065" w:rsidRDefault="00886A2D" w:rsidP="00886A2D">
      <w:pPr>
        <w:pStyle w:val="ListParagraph"/>
        <w:numPr>
          <w:ilvl w:val="3"/>
          <w:numId w:val="35"/>
        </w:numPr>
        <w:rPr>
          <w:rFonts w:asciiTheme="majorHAnsi" w:hAnsiTheme="majorHAnsi" w:cs="Arial"/>
          <w:color w:val="7030A0"/>
        </w:rPr>
      </w:pPr>
      <w:r w:rsidRPr="005E3065">
        <w:rPr>
          <w:rFonts w:asciiTheme="majorHAnsi" w:hAnsiTheme="majorHAnsi" w:cs="Arial"/>
          <w:color w:val="7030A0"/>
        </w:rPr>
        <w:t>20% used it for shopping, research or communication</w:t>
      </w:r>
    </w:p>
    <w:p w:rsidR="00886A2D" w:rsidRPr="005E3065" w:rsidRDefault="00886A2D" w:rsidP="00886A2D">
      <w:pPr>
        <w:pStyle w:val="ListParagraph"/>
        <w:numPr>
          <w:ilvl w:val="4"/>
          <w:numId w:val="35"/>
        </w:numPr>
        <w:rPr>
          <w:rFonts w:asciiTheme="majorHAnsi" w:hAnsiTheme="majorHAnsi" w:cs="Arial"/>
          <w:color w:val="7030A0"/>
        </w:rPr>
      </w:pPr>
      <w:r w:rsidRPr="005E3065">
        <w:rPr>
          <w:rFonts w:asciiTheme="majorHAnsi" w:hAnsiTheme="majorHAnsi" w:cs="Arial"/>
          <w:color w:val="7030A0"/>
        </w:rPr>
        <w:t>The numbers concentrated in wealthier participants, particularly in Japan, Brazil, Russia, India and China.</w:t>
      </w:r>
    </w:p>
    <w:p w:rsidR="00886A2D" w:rsidRPr="005E3065" w:rsidRDefault="00886A2D" w:rsidP="00886A2D">
      <w:pPr>
        <w:pStyle w:val="ListParagraph"/>
        <w:numPr>
          <w:ilvl w:val="2"/>
          <w:numId w:val="35"/>
        </w:numPr>
        <w:rPr>
          <w:rFonts w:asciiTheme="majorHAnsi" w:hAnsiTheme="majorHAnsi" w:cs="Arial"/>
          <w:color w:val="7030A0"/>
        </w:rPr>
      </w:pPr>
      <w:r w:rsidRPr="005E3065">
        <w:rPr>
          <w:rFonts w:asciiTheme="majorHAnsi" w:hAnsiTheme="majorHAnsi" w:cs="Arial"/>
          <w:color w:val="7030A0"/>
        </w:rPr>
        <w:t xml:space="preserve">The global trend is that </w:t>
      </w:r>
      <w:r w:rsidRPr="005E3065">
        <w:rPr>
          <w:rFonts w:asciiTheme="majorHAnsi" w:hAnsiTheme="majorHAnsi" w:cs="Arial"/>
          <w:b/>
          <w:color w:val="7030A0"/>
        </w:rPr>
        <w:t>once people get connected, they stay connected</w:t>
      </w:r>
      <w:r w:rsidRPr="005E3065">
        <w:rPr>
          <w:rFonts w:asciiTheme="majorHAnsi" w:hAnsiTheme="majorHAnsi" w:cs="Arial"/>
          <w:color w:val="7030A0"/>
        </w:rPr>
        <w:t>.</w:t>
      </w:r>
    </w:p>
    <w:p w:rsidR="00F772B9" w:rsidRPr="005E3065" w:rsidRDefault="00F772B9" w:rsidP="00F772B9">
      <w:pPr>
        <w:pStyle w:val="ListParagraph"/>
        <w:numPr>
          <w:ilvl w:val="1"/>
          <w:numId w:val="35"/>
        </w:numPr>
        <w:rPr>
          <w:rFonts w:asciiTheme="majorHAnsi" w:hAnsiTheme="majorHAnsi" w:cs="Arial"/>
          <w:b/>
          <w:u w:val="single"/>
        </w:rPr>
      </w:pPr>
      <w:r w:rsidRPr="005E3065">
        <w:rPr>
          <w:rFonts w:asciiTheme="majorHAnsi" w:hAnsiTheme="majorHAnsi" w:cs="Arial"/>
          <w:b/>
          <w:u w:val="single"/>
        </w:rPr>
        <w:t>EXAMPLE: Amazon.com</w:t>
      </w:r>
    </w:p>
    <w:p w:rsidR="00F772B9" w:rsidRPr="00F772B9" w:rsidRDefault="00F772B9" w:rsidP="00F772B9">
      <w:pPr>
        <w:pStyle w:val="ListParagraph"/>
        <w:numPr>
          <w:ilvl w:val="2"/>
          <w:numId w:val="35"/>
        </w:numPr>
        <w:rPr>
          <w:rFonts w:asciiTheme="majorHAnsi" w:hAnsiTheme="majorHAnsi" w:cs="Arial"/>
          <w:u w:val="single"/>
        </w:rPr>
      </w:pPr>
      <w:r>
        <w:rPr>
          <w:rFonts w:asciiTheme="majorHAnsi" w:hAnsiTheme="majorHAnsi" w:cs="Arial"/>
        </w:rPr>
        <w:t xml:space="preserve">In April 2013, Amazon launched a sub-site dedicated to customers over 50: </w:t>
      </w:r>
    </w:p>
    <w:p w:rsidR="00F772B9" w:rsidRPr="00F772B9" w:rsidRDefault="00577159" w:rsidP="00F772B9">
      <w:pPr>
        <w:pStyle w:val="ListParagraph"/>
        <w:numPr>
          <w:ilvl w:val="2"/>
          <w:numId w:val="35"/>
        </w:numPr>
        <w:rPr>
          <w:rFonts w:asciiTheme="majorHAnsi" w:hAnsiTheme="majorHAnsi" w:cs="Arial"/>
          <w:u w:val="single"/>
        </w:rPr>
      </w:pPr>
      <w:hyperlink r:id="rId10" w:history="1">
        <w:r w:rsidR="00F772B9" w:rsidRPr="000C69A3">
          <w:rPr>
            <w:rStyle w:val="Hyperlink"/>
            <w:rFonts w:asciiTheme="majorHAnsi" w:hAnsiTheme="majorHAnsi" w:cs="Arial"/>
          </w:rPr>
          <w:t>http://www.amazon.com/gp/browse.html/?node=5856180011</w:t>
        </w:r>
      </w:hyperlink>
      <w:r w:rsidR="00F772B9">
        <w:rPr>
          <w:rFonts w:asciiTheme="majorHAnsi" w:hAnsiTheme="majorHAnsi" w:cs="Arial"/>
        </w:rPr>
        <w:t xml:space="preserve"> </w:t>
      </w:r>
    </w:p>
    <w:p w:rsidR="006A6EB3" w:rsidRDefault="006A6EB3" w:rsidP="00886A2D">
      <w:pPr>
        <w:rPr>
          <w:rFonts w:asciiTheme="majorHAnsi" w:hAnsiTheme="majorHAnsi" w:cs="Arial"/>
          <w:u w:val="single"/>
        </w:rPr>
      </w:pPr>
    </w:p>
    <w:p w:rsidR="006A6EB3" w:rsidRDefault="006A6EB3" w:rsidP="00886A2D">
      <w:pPr>
        <w:rPr>
          <w:rFonts w:asciiTheme="majorHAnsi" w:hAnsiTheme="majorHAnsi" w:cs="Arial"/>
          <w:u w:val="single"/>
        </w:rPr>
      </w:pPr>
    </w:p>
    <w:p w:rsidR="006A6EB3" w:rsidRDefault="006A6EB3" w:rsidP="00886A2D">
      <w:pPr>
        <w:rPr>
          <w:rFonts w:asciiTheme="majorHAnsi" w:hAnsiTheme="majorHAnsi" w:cs="Arial"/>
          <w:u w:val="single"/>
        </w:rPr>
      </w:pPr>
    </w:p>
    <w:p w:rsidR="00886A2D" w:rsidRDefault="00886A2D" w:rsidP="00886A2D">
      <w:pPr>
        <w:rPr>
          <w:rFonts w:asciiTheme="majorHAnsi" w:hAnsiTheme="majorHAnsi" w:cs="Arial"/>
        </w:rPr>
      </w:pPr>
      <w:bookmarkStart w:id="4" w:name="SpendingPatternsQuotes"/>
      <w:r>
        <w:rPr>
          <w:rFonts w:asciiTheme="majorHAnsi" w:hAnsiTheme="majorHAnsi" w:cs="Arial"/>
          <w:u w:val="single"/>
        </w:rPr>
        <w:t>Quotes</w:t>
      </w:r>
    </w:p>
    <w:bookmarkEnd w:id="4"/>
    <w:p w:rsidR="00886A2D" w:rsidRDefault="003541FA" w:rsidP="00886A2D">
      <w:pPr>
        <w:pStyle w:val="ListParagraph"/>
        <w:numPr>
          <w:ilvl w:val="0"/>
          <w:numId w:val="36"/>
        </w:numPr>
        <w:rPr>
          <w:rFonts w:asciiTheme="majorHAnsi" w:hAnsiTheme="majorHAnsi" w:cs="Arial"/>
        </w:rPr>
      </w:pPr>
      <w:r>
        <w:rPr>
          <w:rFonts w:asciiTheme="majorHAnsi" w:hAnsiTheme="majorHAnsi" w:cs="Arial"/>
        </w:rPr>
        <w:t>Michael Moriarty, Partner at A.T. Kearney:</w:t>
      </w:r>
    </w:p>
    <w:p w:rsidR="003541FA" w:rsidRDefault="003541FA" w:rsidP="003541FA">
      <w:pPr>
        <w:pStyle w:val="ListParagraph"/>
        <w:numPr>
          <w:ilvl w:val="1"/>
          <w:numId w:val="36"/>
        </w:numPr>
        <w:rPr>
          <w:rFonts w:asciiTheme="majorHAnsi" w:hAnsiTheme="majorHAnsi" w:cs="Arial"/>
        </w:rPr>
      </w:pPr>
      <w:r>
        <w:rPr>
          <w:rFonts w:asciiTheme="majorHAnsi" w:hAnsiTheme="majorHAnsi" w:cs="Arial"/>
        </w:rPr>
        <w:t>“</w:t>
      </w:r>
      <w:r w:rsidRPr="003541FA">
        <w:rPr>
          <w:rFonts w:asciiTheme="majorHAnsi" w:hAnsiTheme="majorHAnsi" w:cs="Arial"/>
        </w:rPr>
        <w:t>The good news for retailers is that Baby Boomers love shopping. They love shopping online, they love shopping in stores, and they shop more often.</w:t>
      </w:r>
      <w:r>
        <w:rPr>
          <w:rFonts w:asciiTheme="majorHAnsi" w:hAnsiTheme="majorHAnsi" w:cs="Arial"/>
        </w:rPr>
        <w:t>”</w:t>
      </w:r>
      <w:r>
        <w:rPr>
          <w:rStyle w:val="EndnoteReference"/>
          <w:rFonts w:cs="Arial"/>
        </w:rPr>
        <w:endnoteReference w:id="44"/>
      </w:r>
    </w:p>
    <w:p w:rsidR="003541FA" w:rsidRDefault="003541FA" w:rsidP="003541FA">
      <w:pPr>
        <w:pStyle w:val="ListParagraph"/>
        <w:numPr>
          <w:ilvl w:val="1"/>
          <w:numId w:val="36"/>
        </w:numPr>
        <w:rPr>
          <w:rFonts w:asciiTheme="majorHAnsi" w:hAnsiTheme="majorHAnsi" w:cs="Arial"/>
        </w:rPr>
      </w:pPr>
      <w:r>
        <w:rPr>
          <w:rFonts w:asciiTheme="majorHAnsi" w:hAnsiTheme="majorHAnsi" w:cs="Arial"/>
        </w:rPr>
        <w:t>“Boomers generally buy less when they shop, but it’s because they shop more frequently. They are the perfect retail shopper segment. They’re rich, they know how to use technology and they’re growing rapidly”</w:t>
      </w:r>
      <w:r>
        <w:rPr>
          <w:rStyle w:val="EndnoteReference"/>
          <w:rFonts w:cs="Arial"/>
        </w:rPr>
        <w:endnoteReference w:id="45"/>
      </w:r>
    </w:p>
    <w:p w:rsidR="003541FA" w:rsidRDefault="003541FA" w:rsidP="003541FA">
      <w:pPr>
        <w:pStyle w:val="ListParagraph"/>
        <w:numPr>
          <w:ilvl w:val="1"/>
          <w:numId w:val="36"/>
        </w:numPr>
        <w:rPr>
          <w:rFonts w:asciiTheme="majorHAnsi" w:hAnsiTheme="majorHAnsi" w:cs="Arial"/>
        </w:rPr>
      </w:pPr>
      <w:r>
        <w:rPr>
          <w:rFonts w:asciiTheme="majorHAnsi" w:hAnsiTheme="majorHAnsi" w:cs="Arial"/>
        </w:rPr>
        <w:t>“If you’re 85, two liters [sic] of sour cream are not better than one…</w:t>
      </w:r>
      <w:r w:rsidR="00787590">
        <w:rPr>
          <w:rFonts w:asciiTheme="majorHAnsi" w:hAnsiTheme="majorHAnsi" w:cs="Arial"/>
        </w:rPr>
        <w:t>boomers want a promotion that expresses the quality of the best a retailer has to offer”.</w:t>
      </w:r>
      <w:r w:rsidR="00787590">
        <w:rPr>
          <w:rStyle w:val="EndnoteReference"/>
          <w:rFonts w:cs="Arial"/>
        </w:rPr>
        <w:endnoteReference w:id="46"/>
      </w:r>
    </w:p>
    <w:p w:rsidR="00787590" w:rsidRDefault="000D6FC9" w:rsidP="00787590">
      <w:pPr>
        <w:pStyle w:val="ListParagraph"/>
        <w:numPr>
          <w:ilvl w:val="0"/>
          <w:numId w:val="36"/>
        </w:numPr>
        <w:rPr>
          <w:rFonts w:asciiTheme="majorHAnsi" w:hAnsiTheme="majorHAnsi" w:cs="Arial"/>
        </w:rPr>
      </w:pPr>
      <w:r>
        <w:rPr>
          <w:rFonts w:asciiTheme="majorHAnsi" w:hAnsiTheme="majorHAnsi" w:cs="Arial"/>
        </w:rPr>
        <w:t>Craig Vogel, University of Cincinnati:</w:t>
      </w:r>
    </w:p>
    <w:p w:rsidR="000D6FC9" w:rsidRDefault="000D6FC9" w:rsidP="000D6FC9">
      <w:pPr>
        <w:pStyle w:val="ListParagraph"/>
        <w:numPr>
          <w:ilvl w:val="1"/>
          <w:numId w:val="36"/>
        </w:numPr>
        <w:rPr>
          <w:rFonts w:asciiTheme="majorHAnsi" w:hAnsiTheme="majorHAnsi" w:cs="Arial"/>
        </w:rPr>
      </w:pPr>
      <w:r>
        <w:rPr>
          <w:rFonts w:asciiTheme="majorHAnsi" w:hAnsiTheme="majorHAnsi" w:cs="Arial"/>
        </w:rPr>
        <w:t>“</w:t>
      </w:r>
      <w:r w:rsidRPr="000D6FC9">
        <w:rPr>
          <w:rFonts w:asciiTheme="majorHAnsi" w:hAnsiTheme="majorHAnsi" w:cs="Arial"/>
        </w:rPr>
        <w:t>It's an opportunity for retailers to create opportunities to experience products and to create an ongoing relationship that may be partly [in-] store and complemented by the Web</w:t>
      </w:r>
      <w:r>
        <w:rPr>
          <w:rFonts w:asciiTheme="majorHAnsi" w:hAnsiTheme="majorHAnsi" w:cs="Arial"/>
        </w:rPr>
        <w:t>...r</w:t>
      </w:r>
      <w:r w:rsidRPr="000D6FC9">
        <w:rPr>
          <w:rFonts w:asciiTheme="majorHAnsi" w:hAnsiTheme="majorHAnsi" w:cs="Arial"/>
        </w:rPr>
        <w:t>ight now people are saying 'either/or' when it comes to in-store or online, but with Boomers it's 'and.'</w:t>
      </w:r>
      <w:r>
        <w:rPr>
          <w:rFonts w:asciiTheme="majorHAnsi" w:hAnsiTheme="majorHAnsi" w:cs="Arial"/>
        </w:rPr>
        <w:t>”</w:t>
      </w:r>
      <w:r>
        <w:rPr>
          <w:rStyle w:val="EndnoteReference"/>
          <w:rFonts w:cs="Arial"/>
        </w:rPr>
        <w:endnoteReference w:id="47"/>
      </w:r>
    </w:p>
    <w:p w:rsidR="000D6FC9" w:rsidRDefault="000D6FC9" w:rsidP="000D6FC9">
      <w:pPr>
        <w:pStyle w:val="ListParagraph"/>
        <w:numPr>
          <w:ilvl w:val="0"/>
          <w:numId w:val="36"/>
        </w:numPr>
        <w:rPr>
          <w:rFonts w:asciiTheme="majorHAnsi" w:hAnsiTheme="majorHAnsi" w:cs="Arial"/>
        </w:rPr>
      </w:pPr>
      <w:r>
        <w:rPr>
          <w:rFonts w:asciiTheme="majorHAnsi" w:hAnsiTheme="majorHAnsi" w:cs="Arial"/>
        </w:rPr>
        <w:t>Luke Bevans, Marketing Director of Universal Music Australia:</w:t>
      </w:r>
    </w:p>
    <w:p w:rsidR="000D6FC9" w:rsidRDefault="000D6FC9" w:rsidP="000D6FC9">
      <w:pPr>
        <w:pStyle w:val="ListParagraph"/>
        <w:numPr>
          <w:ilvl w:val="1"/>
          <w:numId w:val="36"/>
        </w:numPr>
        <w:rPr>
          <w:rFonts w:asciiTheme="majorHAnsi" w:hAnsiTheme="majorHAnsi" w:cs="Arial"/>
        </w:rPr>
      </w:pPr>
      <w:r w:rsidRPr="000D6FC9">
        <w:rPr>
          <w:rFonts w:asciiTheme="majorHAnsi" w:hAnsiTheme="majorHAnsi" w:cs="Arial"/>
        </w:rPr>
        <w:t>“I think that the days where people patronize the older consumers that they are not digitally-savvy; that they’re not on social media, that they don’t know how technology works; those days are over…</w:t>
      </w:r>
      <w:r w:rsidRPr="000D6FC9">
        <w:t xml:space="preserve"> </w:t>
      </w:r>
      <w:r w:rsidRPr="000D6FC9">
        <w:rPr>
          <w:rFonts w:asciiTheme="majorHAnsi" w:hAnsiTheme="majorHAnsi" w:cs="Arial"/>
        </w:rPr>
        <w:t>Technology is an enabler and it means that again, the modern older consumer has</w:t>
      </w:r>
      <w:r>
        <w:rPr>
          <w:rFonts w:asciiTheme="majorHAnsi" w:hAnsiTheme="majorHAnsi" w:cs="Arial"/>
        </w:rPr>
        <w:t xml:space="preserve"> </w:t>
      </w:r>
      <w:r w:rsidRPr="000D6FC9">
        <w:rPr>
          <w:rFonts w:asciiTheme="majorHAnsi" w:hAnsiTheme="majorHAnsi" w:cs="Arial"/>
        </w:rPr>
        <w:t>exactly the same possibilities as a modern younger consume</w:t>
      </w:r>
      <w:r>
        <w:rPr>
          <w:rFonts w:asciiTheme="majorHAnsi" w:hAnsiTheme="majorHAnsi" w:cs="Arial"/>
        </w:rPr>
        <w:t>r”</w:t>
      </w:r>
      <w:r>
        <w:rPr>
          <w:rStyle w:val="EndnoteReference"/>
          <w:rFonts w:cs="Arial"/>
        </w:rPr>
        <w:endnoteReference w:id="48"/>
      </w:r>
    </w:p>
    <w:p w:rsidR="00B17F23" w:rsidRDefault="00B17F23" w:rsidP="00B17F23">
      <w:pPr>
        <w:pStyle w:val="ListParagraph"/>
        <w:numPr>
          <w:ilvl w:val="0"/>
          <w:numId w:val="36"/>
        </w:numPr>
        <w:rPr>
          <w:rFonts w:asciiTheme="majorHAnsi" w:hAnsiTheme="majorHAnsi" w:cs="Arial"/>
        </w:rPr>
      </w:pPr>
      <w:r>
        <w:rPr>
          <w:rFonts w:asciiTheme="majorHAnsi" w:hAnsiTheme="majorHAnsi" w:cs="Arial"/>
        </w:rPr>
        <w:t>Lana, 64, lives in Brazil:</w:t>
      </w:r>
      <w:r>
        <w:rPr>
          <w:rStyle w:val="EndnoteReference"/>
          <w:rFonts w:cs="Arial"/>
        </w:rPr>
        <w:endnoteReference w:id="49"/>
      </w:r>
    </w:p>
    <w:p w:rsidR="00B17F23" w:rsidRPr="00B17F23" w:rsidRDefault="00B17F23" w:rsidP="00B17F23">
      <w:pPr>
        <w:pStyle w:val="ListParagraph"/>
        <w:numPr>
          <w:ilvl w:val="1"/>
          <w:numId w:val="36"/>
        </w:numPr>
        <w:rPr>
          <w:rFonts w:asciiTheme="majorHAnsi" w:hAnsiTheme="majorHAnsi" w:cs="Arial"/>
        </w:rPr>
      </w:pPr>
      <w:r>
        <w:rPr>
          <w:rFonts w:asciiTheme="majorHAnsi" w:hAnsiTheme="majorHAnsi" w:cs="Arial"/>
        </w:rPr>
        <w:t>“Special offers are just not interesting to me.</w:t>
      </w:r>
      <w:r w:rsidR="006D026B">
        <w:rPr>
          <w:rFonts w:asciiTheme="majorHAnsi" w:hAnsiTheme="majorHAnsi" w:cs="Arial"/>
        </w:rPr>
        <w:t xml:space="preserve"> The quantity offered is too big; it would be too heavy to bring back home. In addition, the special offer goods perish too fast. I end up throwing them away”</w:t>
      </w:r>
    </w:p>
    <w:p w:rsidR="00454165" w:rsidRDefault="00454165">
      <w:pPr>
        <w:spacing w:before="0" w:after="0"/>
        <w:rPr>
          <w:rFonts w:asciiTheme="majorHAnsi" w:hAnsiTheme="majorHAnsi" w:cs="Arial"/>
        </w:rPr>
      </w:pPr>
      <w:r>
        <w:rPr>
          <w:rFonts w:asciiTheme="majorHAnsi" w:hAnsiTheme="majorHAnsi" w:cs="Arial"/>
        </w:rPr>
        <w:br w:type="page"/>
      </w:r>
    </w:p>
    <w:p w:rsidR="004B366C" w:rsidRDefault="004B366C" w:rsidP="004B366C">
      <w:pPr>
        <w:rPr>
          <w:rFonts w:asciiTheme="majorHAnsi" w:hAnsiTheme="majorHAnsi" w:cs="Arial"/>
        </w:rPr>
      </w:pPr>
      <w:r>
        <w:rPr>
          <w:rFonts w:asciiTheme="majorHAnsi" w:hAnsiTheme="majorHAnsi" w:cs="Arial"/>
          <w:b/>
          <w:sz w:val="28"/>
        </w:rPr>
        <w:lastRenderedPageBreak/>
        <w:t xml:space="preserve">3. </w:t>
      </w:r>
      <w:bookmarkStart w:id="5" w:name="ConventionalPractice"/>
      <w:r w:rsidR="00A02522">
        <w:rPr>
          <w:rFonts w:asciiTheme="majorHAnsi" w:hAnsiTheme="majorHAnsi" w:cs="Arial"/>
          <w:b/>
          <w:sz w:val="28"/>
        </w:rPr>
        <w:t>Conventional (and bad) business approaches</w:t>
      </w:r>
      <w:bookmarkEnd w:id="5"/>
    </w:p>
    <w:p w:rsidR="004B366C" w:rsidRDefault="004B366C" w:rsidP="004B366C">
      <w:pPr>
        <w:rPr>
          <w:rFonts w:asciiTheme="majorHAnsi" w:hAnsiTheme="majorHAnsi" w:cs="Arial"/>
        </w:rPr>
      </w:pPr>
      <w:r>
        <w:rPr>
          <w:rFonts w:asciiTheme="majorHAnsi" w:hAnsiTheme="majorHAnsi" w:cs="Arial"/>
          <w:u w:val="single"/>
        </w:rPr>
        <w:t>Facts and Stats</w:t>
      </w:r>
    </w:p>
    <w:p w:rsidR="000816E3" w:rsidRDefault="000816E3" w:rsidP="004B366C">
      <w:pPr>
        <w:pStyle w:val="ListParagraph"/>
        <w:numPr>
          <w:ilvl w:val="0"/>
          <w:numId w:val="37"/>
        </w:numPr>
        <w:rPr>
          <w:rFonts w:asciiTheme="majorHAnsi" w:hAnsiTheme="majorHAnsi" w:cs="Arial"/>
        </w:rPr>
      </w:pPr>
      <w:r w:rsidRPr="000816E3">
        <w:rPr>
          <w:rFonts w:asciiTheme="majorHAnsi" w:hAnsiTheme="majorHAnsi" w:cs="Arial"/>
          <w:b/>
        </w:rPr>
        <w:t>PRACTICE 1:</w:t>
      </w:r>
      <w:r>
        <w:rPr>
          <w:rFonts w:asciiTheme="majorHAnsi" w:hAnsiTheme="majorHAnsi" w:cs="Arial"/>
        </w:rPr>
        <w:t xml:space="preserve"> </w:t>
      </w:r>
      <w:r w:rsidRPr="00C96E9E">
        <w:rPr>
          <w:rFonts w:asciiTheme="majorHAnsi" w:hAnsiTheme="majorHAnsi" w:cs="Arial"/>
          <w:b/>
        </w:rPr>
        <w:t xml:space="preserve">Older People are somewhat invisible to </w:t>
      </w:r>
      <w:r w:rsidR="00C96E9E" w:rsidRPr="00C96E9E">
        <w:rPr>
          <w:rFonts w:asciiTheme="majorHAnsi" w:hAnsiTheme="majorHAnsi" w:cs="Arial"/>
          <w:b/>
        </w:rPr>
        <w:t>many consumer goods business and marketers, and when they are engaged, they are l</w:t>
      </w:r>
      <w:r w:rsidR="00E66EF6">
        <w:rPr>
          <w:rFonts w:asciiTheme="majorHAnsi" w:hAnsiTheme="majorHAnsi" w:cs="Arial"/>
          <w:b/>
        </w:rPr>
        <w:t>imited by stereotypes of ageing: this does not reflect their lifestyles.</w:t>
      </w:r>
    </w:p>
    <w:p w:rsidR="004B366C" w:rsidRDefault="00A02522" w:rsidP="004B366C">
      <w:pPr>
        <w:pStyle w:val="ListParagraph"/>
        <w:numPr>
          <w:ilvl w:val="0"/>
          <w:numId w:val="37"/>
        </w:numPr>
        <w:rPr>
          <w:rFonts w:asciiTheme="majorHAnsi" w:hAnsiTheme="majorHAnsi" w:cs="Arial"/>
        </w:rPr>
      </w:pPr>
      <w:r>
        <w:rPr>
          <w:rFonts w:asciiTheme="majorHAnsi" w:hAnsiTheme="majorHAnsi" w:cs="Arial"/>
        </w:rPr>
        <w:t>The interests of older people are said to be limited to palliative care products</w:t>
      </w:r>
      <w:r w:rsidR="00CB654F">
        <w:rPr>
          <w:rFonts w:asciiTheme="majorHAnsi" w:hAnsiTheme="majorHAnsi" w:cs="Arial"/>
        </w:rPr>
        <w:t>, and existing products that targeted seniors and made money are tied to this</w:t>
      </w:r>
      <w:r>
        <w:rPr>
          <w:rFonts w:asciiTheme="majorHAnsi" w:hAnsiTheme="majorHAnsi" w:cs="Arial"/>
        </w:rPr>
        <w:t>:</w:t>
      </w:r>
    </w:p>
    <w:p w:rsidR="00A02522" w:rsidRDefault="00CB654F" w:rsidP="00A02522">
      <w:pPr>
        <w:pStyle w:val="ListParagraph"/>
        <w:numPr>
          <w:ilvl w:val="1"/>
          <w:numId w:val="37"/>
        </w:numPr>
        <w:rPr>
          <w:rFonts w:asciiTheme="majorHAnsi" w:hAnsiTheme="majorHAnsi" w:cs="Arial"/>
        </w:rPr>
      </w:pPr>
      <w:r>
        <w:rPr>
          <w:rFonts w:asciiTheme="majorHAnsi" w:hAnsiTheme="majorHAnsi" w:cs="Arial"/>
        </w:rPr>
        <w:t xml:space="preserve">Depend (incontinence underwear) </w:t>
      </w:r>
      <w:r w:rsidR="00F16D30">
        <w:rPr>
          <w:rFonts w:asciiTheme="majorHAnsi" w:hAnsiTheme="majorHAnsi" w:cs="Arial"/>
        </w:rPr>
        <w:t>generates $600 million, and the global adult incontinence market has grown 47% to</w:t>
      </w:r>
      <w:r w:rsidR="005E3065">
        <w:rPr>
          <w:rFonts w:asciiTheme="majorHAnsi" w:hAnsiTheme="majorHAnsi" w:cs="Arial"/>
        </w:rPr>
        <w:t xml:space="preserve"> </w:t>
      </w:r>
      <w:r w:rsidR="00F16D30">
        <w:rPr>
          <w:rFonts w:asciiTheme="majorHAnsi" w:hAnsiTheme="majorHAnsi" w:cs="Arial"/>
        </w:rPr>
        <w:t>$4.7 billion in the period from 20008-2013.</w:t>
      </w:r>
      <w:r w:rsidR="00F16D30">
        <w:rPr>
          <w:rStyle w:val="EndnoteReference"/>
          <w:rFonts w:cs="Arial"/>
        </w:rPr>
        <w:endnoteReference w:id="50"/>
      </w:r>
    </w:p>
    <w:p w:rsidR="00DD75DF" w:rsidRDefault="00DD75DF" w:rsidP="00A02522">
      <w:pPr>
        <w:pStyle w:val="ListParagraph"/>
        <w:numPr>
          <w:ilvl w:val="1"/>
          <w:numId w:val="37"/>
        </w:numPr>
        <w:rPr>
          <w:rFonts w:asciiTheme="majorHAnsi" w:hAnsiTheme="majorHAnsi" w:cs="Arial"/>
        </w:rPr>
      </w:pPr>
      <w:r>
        <w:rPr>
          <w:rFonts w:asciiTheme="majorHAnsi" w:hAnsiTheme="majorHAnsi" w:cs="Arial"/>
        </w:rPr>
        <w:t xml:space="preserve">Insurance and funerals featured </w:t>
      </w:r>
      <w:r w:rsidR="00C96E9E">
        <w:rPr>
          <w:rFonts w:asciiTheme="majorHAnsi" w:hAnsiTheme="majorHAnsi" w:cs="Arial"/>
        </w:rPr>
        <w:t xml:space="preserve">heavily in targeted </w:t>
      </w:r>
      <w:r>
        <w:rPr>
          <w:rFonts w:asciiTheme="majorHAnsi" w:hAnsiTheme="majorHAnsi" w:cs="Arial"/>
        </w:rPr>
        <w:t>Australian advertising.</w:t>
      </w:r>
      <w:r>
        <w:rPr>
          <w:rStyle w:val="EndnoteReference"/>
          <w:rFonts w:cs="Arial"/>
        </w:rPr>
        <w:endnoteReference w:id="51"/>
      </w:r>
    </w:p>
    <w:p w:rsidR="00F16D30" w:rsidRDefault="00B85976" w:rsidP="00B85976">
      <w:pPr>
        <w:pStyle w:val="ListParagraph"/>
        <w:numPr>
          <w:ilvl w:val="0"/>
          <w:numId w:val="37"/>
        </w:numPr>
        <w:rPr>
          <w:rFonts w:asciiTheme="majorHAnsi" w:hAnsiTheme="majorHAnsi" w:cs="Arial"/>
        </w:rPr>
      </w:pPr>
      <w:r>
        <w:rPr>
          <w:rFonts w:asciiTheme="majorHAnsi" w:hAnsiTheme="majorHAnsi" w:cs="Arial"/>
        </w:rPr>
        <w:t>According to Alison Sander, who runs BCG’s Center for Sensing and Mining the Future, only 5% of corporate clients truly understand the nuances of the senior market.</w:t>
      </w:r>
      <w:r>
        <w:rPr>
          <w:rStyle w:val="EndnoteReference"/>
          <w:rFonts w:cs="Arial"/>
        </w:rPr>
        <w:endnoteReference w:id="52"/>
      </w:r>
    </w:p>
    <w:p w:rsidR="005E774E" w:rsidRDefault="005E774E" w:rsidP="00B85976">
      <w:pPr>
        <w:pStyle w:val="ListParagraph"/>
        <w:numPr>
          <w:ilvl w:val="0"/>
          <w:numId w:val="37"/>
        </w:numPr>
        <w:rPr>
          <w:rFonts w:asciiTheme="majorHAnsi" w:hAnsiTheme="majorHAnsi" w:cs="Arial"/>
        </w:rPr>
      </w:pPr>
      <w:r>
        <w:rPr>
          <w:rFonts w:asciiTheme="majorHAnsi" w:hAnsiTheme="majorHAnsi" w:cs="Arial"/>
        </w:rPr>
        <w:t>Outside of traditional ‘older people’ products, older consumers rarely feature.</w:t>
      </w:r>
    </w:p>
    <w:p w:rsidR="005E774E" w:rsidRPr="005E3065" w:rsidRDefault="005E774E" w:rsidP="005E774E">
      <w:pPr>
        <w:pStyle w:val="ListParagraph"/>
        <w:numPr>
          <w:ilvl w:val="1"/>
          <w:numId w:val="37"/>
        </w:numPr>
        <w:rPr>
          <w:rFonts w:asciiTheme="majorHAnsi" w:hAnsiTheme="majorHAnsi" w:cs="Arial"/>
          <w:color w:val="C00000"/>
        </w:rPr>
      </w:pPr>
      <w:r w:rsidRPr="005E3065">
        <w:rPr>
          <w:rFonts w:asciiTheme="majorHAnsi" w:hAnsiTheme="majorHAnsi" w:cs="Arial"/>
          <w:color w:val="C00000"/>
        </w:rPr>
        <w:t>In Australia, people aged 65+ only featured in 4.7% of advertising content</w:t>
      </w:r>
      <w:r w:rsidRPr="005E3065">
        <w:rPr>
          <w:rStyle w:val="EndnoteReference"/>
          <w:rFonts w:cs="Arial"/>
          <w:color w:val="C00000"/>
        </w:rPr>
        <w:endnoteReference w:id="53"/>
      </w:r>
    </w:p>
    <w:p w:rsidR="005E774E" w:rsidRPr="005E3065" w:rsidRDefault="00DD75DF" w:rsidP="005E774E">
      <w:pPr>
        <w:pStyle w:val="ListParagraph"/>
        <w:numPr>
          <w:ilvl w:val="2"/>
          <w:numId w:val="37"/>
        </w:numPr>
        <w:rPr>
          <w:rFonts w:asciiTheme="majorHAnsi" w:hAnsiTheme="majorHAnsi" w:cs="Arial"/>
          <w:color w:val="C00000"/>
        </w:rPr>
      </w:pPr>
      <w:r w:rsidRPr="005E3065">
        <w:rPr>
          <w:rFonts w:asciiTheme="majorHAnsi" w:hAnsiTheme="majorHAnsi" w:cs="Arial"/>
          <w:color w:val="C00000"/>
        </w:rPr>
        <w:t>Advertising specific to older audiences featured aspects of cognitive and physical deficiencies, with 47% of the community saying this is unfair.</w:t>
      </w:r>
      <w:r w:rsidRPr="005E3065">
        <w:rPr>
          <w:rStyle w:val="EndnoteReference"/>
          <w:rFonts w:cs="Arial"/>
          <w:color w:val="C00000"/>
        </w:rPr>
        <w:endnoteReference w:id="54"/>
      </w:r>
    </w:p>
    <w:p w:rsidR="00B85976" w:rsidRPr="005E3065" w:rsidRDefault="00B85976" w:rsidP="005E774E">
      <w:pPr>
        <w:pStyle w:val="ListParagraph"/>
        <w:numPr>
          <w:ilvl w:val="1"/>
          <w:numId w:val="37"/>
        </w:numPr>
        <w:rPr>
          <w:rFonts w:asciiTheme="majorHAnsi" w:hAnsiTheme="majorHAnsi" w:cs="Arial"/>
          <w:color w:val="0070C0"/>
        </w:rPr>
      </w:pPr>
      <w:r w:rsidRPr="005E3065">
        <w:rPr>
          <w:rFonts w:asciiTheme="majorHAnsi" w:hAnsiTheme="majorHAnsi" w:cs="Arial"/>
          <w:color w:val="0070C0"/>
        </w:rPr>
        <w:t>In the USA, only 15% of advertising dollars are spent on this demographic.</w:t>
      </w:r>
      <w:r w:rsidRPr="005E3065">
        <w:rPr>
          <w:rStyle w:val="EndnoteReference"/>
          <w:rFonts w:cs="Arial"/>
          <w:color w:val="0070C0"/>
        </w:rPr>
        <w:endnoteReference w:id="55"/>
      </w:r>
    </w:p>
    <w:p w:rsidR="000816E3" w:rsidRPr="005E3065" w:rsidRDefault="000816E3" w:rsidP="005E774E">
      <w:pPr>
        <w:pStyle w:val="ListParagraph"/>
        <w:numPr>
          <w:ilvl w:val="1"/>
          <w:numId w:val="37"/>
        </w:numPr>
        <w:rPr>
          <w:rFonts w:asciiTheme="majorHAnsi" w:hAnsiTheme="majorHAnsi" w:cs="Arial"/>
          <w:color w:val="0070C0"/>
        </w:rPr>
      </w:pPr>
      <w:r w:rsidRPr="005E3065">
        <w:rPr>
          <w:rFonts w:asciiTheme="majorHAnsi" w:hAnsiTheme="majorHAnsi" w:cs="Arial"/>
          <w:color w:val="0070C0"/>
        </w:rPr>
        <w:t>In the UK, 2/3 of consumers day that advertising portrays them negatively and ¾ say that they don’t relate to it at all.</w:t>
      </w:r>
      <w:r w:rsidRPr="005E3065">
        <w:rPr>
          <w:rStyle w:val="EndnoteReference"/>
          <w:rFonts w:cs="Arial"/>
          <w:color w:val="0070C0"/>
        </w:rPr>
        <w:endnoteReference w:id="56"/>
      </w:r>
    </w:p>
    <w:p w:rsidR="00AB3027" w:rsidRPr="005E3065" w:rsidRDefault="00AB3027" w:rsidP="00AB3027">
      <w:pPr>
        <w:pStyle w:val="ListParagraph"/>
        <w:numPr>
          <w:ilvl w:val="2"/>
          <w:numId w:val="37"/>
        </w:numPr>
        <w:rPr>
          <w:rFonts w:asciiTheme="majorHAnsi" w:hAnsiTheme="majorHAnsi" w:cs="Arial"/>
          <w:color w:val="0070C0"/>
        </w:rPr>
      </w:pPr>
      <w:r w:rsidRPr="005E3065">
        <w:rPr>
          <w:rFonts w:asciiTheme="majorHAnsi" w:hAnsiTheme="majorHAnsi" w:cs="Arial"/>
          <w:color w:val="0070C0"/>
        </w:rPr>
        <w:t>A 2008 study found that over 55% of over 50s felt that advertising treated them in a patronizing manner.</w:t>
      </w:r>
      <w:r w:rsidRPr="005E3065">
        <w:rPr>
          <w:rStyle w:val="EndnoteReference"/>
          <w:rFonts w:cs="Arial"/>
          <w:color w:val="0070C0"/>
        </w:rPr>
        <w:endnoteReference w:id="57"/>
      </w:r>
    </w:p>
    <w:p w:rsidR="000816E3" w:rsidRPr="005E3065" w:rsidRDefault="000816E3" w:rsidP="005E774E">
      <w:pPr>
        <w:pStyle w:val="ListParagraph"/>
        <w:numPr>
          <w:ilvl w:val="1"/>
          <w:numId w:val="37"/>
        </w:numPr>
        <w:rPr>
          <w:rFonts w:asciiTheme="majorHAnsi" w:hAnsiTheme="majorHAnsi" w:cs="Arial"/>
          <w:color w:val="7030A0"/>
        </w:rPr>
      </w:pPr>
      <w:r w:rsidRPr="005E3065">
        <w:rPr>
          <w:rFonts w:asciiTheme="majorHAnsi" w:hAnsiTheme="majorHAnsi" w:cs="Arial"/>
          <w:color w:val="7030A0"/>
        </w:rPr>
        <w:t>Many in the A.T. Kearney global survey commented that most advertising and marketing was targeted at younger people and their interests.</w:t>
      </w:r>
      <w:r w:rsidRPr="005E3065">
        <w:rPr>
          <w:rStyle w:val="EndnoteReference"/>
          <w:rFonts w:cs="Arial"/>
          <w:color w:val="7030A0"/>
        </w:rPr>
        <w:endnoteReference w:id="58"/>
      </w:r>
    </w:p>
    <w:p w:rsidR="00C96E9E" w:rsidRDefault="00E66EF6" w:rsidP="00C96E9E">
      <w:pPr>
        <w:pStyle w:val="ListParagraph"/>
        <w:numPr>
          <w:ilvl w:val="0"/>
          <w:numId w:val="37"/>
        </w:numPr>
        <w:rPr>
          <w:rFonts w:asciiTheme="majorHAnsi" w:hAnsiTheme="majorHAnsi" w:cs="Arial"/>
        </w:rPr>
      </w:pPr>
      <w:r>
        <w:rPr>
          <w:rFonts w:asciiTheme="majorHAnsi" w:hAnsiTheme="majorHAnsi" w:cs="Arial"/>
          <w:b/>
        </w:rPr>
        <w:t>P</w:t>
      </w:r>
      <w:r w:rsidR="00C96E9E">
        <w:rPr>
          <w:rFonts w:asciiTheme="majorHAnsi" w:hAnsiTheme="majorHAnsi" w:cs="Arial"/>
          <w:b/>
        </w:rPr>
        <w:t>R</w:t>
      </w:r>
      <w:r>
        <w:rPr>
          <w:rFonts w:asciiTheme="majorHAnsi" w:hAnsiTheme="majorHAnsi" w:cs="Arial"/>
          <w:b/>
        </w:rPr>
        <w:t>A</w:t>
      </w:r>
      <w:r w:rsidR="00C96E9E">
        <w:rPr>
          <w:rFonts w:asciiTheme="majorHAnsi" w:hAnsiTheme="majorHAnsi" w:cs="Arial"/>
          <w:b/>
        </w:rPr>
        <w:t xml:space="preserve">CTICE 2: </w:t>
      </w:r>
      <w:r>
        <w:rPr>
          <w:rFonts w:asciiTheme="majorHAnsi" w:hAnsiTheme="majorHAnsi" w:cs="Arial"/>
          <w:b/>
        </w:rPr>
        <w:t xml:space="preserve">it is believed that older people </w:t>
      </w:r>
      <w:r>
        <w:rPr>
          <w:rFonts w:asciiTheme="majorHAnsi" w:hAnsiTheme="majorHAnsi" w:cs="Arial"/>
          <w:b/>
          <w:i/>
        </w:rPr>
        <w:t xml:space="preserve">cannot </w:t>
      </w:r>
      <w:r>
        <w:rPr>
          <w:rFonts w:asciiTheme="majorHAnsi" w:hAnsiTheme="majorHAnsi" w:cs="Arial"/>
          <w:b/>
        </w:rPr>
        <w:t>be marketed to because they have entrenched brand loyalty</w:t>
      </w:r>
      <w:r>
        <w:rPr>
          <w:rFonts w:asciiTheme="majorHAnsi" w:hAnsiTheme="majorHAnsi" w:cs="Arial"/>
        </w:rPr>
        <w:t>.</w:t>
      </w:r>
    </w:p>
    <w:p w:rsidR="00E66EF6" w:rsidRDefault="00E66EF6" w:rsidP="00C96E9E">
      <w:pPr>
        <w:pStyle w:val="ListParagraph"/>
        <w:numPr>
          <w:ilvl w:val="0"/>
          <w:numId w:val="37"/>
        </w:numPr>
        <w:rPr>
          <w:rFonts w:asciiTheme="majorHAnsi" w:hAnsiTheme="majorHAnsi" w:cs="Arial"/>
        </w:rPr>
      </w:pPr>
      <w:r>
        <w:rPr>
          <w:rFonts w:asciiTheme="majorHAnsi" w:hAnsiTheme="majorHAnsi" w:cs="Arial"/>
        </w:rPr>
        <w:t>In fact, seniors often purchase out of habit rather than loyalty:</w:t>
      </w:r>
    </w:p>
    <w:p w:rsidR="00E66EF6" w:rsidRDefault="00E66EF6" w:rsidP="00E66EF6">
      <w:pPr>
        <w:pStyle w:val="ListParagraph"/>
        <w:numPr>
          <w:ilvl w:val="1"/>
          <w:numId w:val="37"/>
        </w:numPr>
        <w:rPr>
          <w:rFonts w:asciiTheme="majorHAnsi" w:hAnsiTheme="majorHAnsi" w:cs="Arial"/>
        </w:rPr>
      </w:pPr>
      <w:r>
        <w:rPr>
          <w:rFonts w:asciiTheme="majorHAnsi" w:hAnsiTheme="majorHAnsi" w:cs="Arial"/>
        </w:rPr>
        <w:t>They are more than willing to switch if the quality is higher, given that is their central concern.</w:t>
      </w:r>
      <w:r>
        <w:rPr>
          <w:rStyle w:val="EndnoteReference"/>
          <w:rFonts w:cs="Arial"/>
        </w:rPr>
        <w:endnoteReference w:id="59"/>
      </w:r>
    </w:p>
    <w:p w:rsidR="006C3C06" w:rsidRDefault="0006352E" w:rsidP="006C3C06">
      <w:pPr>
        <w:pStyle w:val="ListParagraph"/>
        <w:numPr>
          <w:ilvl w:val="1"/>
          <w:numId w:val="37"/>
        </w:numPr>
        <w:rPr>
          <w:rFonts w:asciiTheme="majorHAnsi" w:hAnsiTheme="majorHAnsi" w:cs="Arial"/>
        </w:rPr>
      </w:pPr>
      <w:r>
        <w:rPr>
          <w:rFonts w:asciiTheme="majorHAnsi" w:hAnsiTheme="majorHAnsi" w:cs="Arial"/>
        </w:rPr>
        <w:t>They are also more willing to be experimental with novel products and are concerned with trends.</w:t>
      </w:r>
      <w:r>
        <w:rPr>
          <w:rStyle w:val="EndnoteReference"/>
          <w:rFonts w:cs="Arial"/>
        </w:rPr>
        <w:endnoteReference w:id="60"/>
      </w:r>
    </w:p>
    <w:p w:rsidR="00293C04" w:rsidRPr="006C3C06" w:rsidRDefault="00293C04" w:rsidP="00293C04">
      <w:pPr>
        <w:pStyle w:val="ListParagraph"/>
        <w:numPr>
          <w:ilvl w:val="2"/>
          <w:numId w:val="37"/>
        </w:numPr>
        <w:rPr>
          <w:rFonts w:asciiTheme="majorHAnsi" w:hAnsiTheme="majorHAnsi" w:cs="Arial"/>
        </w:rPr>
      </w:pPr>
      <w:r>
        <w:rPr>
          <w:rFonts w:asciiTheme="majorHAnsi" w:hAnsiTheme="majorHAnsi" w:cs="Arial"/>
        </w:rPr>
        <w:t>This is because there is often closer communication between generations, and they have increased consciousness of their appearance.</w:t>
      </w:r>
      <w:r>
        <w:rPr>
          <w:rStyle w:val="EndnoteReference"/>
          <w:rFonts w:cs="Arial"/>
        </w:rPr>
        <w:endnoteReference w:id="61"/>
      </w:r>
    </w:p>
    <w:p w:rsidR="000C2C4E" w:rsidRDefault="000C2C4E" w:rsidP="000C2C4E">
      <w:pPr>
        <w:pStyle w:val="ListParagraph"/>
        <w:numPr>
          <w:ilvl w:val="0"/>
          <w:numId w:val="37"/>
        </w:numPr>
        <w:rPr>
          <w:rFonts w:asciiTheme="majorHAnsi" w:hAnsiTheme="majorHAnsi" w:cs="Arial"/>
        </w:rPr>
      </w:pPr>
      <w:r>
        <w:rPr>
          <w:rFonts w:asciiTheme="majorHAnsi" w:hAnsiTheme="majorHAnsi" w:cs="Arial"/>
        </w:rPr>
        <w:t>Much of this correlates with increasingly active lifestyles being led by older people: retirement has been redefined to focus on freedom and adventure.</w:t>
      </w:r>
      <w:r>
        <w:rPr>
          <w:rStyle w:val="EndnoteReference"/>
          <w:rFonts w:cs="Arial"/>
        </w:rPr>
        <w:endnoteReference w:id="62"/>
      </w:r>
    </w:p>
    <w:p w:rsidR="006C3C06" w:rsidRPr="005E3065" w:rsidRDefault="006C3C06" w:rsidP="006C3C06">
      <w:pPr>
        <w:pStyle w:val="ListParagraph"/>
        <w:numPr>
          <w:ilvl w:val="1"/>
          <w:numId w:val="37"/>
        </w:numPr>
        <w:rPr>
          <w:rFonts w:asciiTheme="majorHAnsi" w:hAnsiTheme="majorHAnsi" w:cs="Arial"/>
          <w:color w:val="0070C0"/>
        </w:rPr>
      </w:pPr>
      <w:r w:rsidRPr="005E3065">
        <w:rPr>
          <w:rFonts w:asciiTheme="majorHAnsi" w:hAnsiTheme="majorHAnsi" w:cs="Arial"/>
          <w:color w:val="0070C0"/>
        </w:rPr>
        <w:t>They are looking for new experiences and 2/3 of American seniors plan to spend more time on hobbies and interests as they age.</w:t>
      </w:r>
      <w:r w:rsidRPr="005E3065">
        <w:rPr>
          <w:rStyle w:val="EndnoteReference"/>
          <w:rFonts w:cs="Arial"/>
          <w:color w:val="0070C0"/>
        </w:rPr>
        <w:endnoteReference w:id="63"/>
      </w:r>
    </w:p>
    <w:p w:rsidR="006A6EB3" w:rsidRDefault="006A6EB3" w:rsidP="00FA1C61">
      <w:pPr>
        <w:rPr>
          <w:rFonts w:asciiTheme="majorHAnsi" w:hAnsiTheme="majorHAnsi" w:cs="Arial"/>
          <w:u w:val="single"/>
        </w:rPr>
      </w:pPr>
    </w:p>
    <w:p w:rsidR="006A6EB3" w:rsidRDefault="006A6EB3" w:rsidP="00FA1C61">
      <w:pPr>
        <w:rPr>
          <w:rFonts w:asciiTheme="majorHAnsi" w:hAnsiTheme="majorHAnsi" w:cs="Arial"/>
          <w:u w:val="single"/>
        </w:rPr>
      </w:pPr>
    </w:p>
    <w:p w:rsidR="006A6EB3" w:rsidRDefault="006A6EB3" w:rsidP="00FA1C61">
      <w:pPr>
        <w:rPr>
          <w:rFonts w:asciiTheme="majorHAnsi" w:hAnsiTheme="majorHAnsi" w:cs="Arial"/>
          <w:u w:val="single"/>
        </w:rPr>
      </w:pPr>
    </w:p>
    <w:p w:rsidR="006A6EB3" w:rsidRDefault="006A6EB3" w:rsidP="00FA1C61">
      <w:pPr>
        <w:rPr>
          <w:rFonts w:asciiTheme="majorHAnsi" w:hAnsiTheme="majorHAnsi" w:cs="Arial"/>
          <w:u w:val="single"/>
        </w:rPr>
      </w:pPr>
    </w:p>
    <w:p w:rsidR="006A6EB3" w:rsidRDefault="006A6EB3" w:rsidP="00FA1C61">
      <w:pPr>
        <w:rPr>
          <w:rFonts w:asciiTheme="majorHAnsi" w:hAnsiTheme="majorHAnsi" w:cs="Arial"/>
          <w:u w:val="single"/>
        </w:rPr>
      </w:pPr>
    </w:p>
    <w:p w:rsidR="006A6EB3" w:rsidRDefault="006A6EB3" w:rsidP="00FA1C61">
      <w:pPr>
        <w:rPr>
          <w:rFonts w:asciiTheme="majorHAnsi" w:hAnsiTheme="majorHAnsi" w:cs="Arial"/>
          <w:u w:val="single"/>
        </w:rPr>
      </w:pPr>
    </w:p>
    <w:p w:rsidR="006A6EB3" w:rsidRDefault="006A6EB3" w:rsidP="00FA1C61">
      <w:pPr>
        <w:rPr>
          <w:rFonts w:asciiTheme="majorHAnsi" w:hAnsiTheme="majorHAnsi" w:cs="Arial"/>
          <w:u w:val="single"/>
        </w:rPr>
      </w:pPr>
    </w:p>
    <w:p w:rsidR="000C2C4E" w:rsidRDefault="00FA1C61" w:rsidP="00FA1C61">
      <w:pPr>
        <w:rPr>
          <w:rFonts w:asciiTheme="majorHAnsi" w:hAnsiTheme="majorHAnsi" w:cs="Arial"/>
        </w:rPr>
      </w:pPr>
      <w:bookmarkStart w:id="6" w:name="ConventionalPracticeQuotes"/>
      <w:r>
        <w:rPr>
          <w:rFonts w:asciiTheme="majorHAnsi" w:hAnsiTheme="majorHAnsi" w:cs="Arial"/>
          <w:u w:val="single"/>
        </w:rPr>
        <w:t>Quotes</w:t>
      </w:r>
    </w:p>
    <w:bookmarkEnd w:id="6"/>
    <w:p w:rsidR="00FA1C61" w:rsidRDefault="00FA1C61" w:rsidP="00FA1C61">
      <w:pPr>
        <w:pStyle w:val="ListParagraph"/>
        <w:numPr>
          <w:ilvl w:val="0"/>
          <w:numId w:val="38"/>
        </w:numPr>
        <w:rPr>
          <w:rFonts w:asciiTheme="majorHAnsi" w:hAnsiTheme="majorHAnsi" w:cs="Arial"/>
        </w:rPr>
      </w:pPr>
      <w:r>
        <w:rPr>
          <w:rFonts w:asciiTheme="majorHAnsi" w:hAnsiTheme="majorHAnsi" w:cs="Arial"/>
        </w:rPr>
        <w:t xml:space="preserve">Matthew Doyle, </w:t>
      </w:r>
      <w:r w:rsidR="00E75519">
        <w:rPr>
          <w:rFonts w:asciiTheme="majorHAnsi" w:hAnsiTheme="majorHAnsi" w:cs="Arial"/>
        </w:rPr>
        <w:t xml:space="preserve">Vice President of the </w:t>
      </w:r>
      <w:r>
        <w:rPr>
          <w:rFonts w:asciiTheme="majorHAnsi" w:hAnsiTheme="majorHAnsi" w:cs="Arial"/>
        </w:rPr>
        <w:t>Proctor &amp; Gamble</w:t>
      </w:r>
      <w:r w:rsidR="00E75519">
        <w:rPr>
          <w:rFonts w:asciiTheme="majorHAnsi" w:hAnsiTheme="majorHAnsi" w:cs="Arial"/>
        </w:rPr>
        <w:t xml:space="preserve"> Live Well Collaborative:</w:t>
      </w:r>
    </w:p>
    <w:p w:rsidR="00E75519" w:rsidRDefault="00E75519" w:rsidP="00E75519">
      <w:pPr>
        <w:pStyle w:val="ListParagraph"/>
        <w:numPr>
          <w:ilvl w:val="1"/>
          <w:numId w:val="38"/>
        </w:numPr>
        <w:rPr>
          <w:rFonts w:asciiTheme="majorHAnsi" w:hAnsiTheme="majorHAnsi" w:cs="Arial"/>
        </w:rPr>
      </w:pPr>
      <w:r>
        <w:rPr>
          <w:rFonts w:asciiTheme="majorHAnsi" w:hAnsiTheme="majorHAnsi" w:cs="Arial"/>
        </w:rPr>
        <w:t>“This consumer segment [older people] is one of the more difficult ones to open up in terms of needs and wants…no one was designing products for them”</w:t>
      </w:r>
      <w:r>
        <w:rPr>
          <w:rStyle w:val="EndnoteReference"/>
          <w:rFonts w:cs="Arial"/>
        </w:rPr>
        <w:endnoteReference w:id="64"/>
      </w:r>
    </w:p>
    <w:p w:rsidR="00E75519" w:rsidRDefault="00E75519" w:rsidP="00E75519">
      <w:pPr>
        <w:pStyle w:val="ListParagraph"/>
        <w:numPr>
          <w:ilvl w:val="0"/>
          <w:numId w:val="38"/>
        </w:numPr>
        <w:rPr>
          <w:rFonts w:asciiTheme="majorHAnsi" w:hAnsiTheme="majorHAnsi" w:cs="Arial"/>
        </w:rPr>
      </w:pPr>
      <w:r>
        <w:rPr>
          <w:rFonts w:asciiTheme="majorHAnsi" w:hAnsiTheme="majorHAnsi" w:cs="Arial"/>
        </w:rPr>
        <w:t>Matthew Boyle, reporter for Bloomberg:</w:t>
      </w:r>
    </w:p>
    <w:p w:rsidR="00E75519" w:rsidRDefault="00E75519" w:rsidP="00470587">
      <w:pPr>
        <w:pStyle w:val="ListParagraph"/>
        <w:numPr>
          <w:ilvl w:val="1"/>
          <w:numId w:val="38"/>
        </w:numPr>
        <w:rPr>
          <w:rFonts w:asciiTheme="majorHAnsi" w:hAnsiTheme="majorHAnsi" w:cs="Arial"/>
        </w:rPr>
      </w:pPr>
      <w:r>
        <w:rPr>
          <w:rFonts w:asciiTheme="majorHAnsi" w:hAnsiTheme="majorHAnsi" w:cs="Arial"/>
        </w:rPr>
        <w:t>“</w:t>
      </w:r>
      <w:r w:rsidRPr="00E75519">
        <w:rPr>
          <w:rFonts w:asciiTheme="majorHAnsi" w:hAnsiTheme="majorHAnsi" w:cs="Arial"/>
        </w:rPr>
        <w:t>That’s not to say there aren’t products targeted at the senior circuit -- Depend undergarments, Fixodent denture cream, MedicAlert bracelets, even Swarovski crystal-studded walking canes. And who can forget LifeCall, made famous by late-night TV ads featuring the poor old woman who has “fallen and can’t get up”?</w:t>
      </w:r>
      <w:r w:rsidR="00470587">
        <w:rPr>
          <w:rFonts w:asciiTheme="majorHAnsi" w:hAnsiTheme="majorHAnsi" w:cs="Arial"/>
        </w:rPr>
        <w:t xml:space="preserve"> … </w:t>
      </w:r>
      <w:r w:rsidR="00470587" w:rsidRPr="00470587">
        <w:rPr>
          <w:rFonts w:asciiTheme="majorHAnsi" w:hAnsiTheme="majorHAnsi" w:cs="Arial"/>
        </w:rPr>
        <w:t>The problem with those products -- beyond the crummy ads -- was that they highlighted and reinforced the debilitating effects of aging. They’re palliative in nature, tools to make the long goodbye a bit less painful. “Use them, feel old” could be their slogan.</w:t>
      </w:r>
      <w:r w:rsidR="00470587">
        <w:rPr>
          <w:rFonts w:asciiTheme="majorHAnsi" w:hAnsiTheme="majorHAnsi" w:cs="Arial"/>
        </w:rPr>
        <w:t>”</w:t>
      </w:r>
      <w:r w:rsidR="00470587">
        <w:rPr>
          <w:rStyle w:val="EndnoteReference"/>
          <w:rFonts w:cs="Arial"/>
        </w:rPr>
        <w:endnoteReference w:id="65"/>
      </w:r>
    </w:p>
    <w:p w:rsidR="00470587" w:rsidRDefault="000B3973" w:rsidP="00470587">
      <w:pPr>
        <w:pStyle w:val="ListParagraph"/>
        <w:numPr>
          <w:ilvl w:val="0"/>
          <w:numId w:val="38"/>
        </w:numPr>
        <w:rPr>
          <w:rFonts w:asciiTheme="majorHAnsi" w:hAnsiTheme="majorHAnsi" w:cs="Arial"/>
        </w:rPr>
      </w:pPr>
      <w:r>
        <w:rPr>
          <w:rFonts w:asciiTheme="majorHAnsi" w:hAnsiTheme="majorHAnsi" w:cs="Arial"/>
        </w:rPr>
        <w:t>Ken Dychtwald, Gerontologist and consultant for Age Wave:</w:t>
      </w:r>
    </w:p>
    <w:p w:rsidR="000B3973" w:rsidRDefault="000B3973" w:rsidP="000B3973">
      <w:pPr>
        <w:pStyle w:val="ListParagraph"/>
        <w:numPr>
          <w:ilvl w:val="1"/>
          <w:numId w:val="38"/>
        </w:numPr>
        <w:rPr>
          <w:rFonts w:asciiTheme="majorHAnsi" w:hAnsiTheme="majorHAnsi" w:cs="Arial"/>
        </w:rPr>
      </w:pPr>
      <w:r>
        <w:rPr>
          <w:rFonts w:asciiTheme="majorHAnsi" w:hAnsiTheme="majorHAnsi" w:cs="Arial"/>
        </w:rPr>
        <w:t>“I have been in meetings where I ask Fortune 500 CEOs what they would do about this market and often their minds jump to assisted living devices for dementia or grab bars for showers…they don’t think of Lexus convertibles. They don’t think of Amazon. They should.”</w:t>
      </w:r>
      <w:r>
        <w:rPr>
          <w:rStyle w:val="EndnoteReference"/>
          <w:rFonts w:cs="Arial"/>
        </w:rPr>
        <w:endnoteReference w:id="66"/>
      </w:r>
    </w:p>
    <w:p w:rsidR="000B3973" w:rsidRDefault="000B3973" w:rsidP="000B3973">
      <w:pPr>
        <w:pStyle w:val="ListParagraph"/>
        <w:numPr>
          <w:ilvl w:val="1"/>
          <w:numId w:val="38"/>
        </w:numPr>
        <w:rPr>
          <w:rFonts w:asciiTheme="majorHAnsi" w:hAnsiTheme="majorHAnsi" w:cs="Arial"/>
        </w:rPr>
      </w:pPr>
      <w:r>
        <w:rPr>
          <w:rFonts w:asciiTheme="majorHAnsi" w:hAnsiTheme="majorHAnsi" w:cs="Arial"/>
        </w:rPr>
        <w:t>[On the belief that older people don’t change their buying habits] “If that theory were true, I would drive a Chevy Impala and wear English Leather</w:t>
      </w:r>
      <w:r w:rsidR="006C3C06">
        <w:rPr>
          <w:rFonts w:asciiTheme="majorHAnsi" w:hAnsiTheme="majorHAnsi" w:cs="Arial"/>
        </w:rPr>
        <w:t>”</w:t>
      </w:r>
      <w:r w:rsidR="006C3C06">
        <w:rPr>
          <w:rStyle w:val="EndnoteReference"/>
          <w:rFonts w:cs="Arial"/>
        </w:rPr>
        <w:endnoteReference w:id="67"/>
      </w:r>
    </w:p>
    <w:p w:rsidR="006C3C06" w:rsidRDefault="006C3C06" w:rsidP="006C3C06">
      <w:pPr>
        <w:pStyle w:val="ListParagraph"/>
        <w:numPr>
          <w:ilvl w:val="0"/>
          <w:numId w:val="38"/>
        </w:numPr>
        <w:rPr>
          <w:rFonts w:asciiTheme="majorHAnsi" w:hAnsiTheme="majorHAnsi" w:cs="Arial"/>
        </w:rPr>
      </w:pPr>
      <w:r>
        <w:rPr>
          <w:rFonts w:asciiTheme="majorHAnsi" w:hAnsiTheme="majorHAnsi" w:cs="Arial"/>
        </w:rPr>
        <w:t>Clayton Lewis, partner at Maveron:</w:t>
      </w:r>
    </w:p>
    <w:p w:rsidR="006C3C06" w:rsidRDefault="006C3C06" w:rsidP="006C3C06">
      <w:pPr>
        <w:pStyle w:val="ListParagraph"/>
        <w:numPr>
          <w:ilvl w:val="1"/>
          <w:numId w:val="38"/>
        </w:numPr>
        <w:rPr>
          <w:rFonts w:asciiTheme="majorHAnsi" w:hAnsiTheme="majorHAnsi" w:cs="Arial"/>
        </w:rPr>
      </w:pPr>
      <w:r>
        <w:rPr>
          <w:rFonts w:asciiTheme="majorHAnsi" w:hAnsiTheme="majorHAnsi" w:cs="Arial"/>
        </w:rPr>
        <w:t>“It’s not on the radar screen for the venture community”.</w:t>
      </w:r>
      <w:r>
        <w:rPr>
          <w:rStyle w:val="EndnoteReference"/>
          <w:rFonts w:cs="Arial"/>
        </w:rPr>
        <w:endnoteReference w:id="68"/>
      </w:r>
    </w:p>
    <w:p w:rsidR="006C3C06" w:rsidRDefault="00293C04" w:rsidP="006C3C06">
      <w:pPr>
        <w:pStyle w:val="ListParagraph"/>
        <w:numPr>
          <w:ilvl w:val="0"/>
          <w:numId w:val="38"/>
        </w:numPr>
        <w:rPr>
          <w:rFonts w:asciiTheme="majorHAnsi" w:hAnsiTheme="majorHAnsi" w:cs="Arial"/>
        </w:rPr>
      </w:pPr>
      <w:r>
        <w:rPr>
          <w:rFonts w:asciiTheme="majorHAnsi" w:hAnsiTheme="majorHAnsi" w:cs="Arial"/>
        </w:rPr>
        <w:t>Danielle Rebelo, Consumer Analyst at Datamonitor:</w:t>
      </w:r>
    </w:p>
    <w:p w:rsidR="00293C04" w:rsidRDefault="00293C04" w:rsidP="00293C04">
      <w:pPr>
        <w:pStyle w:val="ListParagraph"/>
        <w:numPr>
          <w:ilvl w:val="1"/>
          <w:numId w:val="38"/>
        </w:numPr>
        <w:rPr>
          <w:rFonts w:asciiTheme="majorHAnsi" w:hAnsiTheme="majorHAnsi" w:cs="Arial"/>
        </w:rPr>
      </w:pPr>
      <w:r>
        <w:rPr>
          <w:rFonts w:asciiTheme="majorHAnsi" w:hAnsiTheme="majorHAnsi" w:cs="Arial"/>
        </w:rPr>
        <w:t>“…the age gap between generations has never been so large as consumers are having children later in life. However, the attitudinal gap</w:t>
      </w:r>
      <w:r w:rsidR="00130E7D">
        <w:rPr>
          <w:rFonts w:asciiTheme="majorHAnsi" w:hAnsiTheme="majorHAnsi" w:cs="Arial"/>
        </w:rPr>
        <w:t xml:space="preserve"> has never been smaller as the 50-59 year old generation re-invent the meaning of being old…”</w:t>
      </w:r>
      <w:r w:rsidR="00130E7D">
        <w:rPr>
          <w:rStyle w:val="EndnoteReference"/>
          <w:rFonts w:cs="Arial"/>
        </w:rPr>
        <w:endnoteReference w:id="69"/>
      </w:r>
    </w:p>
    <w:p w:rsidR="00130E7D" w:rsidRDefault="00130E7D" w:rsidP="00130E7D">
      <w:pPr>
        <w:pStyle w:val="ListParagraph"/>
        <w:numPr>
          <w:ilvl w:val="0"/>
          <w:numId w:val="38"/>
        </w:numPr>
        <w:rPr>
          <w:rFonts w:asciiTheme="majorHAnsi" w:hAnsiTheme="majorHAnsi" w:cs="Arial"/>
        </w:rPr>
      </w:pPr>
      <w:r>
        <w:rPr>
          <w:rFonts w:asciiTheme="majorHAnsi" w:hAnsiTheme="majorHAnsi" w:cs="Arial"/>
        </w:rPr>
        <w:t xml:space="preserve">Craig Vogel, </w:t>
      </w:r>
      <w:r w:rsidR="00BD00E2">
        <w:rPr>
          <w:rFonts w:asciiTheme="majorHAnsi" w:hAnsiTheme="majorHAnsi" w:cs="Arial"/>
        </w:rPr>
        <w:t>D</w:t>
      </w:r>
      <w:r>
        <w:rPr>
          <w:rFonts w:asciiTheme="majorHAnsi" w:hAnsiTheme="majorHAnsi" w:cs="Arial"/>
        </w:rPr>
        <w:t>irector of the Center of Design, Research and Innovation, University of Cincinnati and President of the Proctor &amp; Gamble Live Well Collaborative:</w:t>
      </w:r>
    </w:p>
    <w:p w:rsidR="00130E7D" w:rsidRDefault="00C04F55" w:rsidP="00130E7D">
      <w:pPr>
        <w:pStyle w:val="ListParagraph"/>
        <w:numPr>
          <w:ilvl w:val="1"/>
          <w:numId w:val="38"/>
        </w:numPr>
        <w:rPr>
          <w:rFonts w:asciiTheme="majorHAnsi" w:hAnsiTheme="majorHAnsi" w:cs="Arial"/>
        </w:rPr>
      </w:pPr>
      <w:r>
        <w:rPr>
          <w:rFonts w:asciiTheme="majorHAnsi" w:hAnsiTheme="majorHAnsi" w:cs="Arial"/>
        </w:rPr>
        <w:t>“You see a lot of discussions going back and forth, and there’s a lot of shared knowledge going on about certain trends…we call that trans-generation consumers”</w:t>
      </w:r>
      <w:r>
        <w:rPr>
          <w:rStyle w:val="EndnoteReference"/>
          <w:rFonts w:cs="Arial"/>
        </w:rPr>
        <w:endnoteReference w:id="70"/>
      </w:r>
    </w:p>
    <w:p w:rsidR="003F4AC7" w:rsidRDefault="003F4AC7" w:rsidP="003F4AC7">
      <w:pPr>
        <w:pStyle w:val="ListParagraph"/>
        <w:numPr>
          <w:ilvl w:val="0"/>
          <w:numId w:val="38"/>
        </w:numPr>
        <w:rPr>
          <w:rFonts w:asciiTheme="majorHAnsi" w:hAnsiTheme="majorHAnsi" w:cs="Arial"/>
        </w:rPr>
      </w:pPr>
      <w:r>
        <w:rPr>
          <w:rFonts w:asciiTheme="majorHAnsi" w:hAnsiTheme="majorHAnsi" w:cs="Arial"/>
        </w:rPr>
        <w:t>Neer Korn, Market Researcher and founder of the Korn Group:</w:t>
      </w:r>
    </w:p>
    <w:p w:rsidR="003F4AC7" w:rsidRDefault="003F4AC7" w:rsidP="00D4670A">
      <w:pPr>
        <w:pStyle w:val="ListParagraph"/>
        <w:numPr>
          <w:ilvl w:val="1"/>
          <w:numId w:val="38"/>
        </w:numPr>
        <w:rPr>
          <w:rFonts w:asciiTheme="majorHAnsi" w:hAnsiTheme="majorHAnsi" w:cs="Arial"/>
        </w:rPr>
      </w:pPr>
      <w:r>
        <w:rPr>
          <w:rFonts w:asciiTheme="majorHAnsi" w:hAnsiTheme="majorHAnsi" w:cs="Arial"/>
        </w:rPr>
        <w:t xml:space="preserve">“[It is] a misconception that anyone over 55 is ‘old’. Today’s 65 year old is very different from a 65 year old a decade </w:t>
      </w:r>
      <w:r w:rsidR="00D4670A">
        <w:rPr>
          <w:rFonts w:asciiTheme="majorHAnsi" w:hAnsiTheme="majorHAnsi" w:cs="Arial"/>
        </w:rPr>
        <w:t xml:space="preserve">or two ago. </w:t>
      </w:r>
      <w:r w:rsidR="00D4670A" w:rsidRPr="00D4670A">
        <w:rPr>
          <w:rFonts w:asciiTheme="majorHAnsi" w:hAnsiTheme="majorHAnsi" w:cs="Arial"/>
        </w:rPr>
        <w:t>They assume that if you’re over 55, you’re interested in funeral plans, and not much else.</w:t>
      </w:r>
      <w:r w:rsidR="00D4670A">
        <w:rPr>
          <w:rFonts w:asciiTheme="majorHAnsi" w:hAnsiTheme="majorHAnsi" w:cs="Arial"/>
        </w:rPr>
        <w:t>”</w:t>
      </w:r>
      <w:r w:rsidR="00D4670A">
        <w:rPr>
          <w:rStyle w:val="EndnoteReference"/>
          <w:rFonts w:cs="Arial"/>
        </w:rPr>
        <w:endnoteReference w:id="71"/>
      </w:r>
    </w:p>
    <w:p w:rsidR="00D4670A" w:rsidRDefault="00D4670A" w:rsidP="00D4670A">
      <w:pPr>
        <w:pStyle w:val="ListParagraph"/>
        <w:numPr>
          <w:ilvl w:val="1"/>
          <w:numId w:val="38"/>
        </w:numPr>
        <w:rPr>
          <w:rFonts w:asciiTheme="majorHAnsi" w:hAnsiTheme="majorHAnsi" w:cs="Arial"/>
        </w:rPr>
      </w:pPr>
      <w:r>
        <w:rPr>
          <w:rFonts w:asciiTheme="majorHAnsi" w:hAnsiTheme="majorHAnsi" w:cs="Arial"/>
        </w:rPr>
        <w:t>“</w:t>
      </w:r>
      <w:r w:rsidRPr="00D4670A">
        <w:rPr>
          <w:rFonts w:asciiTheme="majorHAnsi" w:hAnsiTheme="majorHAnsi" w:cs="Arial"/>
        </w:rPr>
        <w:t>They assume that once you reach that age, you’re not going to experiment and buy new things. The opposite is actually true…At the moment they seem to be thinking about today as opposed to the future.</w:t>
      </w:r>
      <w:r>
        <w:rPr>
          <w:rFonts w:asciiTheme="majorHAnsi" w:hAnsiTheme="majorHAnsi" w:cs="Arial"/>
        </w:rPr>
        <w:t>”</w:t>
      </w:r>
      <w:r w:rsidRPr="00D4670A">
        <w:rPr>
          <w:rStyle w:val="EndnoteReference"/>
          <w:rFonts w:cs="Arial"/>
        </w:rPr>
        <w:t xml:space="preserve"> </w:t>
      </w:r>
      <w:r>
        <w:rPr>
          <w:rStyle w:val="EndnoteReference"/>
          <w:rFonts w:cs="Arial"/>
        </w:rPr>
        <w:endnoteReference w:id="72"/>
      </w:r>
    </w:p>
    <w:p w:rsidR="00454165" w:rsidRDefault="00454165">
      <w:pPr>
        <w:spacing w:before="0" w:after="0"/>
        <w:rPr>
          <w:rFonts w:asciiTheme="majorHAnsi" w:hAnsiTheme="majorHAnsi" w:cs="Arial"/>
        </w:rPr>
      </w:pPr>
      <w:r>
        <w:rPr>
          <w:rFonts w:asciiTheme="majorHAnsi" w:hAnsiTheme="majorHAnsi" w:cs="Arial"/>
        </w:rPr>
        <w:br w:type="page"/>
      </w:r>
    </w:p>
    <w:p w:rsidR="00C04F55" w:rsidRDefault="00C04F55" w:rsidP="00C04F55">
      <w:pPr>
        <w:rPr>
          <w:rFonts w:asciiTheme="majorHAnsi" w:hAnsiTheme="majorHAnsi" w:cs="Arial"/>
          <w:b/>
          <w:sz w:val="28"/>
        </w:rPr>
      </w:pPr>
      <w:r>
        <w:rPr>
          <w:rFonts w:asciiTheme="majorHAnsi" w:hAnsiTheme="majorHAnsi" w:cs="Arial"/>
          <w:b/>
          <w:sz w:val="28"/>
        </w:rPr>
        <w:lastRenderedPageBreak/>
        <w:t xml:space="preserve">4. </w:t>
      </w:r>
      <w:bookmarkStart w:id="7" w:name="Segmentation"/>
      <w:r>
        <w:rPr>
          <w:rFonts w:asciiTheme="majorHAnsi" w:hAnsiTheme="majorHAnsi" w:cs="Arial"/>
          <w:b/>
          <w:sz w:val="28"/>
        </w:rPr>
        <w:t>Good Practice – Segme</w:t>
      </w:r>
      <w:r w:rsidR="001D5583">
        <w:rPr>
          <w:rFonts w:asciiTheme="majorHAnsi" w:hAnsiTheme="majorHAnsi" w:cs="Arial"/>
          <w:b/>
          <w:sz w:val="28"/>
        </w:rPr>
        <w:t>ntation and Realistic Portrayals</w:t>
      </w:r>
      <w:bookmarkEnd w:id="7"/>
    </w:p>
    <w:p w:rsidR="00A23433" w:rsidRPr="00A23433" w:rsidRDefault="00A23433" w:rsidP="00C04F55">
      <w:pPr>
        <w:rPr>
          <w:rFonts w:asciiTheme="majorHAnsi" w:hAnsiTheme="majorHAnsi" w:cs="Arial"/>
          <w:u w:val="single"/>
        </w:rPr>
      </w:pPr>
      <w:r>
        <w:rPr>
          <w:rFonts w:asciiTheme="majorHAnsi" w:hAnsiTheme="majorHAnsi" w:cs="Arial"/>
          <w:u w:val="single"/>
        </w:rPr>
        <w:t>Facts and Stats</w:t>
      </w:r>
    </w:p>
    <w:p w:rsidR="00C04F55" w:rsidRDefault="006D317B" w:rsidP="00C04F55">
      <w:pPr>
        <w:pStyle w:val="ListParagraph"/>
        <w:numPr>
          <w:ilvl w:val="0"/>
          <w:numId w:val="39"/>
        </w:numPr>
        <w:rPr>
          <w:rFonts w:asciiTheme="majorHAnsi" w:hAnsiTheme="majorHAnsi" w:cs="Arial"/>
        </w:rPr>
      </w:pPr>
      <w:r>
        <w:rPr>
          <w:rFonts w:asciiTheme="majorHAnsi" w:hAnsiTheme="majorHAnsi" w:cs="Arial"/>
        </w:rPr>
        <w:t>It is important to recognise that older consumers are no different to any other consumer group:</w:t>
      </w:r>
    </w:p>
    <w:p w:rsidR="006D317B" w:rsidRDefault="00A23433" w:rsidP="006D317B">
      <w:pPr>
        <w:pStyle w:val="ListParagraph"/>
        <w:numPr>
          <w:ilvl w:val="1"/>
          <w:numId w:val="39"/>
        </w:numPr>
        <w:rPr>
          <w:rFonts w:asciiTheme="majorHAnsi" w:hAnsiTheme="majorHAnsi" w:cs="Arial"/>
        </w:rPr>
      </w:pPr>
      <w:r>
        <w:rPr>
          <w:rFonts w:asciiTheme="majorHAnsi" w:hAnsiTheme="majorHAnsi" w:cs="Arial"/>
        </w:rPr>
        <w:t xml:space="preserve">One should seek to identify what kinds of things interest different sectors of older consumers, and then target marketing at the </w:t>
      </w:r>
      <w:r>
        <w:rPr>
          <w:rFonts w:asciiTheme="majorHAnsi" w:hAnsiTheme="majorHAnsi" w:cs="Arial"/>
          <w:i/>
        </w:rPr>
        <w:t>interest, not the age</w:t>
      </w:r>
      <w:r>
        <w:rPr>
          <w:rFonts w:asciiTheme="majorHAnsi" w:hAnsiTheme="majorHAnsi" w:cs="Arial"/>
        </w:rPr>
        <w:t>.</w:t>
      </w:r>
      <w:r>
        <w:rPr>
          <w:rStyle w:val="EndnoteReference"/>
          <w:rFonts w:cs="Arial"/>
        </w:rPr>
        <w:endnoteReference w:id="73"/>
      </w:r>
    </w:p>
    <w:p w:rsidR="00BD00E2" w:rsidRPr="00BD00E2" w:rsidRDefault="00565B53" w:rsidP="00BD00E2">
      <w:pPr>
        <w:pStyle w:val="ListParagraph"/>
        <w:numPr>
          <w:ilvl w:val="1"/>
          <w:numId w:val="39"/>
        </w:numPr>
        <w:rPr>
          <w:rFonts w:asciiTheme="majorHAnsi" w:hAnsiTheme="majorHAnsi" w:cs="Arial"/>
        </w:rPr>
      </w:pPr>
      <w:r>
        <w:rPr>
          <w:rFonts w:asciiTheme="majorHAnsi" w:hAnsiTheme="majorHAnsi" w:cs="Arial"/>
        </w:rPr>
        <w:t>Also consider the varying capacities of older consumers, some of whom are still working, whilst others are retired, which impacts on consumption patterns and abilities.</w:t>
      </w:r>
      <w:r>
        <w:rPr>
          <w:rStyle w:val="EndnoteReference"/>
          <w:rFonts w:cs="Arial"/>
        </w:rPr>
        <w:endnoteReference w:id="74"/>
      </w:r>
    </w:p>
    <w:p w:rsidR="00565B53" w:rsidRDefault="00565B53" w:rsidP="00565B53">
      <w:pPr>
        <w:pStyle w:val="ListParagraph"/>
        <w:numPr>
          <w:ilvl w:val="0"/>
          <w:numId w:val="39"/>
        </w:numPr>
        <w:rPr>
          <w:rFonts w:asciiTheme="majorHAnsi" w:hAnsiTheme="majorHAnsi" w:cs="Arial"/>
        </w:rPr>
      </w:pPr>
      <w:r>
        <w:rPr>
          <w:rFonts w:asciiTheme="majorHAnsi" w:hAnsiTheme="majorHAnsi" w:cs="Arial"/>
        </w:rPr>
        <w:t>Older Consumers also don’t enjoy being told that they are old or elderly:</w:t>
      </w:r>
    </w:p>
    <w:p w:rsidR="00565B53" w:rsidRDefault="00565B53" w:rsidP="00565B53">
      <w:pPr>
        <w:pStyle w:val="ListParagraph"/>
        <w:numPr>
          <w:ilvl w:val="1"/>
          <w:numId w:val="39"/>
        </w:numPr>
        <w:rPr>
          <w:rFonts w:asciiTheme="majorHAnsi" w:hAnsiTheme="majorHAnsi" w:cs="Arial"/>
        </w:rPr>
      </w:pPr>
      <w:r>
        <w:rPr>
          <w:rFonts w:asciiTheme="majorHAnsi" w:hAnsiTheme="majorHAnsi" w:cs="Arial"/>
        </w:rPr>
        <w:t>They feel that this is incredibly patronising</w:t>
      </w:r>
      <w:r w:rsidR="00BD00E2">
        <w:rPr>
          <w:rFonts w:asciiTheme="majorHAnsi" w:hAnsiTheme="majorHAnsi" w:cs="Arial"/>
        </w:rPr>
        <w:t>, or that it can’t possibly apply to them because of the labelling.</w:t>
      </w:r>
      <w:r w:rsidR="00BD00E2">
        <w:rPr>
          <w:rStyle w:val="EndnoteReference"/>
          <w:rFonts w:cs="Arial"/>
        </w:rPr>
        <w:endnoteReference w:id="75"/>
      </w:r>
    </w:p>
    <w:p w:rsidR="00700E56" w:rsidRPr="009B5F36" w:rsidRDefault="00700E56" w:rsidP="00700E56">
      <w:pPr>
        <w:pStyle w:val="ListParagraph"/>
        <w:numPr>
          <w:ilvl w:val="2"/>
          <w:numId w:val="39"/>
        </w:numPr>
        <w:rPr>
          <w:rFonts w:asciiTheme="majorHAnsi" w:hAnsiTheme="majorHAnsi" w:cs="Arial"/>
          <w:color w:val="C00000"/>
        </w:rPr>
      </w:pPr>
      <w:r w:rsidRPr="009B5F36">
        <w:rPr>
          <w:rFonts w:asciiTheme="majorHAnsi" w:hAnsiTheme="majorHAnsi" w:cs="Arial"/>
          <w:color w:val="C00000"/>
        </w:rPr>
        <w:t>60% of over 65s said they feel much younger than their age.</w:t>
      </w:r>
      <w:r w:rsidRPr="009B5F36">
        <w:rPr>
          <w:rStyle w:val="EndnoteReference"/>
          <w:rFonts w:cs="Arial"/>
          <w:color w:val="C00000"/>
        </w:rPr>
        <w:endnoteReference w:id="76"/>
      </w:r>
    </w:p>
    <w:p w:rsidR="00137FCD" w:rsidRDefault="00137FCD" w:rsidP="00700E56">
      <w:pPr>
        <w:pStyle w:val="ListParagraph"/>
        <w:numPr>
          <w:ilvl w:val="2"/>
          <w:numId w:val="39"/>
        </w:numPr>
        <w:rPr>
          <w:rFonts w:asciiTheme="majorHAnsi" w:hAnsiTheme="majorHAnsi" w:cs="Arial"/>
        </w:rPr>
      </w:pPr>
      <w:r>
        <w:rPr>
          <w:rFonts w:asciiTheme="majorHAnsi" w:hAnsiTheme="majorHAnsi" w:cs="Arial"/>
        </w:rPr>
        <w:t>This is especially true of traditionally ‘seniors’ products’, where it can be difficult to strike the right balance.</w:t>
      </w:r>
    </w:p>
    <w:p w:rsidR="00BD00E2" w:rsidRDefault="00BD00E2" w:rsidP="00565B53">
      <w:pPr>
        <w:pStyle w:val="ListParagraph"/>
        <w:numPr>
          <w:ilvl w:val="1"/>
          <w:numId w:val="39"/>
        </w:numPr>
        <w:rPr>
          <w:rFonts w:asciiTheme="majorHAnsi" w:hAnsiTheme="majorHAnsi" w:cs="Arial"/>
        </w:rPr>
      </w:pPr>
      <w:r>
        <w:rPr>
          <w:rFonts w:asciiTheme="majorHAnsi" w:hAnsiTheme="majorHAnsi" w:cs="Arial"/>
        </w:rPr>
        <w:t>Instead, they need to feel included in marketing and advertising:</w:t>
      </w:r>
    </w:p>
    <w:p w:rsidR="00BD00E2" w:rsidRDefault="00BD00E2" w:rsidP="00BD00E2">
      <w:pPr>
        <w:pStyle w:val="ListParagraph"/>
        <w:numPr>
          <w:ilvl w:val="2"/>
          <w:numId w:val="39"/>
        </w:numPr>
        <w:rPr>
          <w:rFonts w:asciiTheme="majorHAnsi" w:hAnsiTheme="majorHAnsi" w:cs="Arial"/>
        </w:rPr>
      </w:pPr>
      <w:r>
        <w:rPr>
          <w:rFonts w:asciiTheme="majorHAnsi" w:hAnsiTheme="majorHAnsi" w:cs="Arial"/>
        </w:rPr>
        <w:t>The key factor is to play down the presence of age to achieve age neutrality.</w:t>
      </w:r>
      <w:r>
        <w:rPr>
          <w:rStyle w:val="EndnoteReference"/>
          <w:rFonts w:cs="Arial"/>
        </w:rPr>
        <w:endnoteReference w:id="77"/>
      </w:r>
    </w:p>
    <w:p w:rsidR="00700E56" w:rsidRDefault="001D5583" w:rsidP="00BD00E2">
      <w:pPr>
        <w:pStyle w:val="ListParagraph"/>
        <w:numPr>
          <w:ilvl w:val="2"/>
          <w:numId w:val="39"/>
        </w:numPr>
        <w:rPr>
          <w:rFonts w:asciiTheme="majorHAnsi" w:hAnsiTheme="majorHAnsi" w:cs="Arial"/>
        </w:rPr>
      </w:pPr>
      <w:r>
        <w:rPr>
          <w:rFonts w:asciiTheme="majorHAnsi" w:hAnsiTheme="majorHAnsi" w:cs="Arial"/>
        </w:rPr>
        <w:t>They need to feel, just as their lifestyles show, that they are another part of society, so images and imagery should seek to include them as part of the spectrum of society.</w:t>
      </w:r>
      <w:r>
        <w:rPr>
          <w:rStyle w:val="EndnoteReference"/>
          <w:rFonts w:cs="Arial"/>
        </w:rPr>
        <w:endnoteReference w:id="78"/>
      </w:r>
    </w:p>
    <w:p w:rsidR="004C3738" w:rsidRDefault="004C3738" w:rsidP="004C3738">
      <w:pPr>
        <w:pStyle w:val="ListParagraph"/>
        <w:numPr>
          <w:ilvl w:val="0"/>
          <w:numId w:val="39"/>
        </w:numPr>
        <w:rPr>
          <w:rFonts w:asciiTheme="majorHAnsi" w:hAnsiTheme="majorHAnsi" w:cs="Arial"/>
        </w:rPr>
      </w:pPr>
      <w:r>
        <w:rPr>
          <w:rFonts w:asciiTheme="majorHAnsi" w:hAnsiTheme="majorHAnsi" w:cs="Arial"/>
        </w:rPr>
        <w:t>Additionally</w:t>
      </w:r>
      <w:r w:rsidR="000E7046">
        <w:rPr>
          <w:rFonts w:asciiTheme="majorHAnsi" w:hAnsiTheme="majorHAnsi" w:cs="Arial"/>
        </w:rPr>
        <w:t>, where older people are portrayed, it needs to be realistic</w:t>
      </w:r>
      <w:r w:rsidR="000658D9">
        <w:rPr>
          <w:rFonts w:asciiTheme="majorHAnsi" w:hAnsiTheme="majorHAnsi" w:cs="Arial"/>
        </w:rPr>
        <w:t xml:space="preserve"> or older consumers find the approach unappealing</w:t>
      </w:r>
      <w:r w:rsidR="000E7046">
        <w:rPr>
          <w:rFonts w:asciiTheme="majorHAnsi" w:hAnsiTheme="majorHAnsi" w:cs="Arial"/>
        </w:rPr>
        <w:t>:</w:t>
      </w:r>
      <w:r w:rsidR="000658D9">
        <w:rPr>
          <w:rStyle w:val="EndnoteReference"/>
          <w:rFonts w:cs="Arial"/>
        </w:rPr>
        <w:endnoteReference w:id="79"/>
      </w:r>
    </w:p>
    <w:p w:rsidR="000E7046" w:rsidRDefault="000E7046" w:rsidP="000E7046">
      <w:pPr>
        <w:pStyle w:val="ListParagraph"/>
        <w:numPr>
          <w:ilvl w:val="1"/>
          <w:numId w:val="39"/>
        </w:numPr>
        <w:rPr>
          <w:rFonts w:asciiTheme="majorHAnsi" w:hAnsiTheme="majorHAnsi" w:cs="Arial"/>
        </w:rPr>
      </w:pPr>
      <w:r>
        <w:rPr>
          <w:rFonts w:asciiTheme="majorHAnsi" w:hAnsiTheme="majorHAnsi" w:cs="Arial"/>
        </w:rPr>
        <w:t>One extreme is the incredibly infirm older consumer.</w:t>
      </w:r>
      <w:r>
        <w:rPr>
          <w:rStyle w:val="EndnoteReference"/>
          <w:rFonts w:cs="Arial"/>
        </w:rPr>
        <w:endnoteReference w:id="80"/>
      </w:r>
    </w:p>
    <w:p w:rsidR="000E7046" w:rsidRDefault="000E7046" w:rsidP="000E7046">
      <w:pPr>
        <w:pStyle w:val="ListParagraph"/>
        <w:numPr>
          <w:ilvl w:val="1"/>
          <w:numId w:val="39"/>
        </w:numPr>
        <w:rPr>
          <w:rFonts w:asciiTheme="majorHAnsi" w:hAnsiTheme="majorHAnsi" w:cs="Arial"/>
        </w:rPr>
      </w:pPr>
      <w:r>
        <w:rPr>
          <w:rFonts w:asciiTheme="majorHAnsi" w:hAnsiTheme="majorHAnsi" w:cs="Arial"/>
        </w:rPr>
        <w:t>The other extreme is the image of the impossibly happy, almost ever youthful older people</w:t>
      </w:r>
      <w:r w:rsidR="00DA30A2">
        <w:rPr>
          <w:rFonts w:asciiTheme="majorHAnsi" w:hAnsiTheme="majorHAnsi" w:cs="Arial"/>
        </w:rPr>
        <w:t xml:space="preserve"> in clichéd scenarios.</w:t>
      </w:r>
      <w:r w:rsidR="00DA30A2">
        <w:rPr>
          <w:rStyle w:val="EndnoteReference"/>
          <w:rFonts w:cs="Arial"/>
        </w:rPr>
        <w:endnoteReference w:id="81"/>
      </w:r>
    </w:p>
    <w:p w:rsidR="00DA30A2" w:rsidRDefault="00DA30A2" w:rsidP="000E7046">
      <w:pPr>
        <w:pStyle w:val="ListParagraph"/>
        <w:numPr>
          <w:ilvl w:val="1"/>
          <w:numId w:val="39"/>
        </w:numPr>
        <w:rPr>
          <w:rFonts w:asciiTheme="majorHAnsi" w:hAnsiTheme="majorHAnsi" w:cs="Arial"/>
        </w:rPr>
      </w:pPr>
      <w:r>
        <w:rPr>
          <w:rFonts w:asciiTheme="majorHAnsi" w:hAnsiTheme="majorHAnsi" w:cs="Arial"/>
        </w:rPr>
        <w:t>The key to a realistic portrayal is to have older people doing everyday things, being vital and active.</w:t>
      </w:r>
      <w:r>
        <w:rPr>
          <w:rStyle w:val="EndnoteReference"/>
          <w:rFonts w:cs="Arial"/>
        </w:rPr>
        <w:endnoteReference w:id="82"/>
      </w:r>
    </w:p>
    <w:p w:rsidR="00DA30A2" w:rsidRDefault="000658D9" w:rsidP="00DA30A2">
      <w:pPr>
        <w:pStyle w:val="ListParagraph"/>
        <w:numPr>
          <w:ilvl w:val="0"/>
          <w:numId w:val="39"/>
        </w:numPr>
        <w:rPr>
          <w:rFonts w:asciiTheme="majorHAnsi" w:hAnsiTheme="majorHAnsi" w:cs="Arial"/>
        </w:rPr>
      </w:pPr>
      <w:r>
        <w:rPr>
          <w:rFonts w:asciiTheme="majorHAnsi" w:hAnsiTheme="majorHAnsi" w:cs="Arial"/>
        </w:rPr>
        <w:t xml:space="preserve">This means that </w:t>
      </w:r>
      <w:r>
        <w:rPr>
          <w:rFonts w:asciiTheme="majorHAnsi" w:hAnsiTheme="majorHAnsi" w:cs="Arial"/>
          <w:b/>
        </w:rPr>
        <w:t xml:space="preserve">many </w:t>
      </w:r>
      <w:r w:rsidRPr="000658D9">
        <w:rPr>
          <w:rFonts w:asciiTheme="majorHAnsi" w:hAnsiTheme="majorHAnsi" w:cs="Arial"/>
          <w:b/>
        </w:rPr>
        <w:t>products that are currently exclusively marketed to the young could equally gain traction with older consumers</w:t>
      </w:r>
      <w:r>
        <w:rPr>
          <w:rFonts w:asciiTheme="majorHAnsi" w:hAnsiTheme="majorHAnsi" w:cs="Arial"/>
        </w:rPr>
        <w:t>.</w:t>
      </w:r>
    </w:p>
    <w:p w:rsidR="000658D9" w:rsidRDefault="000658D9" w:rsidP="000658D9">
      <w:pPr>
        <w:rPr>
          <w:rFonts w:asciiTheme="majorHAnsi" w:hAnsiTheme="majorHAnsi" w:cs="Arial"/>
        </w:rPr>
      </w:pPr>
      <w:bookmarkStart w:id="8" w:name="SegmentationExamples"/>
      <w:r>
        <w:rPr>
          <w:rFonts w:asciiTheme="majorHAnsi" w:hAnsiTheme="majorHAnsi" w:cs="Arial"/>
          <w:u w:val="single"/>
        </w:rPr>
        <w:t>Examples</w:t>
      </w:r>
      <w:r w:rsidR="007F3F1C">
        <w:rPr>
          <w:rFonts w:asciiTheme="majorHAnsi" w:hAnsiTheme="majorHAnsi" w:cs="Arial"/>
          <w:u w:val="single"/>
        </w:rPr>
        <w:t xml:space="preserve"> and Case Studies</w:t>
      </w:r>
    </w:p>
    <w:bookmarkEnd w:id="8"/>
    <w:p w:rsidR="000658D9" w:rsidRDefault="000658D9" w:rsidP="000658D9">
      <w:pPr>
        <w:pStyle w:val="ListParagraph"/>
        <w:numPr>
          <w:ilvl w:val="0"/>
          <w:numId w:val="40"/>
        </w:numPr>
        <w:rPr>
          <w:rFonts w:asciiTheme="majorHAnsi" w:hAnsiTheme="majorHAnsi" w:cs="Arial"/>
        </w:rPr>
      </w:pPr>
      <w:r>
        <w:rPr>
          <w:rFonts w:asciiTheme="majorHAnsi" w:hAnsiTheme="majorHAnsi" w:cs="Arial"/>
        </w:rPr>
        <w:t xml:space="preserve">The Depend brand of incontinence underwear underwent a </w:t>
      </w:r>
      <w:r w:rsidR="00137FCD">
        <w:rPr>
          <w:rFonts w:asciiTheme="majorHAnsi" w:hAnsiTheme="majorHAnsi" w:cs="Arial"/>
        </w:rPr>
        <w:t>makeover in 2013:</w:t>
      </w:r>
      <w:r w:rsidR="00137FCD">
        <w:rPr>
          <w:rStyle w:val="EndnoteReference"/>
          <w:rFonts w:cs="Arial"/>
        </w:rPr>
        <w:endnoteReference w:id="83"/>
      </w:r>
    </w:p>
    <w:p w:rsidR="00137FCD" w:rsidRDefault="00137FCD" w:rsidP="00137FCD">
      <w:pPr>
        <w:pStyle w:val="ListParagraph"/>
        <w:numPr>
          <w:ilvl w:val="1"/>
          <w:numId w:val="40"/>
        </w:numPr>
        <w:rPr>
          <w:rFonts w:asciiTheme="majorHAnsi" w:hAnsiTheme="majorHAnsi" w:cs="Arial"/>
        </w:rPr>
      </w:pPr>
      <w:r>
        <w:rPr>
          <w:rFonts w:asciiTheme="majorHAnsi" w:hAnsiTheme="majorHAnsi" w:cs="Arial"/>
        </w:rPr>
        <w:t>Instead of positioning as adult diapers as in the past, instead just presents them as alternative underwear:</w:t>
      </w:r>
    </w:p>
    <w:p w:rsidR="00137FCD" w:rsidRDefault="00137FCD" w:rsidP="00137FCD">
      <w:pPr>
        <w:pStyle w:val="ListParagraph"/>
        <w:numPr>
          <w:ilvl w:val="2"/>
          <w:numId w:val="40"/>
        </w:numPr>
        <w:rPr>
          <w:rFonts w:asciiTheme="majorHAnsi" w:hAnsiTheme="majorHAnsi" w:cs="Arial"/>
        </w:rPr>
      </w:pPr>
      <w:r>
        <w:rPr>
          <w:rFonts w:asciiTheme="majorHAnsi" w:hAnsiTheme="majorHAnsi" w:cs="Arial"/>
        </w:rPr>
        <w:t>Slogan: “Looks and fits like underwear. Protects like nothing else.”</w:t>
      </w:r>
    </w:p>
    <w:p w:rsidR="00137FCD" w:rsidRDefault="00137FCD" w:rsidP="00137FCD">
      <w:pPr>
        <w:pStyle w:val="ListParagraph"/>
        <w:numPr>
          <w:ilvl w:val="2"/>
          <w:numId w:val="40"/>
        </w:numPr>
        <w:rPr>
          <w:rFonts w:asciiTheme="majorHAnsi" w:hAnsiTheme="majorHAnsi" w:cs="Arial"/>
        </w:rPr>
      </w:pPr>
      <w:r>
        <w:rPr>
          <w:rFonts w:asciiTheme="majorHAnsi" w:hAnsiTheme="majorHAnsi" w:cs="Arial"/>
        </w:rPr>
        <w:t>They introduced gender specific versions and fashionable prints which imitate underwear.</w:t>
      </w:r>
    </w:p>
    <w:p w:rsidR="00137FCD" w:rsidRDefault="00137FCD" w:rsidP="00137FCD">
      <w:pPr>
        <w:pStyle w:val="ListParagraph"/>
        <w:numPr>
          <w:ilvl w:val="2"/>
          <w:numId w:val="40"/>
        </w:numPr>
        <w:rPr>
          <w:rFonts w:asciiTheme="majorHAnsi" w:hAnsiTheme="majorHAnsi" w:cs="Arial"/>
        </w:rPr>
      </w:pPr>
      <w:r>
        <w:rPr>
          <w:rFonts w:asciiTheme="majorHAnsi" w:hAnsiTheme="majorHAnsi" w:cs="Arial"/>
        </w:rPr>
        <w:t xml:space="preserve">Some packaging is labelled </w:t>
      </w:r>
      <w:r w:rsidR="00E01634">
        <w:rPr>
          <w:rFonts w:asciiTheme="majorHAnsi" w:hAnsiTheme="majorHAnsi" w:cs="Arial"/>
        </w:rPr>
        <w:t>‘underwear’, and disguised to look like packs of cloth underwear.</w:t>
      </w:r>
    </w:p>
    <w:p w:rsidR="00E01634" w:rsidRDefault="00E01634" w:rsidP="00E01634">
      <w:pPr>
        <w:pStyle w:val="ListParagraph"/>
        <w:numPr>
          <w:ilvl w:val="1"/>
          <w:numId w:val="40"/>
        </w:numPr>
        <w:rPr>
          <w:rFonts w:asciiTheme="majorHAnsi" w:hAnsiTheme="majorHAnsi" w:cs="Arial"/>
        </w:rPr>
      </w:pPr>
      <w:r>
        <w:rPr>
          <w:rFonts w:asciiTheme="majorHAnsi" w:hAnsiTheme="majorHAnsi" w:cs="Arial"/>
        </w:rPr>
        <w:t>In terms of the advertising, the brand looked for actors in their early 50s, who were simply being active in everyday environments like a café or walking down the street</w:t>
      </w:r>
    </w:p>
    <w:p w:rsidR="00E01634" w:rsidRDefault="00E01634" w:rsidP="00E01634">
      <w:pPr>
        <w:pStyle w:val="ListParagraph"/>
        <w:numPr>
          <w:ilvl w:val="2"/>
          <w:numId w:val="40"/>
        </w:numPr>
        <w:rPr>
          <w:rFonts w:asciiTheme="majorHAnsi" w:hAnsiTheme="majorHAnsi" w:cs="Arial"/>
        </w:rPr>
      </w:pPr>
      <w:r>
        <w:rPr>
          <w:rFonts w:asciiTheme="majorHAnsi" w:hAnsiTheme="majorHAnsi" w:cs="Arial"/>
        </w:rPr>
        <w:t>This contrasts with previous strategies that looked to directly tell the consumer about the product through a spokesperson.</w:t>
      </w:r>
    </w:p>
    <w:p w:rsidR="00E01634" w:rsidRDefault="00E01634" w:rsidP="00E01634">
      <w:pPr>
        <w:pStyle w:val="ListParagraph"/>
        <w:numPr>
          <w:ilvl w:val="2"/>
          <w:numId w:val="40"/>
        </w:numPr>
        <w:rPr>
          <w:rFonts w:asciiTheme="majorHAnsi" w:hAnsiTheme="majorHAnsi" w:cs="Arial"/>
        </w:rPr>
      </w:pPr>
      <w:r>
        <w:rPr>
          <w:rFonts w:asciiTheme="majorHAnsi" w:hAnsiTheme="majorHAnsi" w:cs="Arial"/>
        </w:rPr>
        <w:t>Instead, the focus is on subtly hinting at the benefits of the product without drawing attention to the age element.</w:t>
      </w:r>
    </w:p>
    <w:p w:rsidR="00E01634" w:rsidRDefault="00E01634" w:rsidP="00E01634">
      <w:pPr>
        <w:pStyle w:val="ListParagraph"/>
        <w:numPr>
          <w:ilvl w:val="2"/>
          <w:numId w:val="40"/>
        </w:numPr>
        <w:rPr>
          <w:rFonts w:asciiTheme="majorHAnsi" w:hAnsiTheme="majorHAnsi" w:cs="Arial"/>
        </w:rPr>
      </w:pPr>
      <w:r>
        <w:rPr>
          <w:rFonts w:asciiTheme="majorHAnsi" w:hAnsiTheme="majorHAnsi" w:cs="Arial"/>
        </w:rPr>
        <w:lastRenderedPageBreak/>
        <w:t>Frank Cammarota, Brand Director for Depend:</w:t>
      </w:r>
    </w:p>
    <w:p w:rsidR="00E01634" w:rsidRDefault="00E01634" w:rsidP="00E01634">
      <w:pPr>
        <w:pStyle w:val="ListParagraph"/>
        <w:numPr>
          <w:ilvl w:val="3"/>
          <w:numId w:val="40"/>
        </w:numPr>
        <w:rPr>
          <w:rFonts w:asciiTheme="majorHAnsi" w:hAnsiTheme="majorHAnsi" w:cs="Arial"/>
        </w:rPr>
      </w:pPr>
      <w:r>
        <w:rPr>
          <w:rFonts w:asciiTheme="majorHAnsi" w:hAnsiTheme="majorHAnsi" w:cs="Arial"/>
        </w:rPr>
        <w:t>“We’re very subtle in that we don’t have to explain the problem and solution in the ads”</w:t>
      </w:r>
    </w:p>
    <w:p w:rsidR="00C76062" w:rsidRDefault="00C76062" w:rsidP="00C76062">
      <w:pPr>
        <w:pStyle w:val="ListParagraph"/>
        <w:numPr>
          <w:ilvl w:val="0"/>
          <w:numId w:val="40"/>
        </w:numPr>
        <w:rPr>
          <w:rFonts w:asciiTheme="majorHAnsi" w:hAnsiTheme="majorHAnsi" w:cs="Arial"/>
        </w:rPr>
      </w:pPr>
      <w:r>
        <w:rPr>
          <w:rFonts w:asciiTheme="majorHAnsi" w:hAnsiTheme="majorHAnsi" w:cs="Arial"/>
        </w:rPr>
        <w:t xml:space="preserve">Shower grab bars designed by </w:t>
      </w:r>
      <w:r w:rsidR="00C84C7C">
        <w:rPr>
          <w:rFonts w:asciiTheme="majorHAnsi" w:hAnsiTheme="majorHAnsi" w:cs="Arial"/>
        </w:rPr>
        <w:t>Kohler Co.:</w:t>
      </w:r>
      <w:r w:rsidR="00C84C7C">
        <w:rPr>
          <w:rStyle w:val="EndnoteReference"/>
          <w:rFonts w:cs="Arial"/>
        </w:rPr>
        <w:endnoteReference w:id="84"/>
      </w:r>
    </w:p>
    <w:p w:rsidR="00C84C7C" w:rsidRDefault="00C84C7C" w:rsidP="00C84C7C">
      <w:pPr>
        <w:pStyle w:val="ListParagraph"/>
        <w:numPr>
          <w:ilvl w:val="1"/>
          <w:numId w:val="40"/>
        </w:numPr>
        <w:rPr>
          <w:rFonts w:asciiTheme="majorHAnsi" w:hAnsiTheme="majorHAnsi" w:cs="Arial"/>
        </w:rPr>
      </w:pPr>
      <w:r>
        <w:rPr>
          <w:rFonts w:asciiTheme="majorHAnsi" w:hAnsiTheme="majorHAnsi" w:cs="Arial"/>
        </w:rPr>
        <w:t>They rebranded their shower grab bars as the ‘Belay’ shower handrail.</w:t>
      </w:r>
    </w:p>
    <w:p w:rsidR="00C84C7C" w:rsidRDefault="00C84C7C" w:rsidP="00C84C7C">
      <w:pPr>
        <w:pStyle w:val="ListParagraph"/>
        <w:numPr>
          <w:ilvl w:val="2"/>
          <w:numId w:val="40"/>
        </w:numPr>
        <w:rPr>
          <w:rFonts w:asciiTheme="majorHAnsi" w:hAnsiTheme="majorHAnsi" w:cs="Arial"/>
        </w:rPr>
      </w:pPr>
      <w:r>
        <w:rPr>
          <w:rFonts w:asciiTheme="majorHAnsi" w:hAnsiTheme="majorHAnsi" w:cs="Arial"/>
        </w:rPr>
        <w:t>This helped to change the focus to activity by referencing the rock-climbing technique</w:t>
      </w:r>
    </w:p>
    <w:p w:rsidR="00C84C7C" w:rsidRDefault="00C84C7C" w:rsidP="00C84C7C">
      <w:pPr>
        <w:pStyle w:val="ListParagraph"/>
        <w:numPr>
          <w:ilvl w:val="1"/>
          <w:numId w:val="40"/>
        </w:numPr>
        <w:rPr>
          <w:rFonts w:asciiTheme="majorHAnsi" w:hAnsiTheme="majorHAnsi" w:cs="Arial"/>
        </w:rPr>
      </w:pPr>
      <w:r>
        <w:rPr>
          <w:rFonts w:asciiTheme="majorHAnsi" w:hAnsiTheme="majorHAnsi" w:cs="Arial"/>
        </w:rPr>
        <w:t>The bar was also designed to blend into the wall of a tiled shower</w:t>
      </w:r>
    </w:p>
    <w:p w:rsidR="00C84C7C" w:rsidRDefault="00C84C7C" w:rsidP="00C84C7C">
      <w:pPr>
        <w:pStyle w:val="ListParagraph"/>
        <w:numPr>
          <w:ilvl w:val="1"/>
          <w:numId w:val="40"/>
        </w:numPr>
        <w:rPr>
          <w:rFonts w:asciiTheme="majorHAnsi" w:hAnsiTheme="majorHAnsi" w:cs="Arial"/>
        </w:rPr>
      </w:pPr>
      <w:r>
        <w:rPr>
          <w:rFonts w:asciiTheme="majorHAnsi" w:hAnsiTheme="majorHAnsi" w:cs="Arial"/>
        </w:rPr>
        <w:t>Diana Schrage, senior interior designer:</w:t>
      </w:r>
    </w:p>
    <w:p w:rsidR="00C84C7C" w:rsidRDefault="00C84C7C" w:rsidP="00C84C7C">
      <w:pPr>
        <w:pStyle w:val="ListParagraph"/>
        <w:numPr>
          <w:ilvl w:val="2"/>
          <w:numId w:val="40"/>
        </w:numPr>
        <w:rPr>
          <w:rFonts w:asciiTheme="majorHAnsi" w:hAnsiTheme="majorHAnsi" w:cs="Arial"/>
        </w:rPr>
      </w:pPr>
      <w:r w:rsidRPr="00C84C7C">
        <w:rPr>
          <w:rFonts w:asciiTheme="majorHAnsi" w:hAnsiTheme="majorHAnsi" w:cs="Arial"/>
        </w:rPr>
        <w:t>“When you say, 'We've got beautiful</w:t>
      </w:r>
      <w:r>
        <w:rPr>
          <w:rFonts w:asciiTheme="majorHAnsi" w:hAnsiTheme="majorHAnsi" w:cs="Arial"/>
        </w:rPr>
        <w:t xml:space="preserve"> </w:t>
      </w:r>
      <w:r w:rsidRPr="00C84C7C">
        <w:rPr>
          <w:rFonts w:asciiTheme="majorHAnsi" w:hAnsiTheme="majorHAnsi" w:cs="Arial"/>
        </w:rPr>
        <w:t>grab bars,' [boomers] just say, 'Naw,' because they don't want to identify as needing that</w:t>
      </w:r>
      <w:r>
        <w:rPr>
          <w:rFonts w:asciiTheme="majorHAnsi" w:hAnsiTheme="majorHAnsi" w:cs="Arial"/>
        </w:rPr>
        <w:t>”</w:t>
      </w:r>
    </w:p>
    <w:p w:rsidR="00C84C7C" w:rsidRDefault="00BA239C" w:rsidP="00C84C7C">
      <w:pPr>
        <w:pStyle w:val="ListParagraph"/>
        <w:numPr>
          <w:ilvl w:val="0"/>
          <w:numId w:val="40"/>
        </w:numPr>
        <w:rPr>
          <w:rFonts w:asciiTheme="majorHAnsi" w:hAnsiTheme="majorHAnsi" w:cs="Arial"/>
        </w:rPr>
      </w:pPr>
      <w:r>
        <w:rPr>
          <w:rFonts w:asciiTheme="majorHAnsi" w:hAnsiTheme="majorHAnsi" w:cs="Arial"/>
        </w:rPr>
        <w:t>Kimberley-Clark</w:t>
      </w:r>
      <w:r w:rsidR="00E77658">
        <w:rPr>
          <w:rFonts w:asciiTheme="majorHAnsi" w:hAnsiTheme="majorHAnsi" w:cs="Arial"/>
        </w:rPr>
        <w:t xml:space="preserve"> recently did a mock-up of what an age-friendly store display would look like:</w:t>
      </w:r>
      <w:r w:rsidR="00E77658">
        <w:rPr>
          <w:rStyle w:val="EndnoteReference"/>
          <w:rFonts w:cs="Arial"/>
        </w:rPr>
        <w:endnoteReference w:id="85"/>
      </w:r>
    </w:p>
    <w:p w:rsidR="00E77658" w:rsidRDefault="00E77658" w:rsidP="00E77658">
      <w:pPr>
        <w:pStyle w:val="ListParagraph"/>
        <w:numPr>
          <w:ilvl w:val="1"/>
          <w:numId w:val="40"/>
        </w:numPr>
        <w:rPr>
          <w:rFonts w:asciiTheme="majorHAnsi" w:hAnsiTheme="majorHAnsi" w:cs="Arial"/>
        </w:rPr>
      </w:pPr>
      <w:r>
        <w:rPr>
          <w:rFonts w:asciiTheme="majorHAnsi" w:hAnsiTheme="majorHAnsi" w:cs="Arial"/>
        </w:rPr>
        <w:t>They believed that many older people are resistant to going into an ‘older person’s’ section of a store.</w:t>
      </w:r>
    </w:p>
    <w:p w:rsidR="00E77658" w:rsidRDefault="00E77658" w:rsidP="00E77658">
      <w:pPr>
        <w:pStyle w:val="ListParagraph"/>
        <w:numPr>
          <w:ilvl w:val="1"/>
          <w:numId w:val="40"/>
        </w:numPr>
        <w:rPr>
          <w:rFonts w:asciiTheme="majorHAnsi" w:hAnsiTheme="majorHAnsi" w:cs="Arial"/>
        </w:rPr>
      </w:pPr>
      <w:r>
        <w:rPr>
          <w:rFonts w:asciiTheme="majorHAnsi" w:hAnsiTheme="majorHAnsi" w:cs="Arial"/>
        </w:rPr>
        <w:t xml:space="preserve">The display pairs incontinence products with other personal-care items </w:t>
      </w:r>
      <w:r>
        <w:rPr>
          <w:rFonts w:asciiTheme="majorHAnsi" w:hAnsiTheme="majorHAnsi" w:cs="Arial"/>
          <w:i/>
        </w:rPr>
        <w:t xml:space="preserve">not </w:t>
      </w:r>
      <w:r>
        <w:rPr>
          <w:rFonts w:asciiTheme="majorHAnsi" w:hAnsiTheme="majorHAnsi" w:cs="Arial"/>
        </w:rPr>
        <w:t>associated solely with seniors, such as body washes and razors.</w:t>
      </w:r>
    </w:p>
    <w:p w:rsidR="00E77658" w:rsidRDefault="00E77658" w:rsidP="00E77658">
      <w:pPr>
        <w:pStyle w:val="ListParagraph"/>
        <w:numPr>
          <w:ilvl w:val="2"/>
          <w:numId w:val="40"/>
        </w:numPr>
        <w:rPr>
          <w:rFonts w:asciiTheme="majorHAnsi" w:hAnsiTheme="majorHAnsi" w:cs="Arial"/>
        </w:rPr>
      </w:pPr>
      <w:r>
        <w:rPr>
          <w:rFonts w:asciiTheme="majorHAnsi" w:hAnsiTheme="majorHAnsi" w:cs="Arial"/>
        </w:rPr>
        <w:t>This helps them feel like they aren’t singled out</w:t>
      </w:r>
    </w:p>
    <w:p w:rsidR="00E77658" w:rsidRDefault="00E77658" w:rsidP="00E77658">
      <w:pPr>
        <w:pStyle w:val="ListParagraph"/>
        <w:numPr>
          <w:ilvl w:val="2"/>
          <w:numId w:val="40"/>
        </w:numPr>
        <w:rPr>
          <w:rFonts w:asciiTheme="majorHAnsi" w:hAnsiTheme="majorHAnsi" w:cs="Arial"/>
        </w:rPr>
      </w:pPr>
      <w:r>
        <w:rPr>
          <w:rFonts w:asciiTheme="majorHAnsi" w:hAnsiTheme="majorHAnsi" w:cs="Arial"/>
        </w:rPr>
        <w:t>Deborah Hannah, Kimberley-Clark’s integrated marketing planning director:</w:t>
      </w:r>
    </w:p>
    <w:p w:rsidR="00E77658" w:rsidRPr="00002EA6" w:rsidRDefault="00E77658" w:rsidP="00002EA6">
      <w:pPr>
        <w:pStyle w:val="ListParagraph"/>
        <w:numPr>
          <w:ilvl w:val="3"/>
          <w:numId w:val="40"/>
        </w:numPr>
        <w:rPr>
          <w:rFonts w:asciiTheme="majorHAnsi" w:hAnsiTheme="majorHAnsi" w:cs="Arial"/>
        </w:rPr>
      </w:pPr>
      <w:r>
        <w:rPr>
          <w:rFonts w:asciiTheme="majorHAnsi" w:hAnsiTheme="majorHAnsi" w:cs="Arial"/>
        </w:rPr>
        <w:t>“This way it appears that it’s all about your hygiene routine”</w:t>
      </w:r>
    </w:p>
    <w:p w:rsidR="00E01634" w:rsidRDefault="00380EFD" w:rsidP="00380EFD">
      <w:pPr>
        <w:rPr>
          <w:rFonts w:asciiTheme="majorHAnsi" w:hAnsiTheme="majorHAnsi" w:cs="Arial"/>
        </w:rPr>
      </w:pPr>
      <w:bookmarkStart w:id="9" w:name="SegmentationProQuotes"/>
      <w:r>
        <w:rPr>
          <w:rFonts w:asciiTheme="majorHAnsi" w:hAnsiTheme="majorHAnsi" w:cs="Arial"/>
          <w:u w:val="single"/>
        </w:rPr>
        <w:t>Quotes – From Professionals and Experts</w:t>
      </w:r>
      <w:bookmarkEnd w:id="9"/>
    </w:p>
    <w:p w:rsidR="00380EFD" w:rsidRDefault="00B73FDC" w:rsidP="00380EFD">
      <w:pPr>
        <w:pStyle w:val="ListParagraph"/>
        <w:numPr>
          <w:ilvl w:val="0"/>
          <w:numId w:val="41"/>
        </w:numPr>
        <w:rPr>
          <w:rFonts w:asciiTheme="majorHAnsi" w:hAnsiTheme="majorHAnsi" w:cs="Arial"/>
        </w:rPr>
      </w:pPr>
      <w:r>
        <w:rPr>
          <w:rFonts w:asciiTheme="majorHAnsi" w:hAnsiTheme="majorHAnsi" w:cs="Arial"/>
        </w:rPr>
        <w:t>Mark Beasley, managing director at RHC Advantage (UK marketing agency specialising in mature consumers):</w:t>
      </w:r>
    </w:p>
    <w:p w:rsidR="00B73FDC" w:rsidRDefault="0004740C" w:rsidP="0004740C">
      <w:pPr>
        <w:pStyle w:val="ListParagraph"/>
        <w:numPr>
          <w:ilvl w:val="1"/>
          <w:numId w:val="41"/>
        </w:numPr>
        <w:rPr>
          <w:rFonts w:asciiTheme="majorHAnsi" w:hAnsiTheme="majorHAnsi" w:cs="Arial"/>
        </w:rPr>
      </w:pPr>
      <w:r>
        <w:rPr>
          <w:rFonts w:asciiTheme="majorHAnsi" w:hAnsiTheme="majorHAnsi" w:cs="Arial"/>
        </w:rPr>
        <w:t>“Older people are not a single segment. This market is too larg</w:t>
      </w:r>
      <w:r w:rsidR="001057A3">
        <w:rPr>
          <w:rFonts w:asciiTheme="majorHAnsi" w:hAnsiTheme="majorHAnsi" w:cs="Arial"/>
        </w:rPr>
        <w:t>e, too diverse and too complex”</w:t>
      </w:r>
      <w:r w:rsidR="008B67FB" w:rsidRPr="008B67FB">
        <w:rPr>
          <w:rStyle w:val="EndnoteReference"/>
          <w:rFonts w:cs="Arial"/>
        </w:rPr>
        <w:t xml:space="preserve"> </w:t>
      </w:r>
      <w:r w:rsidR="008B67FB">
        <w:rPr>
          <w:rStyle w:val="EndnoteReference"/>
          <w:rFonts w:cs="Arial"/>
        </w:rPr>
        <w:endnoteReference w:id="86"/>
      </w:r>
    </w:p>
    <w:p w:rsidR="001057A3" w:rsidRDefault="001057A3" w:rsidP="0004740C">
      <w:pPr>
        <w:pStyle w:val="ListParagraph"/>
        <w:numPr>
          <w:ilvl w:val="1"/>
          <w:numId w:val="41"/>
        </w:numPr>
        <w:rPr>
          <w:rFonts w:asciiTheme="majorHAnsi" w:hAnsiTheme="majorHAnsi" w:cs="Arial"/>
        </w:rPr>
      </w:pPr>
      <w:r>
        <w:rPr>
          <w:rFonts w:asciiTheme="majorHAnsi" w:hAnsiTheme="majorHAnsi" w:cs="Arial"/>
        </w:rPr>
        <w:t xml:space="preserve">“Inclusivity means not excluding older people, rather than actively targeting them. For instance, some brands seem to go out of their way to appeal to younger people, even though </w:t>
      </w:r>
      <w:r w:rsidR="00AE66FC">
        <w:rPr>
          <w:rFonts w:asciiTheme="majorHAnsi" w:hAnsiTheme="majorHAnsi" w:cs="Arial"/>
        </w:rPr>
        <w:t>older people are also potential customers</w:t>
      </w:r>
      <w:r w:rsidR="001A3C34">
        <w:rPr>
          <w:rFonts w:asciiTheme="majorHAnsi" w:hAnsiTheme="majorHAnsi" w:cs="Arial"/>
        </w:rPr>
        <w:t>”</w:t>
      </w:r>
      <w:r w:rsidR="008B67FB" w:rsidRPr="008B67FB">
        <w:rPr>
          <w:rStyle w:val="EndnoteReference"/>
          <w:rFonts w:cs="Arial"/>
        </w:rPr>
        <w:t xml:space="preserve"> </w:t>
      </w:r>
      <w:r w:rsidR="008B67FB">
        <w:rPr>
          <w:rStyle w:val="EndnoteReference"/>
          <w:rFonts w:cs="Arial"/>
        </w:rPr>
        <w:endnoteReference w:id="87"/>
      </w:r>
    </w:p>
    <w:p w:rsidR="00125B4F" w:rsidRDefault="00125B4F" w:rsidP="00125B4F">
      <w:pPr>
        <w:pStyle w:val="ListParagraph"/>
        <w:numPr>
          <w:ilvl w:val="0"/>
          <w:numId w:val="41"/>
        </w:numPr>
        <w:rPr>
          <w:rFonts w:asciiTheme="majorHAnsi" w:hAnsiTheme="majorHAnsi" w:cs="Arial"/>
        </w:rPr>
      </w:pPr>
      <w:r>
        <w:rPr>
          <w:rFonts w:asciiTheme="majorHAnsi" w:hAnsiTheme="majorHAnsi" w:cs="Arial"/>
        </w:rPr>
        <w:t>Halima Khan, Director of the Innovation Lab at Nesta:</w:t>
      </w:r>
    </w:p>
    <w:p w:rsidR="00125B4F" w:rsidRDefault="00125B4F" w:rsidP="00125B4F">
      <w:pPr>
        <w:pStyle w:val="ListParagraph"/>
        <w:numPr>
          <w:ilvl w:val="1"/>
          <w:numId w:val="41"/>
        </w:numPr>
        <w:rPr>
          <w:rFonts w:asciiTheme="majorHAnsi" w:hAnsiTheme="majorHAnsi" w:cs="Arial"/>
        </w:rPr>
      </w:pPr>
      <w:r>
        <w:rPr>
          <w:rFonts w:asciiTheme="majorHAnsi" w:hAnsiTheme="majorHAnsi" w:cs="Arial"/>
        </w:rPr>
        <w:t>“A big risk here is we jump from one stereotype to another – from the incapacitated people sitting in care homes to a picture of impossibly happy boomers on bikes. Neither of those does justice to the reality of older people’s lives.”</w:t>
      </w:r>
      <w:r w:rsidR="008B67FB" w:rsidRPr="008B67FB">
        <w:rPr>
          <w:rStyle w:val="EndnoteReference"/>
          <w:rFonts w:cs="Arial"/>
        </w:rPr>
        <w:t xml:space="preserve"> </w:t>
      </w:r>
      <w:r w:rsidR="008B67FB">
        <w:rPr>
          <w:rStyle w:val="EndnoteReference"/>
          <w:rFonts w:cs="Arial"/>
        </w:rPr>
        <w:endnoteReference w:id="88"/>
      </w:r>
    </w:p>
    <w:p w:rsidR="001A3C34" w:rsidRDefault="00A96B44" w:rsidP="001A3C34">
      <w:pPr>
        <w:pStyle w:val="ListParagraph"/>
        <w:numPr>
          <w:ilvl w:val="0"/>
          <w:numId w:val="41"/>
        </w:numPr>
        <w:rPr>
          <w:rFonts w:asciiTheme="majorHAnsi" w:hAnsiTheme="majorHAnsi" w:cs="Arial"/>
        </w:rPr>
      </w:pPr>
      <w:r>
        <w:rPr>
          <w:rFonts w:asciiTheme="majorHAnsi" w:hAnsiTheme="majorHAnsi" w:cs="Arial"/>
        </w:rPr>
        <w:t>Ms Coleman, Punch Media:</w:t>
      </w:r>
    </w:p>
    <w:p w:rsidR="00A96B44" w:rsidRDefault="00A96B44" w:rsidP="00A96B44">
      <w:pPr>
        <w:pStyle w:val="ListParagraph"/>
        <w:numPr>
          <w:ilvl w:val="1"/>
          <w:numId w:val="41"/>
        </w:numPr>
        <w:rPr>
          <w:rFonts w:asciiTheme="majorHAnsi" w:hAnsiTheme="majorHAnsi" w:cs="Arial"/>
        </w:rPr>
      </w:pPr>
      <w:r>
        <w:rPr>
          <w:rFonts w:asciiTheme="majorHAnsi" w:hAnsiTheme="majorHAnsi" w:cs="Arial"/>
        </w:rPr>
        <w:t>“It is fully possible to address one segment of the market without alienating another, if you are a smart marketer”</w:t>
      </w:r>
      <w:r w:rsidR="008B67FB" w:rsidRPr="008B67FB">
        <w:rPr>
          <w:rStyle w:val="EndnoteReference"/>
          <w:rFonts w:cs="Arial"/>
        </w:rPr>
        <w:t xml:space="preserve"> </w:t>
      </w:r>
      <w:r w:rsidR="008B67FB">
        <w:rPr>
          <w:rStyle w:val="EndnoteReference"/>
          <w:rFonts w:cs="Arial"/>
        </w:rPr>
        <w:endnoteReference w:id="89"/>
      </w:r>
    </w:p>
    <w:p w:rsidR="00A96B44" w:rsidRDefault="00A96B44" w:rsidP="00A96B44">
      <w:pPr>
        <w:pStyle w:val="ListParagraph"/>
        <w:numPr>
          <w:ilvl w:val="1"/>
          <w:numId w:val="41"/>
        </w:numPr>
        <w:rPr>
          <w:rFonts w:asciiTheme="majorHAnsi" w:hAnsiTheme="majorHAnsi" w:cs="Arial"/>
        </w:rPr>
      </w:pPr>
      <w:r>
        <w:rPr>
          <w:rFonts w:asciiTheme="majorHAnsi" w:hAnsiTheme="majorHAnsi" w:cs="Arial"/>
        </w:rPr>
        <w:t>“We live in a world of fragments now, so one-size just can’t fit all. To do that is to risk leaving money on the table”.</w:t>
      </w:r>
      <w:r w:rsidR="008B67FB" w:rsidRPr="008B67FB">
        <w:rPr>
          <w:rStyle w:val="EndnoteReference"/>
          <w:rFonts w:cs="Arial"/>
        </w:rPr>
        <w:t xml:space="preserve"> </w:t>
      </w:r>
      <w:r w:rsidR="008B67FB">
        <w:rPr>
          <w:rStyle w:val="EndnoteReference"/>
          <w:rFonts w:cs="Arial"/>
        </w:rPr>
        <w:endnoteReference w:id="90"/>
      </w:r>
    </w:p>
    <w:p w:rsidR="004D5D58" w:rsidRDefault="004D5D58" w:rsidP="004D5D58">
      <w:pPr>
        <w:pStyle w:val="ListParagraph"/>
        <w:numPr>
          <w:ilvl w:val="0"/>
          <w:numId w:val="41"/>
        </w:numPr>
        <w:rPr>
          <w:rFonts w:asciiTheme="majorHAnsi" w:hAnsiTheme="majorHAnsi" w:cs="Arial"/>
        </w:rPr>
      </w:pPr>
      <w:r>
        <w:rPr>
          <w:rFonts w:asciiTheme="majorHAnsi" w:hAnsiTheme="majorHAnsi" w:cs="Arial"/>
        </w:rPr>
        <w:t>David Cohen, vice president of the home-care division of Church &amp; Dwight Co.:</w:t>
      </w:r>
    </w:p>
    <w:p w:rsidR="004D5D58" w:rsidRPr="004D5D58" w:rsidRDefault="004D5D58" w:rsidP="004D5D58">
      <w:pPr>
        <w:pStyle w:val="ListParagraph"/>
        <w:numPr>
          <w:ilvl w:val="1"/>
          <w:numId w:val="41"/>
        </w:numPr>
        <w:rPr>
          <w:rFonts w:asciiTheme="majorHAnsi" w:hAnsiTheme="majorHAnsi" w:cs="Arial"/>
        </w:rPr>
      </w:pPr>
      <w:r>
        <w:rPr>
          <w:rFonts w:asciiTheme="majorHAnsi" w:hAnsiTheme="majorHAnsi" w:cs="Arial"/>
        </w:rPr>
        <w:t>“Our research shows that 60% of boomers who are near 65 claim to feel much younger than their actual age”.</w:t>
      </w:r>
      <w:r w:rsidR="008B67FB" w:rsidRPr="008B67FB">
        <w:rPr>
          <w:rStyle w:val="EndnoteReference"/>
          <w:rFonts w:cs="Arial"/>
        </w:rPr>
        <w:t xml:space="preserve"> </w:t>
      </w:r>
      <w:r w:rsidR="008B67FB">
        <w:rPr>
          <w:rStyle w:val="EndnoteReference"/>
          <w:rFonts w:cs="Arial"/>
        </w:rPr>
        <w:endnoteReference w:id="91"/>
      </w:r>
    </w:p>
    <w:p w:rsidR="00A96B44" w:rsidRDefault="001D274D" w:rsidP="00A96B44">
      <w:pPr>
        <w:pStyle w:val="ListParagraph"/>
        <w:numPr>
          <w:ilvl w:val="0"/>
          <w:numId w:val="41"/>
        </w:numPr>
        <w:rPr>
          <w:rFonts w:asciiTheme="majorHAnsi" w:hAnsiTheme="majorHAnsi" w:cs="Arial"/>
        </w:rPr>
      </w:pPr>
      <w:r>
        <w:rPr>
          <w:rFonts w:asciiTheme="majorHAnsi" w:hAnsiTheme="majorHAnsi" w:cs="Arial"/>
        </w:rPr>
        <w:t>Todd Harff, President of Creating Results:</w:t>
      </w:r>
    </w:p>
    <w:p w:rsidR="001D274D" w:rsidRDefault="001D274D" w:rsidP="001D274D">
      <w:pPr>
        <w:pStyle w:val="ListParagraph"/>
        <w:numPr>
          <w:ilvl w:val="1"/>
          <w:numId w:val="41"/>
        </w:numPr>
        <w:rPr>
          <w:rFonts w:asciiTheme="majorHAnsi" w:hAnsiTheme="majorHAnsi" w:cs="Arial"/>
        </w:rPr>
      </w:pPr>
      <w:r>
        <w:rPr>
          <w:rFonts w:asciiTheme="majorHAnsi" w:hAnsiTheme="majorHAnsi" w:cs="Arial"/>
        </w:rPr>
        <w:t>“If an ad seems to say, ‘you must be lonely, and we can help you’, that’s going to be insulting”</w:t>
      </w:r>
      <w:r w:rsidR="008B67FB" w:rsidRPr="008B67FB">
        <w:rPr>
          <w:rStyle w:val="EndnoteReference"/>
          <w:rFonts w:cs="Arial"/>
        </w:rPr>
        <w:t xml:space="preserve"> </w:t>
      </w:r>
      <w:r w:rsidR="008B67FB">
        <w:rPr>
          <w:rStyle w:val="EndnoteReference"/>
          <w:rFonts w:cs="Arial"/>
        </w:rPr>
        <w:endnoteReference w:id="92"/>
      </w:r>
    </w:p>
    <w:p w:rsidR="00034CCB" w:rsidRDefault="004D5D58" w:rsidP="00034CCB">
      <w:pPr>
        <w:pStyle w:val="ListParagraph"/>
        <w:numPr>
          <w:ilvl w:val="0"/>
          <w:numId w:val="41"/>
        </w:numPr>
        <w:rPr>
          <w:rFonts w:asciiTheme="majorHAnsi" w:hAnsiTheme="majorHAnsi" w:cs="Arial"/>
        </w:rPr>
      </w:pPr>
      <w:r>
        <w:rPr>
          <w:rFonts w:asciiTheme="majorHAnsi" w:hAnsiTheme="majorHAnsi" w:cs="Arial"/>
        </w:rPr>
        <w:t>Andrew Burke, Chief Marketing Officer at Diamond Foods Inc:</w:t>
      </w:r>
    </w:p>
    <w:p w:rsidR="004D5D58" w:rsidRDefault="004D5D58" w:rsidP="004D5D58">
      <w:pPr>
        <w:pStyle w:val="ListParagraph"/>
        <w:numPr>
          <w:ilvl w:val="1"/>
          <w:numId w:val="41"/>
        </w:numPr>
        <w:rPr>
          <w:rFonts w:asciiTheme="majorHAnsi" w:hAnsiTheme="majorHAnsi" w:cs="Arial"/>
        </w:rPr>
      </w:pPr>
      <w:r>
        <w:rPr>
          <w:rFonts w:asciiTheme="majorHAnsi" w:hAnsiTheme="majorHAnsi" w:cs="Arial"/>
        </w:rPr>
        <w:t>“We’re very careful to not come across as preachy. Boomers have a filter that says, ‘If you’re trying to sell me too hard, then I’m not sure about your intentions’.”</w:t>
      </w:r>
      <w:r w:rsidR="008B67FB" w:rsidRPr="008B67FB">
        <w:rPr>
          <w:rStyle w:val="EndnoteReference"/>
          <w:rFonts w:cs="Arial"/>
        </w:rPr>
        <w:t xml:space="preserve"> </w:t>
      </w:r>
      <w:r w:rsidR="008B67FB">
        <w:rPr>
          <w:rStyle w:val="EndnoteReference"/>
          <w:rFonts w:cs="Arial"/>
        </w:rPr>
        <w:endnoteReference w:id="93"/>
      </w:r>
    </w:p>
    <w:p w:rsidR="001D274D" w:rsidRDefault="001D274D" w:rsidP="001D274D">
      <w:pPr>
        <w:pStyle w:val="ListParagraph"/>
        <w:numPr>
          <w:ilvl w:val="0"/>
          <w:numId w:val="41"/>
        </w:numPr>
        <w:rPr>
          <w:rFonts w:asciiTheme="majorHAnsi" w:hAnsiTheme="majorHAnsi" w:cs="Arial"/>
        </w:rPr>
      </w:pPr>
      <w:r>
        <w:rPr>
          <w:rFonts w:asciiTheme="majorHAnsi" w:hAnsiTheme="majorHAnsi" w:cs="Arial"/>
        </w:rPr>
        <w:lastRenderedPageBreak/>
        <w:t>Sandra Timmermann, Executive Director of the MetLife Mature Market Institute:</w:t>
      </w:r>
    </w:p>
    <w:p w:rsidR="001D274D" w:rsidRDefault="001D274D" w:rsidP="001D274D">
      <w:pPr>
        <w:pStyle w:val="ListParagraph"/>
        <w:numPr>
          <w:ilvl w:val="1"/>
          <w:numId w:val="41"/>
        </w:numPr>
        <w:rPr>
          <w:rFonts w:asciiTheme="majorHAnsi" w:hAnsiTheme="majorHAnsi" w:cs="Arial"/>
        </w:rPr>
      </w:pPr>
      <w:r>
        <w:rPr>
          <w:rFonts w:asciiTheme="majorHAnsi" w:hAnsiTheme="majorHAnsi" w:cs="Arial"/>
        </w:rPr>
        <w:t>“Some of the images in ads [targeted at seniors] are not very authentic – like that affluent couple you always see walking hand in hand on the beach, perfectly coiffed”</w:t>
      </w:r>
      <w:r w:rsidR="008B67FB" w:rsidRPr="008B67FB">
        <w:rPr>
          <w:rStyle w:val="EndnoteReference"/>
          <w:rFonts w:cs="Arial"/>
        </w:rPr>
        <w:t xml:space="preserve"> </w:t>
      </w:r>
      <w:r w:rsidR="008B67FB">
        <w:rPr>
          <w:rStyle w:val="EndnoteReference"/>
          <w:rFonts w:cs="Arial"/>
        </w:rPr>
        <w:endnoteReference w:id="94"/>
      </w:r>
    </w:p>
    <w:p w:rsidR="00125B4F" w:rsidRDefault="005F2FAE" w:rsidP="00125B4F">
      <w:pPr>
        <w:pStyle w:val="ListParagraph"/>
        <w:numPr>
          <w:ilvl w:val="0"/>
          <w:numId w:val="41"/>
        </w:numPr>
        <w:rPr>
          <w:rFonts w:asciiTheme="majorHAnsi" w:hAnsiTheme="majorHAnsi" w:cs="Arial"/>
        </w:rPr>
      </w:pPr>
      <w:r>
        <w:rPr>
          <w:rFonts w:asciiTheme="majorHAnsi" w:hAnsiTheme="majorHAnsi" w:cs="Arial"/>
        </w:rPr>
        <w:t>Dick Boer, president and CEO of Royal Ahold:</w:t>
      </w:r>
    </w:p>
    <w:p w:rsidR="005F2FAE" w:rsidRDefault="005F2FAE" w:rsidP="005F2FAE">
      <w:pPr>
        <w:pStyle w:val="ListParagraph"/>
        <w:numPr>
          <w:ilvl w:val="1"/>
          <w:numId w:val="41"/>
        </w:numPr>
        <w:rPr>
          <w:rFonts w:asciiTheme="majorHAnsi" w:hAnsiTheme="majorHAnsi" w:cs="Arial"/>
        </w:rPr>
      </w:pPr>
      <w:r>
        <w:rPr>
          <w:rFonts w:asciiTheme="majorHAnsi" w:hAnsiTheme="majorHAnsi" w:cs="Arial"/>
        </w:rPr>
        <w:t>“We [businesses] have a responsibility to help ageing consumers access the goods and services they need and want, and to continue to recognise them as valued and engaged members of the community”</w:t>
      </w:r>
      <w:r w:rsidR="008B67FB" w:rsidRPr="008B67FB">
        <w:rPr>
          <w:rStyle w:val="EndnoteReference"/>
          <w:rFonts w:cs="Arial"/>
        </w:rPr>
        <w:t xml:space="preserve"> </w:t>
      </w:r>
      <w:r w:rsidR="008B67FB">
        <w:rPr>
          <w:rStyle w:val="EndnoteReference"/>
          <w:rFonts w:cs="Arial"/>
        </w:rPr>
        <w:endnoteReference w:id="95"/>
      </w:r>
    </w:p>
    <w:p w:rsidR="005F2FAE" w:rsidRDefault="005F2FAE" w:rsidP="005F2FAE">
      <w:pPr>
        <w:pStyle w:val="ListParagraph"/>
        <w:numPr>
          <w:ilvl w:val="0"/>
          <w:numId w:val="41"/>
        </w:numPr>
        <w:rPr>
          <w:rFonts w:asciiTheme="majorHAnsi" w:hAnsiTheme="majorHAnsi" w:cs="Arial"/>
        </w:rPr>
      </w:pPr>
      <w:r>
        <w:rPr>
          <w:rFonts w:asciiTheme="majorHAnsi" w:hAnsiTheme="majorHAnsi" w:cs="Arial"/>
        </w:rPr>
        <w:t>Professor Stephen Golant, University of Florida</w:t>
      </w:r>
      <w:r w:rsidR="00B17F23">
        <w:rPr>
          <w:rFonts w:asciiTheme="majorHAnsi" w:hAnsiTheme="majorHAnsi" w:cs="Arial"/>
        </w:rPr>
        <w:t>:</w:t>
      </w:r>
    </w:p>
    <w:p w:rsidR="00B17F23" w:rsidRPr="00B11AAC" w:rsidRDefault="00B17F23" w:rsidP="00B17F23">
      <w:pPr>
        <w:pStyle w:val="ListParagraph"/>
        <w:numPr>
          <w:ilvl w:val="1"/>
          <w:numId w:val="41"/>
        </w:numPr>
        <w:rPr>
          <w:rFonts w:asciiTheme="majorHAnsi" w:hAnsiTheme="majorHAnsi" w:cs="Arial"/>
        </w:rPr>
      </w:pPr>
      <w:r>
        <w:rPr>
          <w:rFonts w:asciiTheme="majorHAnsi" w:hAnsiTheme="majorHAnsi" w:cs="Arial"/>
        </w:rPr>
        <w:t>The majority of older persons are not poor or frail – they are motivated consumers waiting to be convinced. Companies must make it easier and more enjoyable for older consumers to use their products”</w:t>
      </w:r>
      <w:r w:rsidR="008B67FB" w:rsidRPr="008B67FB">
        <w:rPr>
          <w:rStyle w:val="EndnoteReference"/>
          <w:rFonts w:cs="Arial"/>
        </w:rPr>
        <w:t xml:space="preserve"> </w:t>
      </w:r>
      <w:r w:rsidR="008B67FB">
        <w:rPr>
          <w:rStyle w:val="EndnoteReference"/>
          <w:rFonts w:cs="Arial"/>
        </w:rPr>
        <w:endnoteReference w:id="96"/>
      </w:r>
    </w:p>
    <w:p w:rsidR="00B11AAC" w:rsidRPr="00B11AAC" w:rsidRDefault="00B11AAC" w:rsidP="00B11AAC">
      <w:pPr>
        <w:pStyle w:val="ListParagraph"/>
        <w:numPr>
          <w:ilvl w:val="0"/>
          <w:numId w:val="41"/>
        </w:numPr>
        <w:rPr>
          <w:rFonts w:asciiTheme="majorHAnsi" w:hAnsiTheme="majorHAnsi" w:cs="Arial"/>
        </w:rPr>
      </w:pPr>
      <w:r w:rsidRPr="00B11AAC">
        <w:rPr>
          <w:rFonts w:asciiTheme="majorHAnsi" w:hAnsiTheme="majorHAnsi" w:cs="Arial"/>
        </w:rPr>
        <w:t>Kaye Fallick, editor of Your Life Choices:</w:t>
      </w:r>
    </w:p>
    <w:p w:rsidR="00B11AAC" w:rsidRPr="00B11AAC" w:rsidRDefault="00B11AAC" w:rsidP="00B11AAC">
      <w:pPr>
        <w:pStyle w:val="ListParagraph"/>
        <w:numPr>
          <w:ilvl w:val="1"/>
          <w:numId w:val="41"/>
        </w:numPr>
        <w:rPr>
          <w:rFonts w:asciiTheme="majorHAnsi" w:hAnsiTheme="majorHAnsi" w:cs="Arial"/>
        </w:rPr>
      </w:pPr>
      <w:r w:rsidRPr="00B11AAC">
        <w:rPr>
          <w:rFonts w:asciiTheme="majorHAnsi" w:hAnsiTheme="majorHAnsi" w:cs="Arial"/>
        </w:rPr>
        <w:t>“</w:t>
      </w:r>
      <w:r w:rsidRPr="00B11AAC">
        <w:rPr>
          <w:rFonts w:asciiTheme="majorHAnsi" w:hAnsiTheme="majorHAnsi"/>
        </w:rPr>
        <w:t>Demographers…are talking about 5.5 million people in Australia, out of a population of 23 million. They’re aged 48-66, some are working, some are not, some are young at heart, some are not, some are rich and some are poor. And if we look at teens this cohort is 13-19 and in that 6 year age group…we get the nuances, we get these tribes within these ages. But when it comes to baby boomers, I think we’re very lazy. We just can’t use the same brush to pain this segment of people.”</w:t>
      </w:r>
      <w:r>
        <w:rPr>
          <w:rStyle w:val="EndnoteReference"/>
        </w:rPr>
        <w:endnoteReference w:id="97"/>
      </w:r>
    </w:p>
    <w:p w:rsidR="00B17F23" w:rsidRDefault="00B17F23" w:rsidP="00B17F23">
      <w:pPr>
        <w:rPr>
          <w:rFonts w:asciiTheme="majorHAnsi" w:hAnsiTheme="majorHAnsi" w:cs="Arial"/>
        </w:rPr>
      </w:pPr>
      <w:bookmarkStart w:id="10" w:name="SegmentationConsumerQuotes"/>
      <w:r>
        <w:rPr>
          <w:rFonts w:asciiTheme="majorHAnsi" w:hAnsiTheme="majorHAnsi" w:cs="Arial"/>
          <w:u w:val="single"/>
        </w:rPr>
        <w:t>Quotes – From Older Consumers</w:t>
      </w:r>
      <w:bookmarkEnd w:id="10"/>
    </w:p>
    <w:p w:rsidR="00B17F23" w:rsidRDefault="006D026B" w:rsidP="00B17F23">
      <w:pPr>
        <w:pStyle w:val="ListParagraph"/>
        <w:numPr>
          <w:ilvl w:val="0"/>
          <w:numId w:val="43"/>
        </w:numPr>
        <w:rPr>
          <w:rFonts w:asciiTheme="majorHAnsi" w:hAnsiTheme="majorHAnsi" w:cs="Arial"/>
        </w:rPr>
      </w:pPr>
      <w:r>
        <w:rPr>
          <w:rFonts w:asciiTheme="majorHAnsi" w:hAnsiTheme="majorHAnsi" w:cs="Arial"/>
        </w:rPr>
        <w:t>Carol Roberts, 65 years old, retired elementary school teacher in Leland, N.C.:</w:t>
      </w:r>
    </w:p>
    <w:p w:rsidR="006D026B" w:rsidRDefault="006D026B" w:rsidP="006D026B">
      <w:pPr>
        <w:pStyle w:val="ListParagraph"/>
        <w:numPr>
          <w:ilvl w:val="1"/>
          <w:numId w:val="43"/>
        </w:numPr>
        <w:rPr>
          <w:rFonts w:asciiTheme="majorHAnsi" w:hAnsiTheme="majorHAnsi" w:cs="Arial"/>
        </w:rPr>
      </w:pPr>
      <w:r>
        <w:rPr>
          <w:rFonts w:asciiTheme="majorHAnsi" w:hAnsiTheme="majorHAnsi" w:cs="Arial"/>
        </w:rPr>
        <w:t xml:space="preserve">“I don’t want to look like I’m in my teens or </w:t>
      </w:r>
      <w:r w:rsidR="008B67FB">
        <w:rPr>
          <w:rFonts w:asciiTheme="majorHAnsi" w:hAnsiTheme="majorHAnsi" w:cs="Arial"/>
        </w:rPr>
        <w:t>20s, but I want to look current. To me, it’s really important to look your best, and not just say ‘I’m over 65, therefore it doesn’t matter what I look like’.”</w:t>
      </w:r>
      <w:r w:rsidR="008B67FB" w:rsidRPr="008B67FB">
        <w:rPr>
          <w:rStyle w:val="EndnoteReference"/>
          <w:rFonts w:cs="Arial"/>
        </w:rPr>
        <w:t xml:space="preserve"> </w:t>
      </w:r>
      <w:r w:rsidR="008B67FB">
        <w:rPr>
          <w:rStyle w:val="EndnoteReference"/>
          <w:rFonts w:cs="Arial"/>
        </w:rPr>
        <w:endnoteReference w:id="98"/>
      </w:r>
    </w:p>
    <w:p w:rsidR="008B67FB" w:rsidRDefault="00FA0090" w:rsidP="008B67FB">
      <w:pPr>
        <w:pStyle w:val="ListParagraph"/>
        <w:numPr>
          <w:ilvl w:val="0"/>
          <w:numId w:val="43"/>
        </w:numPr>
        <w:rPr>
          <w:rFonts w:asciiTheme="majorHAnsi" w:hAnsiTheme="majorHAnsi" w:cs="Arial"/>
        </w:rPr>
      </w:pPr>
      <w:r>
        <w:rPr>
          <w:rFonts w:asciiTheme="majorHAnsi" w:hAnsiTheme="majorHAnsi" w:cs="Arial"/>
        </w:rPr>
        <w:t>Lynn Donadio, 63 years old, retired real estate agent, Long Valley, N.J.:</w:t>
      </w:r>
    </w:p>
    <w:p w:rsidR="00FA0090" w:rsidRDefault="00FA0090" w:rsidP="00AD2221">
      <w:pPr>
        <w:pStyle w:val="ListParagraph"/>
        <w:numPr>
          <w:ilvl w:val="1"/>
          <w:numId w:val="43"/>
        </w:numPr>
        <w:rPr>
          <w:rFonts w:asciiTheme="majorHAnsi" w:hAnsiTheme="majorHAnsi" w:cs="Arial"/>
        </w:rPr>
      </w:pPr>
      <w:r>
        <w:rPr>
          <w:rFonts w:asciiTheme="majorHAnsi" w:hAnsiTheme="majorHAnsi" w:cs="Arial"/>
        </w:rPr>
        <w:t>Companies don’t have to go to the highest mountain to shout out that something is made for a baby boomer. Maybe they can go to the top of a hill and whisper it.”</w:t>
      </w:r>
      <w:r>
        <w:rPr>
          <w:rStyle w:val="EndnoteReference"/>
          <w:rFonts w:cs="Arial"/>
        </w:rPr>
        <w:endnoteReference w:id="99"/>
      </w:r>
    </w:p>
    <w:p w:rsidR="00454165" w:rsidRDefault="00454165">
      <w:pPr>
        <w:spacing w:before="0" w:after="0"/>
        <w:rPr>
          <w:rFonts w:asciiTheme="majorHAnsi" w:hAnsiTheme="majorHAnsi" w:cs="Arial"/>
        </w:rPr>
      </w:pPr>
      <w:r>
        <w:rPr>
          <w:rFonts w:asciiTheme="majorHAnsi" w:hAnsiTheme="majorHAnsi" w:cs="Arial"/>
        </w:rPr>
        <w:br w:type="page"/>
      </w:r>
    </w:p>
    <w:p w:rsidR="00C04F55" w:rsidRDefault="00C04F55" w:rsidP="00C04F55">
      <w:pPr>
        <w:rPr>
          <w:rFonts w:asciiTheme="majorHAnsi" w:hAnsiTheme="majorHAnsi" w:cs="Arial"/>
          <w:b/>
          <w:sz w:val="28"/>
        </w:rPr>
      </w:pPr>
      <w:r>
        <w:rPr>
          <w:rFonts w:asciiTheme="majorHAnsi" w:hAnsiTheme="majorHAnsi" w:cs="Arial"/>
          <w:b/>
          <w:sz w:val="28"/>
        </w:rPr>
        <w:lastRenderedPageBreak/>
        <w:t xml:space="preserve">5. </w:t>
      </w:r>
      <w:bookmarkStart w:id="11" w:name="UniversalDesign"/>
      <w:r w:rsidR="001D5583">
        <w:rPr>
          <w:rFonts w:asciiTheme="majorHAnsi" w:hAnsiTheme="majorHAnsi" w:cs="Arial"/>
          <w:b/>
          <w:sz w:val="28"/>
        </w:rPr>
        <w:t>Good Practice – Universal Product Design</w:t>
      </w:r>
      <w:bookmarkEnd w:id="11"/>
    </w:p>
    <w:p w:rsidR="007F3F1C" w:rsidRPr="007F3F1C" w:rsidRDefault="007F3F1C" w:rsidP="00C04F55">
      <w:pPr>
        <w:rPr>
          <w:rFonts w:asciiTheme="majorHAnsi" w:hAnsiTheme="majorHAnsi" w:cs="Arial"/>
          <w:u w:val="single"/>
        </w:rPr>
      </w:pPr>
      <w:r>
        <w:rPr>
          <w:rFonts w:asciiTheme="majorHAnsi" w:hAnsiTheme="majorHAnsi" w:cs="Arial"/>
          <w:u w:val="single"/>
        </w:rPr>
        <w:t>Facts and Stats</w:t>
      </w:r>
    </w:p>
    <w:p w:rsidR="00C04F55" w:rsidRDefault="00567486" w:rsidP="00C04F55">
      <w:pPr>
        <w:pStyle w:val="ListParagraph"/>
        <w:numPr>
          <w:ilvl w:val="0"/>
          <w:numId w:val="39"/>
        </w:numPr>
        <w:rPr>
          <w:rFonts w:asciiTheme="majorHAnsi" w:hAnsiTheme="majorHAnsi" w:cs="Arial"/>
        </w:rPr>
      </w:pPr>
      <w:r>
        <w:rPr>
          <w:rFonts w:asciiTheme="majorHAnsi" w:hAnsiTheme="majorHAnsi" w:cs="Arial"/>
        </w:rPr>
        <w:t>Although in their attitudes and belief, older consumers are no different, some realities of ageing mean that they also struggle to use and access products:</w:t>
      </w:r>
      <w:r>
        <w:rPr>
          <w:rStyle w:val="EndnoteReference"/>
          <w:rFonts w:cs="Arial"/>
        </w:rPr>
        <w:endnoteReference w:id="100"/>
      </w:r>
    </w:p>
    <w:p w:rsidR="00567486" w:rsidRDefault="00567486" w:rsidP="00567486">
      <w:pPr>
        <w:pStyle w:val="ListParagraph"/>
        <w:numPr>
          <w:ilvl w:val="1"/>
          <w:numId w:val="39"/>
        </w:numPr>
        <w:rPr>
          <w:rFonts w:asciiTheme="majorHAnsi" w:hAnsiTheme="majorHAnsi" w:cs="Arial"/>
        </w:rPr>
      </w:pPr>
      <w:r>
        <w:rPr>
          <w:rFonts w:asciiTheme="majorHAnsi" w:hAnsiTheme="majorHAnsi" w:cs="Arial"/>
        </w:rPr>
        <w:t xml:space="preserve">Product packaging is </w:t>
      </w:r>
      <w:r w:rsidR="009A6006">
        <w:rPr>
          <w:rFonts w:asciiTheme="majorHAnsi" w:hAnsiTheme="majorHAnsi" w:cs="Arial"/>
        </w:rPr>
        <w:t>often cited as too difficult to open</w:t>
      </w:r>
      <w:r>
        <w:rPr>
          <w:rFonts w:asciiTheme="majorHAnsi" w:hAnsiTheme="majorHAnsi" w:cs="Arial"/>
        </w:rPr>
        <w:t>:</w:t>
      </w:r>
      <w:r>
        <w:rPr>
          <w:rStyle w:val="EndnoteReference"/>
          <w:rFonts w:cs="Arial"/>
        </w:rPr>
        <w:endnoteReference w:id="101"/>
      </w:r>
    </w:p>
    <w:p w:rsidR="0074708F" w:rsidRDefault="009A6006" w:rsidP="005A4A3B">
      <w:pPr>
        <w:pStyle w:val="ListParagraph"/>
        <w:numPr>
          <w:ilvl w:val="1"/>
          <w:numId w:val="39"/>
        </w:numPr>
        <w:rPr>
          <w:rFonts w:asciiTheme="majorHAnsi" w:hAnsiTheme="majorHAnsi" w:cs="Arial"/>
        </w:rPr>
      </w:pPr>
      <w:r>
        <w:rPr>
          <w:rFonts w:asciiTheme="majorHAnsi" w:hAnsiTheme="majorHAnsi" w:cs="Arial"/>
        </w:rPr>
        <w:t>Labelling is also cited as a core problem</w:t>
      </w:r>
      <w:r w:rsidR="005A4A3B">
        <w:rPr>
          <w:rFonts w:asciiTheme="majorHAnsi" w:hAnsiTheme="majorHAnsi" w:cs="Arial"/>
        </w:rPr>
        <w:t xml:space="preserve">. </w:t>
      </w:r>
    </w:p>
    <w:p w:rsidR="005A4A3B" w:rsidRPr="009B5F36" w:rsidRDefault="005A4A3B" w:rsidP="0074708F">
      <w:pPr>
        <w:pStyle w:val="ListParagraph"/>
        <w:numPr>
          <w:ilvl w:val="2"/>
          <w:numId w:val="39"/>
        </w:numPr>
        <w:rPr>
          <w:rFonts w:asciiTheme="majorHAnsi" w:hAnsiTheme="majorHAnsi" w:cs="Arial"/>
          <w:color w:val="7030A0"/>
        </w:rPr>
      </w:pPr>
      <w:r w:rsidRPr="009B5F36">
        <w:rPr>
          <w:rFonts w:asciiTheme="majorHAnsi" w:hAnsiTheme="majorHAnsi" w:cs="Arial"/>
          <w:color w:val="7030A0"/>
        </w:rPr>
        <w:t>From the A.T. Kearney study, those who said they could not read labels properly, even when wearing glasses or contacts was</w:t>
      </w:r>
      <w:r w:rsidR="009A6006" w:rsidRPr="009B5F36">
        <w:rPr>
          <w:rFonts w:asciiTheme="majorHAnsi" w:hAnsiTheme="majorHAnsi" w:cs="Arial"/>
          <w:color w:val="7030A0"/>
        </w:rPr>
        <w:t>:</w:t>
      </w:r>
      <w:r w:rsidRPr="009B5F36">
        <w:rPr>
          <w:rStyle w:val="EndnoteReference"/>
          <w:rFonts w:cs="Arial"/>
          <w:color w:val="7030A0"/>
        </w:rPr>
        <w:endnoteReference w:id="102"/>
      </w:r>
    </w:p>
    <w:p w:rsidR="009A6006" w:rsidRPr="009B5F36" w:rsidRDefault="005A4A3B" w:rsidP="0074708F">
      <w:pPr>
        <w:pStyle w:val="ListParagraph"/>
        <w:numPr>
          <w:ilvl w:val="3"/>
          <w:numId w:val="39"/>
        </w:numPr>
        <w:rPr>
          <w:rFonts w:asciiTheme="majorHAnsi" w:hAnsiTheme="majorHAnsi" w:cs="Arial"/>
          <w:color w:val="7030A0"/>
        </w:rPr>
      </w:pPr>
      <w:r w:rsidRPr="009B5F36">
        <w:rPr>
          <w:rFonts w:asciiTheme="majorHAnsi" w:hAnsiTheme="majorHAnsi" w:cs="Arial"/>
          <w:color w:val="7030A0"/>
        </w:rPr>
        <w:t>52% of 60-70s</w:t>
      </w:r>
    </w:p>
    <w:p w:rsidR="005A4A3B" w:rsidRPr="009B5F36" w:rsidRDefault="005A4A3B" w:rsidP="0074708F">
      <w:pPr>
        <w:pStyle w:val="ListParagraph"/>
        <w:numPr>
          <w:ilvl w:val="3"/>
          <w:numId w:val="39"/>
        </w:numPr>
        <w:rPr>
          <w:rFonts w:asciiTheme="majorHAnsi" w:hAnsiTheme="majorHAnsi" w:cs="Arial"/>
          <w:color w:val="7030A0"/>
        </w:rPr>
      </w:pPr>
      <w:r w:rsidRPr="009B5F36">
        <w:rPr>
          <w:rFonts w:asciiTheme="majorHAnsi" w:hAnsiTheme="majorHAnsi" w:cs="Arial"/>
          <w:color w:val="7030A0"/>
        </w:rPr>
        <w:t xml:space="preserve">58% of 70-80s </w:t>
      </w:r>
    </w:p>
    <w:p w:rsidR="005A4A3B" w:rsidRPr="009B5F36" w:rsidRDefault="005A4A3B" w:rsidP="0074708F">
      <w:pPr>
        <w:pStyle w:val="ListParagraph"/>
        <w:numPr>
          <w:ilvl w:val="3"/>
          <w:numId w:val="39"/>
        </w:numPr>
        <w:rPr>
          <w:rFonts w:asciiTheme="majorHAnsi" w:hAnsiTheme="majorHAnsi" w:cs="Arial"/>
          <w:color w:val="7030A0"/>
        </w:rPr>
      </w:pPr>
      <w:r w:rsidRPr="009B5F36">
        <w:rPr>
          <w:rFonts w:asciiTheme="majorHAnsi" w:hAnsiTheme="majorHAnsi" w:cs="Arial"/>
          <w:color w:val="7030A0"/>
        </w:rPr>
        <w:t>66% of 80+</w:t>
      </w:r>
    </w:p>
    <w:p w:rsidR="0074708F" w:rsidRDefault="0074708F" w:rsidP="0074708F">
      <w:pPr>
        <w:pStyle w:val="ListParagraph"/>
        <w:numPr>
          <w:ilvl w:val="2"/>
          <w:numId w:val="39"/>
        </w:numPr>
        <w:rPr>
          <w:rFonts w:asciiTheme="majorHAnsi" w:hAnsiTheme="majorHAnsi" w:cs="Arial"/>
        </w:rPr>
      </w:pPr>
      <w:r>
        <w:rPr>
          <w:rFonts w:asciiTheme="majorHAnsi" w:hAnsiTheme="majorHAnsi" w:cs="Arial"/>
        </w:rPr>
        <w:t>Additionally, colours like blue and yellow don’t appear as sharply distinct to older eyes, making labels more difficult to read.</w:t>
      </w:r>
      <w:r>
        <w:rPr>
          <w:rStyle w:val="EndnoteReference"/>
          <w:rFonts w:cs="Arial"/>
        </w:rPr>
        <w:endnoteReference w:id="103"/>
      </w:r>
    </w:p>
    <w:p w:rsidR="005A4A3B" w:rsidRDefault="0074708F" w:rsidP="005A4A3B">
      <w:pPr>
        <w:pStyle w:val="ListParagraph"/>
        <w:numPr>
          <w:ilvl w:val="1"/>
          <w:numId w:val="39"/>
        </w:numPr>
        <w:rPr>
          <w:rFonts w:asciiTheme="majorHAnsi" w:hAnsiTheme="majorHAnsi" w:cs="Arial"/>
        </w:rPr>
      </w:pPr>
      <w:r>
        <w:rPr>
          <w:rFonts w:asciiTheme="majorHAnsi" w:hAnsiTheme="majorHAnsi" w:cs="Arial"/>
        </w:rPr>
        <w:t>Store design is problematic where:</w:t>
      </w:r>
    </w:p>
    <w:p w:rsidR="0074708F" w:rsidRDefault="0074708F" w:rsidP="0074708F">
      <w:pPr>
        <w:pStyle w:val="ListParagraph"/>
        <w:numPr>
          <w:ilvl w:val="2"/>
          <w:numId w:val="39"/>
        </w:numPr>
        <w:rPr>
          <w:rFonts w:asciiTheme="majorHAnsi" w:hAnsiTheme="majorHAnsi" w:cs="Arial"/>
        </w:rPr>
      </w:pPr>
      <w:r>
        <w:rPr>
          <w:rFonts w:asciiTheme="majorHAnsi" w:hAnsiTheme="majorHAnsi" w:cs="Arial"/>
        </w:rPr>
        <w:t>Shelves are too high or too low, and so difficult to reach.</w:t>
      </w:r>
      <w:r>
        <w:rPr>
          <w:rStyle w:val="EndnoteReference"/>
          <w:rFonts w:cs="Arial"/>
        </w:rPr>
        <w:endnoteReference w:id="104"/>
      </w:r>
    </w:p>
    <w:p w:rsidR="0074708F" w:rsidRPr="009B5F36" w:rsidRDefault="0074708F" w:rsidP="0074708F">
      <w:pPr>
        <w:pStyle w:val="ListParagraph"/>
        <w:numPr>
          <w:ilvl w:val="2"/>
          <w:numId w:val="39"/>
        </w:numPr>
        <w:rPr>
          <w:rFonts w:asciiTheme="majorHAnsi" w:hAnsiTheme="majorHAnsi" w:cs="Arial"/>
          <w:color w:val="7030A0"/>
        </w:rPr>
      </w:pPr>
      <w:r w:rsidRPr="009B5F36">
        <w:rPr>
          <w:rFonts w:asciiTheme="majorHAnsi" w:hAnsiTheme="majorHAnsi" w:cs="Arial"/>
          <w:color w:val="7030A0"/>
        </w:rPr>
        <w:t>Larger store designs are senior unfriendly, with 63% of under 70s and 75% of over 70s</w:t>
      </w:r>
      <w:r w:rsidR="00425A48" w:rsidRPr="009B5F36">
        <w:rPr>
          <w:rFonts w:asciiTheme="majorHAnsi" w:hAnsiTheme="majorHAnsi" w:cs="Arial"/>
          <w:color w:val="7030A0"/>
        </w:rPr>
        <w:t xml:space="preserve"> saying they would like to be able to sit down in shops.</w:t>
      </w:r>
      <w:r w:rsidR="00425A48" w:rsidRPr="009B5F36">
        <w:rPr>
          <w:rStyle w:val="EndnoteReference"/>
          <w:rFonts w:cs="Arial"/>
          <w:color w:val="7030A0"/>
        </w:rPr>
        <w:endnoteReference w:id="105"/>
      </w:r>
    </w:p>
    <w:p w:rsidR="005163AB" w:rsidRDefault="005163AB" w:rsidP="005163AB">
      <w:pPr>
        <w:pStyle w:val="ListParagraph"/>
        <w:numPr>
          <w:ilvl w:val="1"/>
          <w:numId w:val="39"/>
        </w:numPr>
        <w:rPr>
          <w:rFonts w:asciiTheme="majorHAnsi" w:hAnsiTheme="majorHAnsi" w:cs="Arial"/>
        </w:rPr>
      </w:pPr>
      <w:r>
        <w:rPr>
          <w:rFonts w:asciiTheme="majorHAnsi" w:hAnsiTheme="majorHAnsi" w:cs="Arial"/>
        </w:rPr>
        <w:t>The actual use of some products is also noted to be difficult for older consumers.</w:t>
      </w:r>
      <w:r>
        <w:rPr>
          <w:rStyle w:val="EndnoteReference"/>
          <w:rFonts w:cs="Arial"/>
        </w:rPr>
        <w:endnoteReference w:id="106"/>
      </w:r>
    </w:p>
    <w:p w:rsidR="005163AB" w:rsidRDefault="005163AB" w:rsidP="005163AB">
      <w:pPr>
        <w:pStyle w:val="ListParagraph"/>
        <w:numPr>
          <w:ilvl w:val="0"/>
          <w:numId w:val="39"/>
        </w:numPr>
        <w:rPr>
          <w:rFonts w:asciiTheme="majorHAnsi" w:hAnsiTheme="majorHAnsi" w:cs="Arial"/>
        </w:rPr>
      </w:pPr>
      <w:r>
        <w:rPr>
          <w:rFonts w:asciiTheme="majorHAnsi" w:hAnsiTheme="majorHAnsi" w:cs="Arial"/>
        </w:rPr>
        <w:t xml:space="preserve">Given the </w:t>
      </w:r>
      <w:r>
        <w:rPr>
          <w:rFonts w:asciiTheme="majorHAnsi" w:hAnsiTheme="majorHAnsi" w:cs="Arial"/>
          <w:b/>
        </w:rPr>
        <w:t xml:space="preserve">reluctance of older consumers to be targeted (see above), the solution is to implement universal design, which emphasises ergonomics and ease of use for </w:t>
      </w:r>
      <w:r>
        <w:rPr>
          <w:rFonts w:asciiTheme="majorHAnsi" w:hAnsiTheme="majorHAnsi" w:cs="Arial"/>
          <w:b/>
          <w:i/>
        </w:rPr>
        <w:t>all</w:t>
      </w:r>
      <w:r>
        <w:rPr>
          <w:rFonts w:asciiTheme="majorHAnsi" w:hAnsiTheme="majorHAnsi" w:cs="Arial"/>
          <w:b/>
        </w:rPr>
        <w:t>, not just older people</w:t>
      </w:r>
      <w:r>
        <w:rPr>
          <w:rFonts w:asciiTheme="majorHAnsi" w:hAnsiTheme="majorHAnsi" w:cs="Arial"/>
        </w:rPr>
        <w:t>.</w:t>
      </w:r>
      <w:r>
        <w:rPr>
          <w:rStyle w:val="EndnoteReference"/>
          <w:rFonts w:cs="Arial"/>
        </w:rPr>
        <w:endnoteReference w:id="107"/>
      </w:r>
    </w:p>
    <w:p w:rsidR="005163AB" w:rsidRDefault="005163AB" w:rsidP="005163AB">
      <w:pPr>
        <w:pStyle w:val="ListParagraph"/>
        <w:numPr>
          <w:ilvl w:val="1"/>
          <w:numId w:val="39"/>
        </w:numPr>
        <w:rPr>
          <w:rFonts w:asciiTheme="majorHAnsi" w:hAnsiTheme="majorHAnsi" w:cs="Arial"/>
        </w:rPr>
      </w:pPr>
      <w:r>
        <w:rPr>
          <w:rFonts w:asciiTheme="majorHAnsi" w:hAnsiTheme="majorHAnsi" w:cs="Arial"/>
        </w:rPr>
        <w:t xml:space="preserve">This means that </w:t>
      </w:r>
      <w:r w:rsidR="005821A7">
        <w:rPr>
          <w:rFonts w:asciiTheme="majorHAnsi" w:hAnsiTheme="majorHAnsi" w:cs="Arial"/>
        </w:rPr>
        <w:t>the product should emphasise ease of use for all walks of life equally</w:t>
      </w:r>
    </w:p>
    <w:p w:rsidR="005821A7" w:rsidRDefault="005821A7" w:rsidP="005163AB">
      <w:pPr>
        <w:pStyle w:val="ListParagraph"/>
        <w:numPr>
          <w:ilvl w:val="1"/>
          <w:numId w:val="39"/>
        </w:numPr>
        <w:rPr>
          <w:rFonts w:asciiTheme="majorHAnsi" w:hAnsiTheme="majorHAnsi" w:cs="Arial"/>
        </w:rPr>
      </w:pPr>
      <w:r>
        <w:rPr>
          <w:rFonts w:asciiTheme="majorHAnsi" w:hAnsiTheme="majorHAnsi" w:cs="Arial"/>
        </w:rPr>
        <w:t xml:space="preserve">It may also be worth noting that </w:t>
      </w:r>
      <w:r>
        <w:rPr>
          <w:rFonts w:asciiTheme="majorHAnsi" w:hAnsiTheme="majorHAnsi" w:cs="Arial"/>
          <w:b/>
        </w:rPr>
        <w:t>universal design for older people also helps other vulnerable groups</w:t>
      </w:r>
      <w:r w:rsidR="00095D5D">
        <w:rPr>
          <w:rFonts w:asciiTheme="majorHAnsi" w:hAnsiTheme="majorHAnsi" w:cs="Arial"/>
        </w:rPr>
        <w:t>.</w:t>
      </w:r>
      <w:r w:rsidR="00095D5D">
        <w:rPr>
          <w:rStyle w:val="EndnoteReference"/>
          <w:rFonts w:cs="Arial"/>
        </w:rPr>
        <w:endnoteReference w:id="108"/>
      </w:r>
    </w:p>
    <w:p w:rsidR="007F3F1C" w:rsidRDefault="007F3F1C" w:rsidP="007F3F1C">
      <w:pPr>
        <w:rPr>
          <w:rFonts w:asciiTheme="majorHAnsi" w:hAnsiTheme="majorHAnsi" w:cs="Arial"/>
          <w:u w:val="single"/>
        </w:rPr>
      </w:pPr>
      <w:bookmarkStart w:id="12" w:name="UniversalDesignExamples"/>
      <w:r>
        <w:rPr>
          <w:rFonts w:asciiTheme="majorHAnsi" w:hAnsiTheme="majorHAnsi" w:cs="Arial"/>
          <w:u w:val="single"/>
        </w:rPr>
        <w:t>Examples and Case Studies</w:t>
      </w:r>
    </w:p>
    <w:bookmarkEnd w:id="12"/>
    <w:p w:rsidR="00D4086C" w:rsidRDefault="009B7ACA" w:rsidP="00D4086C">
      <w:pPr>
        <w:pStyle w:val="ListParagraph"/>
        <w:numPr>
          <w:ilvl w:val="0"/>
          <w:numId w:val="44"/>
        </w:numPr>
        <w:rPr>
          <w:rFonts w:asciiTheme="majorHAnsi" w:hAnsiTheme="majorHAnsi" w:cs="Arial"/>
        </w:rPr>
      </w:pPr>
      <w:r>
        <w:rPr>
          <w:rFonts w:asciiTheme="majorHAnsi" w:hAnsiTheme="majorHAnsi" w:cs="Arial"/>
        </w:rPr>
        <w:t>Oxo, a New York based maker of kitchen tools:</w:t>
      </w:r>
      <w:r>
        <w:rPr>
          <w:rStyle w:val="EndnoteReference"/>
          <w:rFonts w:cs="Arial"/>
        </w:rPr>
        <w:endnoteReference w:id="109"/>
      </w:r>
    </w:p>
    <w:p w:rsidR="009B7ACA" w:rsidRDefault="009B7ACA" w:rsidP="009B7ACA">
      <w:pPr>
        <w:pStyle w:val="ListParagraph"/>
        <w:numPr>
          <w:ilvl w:val="1"/>
          <w:numId w:val="44"/>
        </w:numPr>
        <w:rPr>
          <w:rFonts w:asciiTheme="majorHAnsi" w:hAnsiTheme="majorHAnsi" w:cs="Arial"/>
        </w:rPr>
      </w:pPr>
      <w:r>
        <w:rPr>
          <w:rFonts w:asciiTheme="majorHAnsi" w:hAnsiTheme="majorHAnsi" w:cs="Arial"/>
        </w:rPr>
        <w:t xml:space="preserve">Oxo was founded when Sam Farber wanted to produce kitchen gadgets that </w:t>
      </w:r>
      <w:r w:rsidR="000A1D4E">
        <w:rPr>
          <w:rFonts w:asciiTheme="majorHAnsi" w:hAnsiTheme="majorHAnsi" w:cs="Arial"/>
        </w:rPr>
        <w:t>would help his wife, who had arthritis</w:t>
      </w:r>
    </w:p>
    <w:p w:rsidR="000A1D4E" w:rsidRDefault="000A1D4E" w:rsidP="009B7ACA">
      <w:pPr>
        <w:pStyle w:val="ListParagraph"/>
        <w:numPr>
          <w:ilvl w:val="1"/>
          <w:numId w:val="44"/>
        </w:numPr>
        <w:rPr>
          <w:rFonts w:asciiTheme="majorHAnsi" w:hAnsiTheme="majorHAnsi" w:cs="Arial"/>
        </w:rPr>
      </w:pPr>
      <w:r>
        <w:rPr>
          <w:rFonts w:asciiTheme="majorHAnsi" w:hAnsiTheme="majorHAnsi" w:cs="Arial"/>
        </w:rPr>
        <w:t>They then developed a series of kitchen gadgets that were functional and easy to use, notably the “Good Grips” range.</w:t>
      </w:r>
    </w:p>
    <w:p w:rsidR="000A1D4E" w:rsidRDefault="00F64137" w:rsidP="00F64137">
      <w:pPr>
        <w:pStyle w:val="ListParagraph"/>
        <w:numPr>
          <w:ilvl w:val="2"/>
          <w:numId w:val="44"/>
        </w:numPr>
        <w:rPr>
          <w:rFonts w:asciiTheme="majorHAnsi" w:hAnsiTheme="majorHAnsi" w:cs="Arial"/>
        </w:rPr>
      </w:pPr>
      <w:r>
        <w:rPr>
          <w:rFonts w:asciiTheme="majorHAnsi" w:hAnsiTheme="majorHAnsi" w:cs="Arial"/>
        </w:rPr>
        <w:t xml:space="preserve">These include general ergonomic design, for example their salad spinner which uses a pump handle </w:t>
      </w:r>
      <w:r w:rsidRPr="00F64137">
        <w:rPr>
          <w:rFonts w:asciiTheme="majorHAnsi" w:hAnsiTheme="majorHAnsi" w:cs="Arial"/>
        </w:rPr>
        <w:t>inspired by toy tops, that’s a vast improvement over pull-string or crank-style models</w:t>
      </w:r>
      <w:r w:rsidR="009E6BF8">
        <w:rPr>
          <w:rFonts w:asciiTheme="majorHAnsi" w:hAnsiTheme="majorHAnsi" w:cs="Arial"/>
        </w:rPr>
        <w:t xml:space="preserve"> to make it easier to wash greens.</w:t>
      </w:r>
    </w:p>
    <w:p w:rsidR="009E6BF8" w:rsidRDefault="009E6BF8" w:rsidP="009E6BF8">
      <w:pPr>
        <w:pStyle w:val="ListParagraph"/>
        <w:numPr>
          <w:ilvl w:val="1"/>
          <w:numId w:val="44"/>
        </w:numPr>
        <w:rPr>
          <w:rFonts w:asciiTheme="majorHAnsi" w:hAnsiTheme="majorHAnsi" w:cs="Arial"/>
        </w:rPr>
      </w:pPr>
      <w:r>
        <w:rPr>
          <w:rFonts w:asciiTheme="majorHAnsi" w:hAnsiTheme="majorHAnsi" w:cs="Arial"/>
        </w:rPr>
        <w:t xml:space="preserve">President Alex Lee has noted that they would </w:t>
      </w:r>
      <w:r>
        <w:rPr>
          <w:rFonts w:asciiTheme="majorHAnsi" w:hAnsiTheme="majorHAnsi" w:cs="Arial"/>
          <w:i/>
        </w:rPr>
        <w:t>never</w:t>
      </w:r>
      <w:r>
        <w:rPr>
          <w:rFonts w:asciiTheme="majorHAnsi" w:hAnsiTheme="majorHAnsi" w:cs="Arial"/>
        </w:rPr>
        <w:t xml:space="preserve"> position a line of products for older consumers, because singling them out would be unappealing.</w:t>
      </w:r>
    </w:p>
    <w:p w:rsidR="009E6BF8" w:rsidRDefault="009E6BF8" w:rsidP="009E6BF8">
      <w:pPr>
        <w:pStyle w:val="ListParagraph"/>
        <w:numPr>
          <w:ilvl w:val="0"/>
          <w:numId w:val="44"/>
        </w:numPr>
        <w:rPr>
          <w:rFonts w:asciiTheme="majorHAnsi" w:hAnsiTheme="majorHAnsi" w:cs="Arial"/>
        </w:rPr>
      </w:pPr>
      <w:r>
        <w:rPr>
          <w:rFonts w:asciiTheme="majorHAnsi" w:hAnsiTheme="majorHAnsi" w:cs="Arial"/>
        </w:rPr>
        <w:t>Sherwin Williams Co. redesigned its 3400 stores:</w:t>
      </w:r>
      <w:r>
        <w:rPr>
          <w:rStyle w:val="EndnoteReference"/>
          <w:rFonts w:cs="Arial"/>
        </w:rPr>
        <w:endnoteReference w:id="110"/>
      </w:r>
    </w:p>
    <w:p w:rsidR="009E6BF8" w:rsidRDefault="003143FA" w:rsidP="009E6BF8">
      <w:pPr>
        <w:pStyle w:val="ListParagraph"/>
        <w:numPr>
          <w:ilvl w:val="1"/>
          <w:numId w:val="44"/>
        </w:numPr>
        <w:rPr>
          <w:rFonts w:asciiTheme="majorHAnsi" w:hAnsiTheme="majorHAnsi" w:cs="Arial"/>
        </w:rPr>
      </w:pPr>
      <w:r>
        <w:rPr>
          <w:rFonts w:asciiTheme="majorHAnsi" w:hAnsiTheme="majorHAnsi" w:cs="Arial"/>
        </w:rPr>
        <w:t>They provide more lighting and seating</w:t>
      </w:r>
    </w:p>
    <w:p w:rsidR="003143FA" w:rsidRDefault="003143FA" w:rsidP="009E6BF8">
      <w:pPr>
        <w:pStyle w:val="ListParagraph"/>
        <w:numPr>
          <w:ilvl w:val="1"/>
          <w:numId w:val="44"/>
        </w:numPr>
        <w:rPr>
          <w:rFonts w:asciiTheme="majorHAnsi" w:hAnsiTheme="majorHAnsi" w:cs="Arial"/>
        </w:rPr>
      </w:pPr>
      <w:r>
        <w:rPr>
          <w:rFonts w:asciiTheme="majorHAnsi" w:hAnsiTheme="majorHAnsi" w:cs="Arial"/>
        </w:rPr>
        <w:t>They serve coffee in most locations</w:t>
      </w:r>
    </w:p>
    <w:p w:rsidR="003143FA" w:rsidRDefault="003143FA" w:rsidP="009E6BF8">
      <w:pPr>
        <w:pStyle w:val="ListParagraph"/>
        <w:numPr>
          <w:ilvl w:val="1"/>
          <w:numId w:val="44"/>
        </w:numPr>
        <w:rPr>
          <w:rFonts w:asciiTheme="majorHAnsi" w:hAnsiTheme="majorHAnsi" w:cs="Arial"/>
        </w:rPr>
      </w:pPr>
      <w:r>
        <w:rPr>
          <w:rFonts w:asciiTheme="majorHAnsi" w:hAnsiTheme="majorHAnsi" w:cs="Arial"/>
        </w:rPr>
        <w:t>Product displays have less fine print</w:t>
      </w:r>
    </w:p>
    <w:p w:rsidR="003143FA" w:rsidRDefault="003143FA" w:rsidP="003143FA">
      <w:pPr>
        <w:pStyle w:val="ListParagraph"/>
        <w:numPr>
          <w:ilvl w:val="0"/>
          <w:numId w:val="44"/>
        </w:numPr>
        <w:rPr>
          <w:rFonts w:asciiTheme="majorHAnsi" w:hAnsiTheme="majorHAnsi" w:cs="Arial"/>
        </w:rPr>
      </w:pPr>
      <w:r>
        <w:rPr>
          <w:rFonts w:asciiTheme="majorHAnsi" w:hAnsiTheme="majorHAnsi" w:cs="Arial"/>
        </w:rPr>
        <w:t>Diamond Foods’ Emerald snack nut line:</w:t>
      </w:r>
      <w:r>
        <w:rPr>
          <w:rStyle w:val="EndnoteReference"/>
          <w:rFonts w:cs="Arial"/>
        </w:rPr>
        <w:endnoteReference w:id="111"/>
      </w:r>
    </w:p>
    <w:p w:rsidR="003143FA" w:rsidRDefault="003143FA" w:rsidP="003143FA">
      <w:pPr>
        <w:pStyle w:val="ListParagraph"/>
        <w:numPr>
          <w:ilvl w:val="1"/>
          <w:numId w:val="44"/>
        </w:numPr>
        <w:rPr>
          <w:rFonts w:asciiTheme="majorHAnsi" w:hAnsiTheme="majorHAnsi" w:cs="Arial"/>
        </w:rPr>
      </w:pPr>
      <w:r>
        <w:rPr>
          <w:rFonts w:asciiTheme="majorHAnsi" w:hAnsiTheme="majorHAnsi" w:cs="Arial"/>
        </w:rPr>
        <w:t xml:space="preserve">Diamond had chosen to enter the snack nut market (expanding from baking nuts) because they wanted to target older consumers who were getting medical </w:t>
      </w:r>
      <w:r w:rsidR="003D592A">
        <w:rPr>
          <w:rFonts w:asciiTheme="majorHAnsi" w:hAnsiTheme="majorHAnsi" w:cs="Arial"/>
        </w:rPr>
        <w:t>advice to eat more nuts.</w:t>
      </w:r>
    </w:p>
    <w:p w:rsidR="003D592A" w:rsidRDefault="003D592A" w:rsidP="003143FA">
      <w:pPr>
        <w:pStyle w:val="ListParagraph"/>
        <w:numPr>
          <w:ilvl w:val="1"/>
          <w:numId w:val="44"/>
        </w:numPr>
        <w:rPr>
          <w:rFonts w:asciiTheme="majorHAnsi" w:hAnsiTheme="majorHAnsi" w:cs="Arial"/>
        </w:rPr>
      </w:pPr>
      <w:r>
        <w:rPr>
          <w:rFonts w:asciiTheme="majorHAnsi" w:hAnsiTheme="majorHAnsi" w:cs="Arial"/>
        </w:rPr>
        <w:t>They developed ergonomic packaging:</w:t>
      </w:r>
    </w:p>
    <w:p w:rsidR="003D592A" w:rsidRDefault="003D592A" w:rsidP="003D592A">
      <w:pPr>
        <w:pStyle w:val="ListParagraph"/>
        <w:numPr>
          <w:ilvl w:val="2"/>
          <w:numId w:val="44"/>
        </w:numPr>
        <w:rPr>
          <w:rFonts w:asciiTheme="majorHAnsi" w:hAnsiTheme="majorHAnsi" w:cs="Arial"/>
        </w:rPr>
      </w:pPr>
      <w:r>
        <w:rPr>
          <w:rFonts w:asciiTheme="majorHAnsi" w:hAnsiTheme="majorHAnsi" w:cs="Arial"/>
        </w:rPr>
        <w:lastRenderedPageBreak/>
        <w:t>Indented sides to the canisters to make them comfortable to hold</w:t>
      </w:r>
    </w:p>
    <w:p w:rsidR="003D592A" w:rsidRDefault="003D592A" w:rsidP="003D592A">
      <w:pPr>
        <w:pStyle w:val="ListParagraph"/>
        <w:numPr>
          <w:ilvl w:val="2"/>
          <w:numId w:val="44"/>
        </w:numPr>
        <w:rPr>
          <w:rFonts w:asciiTheme="majorHAnsi" w:hAnsiTheme="majorHAnsi" w:cs="Arial"/>
        </w:rPr>
      </w:pPr>
      <w:r>
        <w:rPr>
          <w:rFonts w:asciiTheme="majorHAnsi" w:hAnsiTheme="majorHAnsi" w:cs="Arial"/>
        </w:rPr>
        <w:t>Grooves in the lids to make them easier to grip</w:t>
      </w:r>
    </w:p>
    <w:p w:rsidR="003D592A" w:rsidRDefault="003D592A" w:rsidP="003D592A">
      <w:pPr>
        <w:pStyle w:val="ListParagraph"/>
        <w:numPr>
          <w:ilvl w:val="2"/>
          <w:numId w:val="44"/>
        </w:numPr>
        <w:rPr>
          <w:rFonts w:asciiTheme="majorHAnsi" w:hAnsiTheme="majorHAnsi" w:cs="Arial"/>
        </w:rPr>
      </w:pPr>
      <w:r>
        <w:rPr>
          <w:rFonts w:asciiTheme="majorHAnsi" w:hAnsiTheme="majorHAnsi" w:cs="Arial"/>
        </w:rPr>
        <w:t>When they received feedback that arthritic users struggles to twist the cap into place, they shortened the required rotation</w:t>
      </w:r>
    </w:p>
    <w:p w:rsidR="00C3688E" w:rsidRDefault="00C3688E" w:rsidP="00C3688E">
      <w:pPr>
        <w:pStyle w:val="ListParagraph"/>
        <w:numPr>
          <w:ilvl w:val="1"/>
          <w:numId w:val="44"/>
        </w:numPr>
        <w:rPr>
          <w:rFonts w:asciiTheme="majorHAnsi" w:hAnsiTheme="majorHAnsi" w:cs="Arial"/>
        </w:rPr>
      </w:pPr>
      <w:r>
        <w:rPr>
          <w:rFonts w:asciiTheme="majorHAnsi" w:hAnsiTheme="majorHAnsi" w:cs="Arial"/>
        </w:rPr>
        <w:t>They entered the market in 2004, and now hold 6% of a market share ($193 million in sales)</w:t>
      </w:r>
    </w:p>
    <w:p w:rsidR="00C3688E" w:rsidRDefault="00C3688E" w:rsidP="00C3688E">
      <w:pPr>
        <w:pStyle w:val="ListParagraph"/>
        <w:numPr>
          <w:ilvl w:val="0"/>
          <w:numId w:val="44"/>
        </w:numPr>
        <w:rPr>
          <w:rFonts w:asciiTheme="majorHAnsi" w:hAnsiTheme="majorHAnsi" w:cs="Arial"/>
        </w:rPr>
      </w:pPr>
      <w:r>
        <w:rPr>
          <w:rFonts w:asciiTheme="majorHAnsi" w:hAnsiTheme="majorHAnsi" w:cs="Arial"/>
        </w:rPr>
        <w:t>CVS Caremark Corp also redesigned its stores:</w:t>
      </w:r>
      <w:r>
        <w:rPr>
          <w:rStyle w:val="EndnoteReference"/>
          <w:rFonts w:cs="Arial"/>
        </w:rPr>
        <w:endnoteReference w:id="112"/>
      </w:r>
    </w:p>
    <w:p w:rsidR="00C3688E" w:rsidRDefault="00C3688E" w:rsidP="00C3688E">
      <w:pPr>
        <w:pStyle w:val="ListParagraph"/>
        <w:numPr>
          <w:ilvl w:val="1"/>
          <w:numId w:val="44"/>
        </w:numPr>
        <w:rPr>
          <w:rFonts w:asciiTheme="majorHAnsi" w:hAnsiTheme="majorHAnsi" w:cs="Arial"/>
        </w:rPr>
      </w:pPr>
      <w:r>
        <w:rPr>
          <w:rFonts w:asciiTheme="majorHAnsi" w:hAnsiTheme="majorHAnsi" w:cs="Arial"/>
        </w:rPr>
        <w:t>It has retrofitted stores with carpeting to reduce slipping</w:t>
      </w:r>
    </w:p>
    <w:p w:rsidR="0075531C" w:rsidRDefault="0075531C" w:rsidP="00C3688E">
      <w:pPr>
        <w:pStyle w:val="ListParagraph"/>
        <w:numPr>
          <w:ilvl w:val="1"/>
          <w:numId w:val="44"/>
        </w:numPr>
        <w:rPr>
          <w:rFonts w:asciiTheme="majorHAnsi" w:hAnsiTheme="majorHAnsi" w:cs="Arial"/>
        </w:rPr>
      </w:pPr>
      <w:r>
        <w:rPr>
          <w:rFonts w:asciiTheme="majorHAnsi" w:hAnsiTheme="majorHAnsi" w:cs="Arial"/>
        </w:rPr>
        <w:t>Shelves have been lowered from 72 inches to 60 inches</w:t>
      </w:r>
    </w:p>
    <w:p w:rsidR="0075531C" w:rsidRDefault="0075531C" w:rsidP="00C3688E">
      <w:pPr>
        <w:pStyle w:val="ListParagraph"/>
        <w:numPr>
          <w:ilvl w:val="1"/>
          <w:numId w:val="44"/>
        </w:numPr>
        <w:rPr>
          <w:rFonts w:asciiTheme="majorHAnsi" w:hAnsiTheme="majorHAnsi" w:cs="Arial"/>
        </w:rPr>
      </w:pPr>
      <w:r>
        <w:rPr>
          <w:rFonts w:asciiTheme="majorHAnsi" w:hAnsiTheme="majorHAnsi" w:cs="Arial"/>
        </w:rPr>
        <w:t>Increased natural light to improve visibility</w:t>
      </w:r>
    </w:p>
    <w:p w:rsidR="0075531C" w:rsidRDefault="0075531C" w:rsidP="00C3688E">
      <w:pPr>
        <w:pStyle w:val="ListParagraph"/>
        <w:numPr>
          <w:ilvl w:val="1"/>
          <w:numId w:val="44"/>
        </w:numPr>
        <w:rPr>
          <w:rFonts w:asciiTheme="majorHAnsi" w:hAnsiTheme="majorHAnsi" w:cs="Arial"/>
        </w:rPr>
      </w:pPr>
      <w:r>
        <w:rPr>
          <w:rFonts w:asciiTheme="majorHAnsi" w:hAnsiTheme="majorHAnsi" w:cs="Arial"/>
        </w:rPr>
        <w:t>Where possible, curbs are removed from store entrances</w:t>
      </w:r>
    </w:p>
    <w:p w:rsidR="0075531C" w:rsidRDefault="0075531C" w:rsidP="0075531C">
      <w:pPr>
        <w:pStyle w:val="ListParagraph"/>
        <w:numPr>
          <w:ilvl w:val="2"/>
          <w:numId w:val="44"/>
        </w:numPr>
        <w:rPr>
          <w:rFonts w:asciiTheme="majorHAnsi" w:hAnsiTheme="majorHAnsi" w:cs="Arial"/>
        </w:rPr>
      </w:pPr>
      <w:r>
        <w:rPr>
          <w:rFonts w:asciiTheme="majorHAnsi" w:hAnsiTheme="majorHAnsi" w:cs="Arial"/>
        </w:rPr>
        <w:t>Where not possible, they are painted yellow to increase awareness.</w:t>
      </w:r>
    </w:p>
    <w:p w:rsidR="0075531C" w:rsidRDefault="00F9222B" w:rsidP="0075531C">
      <w:pPr>
        <w:pStyle w:val="ListParagraph"/>
        <w:numPr>
          <w:ilvl w:val="0"/>
          <w:numId w:val="44"/>
        </w:numPr>
        <w:rPr>
          <w:rFonts w:asciiTheme="majorHAnsi" w:hAnsiTheme="majorHAnsi" w:cs="Arial"/>
        </w:rPr>
      </w:pPr>
      <w:r>
        <w:rPr>
          <w:rFonts w:asciiTheme="majorHAnsi" w:hAnsiTheme="majorHAnsi" w:cs="Arial"/>
        </w:rPr>
        <w:t>Duracell’s Hearing Aids:</w:t>
      </w:r>
      <w:r>
        <w:rPr>
          <w:rStyle w:val="EndnoteReference"/>
          <w:rFonts w:cs="Arial"/>
        </w:rPr>
        <w:endnoteReference w:id="113"/>
      </w:r>
    </w:p>
    <w:p w:rsidR="00F9222B" w:rsidRDefault="00F9222B" w:rsidP="00F9222B">
      <w:pPr>
        <w:pStyle w:val="ListParagraph"/>
        <w:numPr>
          <w:ilvl w:val="1"/>
          <w:numId w:val="44"/>
        </w:numPr>
        <w:rPr>
          <w:rFonts w:asciiTheme="majorHAnsi" w:hAnsiTheme="majorHAnsi" w:cs="Arial"/>
        </w:rPr>
      </w:pPr>
      <w:r>
        <w:rPr>
          <w:rFonts w:asciiTheme="majorHAnsi" w:hAnsiTheme="majorHAnsi" w:cs="Arial"/>
        </w:rPr>
        <w:t>They were redesigned by Product Ventures</w:t>
      </w:r>
    </w:p>
    <w:p w:rsidR="00F9222B" w:rsidRDefault="00F9222B" w:rsidP="00F9222B">
      <w:pPr>
        <w:pStyle w:val="ListParagraph"/>
        <w:numPr>
          <w:ilvl w:val="1"/>
          <w:numId w:val="44"/>
        </w:numPr>
        <w:rPr>
          <w:rFonts w:asciiTheme="majorHAnsi" w:hAnsiTheme="majorHAnsi" w:cs="Arial"/>
        </w:rPr>
      </w:pPr>
      <w:r>
        <w:rPr>
          <w:rFonts w:asciiTheme="majorHAnsi" w:hAnsiTheme="majorHAnsi" w:cs="Arial"/>
        </w:rPr>
        <w:t>After receiving feedback from seniors where they admitted that they simply left dead batteries in when they couldn’t change them, they made the battery case easier to open</w:t>
      </w:r>
      <w:r w:rsidR="00B46CE2">
        <w:rPr>
          <w:rFonts w:asciiTheme="majorHAnsi" w:hAnsiTheme="majorHAnsi" w:cs="Arial"/>
        </w:rPr>
        <w:t xml:space="preserve"> for those with physical limitations.</w:t>
      </w:r>
    </w:p>
    <w:p w:rsidR="00B46CE2" w:rsidRDefault="00B46CE2" w:rsidP="00B46CE2">
      <w:pPr>
        <w:rPr>
          <w:rFonts w:asciiTheme="majorHAnsi" w:hAnsiTheme="majorHAnsi" w:cs="Arial"/>
        </w:rPr>
      </w:pPr>
      <w:bookmarkStart w:id="13" w:name="UniversalDesignProQuotes"/>
      <w:r>
        <w:rPr>
          <w:rFonts w:asciiTheme="majorHAnsi" w:hAnsiTheme="majorHAnsi" w:cs="Arial"/>
          <w:u w:val="single"/>
        </w:rPr>
        <w:t>Quotes – From Professionals and Experts</w:t>
      </w:r>
      <w:bookmarkEnd w:id="13"/>
    </w:p>
    <w:p w:rsidR="00B46CE2" w:rsidRDefault="00B46CE2" w:rsidP="00B46CE2">
      <w:pPr>
        <w:pStyle w:val="ListParagraph"/>
        <w:numPr>
          <w:ilvl w:val="0"/>
          <w:numId w:val="45"/>
        </w:numPr>
        <w:rPr>
          <w:rFonts w:asciiTheme="majorHAnsi" w:hAnsiTheme="majorHAnsi" w:cs="Arial"/>
        </w:rPr>
      </w:pPr>
      <w:r>
        <w:rPr>
          <w:rFonts w:asciiTheme="majorHAnsi" w:hAnsiTheme="majorHAnsi" w:cs="Arial"/>
        </w:rPr>
        <w:t>Peter Clarke, CEO and founder of Product Ventures:</w:t>
      </w:r>
    </w:p>
    <w:p w:rsidR="00B46CE2" w:rsidRDefault="00B46CE2" w:rsidP="00B46CE2">
      <w:pPr>
        <w:pStyle w:val="ListParagraph"/>
        <w:numPr>
          <w:ilvl w:val="1"/>
          <w:numId w:val="45"/>
        </w:numPr>
        <w:rPr>
          <w:rFonts w:asciiTheme="majorHAnsi" w:hAnsiTheme="majorHAnsi" w:cs="Arial"/>
        </w:rPr>
      </w:pPr>
      <w:r w:rsidRPr="0038578A">
        <w:rPr>
          <w:rFonts w:asciiTheme="majorHAnsi" w:hAnsiTheme="majorHAnsi" w:cs="Arial"/>
        </w:rPr>
        <w:t>“They [Boomers] are living longer and have a large amount of disposable income, but they also have to deal with changes that come with aging, such as reduced dexterity and failing eyesight</w:t>
      </w:r>
      <w:r w:rsidR="0038578A">
        <w:rPr>
          <w:rFonts w:asciiTheme="majorHAnsi" w:hAnsiTheme="majorHAnsi" w:cs="Arial"/>
        </w:rPr>
        <w:t>…[t</w:t>
      </w:r>
      <w:r w:rsidRPr="0038578A">
        <w:rPr>
          <w:rFonts w:asciiTheme="majorHAnsi" w:hAnsiTheme="majorHAnsi" w:cs="Arial"/>
        </w:rPr>
        <w:t>he key to designing for them] is the clever implementation of universal, or inclusive</w:t>
      </w:r>
      <w:r w:rsidR="0038578A" w:rsidRPr="0038578A">
        <w:rPr>
          <w:rFonts w:asciiTheme="majorHAnsi" w:hAnsiTheme="majorHAnsi" w:cs="Arial"/>
        </w:rPr>
        <w:t>,</w:t>
      </w:r>
      <w:r w:rsidRPr="0038578A">
        <w:rPr>
          <w:rFonts w:asciiTheme="majorHAnsi" w:hAnsiTheme="majorHAnsi" w:cs="Arial"/>
        </w:rPr>
        <w:t xml:space="preserve"> design</w:t>
      </w:r>
      <w:r w:rsidR="0038578A" w:rsidRPr="0038578A">
        <w:rPr>
          <w:rFonts w:asciiTheme="majorHAnsi" w:hAnsiTheme="majorHAnsi" w:cs="Arial"/>
        </w:rPr>
        <w:t xml:space="preserve"> so that the final product accommodates </w:t>
      </w:r>
      <w:r w:rsidR="0038578A">
        <w:rPr>
          <w:rFonts w:asciiTheme="majorHAnsi" w:hAnsiTheme="majorHAnsi" w:cs="Arial"/>
        </w:rPr>
        <w:t>these changes without patronizing the customer.”</w:t>
      </w:r>
      <w:r w:rsidR="0038578A">
        <w:rPr>
          <w:rStyle w:val="EndnoteReference"/>
          <w:rFonts w:cs="Arial"/>
        </w:rPr>
        <w:endnoteReference w:id="114"/>
      </w:r>
    </w:p>
    <w:p w:rsidR="0038578A" w:rsidRDefault="0038578A" w:rsidP="0038578A">
      <w:pPr>
        <w:pStyle w:val="ListParagraph"/>
        <w:numPr>
          <w:ilvl w:val="0"/>
          <w:numId w:val="45"/>
        </w:numPr>
        <w:rPr>
          <w:rFonts w:asciiTheme="majorHAnsi" w:hAnsiTheme="majorHAnsi" w:cs="Arial"/>
        </w:rPr>
      </w:pPr>
      <w:r>
        <w:rPr>
          <w:rFonts w:asciiTheme="majorHAnsi" w:hAnsiTheme="majorHAnsi" w:cs="Arial"/>
        </w:rPr>
        <w:t>Matthew Boyle, reporter for Bloomberg:</w:t>
      </w:r>
    </w:p>
    <w:p w:rsidR="0038578A" w:rsidRDefault="0038578A" w:rsidP="0038578A">
      <w:pPr>
        <w:pStyle w:val="ListParagraph"/>
        <w:numPr>
          <w:ilvl w:val="1"/>
          <w:numId w:val="45"/>
        </w:numPr>
        <w:rPr>
          <w:rFonts w:asciiTheme="majorHAnsi" w:hAnsiTheme="majorHAnsi" w:cs="Arial"/>
        </w:rPr>
      </w:pPr>
      <w:r>
        <w:rPr>
          <w:rFonts w:asciiTheme="majorHAnsi" w:hAnsiTheme="majorHAnsi" w:cs="Arial"/>
        </w:rPr>
        <w:t>“…t</w:t>
      </w:r>
      <w:r w:rsidRPr="0038578A">
        <w:rPr>
          <w:rFonts w:asciiTheme="majorHAnsi" w:hAnsiTheme="majorHAnsi" w:cs="Arial"/>
        </w:rPr>
        <w:t>he company that does such a great job of making products for seniors takes great pains not to make products for seniors. That’s the paradox of the aging consumer</w:t>
      </w:r>
      <w:r>
        <w:rPr>
          <w:rFonts w:asciiTheme="majorHAnsi" w:hAnsiTheme="majorHAnsi" w:cs="Arial"/>
        </w:rPr>
        <w:t>…”</w:t>
      </w:r>
      <w:r>
        <w:rPr>
          <w:rStyle w:val="EndnoteReference"/>
          <w:rFonts w:cs="Arial"/>
        </w:rPr>
        <w:endnoteReference w:id="115"/>
      </w:r>
    </w:p>
    <w:p w:rsidR="00B95CEE" w:rsidRDefault="00B95CEE" w:rsidP="00B95CEE">
      <w:pPr>
        <w:pStyle w:val="ListParagraph"/>
        <w:numPr>
          <w:ilvl w:val="0"/>
          <w:numId w:val="45"/>
        </w:numPr>
        <w:rPr>
          <w:rFonts w:asciiTheme="majorHAnsi" w:hAnsiTheme="majorHAnsi" w:cs="Arial"/>
        </w:rPr>
      </w:pPr>
      <w:r>
        <w:rPr>
          <w:rFonts w:asciiTheme="majorHAnsi" w:hAnsiTheme="majorHAnsi" w:cs="Arial"/>
        </w:rPr>
        <w:t>David Cohen, vice president of the home-care division of Church &amp; Dwight Co.:</w:t>
      </w:r>
    </w:p>
    <w:p w:rsidR="00B95CEE" w:rsidRDefault="00B95CEE" w:rsidP="00B95CEE">
      <w:pPr>
        <w:pStyle w:val="ListParagraph"/>
        <w:numPr>
          <w:ilvl w:val="1"/>
          <w:numId w:val="45"/>
        </w:numPr>
        <w:rPr>
          <w:rFonts w:asciiTheme="majorHAnsi" w:hAnsiTheme="majorHAnsi" w:cs="Arial"/>
        </w:rPr>
      </w:pPr>
      <w:r>
        <w:rPr>
          <w:rFonts w:asciiTheme="majorHAnsi" w:hAnsiTheme="majorHAnsi" w:cs="Arial"/>
        </w:rPr>
        <w:t>“You provide a solution to the issues they may have, but its not an explicit message”</w:t>
      </w:r>
      <w:r>
        <w:rPr>
          <w:rStyle w:val="EndnoteReference"/>
          <w:rFonts w:cs="Arial"/>
        </w:rPr>
        <w:endnoteReference w:id="116"/>
      </w:r>
    </w:p>
    <w:p w:rsidR="0038578A" w:rsidRDefault="001341DC" w:rsidP="001341DC">
      <w:pPr>
        <w:rPr>
          <w:rFonts w:asciiTheme="majorHAnsi" w:hAnsiTheme="majorHAnsi" w:cs="Arial"/>
        </w:rPr>
      </w:pPr>
      <w:bookmarkStart w:id="14" w:name="UniversalDesignConsumerQuotes"/>
      <w:r>
        <w:rPr>
          <w:rFonts w:asciiTheme="majorHAnsi" w:hAnsiTheme="majorHAnsi" w:cs="Arial"/>
          <w:u w:val="single"/>
        </w:rPr>
        <w:t>Quotes – From Older Consumers</w:t>
      </w:r>
      <w:bookmarkEnd w:id="14"/>
    </w:p>
    <w:p w:rsidR="001341DC" w:rsidRDefault="000E336E" w:rsidP="001341DC">
      <w:pPr>
        <w:pStyle w:val="ListParagraph"/>
        <w:numPr>
          <w:ilvl w:val="0"/>
          <w:numId w:val="46"/>
        </w:numPr>
        <w:rPr>
          <w:rFonts w:asciiTheme="majorHAnsi" w:hAnsiTheme="majorHAnsi" w:cs="Arial"/>
        </w:rPr>
      </w:pPr>
      <w:r>
        <w:rPr>
          <w:rFonts w:asciiTheme="majorHAnsi" w:hAnsiTheme="majorHAnsi" w:cs="Arial"/>
        </w:rPr>
        <w:t>Denise, 82, from France:</w:t>
      </w:r>
    </w:p>
    <w:p w:rsidR="000E336E" w:rsidRDefault="000E336E" w:rsidP="000E336E">
      <w:pPr>
        <w:pStyle w:val="ListParagraph"/>
        <w:numPr>
          <w:ilvl w:val="1"/>
          <w:numId w:val="46"/>
        </w:numPr>
        <w:rPr>
          <w:rFonts w:asciiTheme="majorHAnsi" w:hAnsiTheme="majorHAnsi" w:cs="Arial"/>
        </w:rPr>
      </w:pPr>
      <w:r>
        <w:rPr>
          <w:rFonts w:asciiTheme="majorHAnsi" w:hAnsiTheme="majorHAnsi" w:cs="Arial"/>
        </w:rPr>
        <w:t>“I am not as tall as I used to be and I do feel it when I cannot reach a product on the shelf. I always wish someone would help me, but it is seldom the case”</w:t>
      </w:r>
      <w:r>
        <w:rPr>
          <w:rStyle w:val="EndnoteReference"/>
          <w:rFonts w:cs="Arial"/>
        </w:rPr>
        <w:endnoteReference w:id="117"/>
      </w:r>
    </w:p>
    <w:p w:rsidR="000E336E" w:rsidRDefault="000E336E" w:rsidP="000E336E">
      <w:pPr>
        <w:pStyle w:val="ListParagraph"/>
        <w:numPr>
          <w:ilvl w:val="0"/>
          <w:numId w:val="46"/>
        </w:numPr>
        <w:rPr>
          <w:rFonts w:asciiTheme="majorHAnsi" w:hAnsiTheme="majorHAnsi" w:cs="Arial"/>
        </w:rPr>
      </w:pPr>
      <w:r>
        <w:rPr>
          <w:rFonts w:asciiTheme="majorHAnsi" w:hAnsiTheme="majorHAnsi" w:cs="Arial"/>
        </w:rPr>
        <w:t>Gerhard, 68, from Germany:</w:t>
      </w:r>
    </w:p>
    <w:p w:rsidR="000E336E" w:rsidRDefault="000E336E" w:rsidP="000E336E">
      <w:pPr>
        <w:pStyle w:val="ListParagraph"/>
        <w:numPr>
          <w:ilvl w:val="1"/>
          <w:numId w:val="46"/>
        </w:numPr>
        <w:rPr>
          <w:rFonts w:asciiTheme="majorHAnsi" w:hAnsiTheme="majorHAnsi" w:cs="Arial"/>
        </w:rPr>
      </w:pPr>
      <w:r>
        <w:rPr>
          <w:rFonts w:asciiTheme="majorHAnsi" w:hAnsiTheme="majorHAnsi" w:cs="Arial"/>
        </w:rPr>
        <w:t>“When I buy shampoo, there is a big logo of the company and not much else on it. You need glasses to see what the product actually is, and in the bathroom you often don’t wear glasses”</w:t>
      </w:r>
      <w:r>
        <w:rPr>
          <w:rStyle w:val="EndnoteReference"/>
          <w:rFonts w:cs="Arial"/>
        </w:rPr>
        <w:endnoteReference w:id="118"/>
      </w:r>
    </w:p>
    <w:p w:rsidR="000E336E" w:rsidRDefault="000E336E" w:rsidP="000E336E">
      <w:pPr>
        <w:pStyle w:val="ListParagraph"/>
        <w:numPr>
          <w:ilvl w:val="0"/>
          <w:numId w:val="46"/>
        </w:numPr>
        <w:rPr>
          <w:rFonts w:asciiTheme="majorHAnsi" w:hAnsiTheme="majorHAnsi" w:cs="Arial"/>
        </w:rPr>
      </w:pPr>
      <w:r>
        <w:rPr>
          <w:rFonts w:asciiTheme="majorHAnsi" w:hAnsiTheme="majorHAnsi" w:cs="Arial"/>
        </w:rPr>
        <w:t>Enid, 77, from England:</w:t>
      </w:r>
    </w:p>
    <w:p w:rsidR="000E336E" w:rsidRDefault="000E336E" w:rsidP="000E336E">
      <w:pPr>
        <w:pStyle w:val="ListParagraph"/>
        <w:numPr>
          <w:ilvl w:val="1"/>
          <w:numId w:val="46"/>
        </w:numPr>
        <w:rPr>
          <w:rFonts w:asciiTheme="majorHAnsi" w:hAnsiTheme="majorHAnsi" w:cs="Arial"/>
        </w:rPr>
      </w:pPr>
      <w:r>
        <w:rPr>
          <w:rFonts w:asciiTheme="majorHAnsi" w:hAnsiTheme="majorHAnsi" w:cs="Arial"/>
        </w:rPr>
        <w:t>“I do think they need some seating as it is tiring to push a trolley round. Perhaps a coffee bar too, not necessarily to socialise, but to relax and have a coffee before catching the bus back”</w:t>
      </w:r>
      <w:r>
        <w:rPr>
          <w:rStyle w:val="EndnoteReference"/>
          <w:rFonts w:cs="Arial"/>
        </w:rPr>
        <w:endnoteReference w:id="119"/>
      </w:r>
    </w:p>
    <w:p w:rsidR="00454165" w:rsidRPr="006A6EB3" w:rsidRDefault="00454165">
      <w:pPr>
        <w:spacing w:before="0" w:after="0"/>
        <w:rPr>
          <w:rFonts w:asciiTheme="majorHAnsi" w:hAnsiTheme="majorHAnsi" w:cs="Arial"/>
          <w:b/>
          <w:sz w:val="28"/>
        </w:rPr>
      </w:pPr>
      <w:r>
        <w:rPr>
          <w:rFonts w:asciiTheme="majorHAnsi" w:hAnsiTheme="majorHAnsi" w:cs="Arial"/>
        </w:rPr>
        <w:br w:type="page"/>
      </w:r>
      <w:r w:rsidR="006A6EB3">
        <w:rPr>
          <w:rFonts w:asciiTheme="majorHAnsi" w:hAnsiTheme="majorHAnsi" w:cs="Arial"/>
          <w:b/>
          <w:sz w:val="28"/>
        </w:rPr>
        <w:lastRenderedPageBreak/>
        <w:t xml:space="preserve">6. </w:t>
      </w:r>
      <w:bookmarkStart w:id="15" w:name="References"/>
      <w:r w:rsidR="006A6EB3">
        <w:rPr>
          <w:rFonts w:asciiTheme="majorHAnsi" w:hAnsiTheme="majorHAnsi" w:cs="Arial"/>
          <w:b/>
          <w:sz w:val="28"/>
        </w:rPr>
        <w:t>References</w:t>
      </w:r>
      <w:bookmarkEnd w:id="15"/>
    </w:p>
    <w:sectPr w:rsidR="00454165" w:rsidRPr="006A6EB3" w:rsidSect="00454165">
      <w:headerReference w:type="default" r:id="rId11"/>
      <w:footerReference w:type="default" r:id="rId12"/>
      <w:endnotePr>
        <w:numFmt w:val="decimal"/>
      </w:endnotePr>
      <w:pgSz w:w="11906" w:h="16838" w:code="9"/>
      <w:pgMar w:top="1021" w:right="1021" w:bottom="1021" w:left="1021" w:header="709" w:footer="709"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926A8A" w:rsidRDefault="00926A8A" w:rsidP="00F14C6D">
      <w:r>
        <w:separator/>
      </w:r>
    </w:p>
  </w:endnote>
  <w:endnote w:type="continuationSeparator" w:id="0">
    <w:p w:rsidR="00926A8A" w:rsidRDefault="00926A8A" w:rsidP="00F14C6D">
      <w:r>
        <w:continuationSeparator/>
      </w:r>
    </w:p>
  </w:endnote>
  <w:endnote w:id="1">
    <w:p w:rsidR="00926A8A" w:rsidRPr="00C4466D" w:rsidRDefault="00926A8A">
      <w:pPr>
        <w:pStyle w:val="EndnoteText"/>
        <w:rPr>
          <w:rFonts w:asciiTheme="majorHAnsi" w:hAnsiTheme="majorHAnsi"/>
        </w:rPr>
      </w:pPr>
      <w:r w:rsidRPr="00C4466D">
        <w:rPr>
          <w:rStyle w:val="EndnoteReference"/>
          <w:rFonts w:asciiTheme="majorHAnsi" w:hAnsiTheme="majorHAnsi"/>
        </w:rPr>
        <w:endnoteRef/>
      </w:r>
      <w:r w:rsidRPr="00C4466D">
        <w:rPr>
          <w:rFonts w:asciiTheme="majorHAnsi" w:hAnsiTheme="majorHAnsi"/>
        </w:rPr>
        <w:t xml:space="preserve"> G Stubbs, ‘Baby Boomers – the Greatest Untapped Opportunity for Marketers’, Mi9, 2013. At: </w:t>
      </w:r>
      <w:hyperlink r:id="rId1" w:history="1">
        <w:r w:rsidRPr="00C4466D">
          <w:rPr>
            <w:rStyle w:val="Hyperlink"/>
            <w:rFonts w:asciiTheme="majorHAnsi" w:hAnsiTheme="majorHAnsi"/>
          </w:rPr>
          <w:t>http://mi9.com.au/blog.aspx?blogentryid=1101760&amp;showcomments=true</w:t>
        </w:r>
      </w:hyperlink>
      <w:r w:rsidRPr="00C4466D">
        <w:rPr>
          <w:rFonts w:asciiTheme="majorHAnsi" w:hAnsiTheme="majorHAnsi"/>
        </w:rPr>
        <w:t xml:space="preserve">  (viewed 13 February 2014)</w:t>
      </w:r>
    </w:p>
  </w:endnote>
  <w:endnote w:id="2">
    <w:p w:rsidR="00926A8A" w:rsidRPr="00C4466D" w:rsidRDefault="00926A8A">
      <w:pPr>
        <w:pStyle w:val="EndnoteText"/>
        <w:rPr>
          <w:rFonts w:asciiTheme="majorHAnsi" w:hAnsiTheme="majorHAnsi"/>
        </w:rPr>
      </w:pPr>
      <w:r w:rsidRPr="00C4466D">
        <w:rPr>
          <w:rStyle w:val="EndnoteReference"/>
          <w:rFonts w:asciiTheme="majorHAnsi" w:hAnsiTheme="majorHAnsi"/>
        </w:rPr>
        <w:endnoteRef/>
      </w:r>
      <w:r w:rsidRPr="00C4466D">
        <w:rPr>
          <w:rFonts w:asciiTheme="majorHAnsi" w:hAnsiTheme="majorHAnsi"/>
        </w:rPr>
        <w:t xml:space="preserve"> G Stubbs, ‘Baby Boomers – the Greatest Untapped Opportunity for Marketers’, Mi9, 2013. At: </w:t>
      </w:r>
      <w:hyperlink r:id="rId2" w:history="1">
        <w:r w:rsidRPr="00C4466D">
          <w:rPr>
            <w:rStyle w:val="Hyperlink"/>
            <w:rFonts w:asciiTheme="majorHAnsi" w:hAnsiTheme="majorHAnsi"/>
          </w:rPr>
          <w:t>http://mi9.com.au/blog.aspx?blogentryid=1101760&amp;showcomments=true</w:t>
        </w:r>
      </w:hyperlink>
      <w:r w:rsidRPr="00C4466D">
        <w:rPr>
          <w:rFonts w:asciiTheme="majorHAnsi" w:hAnsiTheme="majorHAnsi"/>
        </w:rPr>
        <w:t xml:space="preserve">  (viewed 13 February 2014)</w:t>
      </w:r>
    </w:p>
  </w:endnote>
  <w:endnote w:id="3">
    <w:p w:rsidR="00926A8A" w:rsidRPr="00C4466D" w:rsidRDefault="00926A8A">
      <w:pPr>
        <w:pStyle w:val="EndnoteText"/>
        <w:rPr>
          <w:rFonts w:asciiTheme="majorHAnsi" w:hAnsiTheme="majorHAnsi"/>
        </w:rPr>
      </w:pPr>
      <w:r w:rsidRPr="00C4466D">
        <w:rPr>
          <w:rStyle w:val="EndnoteReference"/>
          <w:rFonts w:asciiTheme="majorHAnsi" w:hAnsiTheme="majorHAnsi"/>
        </w:rPr>
        <w:endnoteRef/>
      </w:r>
      <w:r w:rsidRPr="00C4466D">
        <w:rPr>
          <w:rFonts w:asciiTheme="majorHAnsi" w:hAnsiTheme="majorHAnsi"/>
        </w:rPr>
        <w:t xml:space="preserve"> D McTaggart, ‘Why Marketers Get It Wrong’, </w:t>
      </w:r>
      <w:r w:rsidRPr="00C4466D">
        <w:rPr>
          <w:rFonts w:asciiTheme="majorHAnsi" w:hAnsiTheme="majorHAnsi"/>
          <w:i/>
        </w:rPr>
        <w:t>Your Life Choices</w:t>
      </w:r>
      <w:r w:rsidRPr="00C4466D">
        <w:rPr>
          <w:rFonts w:asciiTheme="majorHAnsi" w:hAnsiTheme="majorHAnsi"/>
        </w:rPr>
        <w:t xml:space="preserve">, 17 January 2014. At: </w:t>
      </w:r>
      <w:hyperlink r:id="rId3" w:history="1">
        <w:r w:rsidRPr="00C4466D">
          <w:rPr>
            <w:rStyle w:val="Hyperlink"/>
            <w:rFonts w:asciiTheme="majorHAnsi" w:hAnsiTheme="majorHAnsi"/>
          </w:rPr>
          <w:t>http://www.yourlifechoices.com.au/news/why-marketers-get-it-wrong?utm_source=AgeWave%20Australia%20Newsletter&amp;utm_campaign=d77c01d9ae-AgeWave_Issue_6_15_08_2013&amp;utm_medium=email&amp;utm_term=0_967085f6a6-d77c01d9ae-415934905</w:t>
        </w:r>
      </w:hyperlink>
      <w:r w:rsidRPr="00C4466D">
        <w:rPr>
          <w:rFonts w:asciiTheme="majorHAnsi" w:hAnsiTheme="majorHAnsi"/>
        </w:rPr>
        <w:t xml:space="preserve">  (viewed 13 February 2014)</w:t>
      </w:r>
    </w:p>
  </w:endnote>
  <w:endnote w:id="4">
    <w:p w:rsidR="00926A8A" w:rsidRPr="00C4466D" w:rsidRDefault="00926A8A">
      <w:pPr>
        <w:pStyle w:val="EndnoteText"/>
        <w:rPr>
          <w:rFonts w:asciiTheme="majorHAnsi" w:hAnsiTheme="majorHAnsi"/>
        </w:rPr>
      </w:pPr>
      <w:r w:rsidRPr="00C4466D">
        <w:rPr>
          <w:rStyle w:val="EndnoteReference"/>
          <w:rFonts w:asciiTheme="majorHAnsi" w:hAnsiTheme="majorHAnsi"/>
        </w:rPr>
        <w:endnoteRef/>
      </w:r>
      <w:r w:rsidRPr="00C4466D">
        <w:rPr>
          <w:rFonts w:asciiTheme="majorHAnsi" w:hAnsiTheme="majorHAnsi"/>
        </w:rPr>
        <w:t xml:space="preserve"> Marketing IQ, </w:t>
      </w:r>
      <w:r w:rsidRPr="00C4466D">
        <w:rPr>
          <w:rFonts w:asciiTheme="majorHAnsi" w:hAnsiTheme="majorHAnsi"/>
          <w:i/>
        </w:rPr>
        <w:t>The Untapped Market: Today’s Older Consumer – Benchmarking Analytics for Marketing to the Older Consumer</w:t>
      </w:r>
      <w:r w:rsidRPr="00C4466D">
        <w:rPr>
          <w:rFonts w:asciiTheme="majorHAnsi" w:hAnsiTheme="majorHAnsi"/>
        </w:rPr>
        <w:t xml:space="preserve">, 2011. At: </w:t>
      </w:r>
      <w:hyperlink r:id="rId4" w:history="1">
        <w:r w:rsidRPr="00C4466D">
          <w:rPr>
            <w:rStyle w:val="Hyperlink"/>
            <w:rFonts w:asciiTheme="majorHAnsi" w:hAnsiTheme="majorHAnsi"/>
          </w:rPr>
          <w:t>http://www.iqpc.com/GetDownload.aspx?EventID=20634.001&amp;content_url=%2fuploadedFiles%2fEventRedesign%2fAustralia%2f2011%2fOctober%2f20634001%2fAssets%2fBaby_Boomer_Analytics_Paper.pdf</w:t>
        </w:r>
      </w:hyperlink>
      <w:r w:rsidRPr="00C4466D">
        <w:rPr>
          <w:rFonts w:asciiTheme="majorHAnsi" w:hAnsiTheme="majorHAnsi"/>
        </w:rPr>
        <w:t xml:space="preserve">  (viewed 18 February 2014)</w:t>
      </w:r>
    </w:p>
  </w:endnote>
  <w:endnote w:id="5">
    <w:p w:rsidR="00926A8A" w:rsidRPr="00C4466D" w:rsidRDefault="00926A8A">
      <w:pPr>
        <w:pStyle w:val="EndnoteText"/>
        <w:rPr>
          <w:rFonts w:asciiTheme="majorHAnsi" w:hAnsiTheme="majorHAnsi"/>
        </w:rPr>
      </w:pPr>
      <w:r w:rsidRPr="00C4466D">
        <w:rPr>
          <w:rStyle w:val="EndnoteReference"/>
          <w:rFonts w:asciiTheme="majorHAnsi" w:hAnsiTheme="majorHAnsi"/>
        </w:rPr>
        <w:endnoteRef/>
      </w:r>
      <w:r w:rsidRPr="00C4466D">
        <w:rPr>
          <w:rFonts w:asciiTheme="majorHAnsi" w:hAnsiTheme="majorHAnsi"/>
        </w:rPr>
        <w:t xml:space="preserve"> Baby Boomers Infographic, 2011. At: </w:t>
      </w:r>
      <w:hyperlink r:id="rId5" w:history="1">
        <w:r w:rsidRPr="00C4466D">
          <w:rPr>
            <w:rStyle w:val="Hyperlink"/>
            <w:rFonts w:asciiTheme="majorHAnsi" w:hAnsiTheme="majorHAnsi"/>
          </w:rPr>
          <w:t>http://www.iqpc.com/GetDownload.aspx?EventID=20634.001&amp;content_url=%2fuploadedFiles%2fEventRedesign%2fAustralia%2f2011%2fOctober%2f20634001%2fAssets%2fBaby-Boomers-Infographic_v1(1).pdf</w:t>
        </w:r>
      </w:hyperlink>
      <w:r w:rsidRPr="00C4466D">
        <w:rPr>
          <w:rFonts w:asciiTheme="majorHAnsi" w:hAnsiTheme="majorHAnsi"/>
        </w:rPr>
        <w:t xml:space="preserve">  (viewed 18 February 2014)</w:t>
      </w:r>
    </w:p>
  </w:endnote>
  <w:endnote w:id="6">
    <w:p w:rsidR="00926A8A" w:rsidRPr="00C4466D" w:rsidRDefault="00926A8A">
      <w:pPr>
        <w:pStyle w:val="EndnoteText"/>
        <w:rPr>
          <w:rFonts w:asciiTheme="majorHAnsi" w:hAnsiTheme="majorHAnsi"/>
        </w:rPr>
      </w:pPr>
      <w:r w:rsidRPr="00C4466D">
        <w:rPr>
          <w:rStyle w:val="EndnoteReference"/>
          <w:rFonts w:asciiTheme="majorHAnsi" w:hAnsiTheme="majorHAnsi"/>
        </w:rPr>
        <w:endnoteRef/>
      </w:r>
      <w:r w:rsidRPr="00C4466D">
        <w:rPr>
          <w:rFonts w:asciiTheme="majorHAnsi" w:hAnsiTheme="majorHAnsi"/>
        </w:rPr>
        <w:t xml:space="preserve"> A.T. Kearney, </w:t>
      </w:r>
      <w:r w:rsidRPr="00C4466D">
        <w:rPr>
          <w:rFonts w:asciiTheme="majorHAnsi" w:hAnsiTheme="majorHAnsi"/>
          <w:i/>
        </w:rPr>
        <w:t>Understanding the Needs and Consequences of the Ageing Consumer</w:t>
      </w:r>
      <w:r w:rsidRPr="00C4466D">
        <w:rPr>
          <w:rFonts w:asciiTheme="majorHAnsi" w:hAnsiTheme="majorHAnsi"/>
        </w:rPr>
        <w:t xml:space="preserve">, 2013, p. 5. At: </w:t>
      </w:r>
      <w:hyperlink r:id="rId6" w:history="1">
        <w:r w:rsidRPr="00C4466D">
          <w:rPr>
            <w:rStyle w:val="Hyperlink"/>
            <w:rFonts w:asciiTheme="majorHAnsi" w:hAnsiTheme="majorHAnsi"/>
          </w:rPr>
          <w:t>http://www.atkearney.com/paper/-/asset_publisher/dVxv4Hz2h8bS/content/understanding-the-needs-and-consequences-of-the-ageing-consumer/10192</w:t>
        </w:r>
      </w:hyperlink>
      <w:r w:rsidRPr="00C4466D">
        <w:rPr>
          <w:rFonts w:asciiTheme="majorHAnsi" w:hAnsiTheme="majorHAnsi"/>
        </w:rPr>
        <w:t xml:space="preserve">  (viewed 13 February 2014)</w:t>
      </w:r>
    </w:p>
  </w:endnote>
  <w:endnote w:id="7">
    <w:p w:rsidR="00926A8A" w:rsidRPr="00C4466D" w:rsidRDefault="00926A8A">
      <w:pPr>
        <w:pStyle w:val="EndnoteText"/>
        <w:rPr>
          <w:rFonts w:asciiTheme="majorHAnsi" w:hAnsiTheme="majorHAnsi"/>
        </w:rPr>
      </w:pPr>
      <w:r w:rsidRPr="00C4466D">
        <w:rPr>
          <w:rStyle w:val="EndnoteReference"/>
          <w:rFonts w:asciiTheme="majorHAnsi" w:hAnsiTheme="majorHAnsi"/>
        </w:rPr>
        <w:endnoteRef/>
      </w:r>
      <w:r w:rsidRPr="00C4466D">
        <w:rPr>
          <w:rFonts w:asciiTheme="majorHAnsi" w:hAnsiTheme="majorHAnsi"/>
        </w:rPr>
        <w:t xml:space="preserve"> M Boyle, ‘Aging Boomers Befuddle Marketers Aching for $15 Trillion Prize’, </w:t>
      </w:r>
      <w:r w:rsidRPr="00C4466D">
        <w:rPr>
          <w:rFonts w:asciiTheme="majorHAnsi" w:hAnsiTheme="majorHAnsi"/>
          <w:i/>
        </w:rPr>
        <w:t>Bloomberg</w:t>
      </w:r>
      <w:r w:rsidRPr="00C4466D">
        <w:rPr>
          <w:rFonts w:asciiTheme="majorHAnsi" w:hAnsiTheme="majorHAnsi"/>
        </w:rPr>
        <w:t xml:space="preserve">, 17 September 2013. At: </w:t>
      </w:r>
      <w:hyperlink r:id="rId7" w:history="1">
        <w:r w:rsidRPr="00C4466D">
          <w:rPr>
            <w:rStyle w:val="Hyperlink"/>
            <w:rFonts w:asciiTheme="majorHAnsi" w:hAnsiTheme="majorHAnsi"/>
          </w:rPr>
          <w:t>http://www.bloomberg.com/news/2013-09-17/aging-boomers-befuddle-marketers-eying-15-trillion-prize.html?cmpid</w:t>
        </w:r>
      </w:hyperlink>
      <w:r w:rsidRPr="00C4466D">
        <w:rPr>
          <w:rFonts w:asciiTheme="majorHAnsi" w:hAnsiTheme="majorHAnsi"/>
        </w:rPr>
        <w:t>=  (viewed 13 February 2014)</w:t>
      </w:r>
    </w:p>
  </w:endnote>
  <w:endnote w:id="8">
    <w:p w:rsidR="00926A8A" w:rsidRPr="00C4466D" w:rsidRDefault="00926A8A">
      <w:pPr>
        <w:pStyle w:val="EndnoteText"/>
        <w:rPr>
          <w:rFonts w:asciiTheme="majorHAnsi" w:hAnsiTheme="majorHAnsi"/>
        </w:rPr>
      </w:pPr>
      <w:r w:rsidRPr="00C4466D">
        <w:rPr>
          <w:rStyle w:val="EndnoteReference"/>
          <w:rFonts w:asciiTheme="majorHAnsi" w:hAnsiTheme="majorHAnsi"/>
        </w:rPr>
        <w:endnoteRef/>
      </w:r>
      <w:r w:rsidRPr="00C4466D">
        <w:rPr>
          <w:rFonts w:asciiTheme="majorHAnsi" w:hAnsiTheme="majorHAnsi"/>
        </w:rPr>
        <w:t xml:space="preserve"> M Boyle, ‘Aging Boomers Befuddle Marketers Aching for $15 Trillion Prize’, </w:t>
      </w:r>
      <w:r w:rsidRPr="00C4466D">
        <w:rPr>
          <w:rFonts w:asciiTheme="majorHAnsi" w:hAnsiTheme="majorHAnsi"/>
          <w:i/>
        </w:rPr>
        <w:t>Bloomberg</w:t>
      </w:r>
      <w:r w:rsidRPr="00C4466D">
        <w:rPr>
          <w:rFonts w:asciiTheme="majorHAnsi" w:hAnsiTheme="majorHAnsi"/>
        </w:rPr>
        <w:t xml:space="preserve">, 17 September 2013. At: </w:t>
      </w:r>
      <w:hyperlink r:id="rId8" w:history="1">
        <w:r w:rsidRPr="00C4466D">
          <w:rPr>
            <w:rStyle w:val="Hyperlink"/>
            <w:rFonts w:asciiTheme="majorHAnsi" w:hAnsiTheme="majorHAnsi"/>
          </w:rPr>
          <w:t>http://www.bloomberg.com/news/2013-09-17/aging-boomers-befuddle-marketers-eying-15-trillion-prize.html?cmpid</w:t>
        </w:r>
      </w:hyperlink>
      <w:r w:rsidRPr="00C4466D">
        <w:rPr>
          <w:rFonts w:asciiTheme="majorHAnsi" w:hAnsiTheme="majorHAnsi"/>
        </w:rPr>
        <w:t>=  (viewed 13 February 2014)</w:t>
      </w:r>
    </w:p>
  </w:endnote>
  <w:endnote w:id="9">
    <w:p w:rsidR="00926A8A" w:rsidRPr="00C4466D" w:rsidRDefault="00926A8A">
      <w:pPr>
        <w:pStyle w:val="EndnoteText"/>
        <w:rPr>
          <w:rFonts w:asciiTheme="majorHAnsi" w:hAnsiTheme="majorHAnsi"/>
        </w:rPr>
      </w:pPr>
      <w:r w:rsidRPr="00C4466D">
        <w:rPr>
          <w:rStyle w:val="EndnoteReference"/>
          <w:rFonts w:asciiTheme="majorHAnsi" w:hAnsiTheme="majorHAnsi"/>
        </w:rPr>
        <w:endnoteRef/>
      </w:r>
      <w:r w:rsidRPr="00C4466D">
        <w:rPr>
          <w:rFonts w:asciiTheme="majorHAnsi" w:hAnsiTheme="majorHAnsi"/>
        </w:rPr>
        <w:t xml:space="preserve"> A.T. Kearney, </w:t>
      </w:r>
      <w:r w:rsidRPr="00C4466D">
        <w:rPr>
          <w:rFonts w:asciiTheme="majorHAnsi" w:hAnsiTheme="majorHAnsi"/>
          <w:i/>
        </w:rPr>
        <w:t>Understanding the Needs and Consequences of the Ageing Consumer</w:t>
      </w:r>
      <w:r w:rsidRPr="00C4466D">
        <w:rPr>
          <w:rFonts w:asciiTheme="majorHAnsi" w:hAnsiTheme="majorHAnsi"/>
        </w:rPr>
        <w:t xml:space="preserve">, 2013, p. 5. At: </w:t>
      </w:r>
      <w:hyperlink r:id="rId9" w:history="1">
        <w:r w:rsidRPr="00C4466D">
          <w:rPr>
            <w:rStyle w:val="Hyperlink"/>
            <w:rFonts w:asciiTheme="majorHAnsi" w:hAnsiTheme="majorHAnsi"/>
          </w:rPr>
          <w:t>http://www.atkearney.com/paper/-/asset_publisher/dVxv4Hz2h8bS/content/understanding-the-needs-and-consequences-of-the-ageing-consumer/10192</w:t>
        </w:r>
      </w:hyperlink>
      <w:r w:rsidRPr="00C4466D">
        <w:rPr>
          <w:rFonts w:asciiTheme="majorHAnsi" w:hAnsiTheme="majorHAnsi"/>
        </w:rPr>
        <w:t xml:space="preserve">  (viewed 13 February 2014)</w:t>
      </w:r>
    </w:p>
  </w:endnote>
  <w:endnote w:id="10">
    <w:p w:rsidR="00926A8A" w:rsidRPr="00C4466D" w:rsidRDefault="00926A8A">
      <w:pPr>
        <w:pStyle w:val="EndnoteText"/>
        <w:rPr>
          <w:rFonts w:asciiTheme="majorHAnsi" w:hAnsiTheme="majorHAnsi"/>
        </w:rPr>
      </w:pPr>
      <w:r w:rsidRPr="00C4466D">
        <w:rPr>
          <w:rStyle w:val="EndnoteReference"/>
          <w:rFonts w:asciiTheme="majorHAnsi" w:hAnsiTheme="majorHAnsi"/>
        </w:rPr>
        <w:endnoteRef/>
      </w:r>
      <w:r w:rsidRPr="00C4466D">
        <w:rPr>
          <w:rFonts w:asciiTheme="majorHAnsi" w:hAnsiTheme="majorHAnsi"/>
        </w:rPr>
        <w:t xml:space="preserve"> E Byron, ‘How to Market to an Aging Boomer: Flattery, Subterfuge and Euphemism’, </w:t>
      </w:r>
      <w:r w:rsidRPr="00C4466D">
        <w:rPr>
          <w:rFonts w:asciiTheme="majorHAnsi" w:hAnsiTheme="majorHAnsi"/>
          <w:i/>
        </w:rPr>
        <w:t>The Wall Street Journal</w:t>
      </w:r>
      <w:r w:rsidRPr="00C4466D">
        <w:rPr>
          <w:rFonts w:asciiTheme="majorHAnsi" w:hAnsiTheme="majorHAnsi"/>
        </w:rPr>
        <w:t xml:space="preserve">, 5 February 2011, p. 2. At: </w:t>
      </w:r>
      <w:hyperlink r:id="rId10" w:history="1">
        <w:r w:rsidRPr="00C4466D">
          <w:rPr>
            <w:rStyle w:val="Hyperlink"/>
            <w:rFonts w:asciiTheme="majorHAnsi" w:hAnsiTheme="majorHAnsi"/>
          </w:rPr>
          <w:t>http://www.iqpc.com/GetDownload.aspx?EventID=20634.001&amp;content_url=%2fuploadedFiles%2fEventRedesign%2fAustralia%2f2011%2fOctober%2f20634001%2fAssets%2fArticle_How_to_Market_to_an_Aging_Boomer.pdf</w:t>
        </w:r>
      </w:hyperlink>
      <w:r w:rsidRPr="00C4466D">
        <w:rPr>
          <w:rFonts w:asciiTheme="majorHAnsi" w:hAnsiTheme="majorHAnsi"/>
        </w:rPr>
        <w:t xml:space="preserve"> (viewed 13 February 2014)</w:t>
      </w:r>
    </w:p>
  </w:endnote>
  <w:endnote w:id="11">
    <w:p w:rsidR="00926A8A" w:rsidRPr="00C4466D" w:rsidRDefault="00926A8A">
      <w:pPr>
        <w:pStyle w:val="EndnoteText"/>
        <w:rPr>
          <w:rFonts w:asciiTheme="majorHAnsi" w:hAnsiTheme="majorHAnsi"/>
        </w:rPr>
      </w:pPr>
      <w:r w:rsidRPr="00C4466D">
        <w:rPr>
          <w:rStyle w:val="EndnoteReference"/>
          <w:rFonts w:asciiTheme="majorHAnsi" w:hAnsiTheme="majorHAnsi"/>
        </w:rPr>
        <w:endnoteRef/>
      </w:r>
      <w:r w:rsidRPr="00C4466D">
        <w:rPr>
          <w:rFonts w:asciiTheme="majorHAnsi" w:hAnsiTheme="majorHAnsi"/>
        </w:rPr>
        <w:t xml:space="preserve"> A.T. Kearney, </w:t>
      </w:r>
      <w:r w:rsidRPr="00C4466D">
        <w:rPr>
          <w:rFonts w:asciiTheme="majorHAnsi" w:hAnsiTheme="majorHAnsi"/>
          <w:i/>
        </w:rPr>
        <w:t>Understanding the Needs and Consequences of the Ageing Consumer</w:t>
      </w:r>
      <w:r w:rsidRPr="00C4466D">
        <w:rPr>
          <w:rFonts w:asciiTheme="majorHAnsi" w:hAnsiTheme="majorHAnsi"/>
        </w:rPr>
        <w:t xml:space="preserve">, 2013, p. 5. At: </w:t>
      </w:r>
      <w:hyperlink r:id="rId11" w:history="1">
        <w:r w:rsidRPr="00C4466D">
          <w:rPr>
            <w:rStyle w:val="Hyperlink"/>
            <w:rFonts w:asciiTheme="majorHAnsi" w:hAnsiTheme="majorHAnsi"/>
          </w:rPr>
          <w:t>http://www.atkearney.com/paper/-/asset_publisher/dVxv4Hz2h8bS/content/understanding-the-needs-and-consequences-of-the-ageing-consumer/10192</w:t>
        </w:r>
      </w:hyperlink>
      <w:r w:rsidRPr="00C4466D">
        <w:rPr>
          <w:rFonts w:asciiTheme="majorHAnsi" w:hAnsiTheme="majorHAnsi"/>
        </w:rPr>
        <w:t xml:space="preserve">  (viewed 13 February 2014)</w:t>
      </w:r>
    </w:p>
  </w:endnote>
  <w:endnote w:id="12">
    <w:p w:rsidR="00926A8A" w:rsidRPr="00C4466D" w:rsidRDefault="00926A8A">
      <w:pPr>
        <w:pStyle w:val="EndnoteText"/>
        <w:rPr>
          <w:rFonts w:asciiTheme="majorHAnsi" w:hAnsiTheme="majorHAnsi"/>
        </w:rPr>
      </w:pPr>
      <w:r w:rsidRPr="00C4466D">
        <w:rPr>
          <w:rStyle w:val="EndnoteReference"/>
          <w:rFonts w:asciiTheme="majorHAnsi" w:hAnsiTheme="majorHAnsi"/>
        </w:rPr>
        <w:endnoteRef/>
      </w:r>
      <w:r w:rsidRPr="00C4466D">
        <w:rPr>
          <w:rFonts w:asciiTheme="majorHAnsi" w:hAnsiTheme="majorHAnsi"/>
        </w:rPr>
        <w:t xml:space="preserve"> A.T. Kearney, </w:t>
      </w:r>
      <w:r w:rsidRPr="00C4466D">
        <w:rPr>
          <w:rFonts w:asciiTheme="majorHAnsi" w:hAnsiTheme="majorHAnsi"/>
          <w:i/>
        </w:rPr>
        <w:t>Understanding the Needs and Consequences of the Ageing Consumer</w:t>
      </w:r>
      <w:r w:rsidRPr="00C4466D">
        <w:rPr>
          <w:rFonts w:asciiTheme="majorHAnsi" w:hAnsiTheme="majorHAnsi"/>
        </w:rPr>
        <w:t xml:space="preserve">, 2013, p. 5. At: </w:t>
      </w:r>
      <w:hyperlink r:id="rId12" w:history="1">
        <w:r w:rsidRPr="00C4466D">
          <w:rPr>
            <w:rStyle w:val="Hyperlink"/>
            <w:rFonts w:asciiTheme="majorHAnsi" w:hAnsiTheme="majorHAnsi"/>
          </w:rPr>
          <w:t>http://www.atkearney.com/paper/-/asset_publisher/dVxv4Hz2h8bS/content/understanding-the-needs-and-consequences-of-the-ageing-consumer/10192</w:t>
        </w:r>
      </w:hyperlink>
      <w:r w:rsidRPr="00C4466D">
        <w:rPr>
          <w:rFonts w:asciiTheme="majorHAnsi" w:hAnsiTheme="majorHAnsi"/>
        </w:rPr>
        <w:t xml:space="preserve">  (viewed 13 February 2014)</w:t>
      </w:r>
    </w:p>
  </w:endnote>
  <w:endnote w:id="13">
    <w:p w:rsidR="00926A8A" w:rsidRPr="00C4466D" w:rsidRDefault="00926A8A">
      <w:pPr>
        <w:pStyle w:val="EndnoteText"/>
        <w:rPr>
          <w:rFonts w:asciiTheme="majorHAnsi" w:hAnsiTheme="majorHAnsi"/>
        </w:rPr>
      </w:pPr>
      <w:r w:rsidRPr="00C4466D">
        <w:rPr>
          <w:rStyle w:val="EndnoteReference"/>
          <w:rFonts w:asciiTheme="majorHAnsi" w:hAnsiTheme="majorHAnsi"/>
        </w:rPr>
        <w:endnoteRef/>
      </w:r>
      <w:r w:rsidRPr="00C4466D">
        <w:rPr>
          <w:rFonts w:asciiTheme="majorHAnsi" w:hAnsiTheme="majorHAnsi"/>
        </w:rPr>
        <w:t xml:space="preserve"> A.T. Kearney, </w:t>
      </w:r>
      <w:r w:rsidRPr="00C4466D">
        <w:rPr>
          <w:rFonts w:asciiTheme="majorHAnsi" w:hAnsiTheme="majorHAnsi"/>
          <w:i/>
        </w:rPr>
        <w:t>Understanding the Needs and Consequences of the Ageing Consumer</w:t>
      </w:r>
      <w:r w:rsidRPr="00C4466D">
        <w:rPr>
          <w:rFonts w:asciiTheme="majorHAnsi" w:hAnsiTheme="majorHAnsi"/>
        </w:rPr>
        <w:t xml:space="preserve">, 2013, p. 3. At: </w:t>
      </w:r>
      <w:hyperlink r:id="rId13" w:history="1">
        <w:r w:rsidRPr="00C4466D">
          <w:rPr>
            <w:rStyle w:val="Hyperlink"/>
            <w:rFonts w:asciiTheme="majorHAnsi" w:hAnsiTheme="majorHAnsi"/>
          </w:rPr>
          <w:t>http://www.atkearney.com/paper/-/asset_publisher/dVxv4Hz2h8bS/content/understanding-the-needs-and-consequences-of-the-ageing-consumer/10192</w:t>
        </w:r>
      </w:hyperlink>
      <w:r w:rsidRPr="00C4466D">
        <w:rPr>
          <w:rFonts w:asciiTheme="majorHAnsi" w:hAnsiTheme="majorHAnsi"/>
        </w:rPr>
        <w:t xml:space="preserve">  (viewed 13 February 2014)</w:t>
      </w:r>
    </w:p>
  </w:endnote>
  <w:endnote w:id="14">
    <w:p w:rsidR="00926A8A" w:rsidRPr="00C4466D" w:rsidRDefault="00926A8A">
      <w:pPr>
        <w:pStyle w:val="EndnoteText"/>
        <w:rPr>
          <w:rFonts w:asciiTheme="majorHAnsi" w:hAnsiTheme="majorHAnsi"/>
        </w:rPr>
      </w:pPr>
      <w:r w:rsidRPr="00C4466D">
        <w:rPr>
          <w:rStyle w:val="EndnoteReference"/>
          <w:rFonts w:asciiTheme="majorHAnsi" w:hAnsiTheme="majorHAnsi"/>
        </w:rPr>
        <w:endnoteRef/>
      </w:r>
      <w:r w:rsidRPr="00C4466D">
        <w:rPr>
          <w:rFonts w:asciiTheme="majorHAnsi" w:hAnsiTheme="majorHAnsi"/>
        </w:rPr>
        <w:t xml:space="preserve"> A.T. Kearney, </w:t>
      </w:r>
      <w:r w:rsidRPr="00C4466D">
        <w:rPr>
          <w:rFonts w:asciiTheme="majorHAnsi" w:hAnsiTheme="majorHAnsi"/>
          <w:i/>
        </w:rPr>
        <w:t>Understanding the Needs and Consequences of the Ageing Consumer</w:t>
      </w:r>
      <w:r w:rsidRPr="00C4466D">
        <w:rPr>
          <w:rFonts w:asciiTheme="majorHAnsi" w:hAnsiTheme="majorHAnsi"/>
        </w:rPr>
        <w:t xml:space="preserve">, 2013, p. 14. At: </w:t>
      </w:r>
      <w:hyperlink r:id="rId14" w:history="1">
        <w:r w:rsidRPr="00C4466D">
          <w:rPr>
            <w:rStyle w:val="Hyperlink"/>
            <w:rFonts w:asciiTheme="majorHAnsi" w:hAnsiTheme="majorHAnsi"/>
          </w:rPr>
          <w:t>http://www.atkearney.com/paper/-/asset_publisher/dVxv4Hz2h8bS/content/understanding-the-needs-and-consequences-of-the-ageing-consumer/10192</w:t>
        </w:r>
      </w:hyperlink>
      <w:r w:rsidRPr="00C4466D">
        <w:rPr>
          <w:rFonts w:asciiTheme="majorHAnsi" w:hAnsiTheme="majorHAnsi"/>
        </w:rPr>
        <w:t xml:space="preserve">  (viewed 13 February 2014)</w:t>
      </w:r>
    </w:p>
  </w:endnote>
  <w:endnote w:id="15">
    <w:p w:rsidR="00926A8A" w:rsidRPr="00C4466D" w:rsidRDefault="00926A8A">
      <w:pPr>
        <w:pStyle w:val="EndnoteText"/>
        <w:rPr>
          <w:rFonts w:asciiTheme="majorHAnsi" w:hAnsiTheme="majorHAnsi"/>
        </w:rPr>
      </w:pPr>
      <w:r w:rsidRPr="00C4466D">
        <w:rPr>
          <w:rStyle w:val="EndnoteReference"/>
          <w:rFonts w:asciiTheme="majorHAnsi" w:hAnsiTheme="majorHAnsi"/>
        </w:rPr>
        <w:endnoteRef/>
      </w:r>
      <w:r w:rsidRPr="00C4466D">
        <w:rPr>
          <w:rFonts w:asciiTheme="majorHAnsi" w:hAnsiTheme="majorHAnsi"/>
        </w:rPr>
        <w:t xml:space="preserve"> E Byron, ‘How to Market to an Aging Boomer: Flattery, Subterfuge and Euphemism’, </w:t>
      </w:r>
      <w:r w:rsidRPr="00C4466D">
        <w:rPr>
          <w:rFonts w:asciiTheme="majorHAnsi" w:hAnsiTheme="majorHAnsi"/>
          <w:i/>
        </w:rPr>
        <w:t>The Wall Street Journal</w:t>
      </w:r>
      <w:r w:rsidRPr="00C4466D">
        <w:rPr>
          <w:rFonts w:asciiTheme="majorHAnsi" w:hAnsiTheme="majorHAnsi"/>
        </w:rPr>
        <w:t xml:space="preserve">, 5 February 2011, p. 2. At: </w:t>
      </w:r>
      <w:hyperlink r:id="rId15" w:history="1">
        <w:r w:rsidRPr="00C4466D">
          <w:rPr>
            <w:rStyle w:val="Hyperlink"/>
            <w:rFonts w:asciiTheme="majorHAnsi" w:hAnsiTheme="majorHAnsi"/>
          </w:rPr>
          <w:t>http://www.iqpc.com/GetDownload.aspx?EventID=20634.001&amp;content_url=%2fuploadedFiles%2fEventRedesign%2fAustralia%2f2011%2fOctober%2f20634001%2fAssets%2fArticle_How_to_Market_to_an_Aging_Boomer.pdf</w:t>
        </w:r>
      </w:hyperlink>
      <w:r w:rsidRPr="00C4466D">
        <w:rPr>
          <w:rFonts w:asciiTheme="majorHAnsi" w:hAnsiTheme="majorHAnsi"/>
        </w:rPr>
        <w:t xml:space="preserve"> (viewed 13 February 2014)</w:t>
      </w:r>
    </w:p>
  </w:endnote>
  <w:endnote w:id="16">
    <w:p w:rsidR="00926A8A" w:rsidRPr="00C4466D" w:rsidRDefault="00926A8A">
      <w:pPr>
        <w:pStyle w:val="EndnoteText"/>
        <w:rPr>
          <w:rFonts w:asciiTheme="majorHAnsi" w:hAnsiTheme="majorHAnsi"/>
        </w:rPr>
      </w:pPr>
      <w:r w:rsidRPr="00C4466D">
        <w:rPr>
          <w:rStyle w:val="EndnoteReference"/>
          <w:rFonts w:asciiTheme="majorHAnsi" w:hAnsiTheme="majorHAnsi"/>
        </w:rPr>
        <w:endnoteRef/>
      </w:r>
      <w:r w:rsidRPr="00C4466D">
        <w:rPr>
          <w:rFonts w:asciiTheme="majorHAnsi" w:hAnsiTheme="majorHAnsi"/>
        </w:rPr>
        <w:t xml:space="preserve"> M Boyle, ‘Aging Boomers Befuddle Marketers Aching for $15 Trillion Prize’, </w:t>
      </w:r>
      <w:r w:rsidRPr="00C4466D">
        <w:rPr>
          <w:rFonts w:asciiTheme="majorHAnsi" w:hAnsiTheme="majorHAnsi"/>
          <w:i/>
        </w:rPr>
        <w:t>Bloomberg</w:t>
      </w:r>
      <w:r w:rsidRPr="00C4466D">
        <w:rPr>
          <w:rFonts w:asciiTheme="majorHAnsi" w:hAnsiTheme="majorHAnsi"/>
        </w:rPr>
        <w:t xml:space="preserve">, 17 September 2013. At: </w:t>
      </w:r>
      <w:hyperlink r:id="rId16" w:history="1">
        <w:r w:rsidRPr="00C4466D">
          <w:rPr>
            <w:rStyle w:val="Hyperlink"/>
            <w:rFonts w:asciiTheme="majorHAnsi" w:hAnsiTheme="majorHAnsi"/>
          </w:rPr>
          <w:t>http://www.bloomberg.com/news/2013-09-17/aging-boomers-befuddle-marketers-eying-15-trillion-prize.html?cmpid</w:t>
        </w:r>
      </w:hyperlink>
      <w:r w:rsidRPr="00C4466D">
        <w:rPr>
          <w:rFonts w:asciiTheme="majorHAnsi" w:hAnsiTheme="majorHAnsi"/>
        </w:rPr>
        <w:t>=  (viewed 13 February 2014)</w:t>
      </w:r>
    </w:p>
  </w:endnote>
  <w:endnote w:id="17">
    <w:p w:rsidR="00926A8A" w:rsidRPr="00C4466D" w:rsidRDefault="00926A8A">
      <w:pPr>
        <w:pStyle w:val="EndnoteText"/>
        <w:rPr>
          <w:rFonts w:asciiTheme="majorHAnsi" w:hAnsiTheme="majorHAnsi"/>
        </w:rPr>
      </w:pPr>
      <w:r w:rsidRPr="00C4466D">
        <w:rPr>
          <w:rStyle w:val="EndnoteReference"/>
          <w:rFonts w:asciiTheme="majorHAnsi" w:hAnsiTheme="majorHAnsi"/>
        </w:rPr>
        <w:endnoteRef/>
      </w:r>
      <w:r w:rsidRPr="00C4466D">
        <w:rPr>
          <w:rFonts w:asciiTheme="majorHAnsi" w:hAnsiTheme="majorHAnsi"/>
        </w:rPr>
        <w:t xml:space="preserve"> M Boyle, ‘Aging Boomers Befuddle Marketers Aching for $15 Trillion Prize’, </w:t>
      </w:r>
      <w:r w:rsidRPr="00C4466D">
        <w:rPr>
          <w:rFonts w:asciiTheme="majorHAnsi" w:hAnsiTheme="majorHAnsi"/>
          <w:i/>
        </w:rPr>
        <w:t>Bloomberg</w:t>
      </w:r>
      <w:r w:rsidRPr="00C4466D">
        <w:rPr>
          <w:rFonts w:asciiTheme="majorHAnsi" w:hAnsiTheme="majorHAnsi"/>
        </w:rPr>
        <w:t xml:space="preserve">, 17 September 2013. At: </w:t>
      </w:r>
      <w:hyperlink r:id="rId17" w:history="1">
        <w:r w:rsidRPr="00C4466D">
          <w:rPr>
            <w:rStyle w:val="Hyperlink"/>
            <w:rFonts w:asciiTheme="majorHAnsi" w:hAnsiTheme="majorHAnsi"/>
          </w:rPr>
          <w:t>http://www.bloomberg.com/news/2013-09-17/aging-boomers-befuddle-marketers-eying-15-trillion-prize.html?cmpid</w:t>
        </w:r>
      </w:hyperlink>
      <w:r w:rsidRPr="00C4466D">
        <w:rPr>
          <w:rFonts w:asciiTheme="majorHAnsi" w:hAnsiTheme="majorHAnsi"/>
        </w:rPr>
        <w:t>=  (viewed 13 February 2014)</w:t>
      </w:r>
    </w:p>
  </w:endnote>
  <w:endnote w:id="18">
    <w:p w:rsidR="00926A8A" w:rsidRPr="00C4466D" w:rsidRDefault="00926A8A">
      <w:pPr>
        <w:pStyle w:val="EndnoteText"/>
        <w:rPr>
          <w:rFonts w:asciiTheme="majorHAnsi" w:hAnsiTheme="majorHAnsi"/>
        </w:rPr>
      </w:pPr>
      <w:r w:rsidRPr="00C4466D">
        <w:rPr>
          <w:rStyle w:val="EndnoteReference"/>
          <w:rFonts w:asciiTheme="majorHAnsi" w:hAnsiTheme="majorHAnsi"/>
        </w:rPr>
        <w:endnoteRef/>
      </w:r>
      <w:r w:rsidRPr="00C4466D">
        <w:rPr>
          <w:rFonts w:asciiTheme="majorHAnsi" w:hAnsiTheme="majorHAnsi"/>
        </w:rPr>
        <w:t xml:space="preserve"> Marketing IQ, </w:t>
      </w:r>
      <w:r w:rsidRPr="00C4466D">
        <w:rPr>
          <w:rFonts w:asciiTheme="majorHAnsi" w:hAnsiTheme="majorHAnsi"/>
          <w:i/>
        </w:rPr>
        <w:t>The Untapped Market: Today’s Older Consumer – Benchmarking Analytics for Marketing to the Older Consumer</w:t>
      </w:r>
      <w:r w:rsidRPr="00C4466D">
        <w:rPr>
          <w:rFonts w:asciiTheme="majorHAnsi" w:hAnsiTheme="majorHAnsi"/>
        </w:rPr>
        <w:t xml:space="preserve">, 2011. At: </w:t>
      </w:r>
      <w:hyperlink r:id="rId18" w:history="1">
        <w:r w:rsidRPr="00C4466D">
          <w:rPr>
            <w:rStyle w:val="Hyperlink"/>
            <w:rFonts w:asciiTheme="majorHAnsi" w:hAnsiTheme="majorHAnsi"/>
          </w:rPr>
          <w:t>http://www.iqpc.com/GetDownload.aspx?EventID=20634.001&amp;content_url=%2fuploadedFiles%2fEventRedesign%2fAustralia%2f2011%2fOctober%2f20634001%2fAssets%2fBaby_Boomer_Analytics_Paper.pdf</w:t>
        </w:r>
      </w:hyperlink>
      <w:r w:rsidRPr="00C4466D">
        <w:rPr>
          <w:rFonts w:asciiTheme="majorHAnsi" w:hAnsiTheme="majorHAnsi"/>
        </w:rPr>
        <w:t xml:space="preserve">  (viewed 18 February 2014)</w:t>
      </w:r>
    </w:p>
  </w:endnote>
  <w:endnote w:id="19">
    <w:p w:rsidR="00926A8A" w:rsidRPr="00C4466D" w:rsidRDefault="00926A8A">
      <w:pPr>
        <w:pStyle w:val="EndnoteText"/>
        <w:rPr>
          <w:rFonts w:asciiTheme="majorHAnsi" w:hAnsiTheme="majorHAnsi"/>
        </w:rPr>
      </w:pPr>
      <w:r w:rsidRPr="00C4466D">
        <w:rPr>
          <w:rStyle w:val="EndnoteReference"/>
          <w:rFonts w:asciiTheme="majorHAnsi" w:hAnsiTheme="majorHAnsi"/>
        </w:rPr>
        <w:endnoteRef/>
      </w:r>
      <w:r w:rsidRPr="00C4466D">
        <w:rPr>
          <w:rFonts w:asciiTheme="majorHAnsi" w:hAnsiTheme="majorHAnsi"/>
        </w:rPr>
        <w:t xml:space="preserve"> E Byron, ‘How to Market to an Aging Boomer: Flattery, Subterfuge and Euphemism’, </w:t>
      </w:r>
      <w:r w:rsidRPr="00C4466D">
        <w:rPr>
          <w:rFonts w:asciiTheme="majorHAnsi" w:hAnsiTheme="majorHAnsi"/>
          <w:i/>
        </w:rPr>
        <w:t>The Wall Street Journal</w:t>
      </w:r>
      <w:r w:rsidRPr="00C4466D">
        <w:rPr>
          <w:rFonts w:asciiTheme="majorHAnsi" w:hAnsiTheme="majorHAnsi"/>
        </w:rPr>
        <w:t xml:space="preserve">, 5 February 2011, p. 2. At: </w:t>
      </w:r>
      <w:hyperlink r:id="rId19" w:history="1">
        <w:r w:rsidRPr="00C4466D">
          <w:rPr>
            <w:rStyle w:val="Hyperlink"/>
            <w:rFonts w:asciiTheme="majorHAnsi" w:hAnsiTheme="majorHAnsi"/>
          </w:rPr>
          <w:t>http://www.iqpc.com/GetDownload.aspx?EventID=20634.001&amp;content_url=%2fuploadedFiles%2fEventRedesign%2fAustralia%2f2011%2fOctober%2f20634001%2fAssets%2fArticle_How_to_Market_to_an_Aging_Boomer.pdf</w:t>
        </w:r>
      </w:hyperlink>
      <w:r w:rsidRPr="00C4466D">
        <w:rPr>
          <w:rFonts w:asciiTheme="majorHAnsi" w:hAnsiTheme="majorHAnsi"/>
        </w:rPr>
        <w:t xml:space="preserve"> (viewed 13 February 2014)</w:t>
      </w:r>
    </w:p>
  </w:endnote>
  <w:endnote w:id="20">
    <w:p w:rsidR="00926A8A" w:rsidRPr="00C4466D" w:rsidRDefault="00926A8A">
      <w:pPr>
        <w:pStyle w:val="EndnoteText"/>
        <w:rPr>
          <w:rFonts w:asciiTheme="majorHAnsi" w:hAnsiTheme="majorHAnsi"/>
        </w:rPr>
      </w:pPr>
      <w:r w:rsidRPr="00C4466D">
        <w:rPr>
          <w:rStyle w:val="EndnoteReference"/>
          <w:rFonts w:asciiTheme="majorHAnsi" w:hAnsiTheme="majorHAnsi"/>
        </w:rPr>
        <w:endnoteRef/>
      </w:r>
      <w:r w:rsidRPr="00C4466D">
        <w:rPr>
          <w:rFonts w:asciiTheme="majorHAnsi" w:hAnsiTheme="majorHAnsi"/>
        </w:rPr>
        <w:t xml:space="preserve"> E Byron, ‘How to Market to an Aging Boomer: Flattery, Subterfuge and Euphemism’, </w:t>
      </w:r>
      <w:r w:rsidRPr="00C4466D">
        <w:rPr>
          <w:rFonts w:asciiTheme="majorHAnsi" w:hAnsiTheme="majorHAnsi"/>
          <w:i/>
        </w:rPr>
        <w:t>The Wall Street Journal</w:t>
      </w:r>
      <w:r w:rsidRPr="00C4466D">
        <w:rPr>
          <w:rFonts w:asciiTheme="majorHAnsi" w:hAnsiTheme="majorHAnsi"/>
        </w:rPr>
        <w:t xml:space="preserve">, 5 February 2011, p. 3. At: </w:t>
      </w:r>
      <w:hyperlink r:id="rId20" w:history="1">
        <w:r w:rsidRPr="00C4466D">
          <w:rPr>
            <w:rStyle w:val="Hyperlink"/>
            <w:rFonts w:asciiTheme="majorHAnsi" w:hAnsiTheme="majorHAnsi"/>
          </w:rPr>
          <w:t>http://www.iqpc.com/GetDownload.aspx?EventID=20634.001&amp;content_url=%2fuploadedFiles%2fEventRedesign%2fAustralia%2f2011%2fOctober%2f20634001%2fAssets%2fArticle_How_to_Market_to_an_Aging_Boomer.pdf</w:t>
        </w:r>
      </w:hyperlink>
      <w:r w:rsidRPr="00C4466D">
        <w:rPr>
          <w:rFonts w:asciiTheme="majorHAnsi" w:hAnsiTheme="majorHAnsi"/>
        </w:rPr>
        <w:t xml:space="preserve"> (viewed 13 February 2014)</w:t>
      </w:r>
    </w:p>
  </w:endnote>
  <w:endnote w:id="21">
    <w:p w:rsidR="00926A8A" w:rsidRPr="00C4466D" w:rsidRDefault="00926A8A">
      <w:pPr>
        <w:pStyle w:val="EndnoteText"/>
        <w:rPr>
          <w:rFonts w:asciiTheme="majorHAnsi" w:hAnsiTheme="majorHAnsi"/>
        </w:rPr>
      </w:pPr>
      <w:r w:rsidRPr="00C4466D">
        <w:rPr>
          <w:rStyle w:val="EndnoteReference"/>
          <w:rFonts w:asciiTheme="majorHAnsi" w:hAnsiTheme="majorHAnsi"/>
        </w:rPr>
        <w:endnoteRef/>
      </w:r>
      <w:r w:rsidRPr="00C4466D">
        <w:rPr>
          <w:rFonts w:asciiTheme="majorHAnsi" w:hAnsiTheme="majorHAnsi"/>
        </w:rPr>
        <w:t xml:space="preserve"> Deloitte Global Services, </w:t>
      </w:r>
      <w:r w:rsidRPr="00C4466D">
        <w:rPr>
          <w:rFonts w:asciiTheme="majorHAnsi" w:hAnsiTheme="majorHAnsi"/>
          <w:i/>
        </w:rPr>
        <w:t>Consumer 2020: Reading the Signs</w:t>
      </w:r>
      <w:r w:rsidRPr="00C4466D">
        <w:rPr>
          <w:rFonts w:asciiTheme="majorHAnsi" w:hAnsiTheme="majorHAnsi"/>
        </w:rPr>
        <w:t xml:space="preserve">, 2011, p. 12. At: </w:t>
      </w:r>
      <w:hyperlink r:id="rId21" w:history="1">
        <w:r w:rsidRPr="00C4466D">
          <w:rPr>
            <w:rStyle w:val="Hyperlink"/>
            <w:rFonts w:asciiTheme="majorHAnsi" w:hAnsiTheme="majorHAnsi"/>
          </w:rPr>
          <w:t>http://www.hospitalitynet.org/news/4051202.html</w:t>
        </w:r>
      </w:hyperlink>
      <w:r w:rsidRPr="00C4466D">
        <w:rPr>
          <w:rFonts w:asciiTheme="majorHAnsi" w:hAnsiTheme="majorHAnsi"/>
        </w:rPr>
        <w:t xml:space="preserve">  (viewed 17 February 2014)</w:t>
      </w:r>
    </w:p>
  </w:endnote>
  <w:endnote w:id="22">
    <w:p w:rsidR="00926A8A" w:rsidRPr="00C4466D" w:rsidRDefault="00926A8A">
      <w:pPr>
        <w:pStyle w:val="EndnoteText"/>
        <w:rPr>
          <w:rFonts w:asciiTheme="majorHAnsi" w:hAnsiTheme="majorHAnsi"/>
        </w:rPr>
      </w:pPr>
      <w:r w:rsidRPr="00C4466D">
        <w:rPr>
          <w:rStyle w:val="EndnoteReference"/>
          <w:rFonts w:asciiTheme="majorHAnsi" w:hAnsiTheme="majorHAnsi"/>
        </w:rPr>
        <w:endnoteRef/>
      </w:r>
      <w:r w:rsidRPr="00C4466D">
        <w:rPr>
          <w:rFonts w:asciiTheme="majorHAnsi" w:hAnsiTheme="majorHAnsi"/>
        </w:rPr>
        <w:t xml:space="preserve"> G Stubbs, ‘Baby Boomers – the Greatest Untapped Opportunity for Marketers’, Mi9, 2013. At: </w:t>
      </w:r>
      <w:hyperlink r:id="rId22" w:history="1">
        <w:r w:rsidRPr="00C4466D">
          <w:rPr>
            <w:rStyle w:val="Hyperlink"/>
            <w:rFonts w:asciiTheme="majorHAnsi" w:hAnsiTheme="majorHAnsi"/>
          </w:rPr>
          <w:t>http://mi9.com.au/blog.aspx?blogentryid=1101760&amp;showcomments=true</w:t>
        </w:r>
      </w:hyperlink>
      <w:r w:rsidRPr="00C4466D">
        <w:rPr>
          <w:rFonts w:asciiTheme="majorHAnsi" w:hAnsiTheme="majorHAnsi"/>
        </w:rPr>
        <w:t xml:space="preserve">  (viewed 13 February 2014)</w:t>
      </w:r>
    </w:p>
  </w:endnote>
  <w:endnote w:id="23">
    <w:p w:rsidR="00926A8A" w:rsidRPr="00C4466D" w:rsidRDefault="00926A8A">
      <w:pPr>
        <w:pStyle w:val="EndnoteText"/>
        <w:rPr>
          <w:rFonts w:asciiTheme="majorHAnsi" w:hAnsiTheme="majorHAnsi"/>
        </w:rPr>
      </w:pPr>
      <w:r w:rsidRPr="00C4466D">
        <w:rPr>
          <w:rStyle w:val="EndnoteReference"/>
          <w:rFonts w:asciiTheme="majorHAnsi" w:hAnsiTheme="majorHAnsi"/>
        </w:rPr>
        <w:endnoteRef/>
      </w:r>
      <w:r w:rsidRPr="00C4466D">
        <w:rPr>
          <w:rFonts w:asciiTheme="majorHAnsi" w:hAnsiTheme="majorHAnsi"/>
        </w:rPr>
        <w:t xml:space="preserve"> A Atkinson and D Hayes, </w:t>
      </w:r>
      <w:r w:rsidRPr="00C4466D">
        <w:rPr>
          <w:rFonts w:asciiTheme="majorHAnsi" w:hAnsiTheme="majorHAnsi"/>
          <w:i/>
        </w:rPr>
        <w:t>Consumption Patterns Amongst Older Consumers: Statistical Analysis</w:t>
      </w:r>
      <w:r w:rsidRPr="00C4466D">
        <w:rPr>
          <w:rFonts w:asciiTheme="majorHAnsi" w:hAnsiTheme="majorHAnsi"/>
        </w:rPr>
        <w:t xml:space="preserve">, December 2010, p. 17. At: </w:t>
      </w:r>
      <w:hyperlink r:id="rId23" w:history="1">
        <w:r w:rsidRPr="00C4466D">
          <w:rPr>
            <w:rStyle w:val="Hyperlink"/>
            <w:rFonts w:asciiTheme="majorHAnsi" w:hAnsiTheme="majorHAnsi"/>
          </w:rPr>
          <w:t>http://www.ilcuk.org.uk/index.php/publications/publication_details/consumption_patterns_among_older_consumers_-_statistical_analysis</w:t>
        </w:r>
      </w:hyperlink>
      <w:r w:rsidRPr="00C4466D">
        <w:rPr>
          <w:rFonts w:asciiTheme="majorHAnsi" w:hAnsiTheme="majorHAnsi"/>
        </w:rPr>
        <w:t xml:space="preserve">  (viewed 17 February 2014)</w:t>
      </w:r>
    </w:p>
  </w:endnote>
  <w:endnote w:id="24">
    <w:p w:rsidR="00926A8A" w:rsidRPr="00C4466D" w:rsidRDefault="00926A8A">
      <w:pPr>
        <w:pStyle w:val="EndnoteText"/>
        <w:rPr>
          <w:rFonts w:asciiTheme="majorHAnsi" w:hAnsiTheme="majorHAnsi"/>
        </w:rPr>
      </w:pPr>
      <w:r w:rsidRPr="00C4466D">
        <w:rPr>
          <w:rStyle w:val="EndnoteReference"/>
          <w:rFonts w:asciiTheme="majorHAnsi" w:hAnsiTheme="majorHAnsi"/>
        </w:rPr>
        <w:endnoteRef/>
      </w:r>
      <w:r w:rsidRPr="00C4466D">
        <w:rPr>
          <w:rFonts w:asciiTheme="majorHAnsi" w:hAnsiTheme="majorHAnsi"/>
        </w:rPr>
        <w:t xml:space="preserve"> G Stubbs, ‘Baby Boomers – the Greatest Untapped Opportunity for Marketers’, Mi9, 2013. At: </w:t>
      </w:r>
      <w:hyperlink r:id="rId24" w:history="1">
        <w:r w:rsidRPr="00C4466D">
          <w:rPr>
            <w:rStyle w:val="Hyperlink"/>
            <w:rFonts w:asciiTheme="majorHAnsi" w:hAnsiTheme="majorHAnsi"/>
          </w:rPr>
          <w:t>http://mi9.com.au/blog.aspx?blogentryid=1101760&amp;showcomments=true</w:t>
        </w:r>
      </w:hyperlink>
      <w:r w:rsidRPr="00C4466D">
        <w:rPr>
          <w:rFonts w:asciiTheme="majorHAnsi" w:hAnsiTheme="majorHAnsi"/>
        </w:rPr>
        <w:t xml:space="preserve">  (viewed 13 February 2014)</w:t>
      </w:r>
    </w:p>
  </w:endnote>
  <w:endnote w:id="25">
    <w:p w:rsidR="00926A8A" w:rsidRPr="00C4466D" w:rsidRDefault="00926A8A" w:rsidP="00E42841">
      <w:pPr>
        <w:pStyle w:val="EndnoteText"/>
        <w:rPr>
          <w:rFonts w:asciiTheme="majorHAnsi" w:hAnsiTheme="majorHAnsi"/>
        </w:rPr>
      </w:pPr>
      <w:r w:rsidRPr="00C4466D">
        <w:rPr>
          <w:rStyle w:val="EndnoteReference"/>
          <w:rFonts w:asciiTheme="majorHAnsi" w:hAnsiTheme="majorHAnsi"/>
        </w:rPr>
        <w:endnoteRef/>
      </w:r>
      <w:r w:rsidRPr="00C4466D">
        <w:rPr>
          <w:rFonts w:asciiTheme="majorHAnsi" w:hAnsiTheme="majorHAnsi"/>
        </w:rPr>
        <w:t xml:space="preserve"> D Kingman, </w:t>
      </w:r>
      <w:r w:rsidRPr="00C4466D">
        <w:rPr>
          <w:rFonts w:asciiTheme="majorHAnsi" w:hAnsiTheme="majorHAnsi"/>
          <w:i/>
        </w:rPr>
        <w:t>Spending Power Across the Generations</w:t>
      </w:r>
      <w:r w:rsidRPr="00C4466D">
        <w:rPr>
          <w:rFonts w:asciiTheme="majorHAnsi" w:hAnsiTheme="majorHAnsi"/>
        </w:rPr>
        <w:t xml:space="preserve">, December 2012. At: </w:t>
      </w:r>
      <w:hyperlink r:id="rId25" w:history="1">
        <w:r w:rsidRPr="00C4466D">
          <w:rPr>
            <w:rStyle w:val="Hyperlink"/>
            <w:rFonts w:asciiTheme="majorHAnsi" w:hAnsiTheme="majorHAnsi"/>
          </w:rPr>
          <w:t>http://www.if.org.uk/wp-content/uploads/2013/01/Spending-Power-Across-the-Generations-Report.pdf</w:t>
        </w:r>
      </w:hyperlink>
      <w:r w:rsidRPr="00C4466D">
        <w:rPr>
          <w:rFonts w:asciiTheme="majorHAnsi" w:hAnsiTheme="majorHAnsi"/>
        </w:rPr>
        <w:t xml:space="preserve">  (viewed 17 February 2014)</w:t>
      </w:r>
    </w:p>
  </w:endnote>
  <w:endnote w:id="26">
    <w:p w:rsidR="00926A8A" w:rsidRPr="00C4466D" w:rsidRDefault="00926A8A">
      <w:pPr>
        <w:pStyle w:val="EndnoteText"/>
        <w:rPr>
          <w:rFonts w:asciiTheme="majorHAnsi" w:hAnsiTheme="majorHAnsi"/>
        </w:rPr>
      </w:pPr>
      <w:r w:rsidRPr="00C4466D">
        <w:rPr>
          <w:rStyle w:val="EndnoteReference"/>
          <w:rFonts w:asciiTheme="majorHAnsi" w:hAnsiTheme="majorHAnsi"/>
        </w:rPr>
        <w:endnoteRef/>
      </w:r>
      <w:r w:rsidRPr="00C4466D">
        <w:rPr>
          <w:rFonts w:asciiTheme="majorHAnsi" w:hAnsiTheme="majorHAnsi"/>
        </w:rPr>
        <w:t xml:space="preserve"> A.T. Kearney, </w:t>
      </w:r>
      <w:r w:rsidRPr="00C4466D">
        <w:rPr>
          <w:rFonts w:asciiTheme="majorHAnsi" w:hAnsiTheme="majorHAnsi"/>
          <w:i/>
        </w:rPr>
        <w:t>Understanding the Needs and Consequences of the Ageing Consumer</w:t>
      </w:r>
      <w:r w:rsidRPr="00C4466D">
        <w:rPr>
          <w:rFonts w:asciiTheme="majorHAnsi" w:hAnsiTheme="majorHAnsi"/>
        </w:rPr>
        <w:t xml:space="preserve">, 2013, p. 7. At: </w:t>
      </w:r>
      <w:hyperlink r:id="rId26" w:history="1">
        <w:r w:rsidRPr="00C4466D">
          <w:rPr>
            <w:rStyle w:val="Hyperlink"/>
            <w:rFonts w:asciiTheme="majorHAnsi" w:hAnsiTheme="majorHAnsi"/>
          </w:rPr>
          <w:t>http://www.atkearney.com/paper/-/asset_publisher/dVxv4Hz2h8bS/content/understanding-the-needs-and-consequences-of-the-ageing-consumer/10192</w:t>
        </w:r>
      </w:hyperlink>
      <w:r w:rsidRPr="00C4466D">
        <w:rPr>
          <w:rFonts w:asciiTheme="majorHAnsi" w:hAnsiTheme="majorHAnsi"/>
        </w:rPr>
        <w:t xml:space="preserve">  (viewed 13 February 2014)</w:t>
      </w:r>
    </w:p>
  </w:endnote>
  <w:endnote w:id="27">
    <w:p w:rsidR="00926A8A" w:rsidRPr="00C4466D" w:rsidRDefault="00926A8A">
      <w:pPr>
        <w:pStyle w:val="EndnoteText"/>
        <w:rPr>
          <w:rFonts w:asciiTheme="majorHAnsi" w:hAnsiTheme="majorHAnsi"/>
        </w:rPr>
      </w:pPr>
      <w:r w:rsidRPr="00C4466D">
        <w:rPr>
          <w:rStyle w:val="EndnoteReference"/>
          <w:rFonts w:asciiTheme="majorHAnsi" w:hAnsiTheme="majorHAnsi"/>
        </w:rPr>
        <w:endnoteRef/>
      </w:r>
      <w:r w:rsidRPr="00C4466D">
        <w:rPr>
          <w:rFonts w:asciiTheme="majorHAnsi" w:hAnsiTheme="majorHAnsi"/>
        </w:rPr>
        <w:t xml:space="preserve"> D Kingman, </w:t>
      </w:r>
      <w:r w:rsidRPr="00C4466D">
        <w:rPr>
          <w:rFonts w:asciiTheme="majorHAnsi" w:hAnsiTheme="majorHAnsi"/>
          <w:i/>
        </w:rPr>
        <w:t>Spending Power Across the Generations</w:t>
      </w:r>
      <w:r w:rsidRPr="00C4466D">
        <w:rPr>
          <w:rFonts w:asciiTheme="majorHAnsi" w:hAnsiTheme="majorHAnsi"/>
        </w:rPr>
        <w:t xml:space="preserve">, December 2012. At: </w:t>
      </w:r>
      <w:hyperlink r:id="rId27" w:history="1">
        <w:r w:rsidRPr="00C4466D">
          <w:rPr>
            <w:rStyle w:val="Hyperlink"/>
            <w:rFonts w:asciiTheme="majorHAnsi" w:hAnsiTheme="majorHAnsi"/>
          </w:rPr>
          <w:t>http://www.if.org.uk/wp-content/uploads/2013/01/Spending-Power-Across-the-Generations-Report.pdf</w:t>
        </w:r>
      </w:hyperlink>
      <w:r w:rsidRPr="00C4466D">
        <w:rPr>
          <w:rFonts w:asciiTheme="majorHAnsi" w:hAnsiTheme="majorHAnsi"/>
        </w:rPr>
        <w:t xml:space="preserve">  (viewed 17 February 2014)</w:t>
      </w:r>
    </w:p>
  </w:endnote>
  <w:endnote w:id="28">
    <w:p w:rsidR="00926A8A" w:rsidRPr="00C4466D" w:rsidRDefault="00926A8A">
      <w:pPr>
        <w:pStyle w:val="EndnoteText"/>
        <w:rPr>
          <w:rFonts w:asciiTheme="majorHAnsi" w:hAnsiTheme="majorHAnsi"/>
        </w:rPr>
      </w:pPr>
      <w:r w:rsidRPr="00C4466D">
        <w:rPr>
          <w:rStyle w:val="EndnoteReference"/>
          <w:rFonts w:asciiTheme="majorHAnsi" w:hAnsiTheme="majorHAnsi"/>
        </w:rPr>
        <w:endnoteRef/>
      </w:r>
      <w:r w:rsidRPr="00C4466D">
        <w:rPr>
          <w:rFonts w:asciiTheme="majorHAnsi" w:hAnsiTheme="majorHAnsi"/>
        </w:rPr>
        <w:t xml:space="preserve"> D Merrill, </w:t>
      </w:r>
      <w:r w:rsidRPr="00C4466D">
        <w:rPr>
          <w:rFonts w:asciiTheme="majorHAnsi" w:hAnsiTheme="majorHAnsi"/>
          <w:i/>
        </w:rPr>
        <w:t>Preparing for the Mature Consumer Boom – Infograph</w:t>
      </w:r>
      <w:r w:rsidRPr="00C4466D">
        <w:rPr>
          <w:rFonts w:asciiTheme="majorHAnsi" w:hAnsiTheme="majorHAnsi"/>
        </w:rPr>
        <w:t xml:space="preserve">, Bloomberg Visual Data, 2013. At: </w:t>
      </w:r>
      <w:hyperlink r:id="rId28" w:history="1">
        <w:r w:rsidRPr="00C4466D">
          <w:rPr>
            <w:rStyle w:val="Hyperlink"/>
            <w:rFonts w:asciiTheme="majorHAnsi" w:hAnsiTheme="majorHAnsi"/>
          </w:rPr>
          <w:t>http://www.bloomberg.com/infographics/2013-09-17/preparing-for-the-mature-consumer-boom.html</w:t>
        </w:r>
      </w:hyperlink>
      <w:r w:rsidRPr="00C4466D">
        <w:rPr>
          <w:rFonts w:asciiTheme="majorHAnsi" w:hAnsiTheme="majorHAnsi"/>
        </w:rPr>
        <w:t xml:space="preserve">  (viewed 18 February 2014)</w:t>
      </w:r>
    </w:p>
  </w:endnote>
  <w:endnote w:id="29">
    <w:p w:rsidR="00926A8A" w:rsidRPr="00C4466D" w:rsidRDefault="00926A8A" w:rsidP="00FF4820">
      <w:pPr>
        <w:pStyle w:val="EndnoteText"/>
        <w:rPr>
          <w:rFonts w:asciiTheme="majorHAnsi" w:hAnsiTheme="majorHAnsi"/>
        </w:rPr>
      </w:pPr>
      <w:r w:rsidRPr="00C4466D">
        <w:rPr>
          <w:rStyle w:val="EndnoteReference"/>
          <w:rFonts w:asciiTheme="majorHAnsi" w:hAnsiTheme="majorHAnsi"/>
        </w:rPr>
        <w:endnoteRef/>
      </w:r>
      <w:r w:rsidRPr="00C4466D">
        <w:rPr>
          <w:rFonts w:asciiTheme="majorHAnsi" w:hAnsiTheme="majorHAnsi"/>
        </w:rPr>
        <w:t xml:space="preserve"> A.T. Kearney, </w:t>
      </w:r>
      <w:r w:rsidRPr="00C4466D">
        <w:rPr>
          <w:rFonts w:asciiTheme="majorHAnsi" w:hAnsiTheme="majorHAnsi"/>
          <w:i/>
        </w:rPr>
        <w:t>Understanding the Needs and Consequences of the Ageing Consumer</w:t>
      </w:r>
      <w:r w:rsidRPr="00C4466D">
        <w:rPr>
          <w:rFonts w:asciiTheme="majorHAnsi" w:hAnsiTheme="majorHAnsi"/>
        </w:rPr>
        <w:t xml:space="preserve">, 2013, p. 7. At: </w:t>
      </w:r>
      <w:hyperlink r:id="rId29" w:history="1">
        <w:r w:rsidRPr="00C4466D">
          <w:rPr>
            <w:rStyle w:val="Hyperlink"/>
            <w:rFonts w:asciiTheme="majorHAnsi" w:hAnsiTheme="majorHAnsi"/>
          </w:rPr>
          <w:t>http://www.atkearney.com/paper/-/asset_publisher/dVxv4Hz2h8bS/content/understanding-the-needs-and-consequences-of-the-ageing-consumer/10192</w:t>
        </w:r>
      </w:hyperlink>
      <w:r w:rsidRPr="00C4466D">
        <w:rPr>
          <w:rFonts w:asciiTheme="majorHAnsi" w:hAnsiTheme="majorHAnsi"/>
        </w:rPr>
        <w:t xml:space="preserve">  (viewed 13 February 2014)</w:t>
      </w:r>
    </w:p>
  </w:endnote>
  <w:endnote w:id="30">
    <w:p w:rsidR="00926A8A" w:rsidRPr="00C4466D" w:rsidRDefault="00926A8A">
      <w:pPr>
        <w:pStyle w:val="EndnoteText"/>
        <w:rPr>
          <w:rFonts w:asciiTheme="majorHAnsi" w:hAnsiTheme="majorHAnsi"/>
        </w:rPr>
      </w:pPr>
      <w:r w:rsidRPr="00C4466D">
        <w:rPr>
          <w:rStyle w:val="EndnoteReference"/>
          <w:rFonts w:asciiTheme="majorHAnsi" w:hAnsiTheme="majorHAnsi"/>
        </w:rPr>
        <w:endnoteRef/>
      </w:r>
      <w:r w:rsidRPr="00C4466D">
        <w:rPr>
          <w:rFonts w:asciiTheme="majorHAnsi" w:hAnsiTheme="majorHAnsi"/>
        </w:rPr>
        <w:t xml:space="preserve"> A.T. Kearney, </w:t>
      </w:r>
      <w:r w:rsidRPr="00C4466D">
        <w:rPr>
          <w:rFonts w:asciiTheme="majorHAnsi" w:hAnsiTheme="majorHAnsi"/>
          <w:i/>
        </w:rPr>
        <w:t>Understanding the Needs and Consequences of the Ageing Consumer</w:t>
      </w:r>
      <w:r w:rsidRPr="00C4466D">
        <w:rPr>
          <w:rFonts w:asciiTheme="majorHAnsi" w:hAnsiTheme="majorHAnsi"/>
        </w:rPr>
        <w:t xml:space="preserve">, 2013, p. 7. At: </w:t>
      </w:r>
      <w:hyperlink r:id="rId30" w:history="1">
        <w:r w:rsidRPr="00C4466D">
          <w:rPr>
            <w:rStyle w:val="Hyperlink"/>
            <w:rFonts w:asciiTheme="majorHAnsi" w:hAnsiTheme="majorHAnsi"/>
          </w:rPr>
          <w:t>http://www.atkearney.com/paper/-/asset_publisher/dVxv4Hz2h8bS/content/understanding-the-needs-and-consequences-of-the-ageing-consumer/10192</w:t>
        </w:r>
      </w:hyperlink>
      <w:r w:rsidRPr="00C4466D">
        <w:rPr>
          <w:rFonts w:asciiTheme="majorHAnsi" w:hAnsiTheme="majorHAnsi"/>
        </w:rPr>
        <w:t xml:space="preserve">  (viewed 13 February 2014)</w:t>
      </w:r>
    </w:p>
  </w:endnote>
  <w:endnote w:id="31">
    <w:p w:rsidR="00926A8A" w:rsidRPr="00C4466D" w:rsidRDefault="00926A8A">
      <w:pPr>
        <w:pStyle w:val="EndnoteText"/>
        <w:rPr>
          <w:rFonts w:asciiTheme="majorHAnsi" w:hAnsiTheme="majorHAnsi"/>
        </w:rPr>
      </w:pPr>
      <w:r w:rsidRPr="00C4466D">
        <w:rPr>
          <w:rStyle w:val="EndnoteReference"/>
          <w:rFonts w:asciiTheme="majorHAnsi" w:hAnsiTheme="majorHAnsi"/>
        </w:rPr>
        <w:endnoteRef/>
      </w:r>
      <w:r w:rsidRPr="00C4466D">
        <w:rPr>
          <w:rFonts w:asciiTheme="majorHAnsi" w:hAnsiTheme="majorHAnsi"/>
        </w:rPr>
        <w:t xml:space="preserve"> A.T. Kearney, </w:t>
      </w:r>
      <w:r w:rsidRPr="00C4466D">
        <w:rPr>
          <w:rFonts w:asciiTheme="majorHAnsi" w:hAnsiTheme="majorHAnsi"/>
          <w:i/>
        </w:rPr>
        <w:t>Understanding the Needs and Consequences of the Ageing Consumer</w:t>
      </w:r>
      <w:r w:rsidRPr="00C4466D">
        <w:rPr>
          <w:rFonts w:asciiTheme="majorHAnsi" w:hAnsiTheme="majorHAnsi"/>
        </w:rPr>
        <w:t xml:space="preserve">, 2013, p. 7. At: </w:t>
      </w:r>
      <w:hyperlink r:id="rId31" w:history="1">
        <w:r w:rsidRPr="00C4466D">
          <w:rPr>
            <w:rStyle w:val="Hyperlink"/>
            <w:rFonts w:asciiTheme="majorHAnsi" w:hAnsiTheme="majorHAnsi"/>
          </w:rPr>
          <w:t>http://www.atkearney.com/paper/-/asset_publisher/dVxv4Hz2h8bS/content/understanding-the-needs-and-consequences-of-the-ageing-consumer/10192</w:t>
        </w:r>
      </w:hyperlink>
      <w:r w:rsidRPr="00C4466D">
        <w:rPr>
          <w:rFonts w:asciiTheme="majorHAnsi" w:hAnsiTheme="majorHAnsi"/>
        </w:rPr>
        <w:t xml:space="preserve">  (viewed 13 February 2014)</w:t>
      </w:r>
    </w:p>
  </w:endnote>
  <w:endnote w:id="32">
    <w:p w:rsidR="00926A8A" w:rsidRPr="00C4466D" w:rsidRDefault="00926A8A">
      <w:pPr>
        <w:pStyle w:val="EndnoteText"/>
        <w:rPr>
          <w:rFonts w:asciiTheme="majorHAnsi" w:hAnsiTheme="majorHAnsi"/>
        </w:rPr>
      </w:pPr>
      <w:r w:rsidRPr="00C4466D">
        <w:rPr>
          <w:rStyle w:val="EndnoteReference"/>
          <w:rFonts w:asciiTheme="majorHAnsi" w:hAnsiTheme="majorHAnsi"/>
        </w:rPr>
        <w:endnoteRef/>
      </w:r>
      <w:r w:rsidRPr="00C4466D">
        <w:rPr>
          <w:rFonts w:asciiTheme="majorHAnsi" w:hAnsiTheme="majorHAnsi"/>
        </w:rPr>
        <w:t xml:space="preserve"> A.T. Kearney, </w:t>
      </w:r>
      <w:r w:rsidRPr="00C4466D">
        <w:rPr>
          <w:rFonts w:asciiTheme="majorHAnsi" w:hAnsiTheme="majorHAnsi"/>
          <w:i/>
        </w:rPr>
        <w:t>Understanding the Needs and Consequences of the Ageing Consumer</w:t>
      </w:r>
      <w:r w:rsidRPr="00C4466D">
        <w:rPr>
          <w:rFonts w:asciiTheme="majorHAnsi" w:hAnsiTheme="majorHAnsi"/>
        </w:rPr>
        <w:t xml:space="preserve">, 2013, pp. 7-8. At: </w:t>
      </w:r>
      <w:hyperlink r:id="rId32" w:history="1">
        <w:r w:rsidRPr="00C4466D">
          <w:rPr>
            <w:rStyle w:val="Hyperlink"/>
            <w:rFonts w:asciiTheme="majorHAnsi" w:hAnsiTheme="majorHAnsi"/>
          </w:rPr>
          <w:t>http://www.atkearney.com/paper/-/asset_publisher/dVxv4Hz2h8bS/content/understanding-the-needs-and-consequences-of-the-ageing-consumer/10192</w:t>
        </w:r>
      </w:hyperlink>
      <w:r w:rsidRPr="00C4466D">
        <w:rPr>
          <w:rFonts w:asciiTheme="majorHAnsi" w:hAnsiTheme="majorHAnsi"/>
        </w:rPr>
        <w:t xml:space="preserve">  (viewed 13 February 2014)</w:t>
      </w:r>
    </w:p>
  </w:endnote>
  <w:endnote w:id="33">
    <w:p w:rsidR="00926A8A" w:rsidRPr="00C4466D" w:rsidRDefault="00926A8A">
      <w:pPr>
        <w:pStyle w:val="EndnoteText"/>
        <w:rPr>
          <w:rFonts w:asciiTheme="majorHAnsi" w:hAnsiTheme="majorHAnsi"/>
        </w:rPr>
      </w:pPr>
      <w:r w:rsidRPr="00C4466D">
        <w:rPr>
          <w:rStyle w:val="EndnoteReference"/>
          <w:rFonts w:asciiTheme="majorHAnsi" w:hAnsiTheme="majorHAnsi"/>
        </w:rPr>
        <w:endnoteRef/>
      </w:r>
      <w:r w:rsidRPr="00C4466D">
        <w:rPr>
          <w:rFonts w:asciiTheme="majorHAnsi" w:hAnsiTheme="majorHAnsi"/>
        </w:rPr>
        <w:t xml:space="preserve"> G Stubbs, ‘Baby Boomers – the Greatest Untapped Opportunity for Marketers’, Mi9, 2013. At: </w:t>
      </w:r>
      <w:hyperlink r:id="rId33" w:history="1">
        <w:r w:rsidRPr="00C4466D">
          <w:rPr>
            <w:rStyle w:val="Hyperlink"/>
            <w:rFonts w:asciiTheme="majorHAnsi" w:hAnsiTheme="majorHAnsi"/>
          </w:rPr>
          <w:t>http://mi9.com.au/blog.aspx?blogentryid=1101760&amp;showcomments=true</w:t>
        </w:r>
      </w:hyperlink>
      <w:r w:rsidRPr="00C4466D">
        <w:rPr>
          <w:rFonts w:asciiTheme="majorHAnsi" w:hAnsiTheme="majorHAnsi"/>
        </w:rPr>
        <w:t xml:space="preserve">  (viewed 13 February 2014)</w:t>
      </w:r>
    </w:p>
  </w:endnote>
  <w:endnote w:id="34">
    <w:p w:rsidR="00926A8A" w:rsidRPr="00C4466D" w:rsidRDefault="00926A8A">
      <w:pPr>
        <w:pStyle w:val="EndnoteText"/>
        <w:rPr>
          <w:rFonts w:asciiTheme="majorHAnsi" w:hAnsiTheme="majorHAnsi"/>
        </w:rPr>
      </w:pPr>
      <w:r w:rsidRPr="00C4466D">
        <w:rPr>
          <w:rStyle w:val="EndnoteReference"/>
          <w:rFonts w:asciiTheme="majorHAnsi" w:hAnsiTheme="majorHAnsi"/>
        </w:rPr>
        <w:endnoteRef/>
      </w:r>
      <w:r w:rsidRPr="00C4466D">
        <w:rPr>
          <w:rFonts w:asciiTheme="majorHAnsi" w:hAnsiTheme="majorHAnsi"/>
        </w:rPr>
        <w:t xml:space="preserve"> Marketing IQ, </w:t>
      </w:r>
      <w:r w:rsidRPr="00C4466D">
        <w:rPr>
          <w:rFonts w:asciiTheme="majorHAnsi" w:hAnsiTheme="majorHAnsi"/>
          <w:i/>
        </w:rPr>
        <w:t>The Untapped Market: Today’s Older Consumer – Benchmarking Analytics for Marketing to the Older Consumer</w:t>
      </w:r>
      <w:r w:rsidRPr="00C4466D">
        <w:rPr>
          <w:rFonts w:asciiTheme="majorHAnsi" w:hAnsiTheme="majorHAnsi"/>
        </w:rPr>
        <w:t xml:space="preserve">, 2011. At: </w:t>
      </w:r>
      <w:hyperlink r:id="rId34" w:history="1">
        <w:r w:rsidRPr="00C4466D">
          <w:rPr>
            <w:rStyle w:val="Hyperlink"/>
            <w:rFonts w:asciiTheme="majorHAnsi" w:hAnsiTheme="majorHAnsi"/>
          </w:rPr>
          <w:t>http://www.iqpc.com/GetDownload.aspx?EventID=20634.001&amp;content_url=%2fuploadedFiles%2fEventRedesign%2fAustralia%2f2011%2fOctober%2f20634001%2fAssets%2fBaby_Boomer_Analytics_Paper.pdf</w:t>
        </w:r>
      </w:hyperlink>
      <w:r w:rsidRPr="00C4466D">
        <w:rPr>
          <w:rFonts w:asciiTheme="majorHAnsi" w:hAnsiTheme="majorHAnsi"/>
        </w:rPr>
        <w:t xml:space="preserve">  (viewed 18 February 2014)</w:t>
      </w:r>
    </w:p>
  </w:endnote>
  <w:endnote w:id="35">
    <w:p w:rsidR="00926A8A" w:rsidRPr="00C4466D" w:rsidRDefault="00926A8A">
      <w:pPr>
        <w:pStyle w:val="EndnoteText"/>
        <w:rPr>
          <w:rFonts w:asciiTheme="majorHAnsi" w:hAnsiTheme="majorHAnsi"/>
        </w:rPr>
      </w:pPr>
      <w:r w:rsidRPr="00C4466D">
        <w:rPr>
          <w:rStyle w:val="EndnoteReference"/>
          <w:rFonts w:asciiTheme="majorHAnsi" w:hAnsiTheme="majorHAnsi"/>
        </w:rPr>
        <w:endnoteRef/>
      </w:r>
      <w:r w:rsidRPr="00C4466D">
        <w:rPr>
          <w:rFonts w:asciiTheme="majorHAnsi" w:hAnsiTheme="majorHAnsi"/>
        </w:rPr>
        <w:t xml:space="preserve"> G Stubbs, ‘Baby Boomers – the Greatest Untapped Opportunity for Marketers’, Mi9, 2013. At: </w:t>
      </w:r>
      <w:hyperlink r:id="rId35" w:history="1">
        <w:r w:rsidRPr="00C4466D">
          <w:rPr>
            <w:rStyle w:val="Hyperlink"/>
            <w:rFonts w:asciiTheme="majorHAnsi" w:hAnsiTheme="majorHAnsi"/>
          </w:rPr>
          <w:t>http://mi9.com.au/blog.aspx?blogentryid=1101760&amp;showcomments=true</w:t>
        </w:r>
      </w:hyperlink>
      <w:r w:rsidRPr="00C4466D">
        <w:rPr>
          <w:rFonts w:asciiTheme="majorHAnsi" w:hAnsiTheme="majorHAnsi"/>
        </w:rPr>
        <w:t xml:space="preserve">  (viewed 13 February 2014)</w:t>
      </w:r>
    </w:p>
  </w:endnote>
  <w:endnote w:id="36">
    <w:p w:rsidR="00926A8A" w:rsidRPr="00C4466D" w:rsidRDefault="00926A8A">
      <w:pPr>
        <w:pStyle w:val="EndnoteText"/>
        <w:rPr>
          <w:rFonts w:asciiTheme="majorHAnsi" w:hAnsiTheme="majorHAnsi"/>
        </w:rPr>
      </w:pPr>
      <w:r w:rsidRPr="00C4466D">
        <w:rPr>
          <w:rStyle w:val="EndnoteReference"/>
          <w:rFonts w:asciiTheme="majorHAnsi" w:hAnsiTheme="majorHAnsi"/>
        </w:rPr>
        <w:endnoteRef/>
      </w:r>
      <w:r w:rsidRPr="00C4466D">
        <w:rPr>
          <w:rFonts w:asciiTheme="majorHAnsi" w:hAnsiTheme="majorHAnsi"/>
        </w:rPr>
        <w:t xml:space="preserve"> Baby Boomers Infographic, 2011. At: </w:t>
      </w:r>
      <w:hyperlink r:id="rId36" w:history="1">
        <w:r w:rsidRPr="00C4466D">
          <w:rPr>
            <w:rStyle w:val="Hyperlink"/>
            <w:rFonts w:asciiTheme="majorHAnsi" w:hAnsiTheme="majorHAnsi"/>
          </w:rPr>
          <w:t>http://www.iqpc.com/GetDownload.aspx?EventID=20634.001&amp;content_url=%2fuploadedFiles%2fEventRedesign%2fAustralia%2f2011%2fOctober%2f20634001%2fAssets%2fBaby-Boomers-Infographic_v1(1).pdf</w:t>
        </w:r>
      </w:hyperlink>
      <w:r w:rsidRPr="00C4466D">
        <w:rPr>
          <w:rFonts w:asciiTheme="majorHAnsi" w:hAnsiTheme="majorHAnsi"/>
        </w:rPr>
        <w:t xml:space="preserve">  (viewed 18 February 2014)</w:t>
      </w:r>
    </w:p>
  </w:endnote>
  <w:endnote w:id="37">
    <w:p w:rsidR="00926A8A" w:rsidRPr="00C4466D" w:rsidRDefault="00926A8A">
      <w:pPr>
        <w:pStyle w:val="EndnoteText"/>
        <w:rPr>
          <w:rFonts w:asciiTheme="majorHAnsi" w:hAnsiTheme="majorHAnsi"/>
        </w:rPr>
      </w:pPr>
      <w:r w:rsidRPr="00C4466D">
        <w:rPr>
          <w:rStyle w:val="EndnoteReference"/>
          <w:rFonts w:asciiTheme="majorHAnsi" w:hAnsiTheme="majorHAnsi"/>
        </w:rPr>
        <w:endnoteRef/>
      </w:r>
      <w:r w:rsidRPr="00C4466D">
        <w:rPr>
          <w:rFonts w:asciiTheme="majorHAnsi" w:hAnsiTheme="majorHAnsi"/>
        </w:rPr>
        <w:t xml:space="preserve"> G Stubbs, ‘Baby Boomers – the Greatest Untapped Opportunity for Marketers’, Mi9, 2013. At: </w:t>
      </w:r>
      <w:hyperlink r:id="rId37" w:history="1">
        <w:r w:rsidRPr="00C4466D">
          <w:rPr>
            <w:rStyle w:val="Hyperlink"/>
            <w:rFonts w:asciiTheme="majorHAnsi" w:hAnsiTheme="majorHAnsi"/>
          </w:rPr>
          <w:t>http://mi9.com.au/blog.aspx?blogentryid=1101760&amp;showcomments=true</w:t>
        </w:r>
      </w:hyperlink>
      <w:r w:rsidRPr="00C4466D">
        <w:rPr>
          <w:rFonts w:asciiTheme="majorHAnsi" w:hAnsiTheme="majorHAnsi"/>
        </w:rPr>
        <w:t xml:space="preserve">  (viewed 13 February 2014)</w:t>
      </w:r>
    </w:p>
  </w:endnote>
  <w:endnote w:id="38">
    <w:p w:rsidR="00926A8A" w:rsidRPr="00C4466D" w:rsidRDefault="00926A8A">
      <w:pPr>
        <w:pStyle w:val="EndnoteText"/>
        <w:rPr>
          <w:rFonts w:asciiTheme="majorHAnsi" w:hAnsiTheme="majorHAnsi"/>
        </w:rPr>
      </w:pPr>
      <w:r w:rsidRPr="00C4466D">
        <w:rPr>
          <w:rStyle w:val="EndnoteReference"/>
          <w:rFonts w:asciiTheme="majorHAnsi" w:hAnsiTheme="majorHAnsi"/>
        </w:rPr>
        <w:endnoteRef/>
      </w:r>
      <w:r w:rsidRPr="00C4466D">
        <w:rPr>
          <w:rFonts w:asciiTheme="majorHAnsi" w:hAnsiTheme="majorHAnsi"/>
        </w:rPr>
        <w:t xml:space="preserve"> G Stubbs, ‘Baby Boomers – the Greatest Untapped Opportunity for Marketers’, Mi9, 2013. At: </w:t>
      </w:r>
      <w:hyperlink r:id="rId38" w:history="1">
        <w:r w:rsidRPr="00C4466D">
          <w:rPr>
            <w:rStyle w:val="Hyperlink"/>
            <w:rFonts w:asciiTheme="majorHAnsi" w:hAnsiTheme="majorHAnsi"/>
          </w:rPr>
          <w:t>http://mi9.com.au/blog.aspx?blogentryid=1101760&amp;showcomments=true</w:t>
        </w:r>
      </w:hyperlink>
      <w:r w:rsidRPr="00C4466D">
        <w:rPr>
          <w:rFonts w:asciiTheme="majorHAnsi" w:hAnsiTheme="majorHAnsi"/>
        </w:rPr>
        <w:t xml:space="preserve">  (viewed 13 February 2014)</w:t>
      </w:r>
    </w:p>
  </w:endnote>
  <w:endnote w:id="39">
    <w:p w:rsidR="00926A8A" w:rsidRPr="00C4466D" w:rsidRDefault="00926A8A">
      <w:pPr>
        <w:pStyle w:val="EndnoteText"/>
        <w:rPr>
          <w:rFonts w:asciiTheme="majorHAnsi" w:hAnsiTheme="majorHAnsi"/>
        </w:rPr>
      </w:pPr>
      <w:r w:rsidRPr="00C4466D">
        <w:rPr>
          <w:rStyle w:val="EndnoteReference"/>
          <w:rFonts w:asciiTheme="majorHAnsi" w:hAnsiTheme="majorHAnsi"/>
        </w:rPr>
        <w:endnoteRef/>
      </w:r>
      <w:r w:rsidRPr="00C4466D">
        <w:rPr>
          <w:rFonts w:asciiTheme="majorHAnsi" w:hAnsiTheme="majorHAnsi"/>
        </w:rPr>
        <w:t xml:space="preserve"> G Stubbs, ‘Baby Boomers – the Greatest Untapped Opportunity for Marketers’, Mi9, 2013. At: </w:t>
      </w:r>
      <w:hyperlink r:id="rId39" w:history="1">
        <w:r w:rsidRPr="00C4466D">
          <w:rPr>
            <w:rStyle w:val="Hyperlink"/>
            <w:rFonts w:asciiTheme="majorHAnsi" w:hAnsiTheme="majorHAnsi"/>
          </w:rPr>
          <w:t>http://mi9.com.au/blog.aspx?blogentryid=1101760&amp;showcomments=true</w:t>
        </w:r>
      </w:hyperlink>
      <w:r w:rsidRPr="00C4466D">
        <w:rPr>
          <w:rFonts w:asciiTheme="majorHAnsi" w:hAnsiTheme="majorHAnsi"/>
        </w:rPr>
        <w:t xml:space="preserve">  (viewed 13 February 2014)</w:t>
      </w:r>
    </w:p>
  </w:endnote>
  <w:endnote w:id="40">
    <w:p w:rsidR="00926A8A" w:rsidRPr="00C4466D" w:rsidRDefault="00926A8A">
      <w:pPr>
        <w:pStyle w:val="EndnoteText"/>
        <w:rPr>
          <w:rFonts w:asciiTheme="majorHAnsi" w:hAnsiTheme="majorHAnsi"/>
        </w:rPr>
      </w:pPr>
      <w:r w:rsidRPr="00C4466D">
        <w:rPr>
          <w:rStyle w:val="EndnoteReference"/>
          <w:rFonts w:asciiTheme="majorHAnsi" w:hAnsiTheme="majorHAnsi"/>
        </w:rPr>
        <w:endnoteRef/>
      </w:r>
      <w:r w:rsidRPr="00C4466D">
        <w:rPr>
          <w:rFonts w:asciiTheme="majorHAnsi" w:hAnsiTheme="majorHAnsi"/>
        </w:rPr>
        <w:t xml:space="preserve"> M Strzelecki, ‘Coming of Age’, </w:t>
      </w:r>
      <w:r w:rsidRPr="00C4466D">
        <w:rPr>
          <w:rFonts w:asciiTheme="majorHAnsi" w:hAnsiTheme="majorHAnsi"/>
          <w:i/>
        </w:rPr>
        <w:t>Retail Leader</w:t>
      </w:r>
      <w:r w:rsidRPr="00C4466D">
        <w:rPr>
          <w:rFonts w:asciiTheme="majorHAnsi" w:hAnsiTheme="majorHAnsi"/>
        </w:rPr>
        <w:t xml:space="preserve">, November 2013. At: </w:t>
      </w:r>
      <w:hyperlink r:id="rId40" w:history="1">
        <w:r w:rsidRPr="00C4466D">
          <w:rPr>
            <w:rStyle w:val="Hyperlink"/>
            <w:rFonts w:asciiTheme="majorHAnsi" w:hAnsiTheme="majorHAnsi"/>
          </w:rPr>
          <w:t>http://www.retailleader.com/article-coming_of_age-6646-part3.html</w:t>
        </w:r>
      </w:hyperlink>
      <w:r w:rsidRPr="00C4466D">
        <w:rPr>
          <w:rFonts w:asciiTheme="majorHAnsi" w:hAnsiTheme="majorHAnsi"/>
        </w:rPr>
        <w:t xml:space="preserve">  (viewed 19 February 2014)</w:t>
      </w:r>
    </w:p>
  </w:endnote>
  <w:endnote w:id="41">
    <w:p w:rsidR="00926A8A" w:rsidRPr="00C4466D" w:rsidRDefault="00926A8A" w:rsidP="001F6652">
      <w:pPr>
        <w:pStyle w:val="EndnoteText"/>
        <w:rPr>
          <w:rFonts w:asciiTheme="majorHAnsi" w:hAnsiTheme="majorHAnsi"/>
        </w:rPr>
      </w:pPr>
      <w:r w:rsidRPr="00C4466D">
        <w:rPr>
          <w:rStyle w:val="EndnoteReference"/>
          <w:rFonts w:asciiTheme="majorHAnsi" w:hAnsiTheme="majorHAnsi"/>
        </w:rPr>
        <w:endnoteRef/>
      </w:r>
      <w:r w:rsidRPr="00C4466D">
        <w:rPr>
          <w:rFonts w:asciiTheme="majorHAnsi" w:hAnsiTheme="majorHAnsi"/>
        </w:rPr>
        <w:t xml:space="preserve"> Marketing IQ, </w:t>
      </w:r>
      <w:r w:rsidRPr="00C4466D">
        <w:rPr>
          <w:rFonts w:asciiTheme="majorHAnsi" w:hAnsiTheme="majorHAnsi"/>
          <w:i/>
        </w:rPr>
        <w:t>The Untapped Market: Today’s Older Consumer – Benchmarking Analytics for Marketing to the Older Consumer</w:t>
      </w:r>
      <w:r w:rsidRPr="00C4466D">
        <w:rPr>
          <w:rFonts w:asciiTheme="majorHAnsi" w:hAnsiTheme="majorHAnsi"/>
        </w:rPr>
        <w:t xml:space="preserve">, 2011. At: </w:t>
      </w:r>
      <w:hyperlink r:id="rId41" w:history="1">
        <w:r w:rsidRPr="00C4466D">
          <w:rPr>
            <w:rStyle w:val="Hyperlink"/>
            <w:rFonts w:asciiTheme="majorHAnsi" w:hAnsiTheme="majorHAnsi"/>
          </w:rPr>
          <w:t>http://www.iqpc.com/GetDownload.aspx?EventID=20634.001&amp;content_url=%2fuploadedFiles%2fEventRedesign%2fAustralia%2f2011%2fOctober%2f20634001%2fAssets%2fBaby_Boomer_Analytics_Paper.pdf</w:t>
        </w:r>
      </w:hyperlink>
      <w:r w:rsidRPr="00C4466D">
        <w:rPr>
          <w:rFonts w:asciiTheme="majorHAnsi" w:hAnsiTheme="majorHAnsi"/>
        </w:rPr>
        <w:t xml:space="preserve">  (viewed 18 February 2014)</w:t>
      </w:r>
    </w:p>
  </w:endnote>
  <w:endnote w:id="42">
    <w:p w:rsidR="00926A8A" w:rsidRPr="00C4466D" w:rsidRDefault="00926A8A">
      <w:pPr>
        <w:pStyle w:val="EndnoteText"/>
        <w:rPr>
          <w:rFonts w:asciiTheme="majorHAnsi" w:hAnsiTheme="majorHAnsi"/>
        </w:rPr>
      </w:pPr>
      <w:r w:rsidRPr="00C4466D">
        <w:rPr>
          <w:rStyle w:val="EndnoteReference"/>
          <w:rFonts w:asciiTheme="majorHAnsi" w:hAnsiTheme="majorHAnsi"/>
        </w:rPr>
        <w:endnoteRef/>
      </w:r>
      <w:r w:rsidRPr="00C4466D">
        <w:rPr>
          <w:rFonts w:asciiTheme="majorHAnsi" w:hAnsiTheme="majorHAnsi"/>
        </w:rPr>
        <w:t xml:space="preserve"> D Merrill, </w:t>
      </w:r>
      <w:r w:rsidRPr="00C4466D">
        <w:rPr>
          <w:rFonts w:asciiTheme="majorHAnsi" w:hAnsiTheme="majorHAnsi"/>
          <w:i/>
        </w:rPr>
        <w:t>Preparing for the Mature Consumer Boom – Infograph</w:t>
      </w:r>
      <w:r w:rsidRPr="00C4466D">
        <w:rPr>
          <w:rFonts w:asciiTheme="majorHAnsi" w:hAnsiTheme="majorHAnsi"/>
        </w:rPr>
        <w:t xml:space="preserve">, Bloomberg Visual Data, 2013. At: </w:t>
      </w:r>
      <w:hyperlink r:id="rId42" w:history="1">
        <w:r w:rsidRPr="00C4466D">
          <w:rPr>
            <w:rStyle w:val="Hyperlink"/>
            <w:rFonts w:asciiTheme="majorHAnsi" w:hAnsiTheme="majorHAnsi"/>
          </w:rPr>
          <w:t>http://www.bloomberg.com/infographics/2013-09-17/preparing-for-the-mature-consumer-boom.html</w:t>
        </w:r>
      </w:hyperlink>
      <w:r w:rsidRPr="00C4466D">
        <w:rPr>
          <w:rFonts w:asciiTheme="majorHAnsi" w:hAnsiTheme="majorHAnsi"/>
        </w:rPr>
        <w:t xml:space="preserve">  (viewed 18 February 2014)</w:t>
      </w:r>
    </w:p>
  </w:endnote>
  <w:endnote w:id="43">
    <w:p w:rsidR="00926A8A" w:rsidRPr="00C4466D" w:rsidRDefault="00926A8A">
      <w:pPr>
        <w:pStyle w:val="EndnoteText"/>
        <w:rPr>
          <w:rFonts w:asciiTheme="majorHAnsi" w:hAnsiTheme="majorHAnsi"/>
        </w:rPr>
      </w:pPr>
      <w:r w:rsidRPr="00C4466D">
        <w:rPr>
          <w:rStyle w:val="EndnoteReference"/>
          <w:rFonts w:asciiTheme="majorHAnsi" w:hAnsiTheme="majorHAnsi"/>
        </w:rPr>
        <w:endnoteRef/>
      </w:r>
      <w:r w:rsidRPr="00C4466D">
        <w:rPr>
          <w:rFonts w:asciiTheme="majorHAnsi" w:hAnsiTheme="majorHAnsi"/>
        </w:rPr>
        <w:t xml:space="preserve"> A.T. Kearney, </w:t>
      </w:r>
      <w:r w:rsidRPr="00C4466D">
        <w:rPr>
          <w:rFonts w:asciiTheme="majorHAnsi" w:hAnsiTheme="majorHAnsi"/>
          <w:i/>
        </w:rPr>
        <w:t>Understanding the Needs and Consequences of the Ageing Consumer</w:t>
      </w:r>
      <w:r w:rsidRPr="00C4466D">
        <w:rPr>
          <w:rFonts w:asciiTheme="majorHAnsi" w:hAnsiTheme="majorHAnsi"/>
        </w:rPr>
        <w:t xml:space="preserve">, 2013, pp. 7-8. At: </w:t>
      </w:r>
      <w:hyperlink r:id="rId43" w:history="1">
        <w:r w:rsidRPr="00C4466D">
          <w:rPr>
            <w:rStyle w:val="Hyperlink"/>
            <w:rFonts w:asciiTheme="majorHAnsi" w:hAnsiTheme="majorHAnsi"/>
          </w:rPr>
          <w:t>http://www.atkearney.com/paper/-/asset_publisher/dVxv4Hz2h8bS/content/understanding-the-needs-and-consequences-of-the-ageing-consumer/10192</w:t>
        </w:r>
      </w:hyperlink>
      <w:r w:rsidRPr="00C4466D">
        <w:rPr>
          <w:rFonts w:asciiTheme="majorHAnsi" w:hAnsiTheme="majorHAnsi"/>
        </w:rPr>
        <w:t xml:space="preserve">  (viewed 13 February 2014)</w:t>
      </w:r>
    </w:p>
  </w:endnote>
  <w:endnote w:id="44">
    <w:p w:rsidR="00926A8A" w:rsidRPr="00C4466D" w:rsidRDefault="00926A8A">
      <w:pPr>
        <w:pStyle w:val="EndnoteText"/>
        <w:rPr>
          <w:rFonts w:asciiTheme="majorHAnsi" w:hAnsiTheme="majorHAnsi"/>
        </w:rPr>
      </w:pPr>
      <w:r w:rsidRPr="00C4466D">
        <w:rPr>
          <w:rStyle w:val="EndnoteReference"/>
          <w:rFonts w:asciiTheme="majorHAnsi" w:hAnsiTheme="majorHAnsi"/>
        </w:rPr>
        <w:endnoteRef/>
      </w:r>
      <w:r w:rsidRPr="00C4466D">
        <w:rPr>
          <w:rFonts w:asciiTheme="majorHAnsi" w:hAnsiTheme="majorHAnsi"/>
        </w:rPr>
        <w:t xml:space="preserve"> M Strzelecki, ‘Coming of Age’, </w:t>
      </w:r>
      <w:r w:rsidRPr="00C4466D">
        <w:rPr>
          <w:rFonts w:asciiTheme="majorHAnsi" w:hAnsiTheme="majorHAnsi"/>
          <w:i/>
        </w:rPr>
        <w:t>Retail Leader</w:t>
      </w:r>
      <w:r w:rsidRPr="00C4466D">
        <w:rPr>
          <w:rFonts w:asciiTheme="majorHAnsi" w:hAnsiTheme="majorHAnsi"/>
        </w:rPr>
        <w:t xml:space="preserve">, November 2013. At: </w:t>
      </w:r>
      <w:hyperlink r:id="rId44" w:history="1">
        <w:r w:rsidRPr="00C4466D">
          <w:rPr>
            <w:rStyle w:val="Hyperlink"/>
            <w:rFonts w:asciiTheme="majorHAnsi" w:hAnsiTheme="majorHAnsi"/>
          </w:rPr>
          <w:t>http://www.retailleader.com/article-coming_of_age-6646-part1.html</w:t>
        </w:r>
      </w:hyperlink>
      <w:r w:rsidRPr="00C4466D">
        <w:rPr>
          <w:rFonts w:asciiTheme="majorHAnsi" w:hAnsiTheme="majorHAnsi"/>
        </w:rPr>
        <w:t xml:space="preserve">  (viewed 19 February 2014)</w:t>
      </w:r>
    </w:p>
  </w:endnote>
  <w:endnote w:id="45">
    <w:p w:rsidR="00926A8A" w:rsidRPr="00C4466D" w:rsidRDefault="00926A8A">
      <w:pPr>
        <w:pStyle w:val="EndnoteText"/>
        <w:rPr>
          <w:rFonts w:asciiTheme="majorHAnsi" w:hAnsiTheme="majorHAnsi"/>
        </w:rPr>
      </w:pPr>
      <w:r w:rsidRPr="00C4466D">
        <w:rPr>
          <w:rStyle w:val="EndnoteReference"/>
          <w:rFonts w:asciiTheme="majorHAnsi" w:hAnsiTheme="majorHAnsi"/>
        </w:rPr>
        <w:endnoteRef/>
      </w:r>
      <w:r w:rsidRPr="00C4466D">
        <w:rPr>
          <w:rFonts w:asciiTheme="majorHAnsi" w:hAnsiTheme="majorHAnsi"/>
        </w:rPr>
        <w:t xml:space="preserve"> M Strzelecki, ‘Coming of Age’, </w:t>
      </w:r>
      <w:r w:rsidRPr="00C4466D">
        <w:rPr>
          <w:rFonts w:asciiTheme="majorHAnsi" w:hAnsiTheme="majorHAnsi"/>
          <w:i/>
        </w:rPr>
        <w:t>Retail Leader</w:t>
      </w:r>
      <w:r w:rsidRPr="00C4466D">
        <w:rPr>
          <w:rFonts w:asciiTheme="majorHAnsi" w:hAnsiTheme="majorHAnsi"/>
        </w:rPr>
        <w:t xml:space="preserve">, November 2013. At: </w:t>
      </w:r>
      <w:hyperlink r:id="rId45" w:history="1">
        <w:r w:rsidRPr="00C4466D">
          <w:rPr>
            <w:rStyle w:val="Hyperlink"/>
            <w:rFonts w:asciiTheme="majorHAnsi" w:hAnsiTheme="majorHAnsi"/>
          </w:rPr>
          <w:t>http://www.retailleader.com/article-coming_of_age-6646-part1.html</w:t>
        </w:r>
      </w:hyperlink>
      <w:r w:rsidRPr="00C4466D">
        <w:rPr>
          <w:rFonts w:asciiTheme="majorHAnsi" w:hAnsiTheme="majorHAnsi"/>
        </w:rPr>
        <w:t xml:space="preserve">  (viewed 19 February 2014)</w:t>
      </w:r>
    </w:p>
  </w:endnote>
  <w:endnote w:id="46">
    <w:p w:rsidR="00926A8A" w:rsidRPr="00C4466D" w:rsidRDefault="00926A8A">
      <w:pPr>
        <w:pStyle w:val="EndnoteText"/>
        <w:rPr>
          <w:rFonts w:asciiTheme="majorHAnsi" w:hAnsiTheme="majorHAnsi"/>
        </w:rPr>
      </w:pPr>
      <w:r w:rsidRPr="00C4466D">
        <w:rPr>
          <w:rStyle w:val="EndnoteReference"/>
          <w:rFonts w:asciiTheme="majorHAnsi" w:hAnsiTheme="majorHAnsi"/>
        </w:rPr>
        <w:endnoteRef/>
      </w:r>
      <w:r w:rsidRPr="00C4466D">
        <w:rPr>
          <w:rFonts w:asciiTheme="majorHAnsi" w:hAnsiTheme="majorHAnsi"/>
        </w:rPr>
        <w:t xml:space="preserve"> M Strzelecki, ‘Coming of Age’, </w:t>
      </w:r>
      <w:r w:rsidRPr="00C4466D">
        <w:rPr>
          <w:rFonts w:asciiTheme="majorHAnsi" w:hAnsiTheme="majorHAnsi"/>
          <w:i/>
        </w:rPr>
        <w:t>Retail Leader</w:t>
      </w:r>
      <w:r w:rsidRPr="00C4466D">
        <w:rPr>
          <w:rFonts w:asciiTheme="majorHAnsi" w:hAnsiTheme="majorHAnsi"/>
        </w:rPr>
        <w:t xml:space="preserve">, November 2013. At: </w:t>
      </w:r>
      <w:hyperlink r:id="rId46" w:history="1">
        <w:r w:rsidRPr="00C4466D">
          <w:rPr>
            <w:rStyle w:val="Hyperlink"/>
            <w:rFonts w:asciiTheme="majorHAnsi" w:hAnsiTheme="majorHAnsi"/>
          </w:rPr>
          <w:t>http://www.retailleader.com/article-coming_of_age-6646-part3.html</w:t>
        </w:r>
      </w:hyperlink>
      <w:r w:rsidRPr="00C4466D">
        <w:rPr>
          <w:rFonts w:asciiTheme="majorHAnsi" w:hAnsiTheme="majorHAnsi"/>
        </w:rPr>
        <w:t xml:space="preserve">  (viewed 19 February 2014)</w:t>
      </w:r>
    </w:p>
  </w:endnote>
  <w:endnote w:id="47">
    <w:p w:rsidR="00926A8A" w:rsidRPr="00C4466D" w:rsidRDefault="00926A8A">
      <w:pPr>
        <w:pStyle w:val="EndnoteText"/>
        <w:rPr>
          <w:rFonts w:asciiTheme="majorHAnsi" w:hAnsiTheme="majorHAnsi"/>
        </w:rPr>
      </w:pPr>
      <w:r w:rsidRPr="00C4466D">
        <w:rPr>
          <w:rStyle w:val="EndnoteReference"/>
          <w:rFonts w:asciiTheme="majorHAnsi" w:hAnsiTheme="majorHAnsi"/>
        </w:rPr>
        <w:endnoteRef/>
      </w:r>
      <w:r w:rsidRPr="00C4466D">
        <w:rPr>
          <w:rFonts w:asciiTheme="majorHAnsi" w:hAnsiTheme="majorHAnsi"/>
        </w:rPr>
        <w:t xml:space="preserve"> M Strzelecki, ‘Coming of Age’, </w:t>
      </w:r>
      <w:r w:rsidRPr="00C4466D">
        <w:rPr>
          <w:rFonts w:asciiTheme="majorHAnsi" w:hAnsiTheme="majorHAnsi"/>
          <w:i/>
        </w:rPr>
        <w:t>Retail Leader</w:t>
      </w:r>
      <w:r w:rsidRPr="00C4466D">
        <w:rPr>
          <w:rFonts w:asciiTheme="majorHAnsi" w:hAnsiTheme="majorHAnsi"/>
        </w:rPr>
        <w:t xml:space="preserve">, November 2013. At: </w:t>
      </w:r>
      <w:hyperlink r:id="rId47" w:history="1">
        <w:r w:rsidRPr="00C4466D">
          <w:rPr>
            <w:rStyle w:val="Hyperlink"/>
            <w:rFonts w:asciiTheme="majorHAnsi" w:hAnsiTheme="majorHAnsi"/>
          </w:rPr>
          <w:t>http://www.retailleader.com/article-coming_of_age-6646-part3.html</w:t>
        </w:r>
      </w:hyperlink>
      <w:r w:rsidRPr="00C4466D">
        <w:rPr>
          <w:rFonts w:asciiTheme="majorHAnsi" w:hAnsiTheme="majorHAnsi"/>
        </w:rPr>
        <w:t xml:space="preserve">  (viewed 19 February 2014)</w:t>
      </w:r>
    </w:p>
  </w:endnote>
  <w:endnote w:id="48">
    <w:p w:rsidR="00926A8A" w:rsidRPr="00C4466D" w:rsidRDefault="00926A8A">
      <w:pPr>
        <w:pStyle w:val="EndnoteText"/>
        <w:rPr>
          <w:rFonts w:asciiTheme="majorHAnsi" w:hAnsiTheme="majorHAnsi"/>
        </w:rPr>
      </w:pPr>
      <w:r w:rsidRPr="00C4466D">
        <w:rPr>
          <w:rStyle w:val="EndnoteReference"/>
          <w:rFonts w:asciiTheme="majorHAnsi" w:hAnsiTheme="majorHAnsi"/>
        </w:rPr>
        <w:endnoteRef/>
      </w:r>
      <w:r w:rsidRPr="00C4466D">
        <w:rPr>
          <w:rFonts w:asciiTheme="majorHAnsi" w:hAnsiTheme="majorHAnsi"/>
        </w:rPr>
        <w:t xml:space="preserve"> L Bevans, </w:t>
      </w:r>
      <w:r w:rsidRPr="00C4466D">
        <w:rPr>
          <w:rFonts w:asciiTheme="majorHAnsi" w:hAnsiTheme="majorHAnsi"/>
          <w:i/>
        </w:rPr>
        <w:t>The Age of Patronizing Older Consumers is Over</w:t>
      </w:r>
      <w:r w:rsidRPr="00C4466D">
        <w:rPr>
          <w:rFonts w:asciiTheme="majorHAnsi" w:hAnsiTheme="majorHAnsi"/>
        </w:rPr>
        <w:t xml:space="preserve">, (Interview at Marketing to Older Consumers Forum, Melbourne, 25-27 October, 2011). At: </w:t>
      </w:r>
      <w:hyperlink r:id="rId48" w:history="1">
        <w:r w:rsidRPr="00C4466D">
          <w:rPr>
            <w:rStyle w:val="Hyperlink"/>
            <w:rFonts w:asciiTheme="majorHAnsi" w:hAnsiTheme="majorHAnsi"/>
          </w:rPr>
          <w:t>http://www.iqpc.com/Event.aspx?id=587816</w:t>
        </w:r>
      </w:hyperlink>
      <w:r w:rsidRPr="00C4466D">
        <w:rPr>
          <w:rFonts w:asciiTheme="majorHAnsi" w:hAnsiTheme="majorHAnsi"/>
        </w:rPr>
        <w:t xml:space="preserve">  (viewed 13 February 2014)</w:t>
      </w:r>
    </w:p>
  </w:endnote>
  <w:endnote w:id="49">
    <w:p w:rsidR="00926A8A" w:rsidRPr="00C4466D" w:rsidRDefault="00926A8A" w:rsidP="00B17F23">
      <w:pPr>
        <w:pStyle w:val="EndnoteText"/>
        <w:rPr>
          <w:rFonts w:asciiTheme="majorHAnsi" w:hAnsiTheme="majorHAnsi"/>
        </w:rPr>
      </w:pPr>
      <w:r w:rsidRPr="00C4466D">
        <w:rPr>
          <w:rStyle w:val="EndnoteReference"/>
          <w:rFonts w:asciiTheme="majorHAnsi" w:hAnsiTheme="majorHAnsi"/>
        </w:rPr>
        <w:endnoteRef/>
      </w:r>
      <w:r w:rsidRPr="00C4466D">
        <w:rPr>
          <w:rFonts w:asciiTheme="majorHAnsi" w:hAnsiTheme="majorHAnsi"/>
        </w:rPr>
        <w:t xml:space="preserve"> A.T. Kearney, </w:t>
      </w:r>
      <w:r w:rsidRPr="00C4466D">
        <w:rPr>
          <w:rFonts w:asciiTheme="majorHAnsi" w:hAnsiTheme="majorHAnsi"/>
          <w:i/>
        </w:rPr>
        <w:t>Understanding the Needs and Consequences of the Ageing Consumer</w:t>
      </w:r>
      <w:r w:rsidRPr="00C4466D">
        <w:rPr>
          <w:rFonts w:asciiTheme="majorHAnsi" w:hAnsiTheme="majorHAnsi"/>
        </w:rPr>
        <w:t xml:space="preserve">, 2013, p. 8. At: </w:t>
      </w:r>
      <w:hyperlink r:id="rId49" w:history="1">
        <w:r w:rsidRPr="00C4466D">
          <w:rPr>
            <w:rStyle w:val="Hyperlink"/>
            <w:rFonts w:asciiTheme="majorHAnsi" w:hAnsiTheme="majorHAnsi"/>
          </w:rPr>
          <w:t>http://www.atkearney.com/paper/-/asset_publisher/dVxv4Hz2h8bS/content/understanding-the-needs-and-consequences-of-the-ageing-consumer/10192</w:t>
        </w:r>
      </w:hyperlink>
      <w:r w:rsidRPr="00C4466D">
        <w:rPr>
          <w:rFonts w:asciiTheme="majorHAnsi" w:hAnsiTheme="majorHAnsi"/>
        </w:rPr>
        <w:t xml:space="preserve">  (viewed 13 February 2014)</w:t>
      </w:r>
    </w:p>
  </w:endnote>
  <w:endnote w:id="50">
    <w:p w:rsidR="00926A8A" w:rsidRPr="00C4466D" w:rsidRDefault="00926A8A">
      <w:pPr>
        <w:pStyle w:val="EndnoteText"/>
        <w:rPr>
          <w:rFonts w:asciiTheme="majorHAnsi" w:hAnsiTheme="majorHAnsi"/>
        </w:rPr>
      </w:pPr>
      <w:r w:rsidRPr="00C4466D">
        <w:rPr>
          <w:rStyle w:val="EndnoteReference"/>
          <w:rFonts w:asciiTheme="majorHAnsi" w:hAnsiTheme="majorHAnsi"/>
        </w:rPr>
        <w:endnoteRef/>
      </w:r>
      <w:r w:rsidRPr="00C4466D">
        <w:rPr>
          <w:rFonts w:asciiTheme="majorHAnsi" w:hAnsiTheme="majorHAnsi"/>
        </w:rPr>
        <w:t xml:space="preserve"> M Boyle, ‘Aging Boomers Befuddle Marketers Aching for $15 Trillion Prize’, </w:t>
      </w:r>
      <w:r w:rsidRPr="00C4466D">
        <w:rPr>
          <w:rFonts w:asciiTheme="majorHAnsi" w:hAnsiTheme="majorHAnsi"/>
          <w:i/>
        </w:rPr>
        <w:t>Bloomberg</w:t>
      </w:r>
      <w:r w:rsidRPr="00C4466D">
        <w:rPr>
          <w:rFonts w:asciiTheme="majorHAnsi" w:hAnsiTheme="majorHAnsi"/>
        </w:rPr>
        <w:t xml:space="preserve">, 17 September 2013. At: </w:t>
      </w:r>
      <w:hyperlink r:id="rId50" w:history="1">
        <w:r w:rsidRPr="00C4466D">
          <w:rPr>
            <w:rStyle w:val="Hyperlink"/>
            <w:rFonts w:asciiTheme="majorHAnsi" w:hAnsiTheme="majorHAnsi"/>
          </w:rPr>
          <w:t>http://www.bloomberg.com/news/2013-09-17/aging-boomers-befuddle-marketers-eying-15-trillion-prize.html?cmpid</w:t>
        </w:r>
      </w:hyperlink>
      <w:r w:rsidRPr="00C4466D">
        <w:rPr>
          <w:rFonts w:asciiTheme="majorHAnsi" w:hAnsiTheme="majorHAnsi"/>
        </w:rPr>
        <w:t>=  (viewed 13 February 2014)</w:t>
      </w:r>
    </w:p>
  </w:endnote>
  <w:endnote w:id="51">
    <w:p w:rsidR="00926A8A" w:rsidRPr="00C4466D" w:rsidRDefault="00926A8A">
      <w:pPr>
        <w:pStyle w:val="EndnoteText"/>
        <w:rPr>
          <w:rFonts w:asciiTheme="majorHAnsi" w:hAnsiTheme="majorHAnsi"/>
        </w:rPr>
      </w:pPr>
      <w:r w:rsidRPr="00C4466D">
        <w:rPr>
          <w:rStyle w:val="EndnoteReference"/>
          <w:rFonts w:asciiTheme="majorHAnsi" w:hAnsiTheme="majorHAnsi"/>
        </w:rPr>
        <w:endnoteRef/>
      </w:r>
      <w:r w:rsidRPr="00C4466D">
        <w:rPr>
          <w:rFonts w:asciiTheme="majorHAnsi" w:hAnsiTheme="majorHAnsi"/>
        </w:rPr>
        <w:t xml:space="preserve"> Urbis, Fact or fiction? Stereotypes of older Australians Australian Human Rights Commission 2013, p. 51. At: </w:t>
      </w:r>
      <w:hyperlink r:id="rId51" w:history="1">
        <w:r w:rsidRPr="00C4466D">
          <w:rPr>
            <w:rStyle w:val="Hyperlink"/>
            <w:rFonts w:asciiTheme="majorHAnsi" w:hAnsiTheme="majorHAnsi"/>
          </w:rPr>
          <w:t>http://goo.gl/V0q8Pt</w:t>
        </w:r>
      </w:hyperlink>
      <w:r w:rsidRPr="00C4466D">
        <w:rPr>
          <w:rFonts w:asciiTheme="majorHAnsi" w:hAnsiTheme="majorHAnsi"/>
        </w:rPr>
        <w:t xml:space="preserve"> (viewed 17 October 2013)</w:t>
      </w:r>
    </w:p>
  </w:endnote>
  <w:endnote w:id="52">
    <w:p w:rsidR="00926A8A" w:rsidRPr="00C4466D" w:rsidRDefault="00926A8A">
      <w:pPr>
        <w:pStyle w:val="EndnoteText"/>
        <w:rPr>
          <w:rFonts w:asciiTheme="majorHAnsi" w:hAnsiTheme="majorHAnsi"/>
        </w:rPr>
      </w:pPr>
      <w:r w:rsidRPr="00C4466D">
        <w:rPr>
          <w:rStyle w:val="EndnoteReference"/>
          <w:rFonts w:asciiTheme="majorHAnsi" w:hAnsiTheme="majorHAnsi"/>
        </w:rPr>
        <w:endnoteRef/>
      </w:r>
      <w:r w:rsidRPr="00C4466D">
        <w:rPr>
          <w:rFonts w:asciiTheme="majorHAnsi" w:hAnsiTheme="majorHAnsi"/>
        </w:rPr>
        <w:t xml:space="preserve"> M Boyle, ‘Aging Boomers Befuddle Marketers Aching for $15 Trillion Prize’, </w:t>
      </w:r>
      <w:r w:rsidRPr="00C4466D">
        <w:rPr>
          <w:rFonts w:asciiTheme="majorHAnsi" w:hAnsiTheme="majorHAnsi"/>
          <w:i/>
        </w:rPr>
        <w:t>Bloomberg</w:t>
      </w:r>
      <w:r w:rsidRPr="00C4466D">
        <w:rPr>
          <w:rFonts w:asciiTheme="majorHAnsi" w:hAnsiTheme="majorHAnsi"/>
        </w:rPr>
        <w:t xml:space="preserve">, 17 September 2013. At: </w:t>
      </w:r>
      <w:hyperlink r:id="rId52" w:history="1">
        <w:r w:rsidRPr="00C4466D">
          <w:rPr>
            <w:rStyle w:val="Hyperlink"/>
            <w:rFonts w:asciiTheme="majorHAnsi" w:hAnsiTheme="majorHAnsi"/>
          </w:rPr>
          <w:t>http://www.bloomberg.com/news/2013-09-17/aging-boomers-befuddle-marketers-eying-15-trillion-prize.html?cmpid</w:t>
        </w:r>
      </w:hyperlink>
      <w:r w:rsidRPr="00C4466D">
        <w:rPr>
          <w:rFonts w:asciiTheme="majorHAnsi" w:hAnsiTheme="majorHAnsi"/>
        </w:rPr>
        <w:t>=  (viewed 13 February 2014)</w:t>
      </w:r>
    </w:p>
  </w:endnote>
  <w:endnote w:id="53">
    <w:p w:rsidR="00926A8A" w:rsidRPr="00C4466D" w:rsidRDefault="00926A8A">
      <w:pPr>
        <w:pStyle w:val="EndnoteText"/>
        <w:rPr>
          <w:rFonts w:asciiTheme="majorHAnsi" w:hAnsiTheme="majorHAnsi"/>
        </w:rPr>
      </w:pPr>
      <w:r w:rsidRPr="00C4466D">
        <w:rPr>
          <w:rStyle w:val="EndnoteReference"/>
          <w:rFonts w:asciiTheme="majorHAnsi" w:hAnsiTheme="majorHAnsi"/>
        </w:rPr>
        <w:endnoteRef/>
      </w:r>
      <w:r w:rsidRPr="00C4466D">
        <w:rPr>
          <w:rFonts w:asciiTheme="majorHAnsi" w:hAnsiTheme="majorHAnsi"/>
        </w:rPr>
        <w:t xml:space="preserve"> Urbis, Fact or fiction? Stereotypes of older Australians Australian Human Rights Commission 2013, p. 43. At: </w:t>
      </w:r>
      <w:hyperlink r:id="rId53" w:history="1">
        <w:r w:rsidRPr="00C4466D">
          <w:rPr>
            <w:rStyle w:val="Hyperlink"/>
            <w:rFonts w:asciiTheme="majorHAnsi" w:hAnsiTheme="majorHAnsi"/>
          </w:rPr>
          <w:t>http://goo.gl/V0q8Pt</w:t>
        </w:r>
      </w:hyperlink>
      <w:r w:rsidRPr="00C4466D">
        <w:rPr>
          <w:rFonts w:asciiTheme="majorHAnsi" w:hAnsiTheme="majorHAnsi"/>
        </w:rPr>
        <w:t xml:space="preserve"> (viewed 17 October 2013)</w:t>
      </w:r>
    </w:p>
  </w:endnote>
  <w:endnote w:id="54">
    <w:p w:rsidR="00926A8A" w:rsidRPr="00C4466D" w:rsidRDefault="00926A8A">
      <w:pPr>
        <w:pStyle w:val="EndnoteText"/>
        <w:rPr>
          <w:rFonts w:asciiTheme="majorHAnsi" w:hAnsiTheme="majorHAnsi"/>
        </w:rPr>
      </w:pPr>
      <w:r w:rsidRPr="00C4466D">
        <w:rPr>
          <w:rStyle w:val="EndnoteReference"/>
          <w:rFonts w:asciiTheme="majorHAnsi" w:hAnsiTheme="majorHAnsi"/>
        </w:rPr>
        <w:endnoteRef/>
      </w:r>
      <w:r w:rsidRPr="00C4466D">
        <w:rPr>
          <w:rFonts w:asciiTheme="majorHAnsi" w:hAnsiTheme="majorHAnsi"/>
        </w:rPr>
        <w:t xml:space="preserve"> Urbis, Fact or fiction? Stereotypes of older Australians Australian Human Rights Commission 2013, p. 51. At: </w:t>
      </w:r>
      <w:hyperlink r:id="rId54" w:history="1">
        <w:r w:rsidRPr="00C4466D">
          <w:rPr>
            <w:rStyle w:val="Hyperlink"/>
            <w:rFonts w:asciiTheme="majorHAnsi" w:hAnsiTheme="majorHAnsi"/>
          </w:rPr>
          <w:t>http://goo.gl/V0q8Pt</w:t>
        </w:r>
      </w:hyperlink>
      <w:r w:rsidRPr="00C4466D">
        <w:rPr>
          <w:rFonts w:asciiTheme="majorHAnsi" w:hAnsiTheme="majorHAnsi"/>
        </w:rPr>
        <w:t xml:space="preserve"> (viewed 17 October 2013)</w:t>
      </w:r>
    </w:p>
  </w:endnote>
  <w:endnote w:id="55">
    <w:p w:rsidR="00926A8A" w:rsidRPr="00C4466D" w:rsidRDefault="00926A8A">
      <w:pPr>
        <w:pStyle w:val="EndnoteText"/>
        <w:rPr>
          <w:rFonts w:asciiTheme="majorHAnsi" w:hAnsiTheme="majorHAnsi"/>
        </w:rPr>
      </w:pPr>
      <w:r w:rsidRPr="00C4466D">
        <w:rPr>
          <w:rStyle w:val="EndnoteReference"/>
          <w:rFonts w:asciiTheme="majorHAnsi" w:hAnsiTheme="majorHAnsi"/>
        </w:rPr>
        <w:endnoteRef/>
      </w:r>
      <w:r w:rsidRPr="00C4466D">
        <w:rPr>
          <w:rFonts w:asciiTheme="majorHAnsi" w:hAnsiTheme="majorHAnsi"/>
        </w:rPr>
        <w:t xml:space="preserve"> M Boyle, ‘Aging Boomers Befuddle Marketers Aching for $15 Trillion Prize’, </w:t>
      </w:r>
      <w:r w:rsidRPr="00C4466D">
        <w:rPr>
          <w:rFonts w:asciiTheme="majorHAnsi" w:hAnsiTheme="majorHAnsi"/>
          <w:i/>
        </w:rPr>
        <w:t>Bloomberg</w:t>
      </w:r>
      <w:r w:rsidRPr="00C4466D">
        <w:rPr>
          <w:rFonts w:asciiTheme="majorHAnsi" w:hAnsiTheme="majorHAnsi"/>
        </w:rPr>
        <w:t xml:space="preserve">, 17 September 2013. At: </w:t>
      </w:r>
      <w:hyperlink r:id="rId55" w:history="1">
        <w:r w:rsidRPr="00C4466D">
          <w:rPr>
            <w:rStyle w:val="Hyperlink"/>
            <w:rFonts w:asciiTheme="majorHAnsi" w:hAnsiTheme="majorHAnsi"/>
          </w:rPr>
          <w:t>http://www.bloomberg.com/news/2013-09-17/aging-boomers-befuddle-marketers-eying-15-trillion-prize.html?cmpid</w:t>
        </w:r>
      </w:hyperlink>
      <w:r w:rsidRPr="00C4466D">
        <w:rPr>
          <w:rFonts w:asciiTheme="majorHAnsi" w:hAnsiTheme="majorHAnsi"/>
        </w:rPr>
        <w:t>=  (viewed 13 February 2014)</w:t>
      </w:r>
    </w:p>
  </w:endnote>
  <w:endnote w:id="56">
    <w:p w:rsidR="00926A8A" w:rsidRPr="00C4466D" w:rsidRDefault="00926A8A">
      <w:pPr>
        <w:pStyle w:val="EndnoteText"/>
        <w:rPr>
          <w:rFonts w:asciiTheme="majorHAnsi" w:hAnsiTheme="majorHAnsi"/>
        </w:rPr>
      </w:pPr>
      <w:r w:rsidRPr="00C4466D">
        <w:rPr>
          <w:rStyle w:val="EndnoteReference"/>
          <w:rFonts w:asciiTheme="majorHAnsi" w:hAnsiTheme="majorHAnsi"/>
        </w:rPr>
        <w:endnoteRef/>
      </w:r>
      <w:r w:rsidRPr="00C4466D">
        <w:rPr>
          <w:rFonts w:asciiTheme="majorHAnsi" w:hAnsiTheme="majorHAnsi"/>
        </w:rPr>
        <w:t xml:space="preserve"> A.T. Kearney, </w:t>
      </w:r>
      <w:r w:rsidRPr="00C4466D">
        <w:rPr>
          <w:rFonts w:asciiTheme="majorHAnsi" w:hAnsiTheme="majorHAnsi"/>
          <w:i/>
        </w:rPr>
        <w:t>Understanding the Needs and Consequences of the Ageing Consumer</w:t>
      </w:r>
      <w:r w:rsidRPr="00C4466D">
        <w:rPr>
          <w:rFonts w:asciiTheme="majorHAnsi" w:hAnsiTheme="majorHAnsi"/>
        </w:rPr>
        <w:t xml:space="preserve">, 2013, p. 9. At: </w:t>
      </w:r>
      <w:hyperlink r:id="rId56" w:history="1">
        <w:r w:rsidRPr="00C4466D">
          <w:rPr>
            <w:rStyle w:val="Hyperlink"/>
            <w:rFonts w:asciiTheme="majorHAnsi" w:hAnsiTheme="majorHAnsi"/>
          </w:rPr>
          <w:t>http://www.atkearney.com/paper/-/asset_publisher/dVxv4Hz2h8bS/content/understanding-the-needs-and-consequences-of-the-ageing-consumer/10192</w:t>
        </w:r>
      </w:hyperlink>
      <w:r w:rsidRPr="00C4466D">
        <w:rPr>
          <w:rFonts w:asciiTheme="majorHAnsi" w:hAnsiTheme="majorHAnsi"/>
        </w:rPr>
        <w:t xml:space="preserve">  (viewed 13 February 2014)</w:t>
      </w:r>
    </w:p>
  </w:endnote>
  <w:endnote w:id="57">
    <w:p w:rsidR="00926A8A" w:rsidRPr="00C4466D" w:rsidRDefault="00926A8A">
      <w:pPr>
        <w:pStyle w:val="EndnoteText"/>
        <w:rPr>
          <w:rFonts w:asciiTheme="majorHAnsi" w:hAnsiTheme="majorHAnsi"/>
        </w:rPr>
      </w:pPr>
      <w:r w:rsidRPr="00C4466D">
        <w:rPr>
          <w:rStyle w:val="EndnoteReference"/>
          <w:rFonts w:asciiTheme="majorHAnsi" w:hAnsiTheme="majorHAnsi"/>
        </w:rPr>
        <w:endnoteRef/>
      </w:r>
      <w:r w:rsidRPr="00C4466D">
        <w:rPr>
          <w:rFonts w:asciiTheme="majorHAnsi" w:hAnsiTheme="majorHAnsi"/>
        </w:rPr>
        <w:t xml:space="preserve"> R Miller, ‘Marketing to Older Consumers’, </w:t>
      </w:r>
      <w:r w:rsidRPr="00C4466D">
        <w:rPr>
          <w:rFonts w:asciiTheme="majorHAnsi" w:hAnsiTheme="majorHAnsi"/>
          <w:i/>
        </w:rPr>
        <w:t>The Marketing Donut</w:t>
      </w:r>
      <w:r w:rsidRPr="00C4466D">
        <w:rPr>
          <w:rFonts w:asciiTheme="majorHAnsi" w:hAnsiTheme="majorHAnsi"/>
        </w:rPr>
        <w:t xml:space="preserve">. At: </w:t>
      </w:r>
      <w:hyperlink r:id="rId57" w:history="1">
        <w:r w:rsidRPr="00C4466D">
          <w:rPr>
            <w:rStyle w:val="Hyperlink"/>
            <w:rFonts w:asciiTheme="majorHAnsi" w:hAnsiTheme="majorHAnsi"/>
          </w:rPr>
          <w:t>http://www.marketingdonut.co.uk/marketing/sales/marketing-to-older-customers</w:t>
        </w:r>
      </w:hyperlink>
      <w:r w:rsidRPr="00C4466D">
        <w:rPr>
          <w:rFonts w:asciiTheme="majorHAnsi" w:hAnsiTheme="majorHAnsi"/>
        </w:rPr>
        <w:t xml:space="preserve">  (viewed 18 February 2014)</w:t>
      </w:r>
    </w:p>
  </w:endnote>
  <w:endnote w:id="58">
    <w:p w:rsidR="00926A8A" w:rsidRPr="00C4466D" w:rsidRDefault="00926A8A">
      <w:pPr>
        <w:pStyle w:val="EndnoteText"/>
        <w:rPr>
          <w:rFonts w:asciiTheme="majorHAnsi" w:hAnsiTheme="majorHAnsi"/>
        </w:rPr>
      </w:pPr>
      <w:r w:rsidRPr="00C4466D">
        <w:rPr>
          <w:rStyle w:val="EndnoteReference"/>
          <w:rFonts w:asciiTheme="majorHAnsi" w:hAnsiTheme="majorHAnsi"/>
        </w:rPr>
        <w:endnoteRef/>
      </w:r>
      <w:r w:rsidRPr="00C4466D">
        <w:rPr>
          <w:rFonts w:asciiTheme="majorHAnsi" w:hAnsiTheme="majorHAnsi"/>
        </w:rPr>
        <w:t xml:space="preserve"> A.T. Kearney, </w:t>
      </w:r>
      <w:r w:rsidRPr="00C4466D">
        <w:rPr>
          <w:rFonts w:asciiTheme="majorHAnsi" w:hAnsiTheme="majorHAnsi"/>
          <w:i/>
        </w:rPr>
        <w:t>Understanding the Needs and Consequences of the Ageing Consumer</w:t>
      </w:r>
      <w:r w:rsidRPr="00C4466D">
        <w:rPr>
          <w:rFonts w:asciiTheme="majorHAnsi" w:hAnsiTheme="majorHAnsi"/>
        </w:rPr>
        <w:t xml:space="preserve">, 2013, p. 9. At: </w:t>
      </w:r>
      <w:hyperlink r:id="rId58" w:history="1">
        <w:r w:rsidRPr="00C4466D">
          <w:rPr>
            <w:rStyle w:val="Hyperlink"/>
            <w:rFonts w:asciiTheme="majorHAnsi" w:hAnsiTheme="majorHAnsi"/>
          </w:rPr>
          <w:t>http://www.atkearney.com/paper/-/asset_publisher/dVxv4Hz2h8bS/content/understanding-the-needs-and-consequences-of-the-ageing-consumer/10192</w:t>
        </w:r>
      </w:hyperlink>
      <w:r w:rsidRPr="00C4466D">
        <w:rPr>
          <w:rFonts w:asciiTheme="majorHAnsi" w:hAnsiTheme="majorHAnsi"/>
        </w:rPr>
        <w:t xml:space="preserve">  (viewed 13 February 2014)</w:t>
      </w:r>
    </w:p>
  </w:endnote>
  <w:endnote w:id="59">
    <w:p w:rsidR="00926A8A" w:rsidRPr="00C4466D" w:rsidRDefault="00926A8A">
      <w:pPr>
        <w:pStyle w:val="EndnoteText"/>
        <w:rPr>
          <w:rFonts w:asciiTheme="majorHAnsi" w:hAnsiTheme="majorHAnsi"/>
        </w:rPr>
      </w:pPr>
      <w:r w:rsidRPr="00C4466D">
        <w:rPr>
          <w:rStyle w:val="EndnoteReference"/>
          <w:rFonts w:asciiTheme="majorHAnsi" w:hAnsiTheme="majorHAnsi"/>
        </w:rPr>
        <w:endnoteRef/>
      </w:r>
      <w:r w:rsidRPr="00C4466D">
        <w:rPr>
          <w:rFonts w:asciiTheme="majorHAnsi" w:hAnsiTheme="majorHAnsi"/>
        </w:rPr>
        <w:t xml:space="preserve"> Marketing IQ, </w:t>
      </w:r>
      <w:r w:rsidRPr="00C4466D">
        <w:rPr>
          <w:rFonts w:asciiTheme="majorHAnsi" w:hAnsiTheme="majorHAnsi"/>
          <w:i/>
        </w:rPr>
        <w:t>The Untapped Market: Today’s Older Consumer – Benchmarking Analytics for Marketing to the Older Consumer</w:t>
      </w:r>
      <w:r w:rsidRPr="00C4466D">
        <w:rPr>
          <w:rFonts w:asciiTheme="majorHAnsi" w:hAnsiTheme="majorHAnsi"/>
        </w:rPr>
        <w:t xml:space="preserve">, 2011. At: </w:t>
      </w:r>
      <w:hyperlink r:id="rId59" w:history="1">
        <w:r w:rsidRPr="00C4466D">
          <w:rPr>
            <w:rStyle w:val="Hyperlink"/>
            <w:rFonts w:asciiTheme="majorHAnsi" w:hAnsiTheme="majorHAnsi"/>
          </w:rPr>
          <w:t>http://www.iqpc.com/GetDownload.aspx?EventID=20634.001&amp;content_url=%2fuploadedFiles%2fEventRedesign%2fAustralia%2f2011%2fOctober%2f20634001%2fAssets%2fBaby_Boomer_Analytics_Paper.pdf</w:t>
        </w:r>
      </w:hyperlink>
      <w:r w:rsidRPr="00C4466D">
        <w:rPr>
          <w:rFonts w:asciiTheme="majorHAnsi" w:hAnsiTheme="majorHAnsi"/>
        </w:rPr>
        <w:t xml:space="preserve">  (viewed 18 February 2014)</w:t>
      </w:r>
    </w:p>
  </w:endnote>
  <w:endnote w:id="60">
    <w:p w:rsidR="00926A8A" w:rsidRPr="00C4466D" w:rsidRDefault="00926A8A">
      <w:pPr>
        <w:pStyle w:val="EndnoteText"/>
        <w:rPr>
          <w:rFonts w:asciiTheme="majorHAnsi" w:hAnsiTheme="majorHAnsi"/>
        </w:rPr>
      </w:pPr>
      <w:r w:rsidRPr="00C4466D">
        <w:rPr>
          <w:rStyle w:val="EndnoteReference"/>
          <w:rFonts w:asciiTheme="majorHAnsi" w:hAnsiTheme="majorHAnsi"/>
        </w:rPr>
        <w:endnoteRef/>
      </w:r>
      <w:r w:rsidRPr="00C4466D">
        <w:rPr>
          <w:rFonts w:asciiTheme="majorHAnsi" w:hAnsiTheme="majorHAnsi"/>
        </w:rPr>
        <w:t xml:space="preserve"> M Strzelecki, ‘Coming of Age’, </w:t>
      </w:r>
      <w:r w:rsidRPr="00C4466D">
        <w:rPr>
          <w:rFonts w:asciiTheme="majorHAnsi" w:hAnsiTheme="majorHAnsi"/>
          <w:i/>
        </w:rPr>
        <w:t>Retail Leader</w:t>
      </w:r>
      <w:r w:rsidRPr="00C4466D">
        <w:rPr>
          <w:rFonts w:asciiTheme="majorHAnsi" w:hAnsiTheme="majorHAnsi"/>
        </w:rPr>
        <w:t xml:space="preserve">, November 2013. At: </w:t>
      </w:r>
      <w:hyperlink r:id="rId60" w:history="1">
        <w:r w:rsidRPr="00C4466D">
          <w:rPr>
            <w:rStyle w:val="Hyperlink"/>
            <w:rFonts w:asciiTheme="majorHAnsi" w:hAnsiTheme="majorHAnsi"/>
          </w:rPr>
          <w:t>http://www.retailleader.com/article-coming_of_age-6646-part2.html</w:t>
        </w:r>
      </w:hyperlink>
      <w:r w:rsidRPr="00C4466D">
        <w:rPr>
          <w:rFonts w:asciiTheme="majorHAnsi" w:hAnsiTheme="majorHAnsi"/>
        </w:rPr>
        <w:t xml:space="preserve">  (viewed 19 February 2014)</w:t>
      </w:r>
    </w:p>
  </w:endnote>
  <w:endnote w:id="61">
    <w:p w:rsidR="00926A8A" w:rsidRPr="00C4466D" w:rsidRDefault="00926A8A">
      <w:pPr>
        <w:pStyle w:val="EndnoteText"/>
        <w:rPr>
          <w:rFonts w:asciiTheme="majorHAnsi" w:hAnsiTheme="majorHAnsi"/>
        </w:rPr>
      </w:pPr>
      <w:r w:rsidRPr="00C4466D">
        <w:rPr>
          <w:rStyle w:val="EndnoteReference"/>
          <w:rFonts w:asciiTheme="majorHAnsi" w:hAnsiTheme="majorHAnsi"/>
        </w:rPr>
        <w:endnoteRef/>
      </w:r>
      <w:r w:rsidRPr="00C4466D">
        <w:rPr>
          <w:rFonts w:asciiTheme="majorHAnsi" w:hAnsiTheme="majorHAnsi"/>
        </w:rPr>
        <w:t xml:space="preserve"> Marketing IQ, </w:t>
      </w:r>
      <w:r w:rsidRPr="00C4466D">
        <w:rPr>
          <w:rFonts w:asciiTheme="majorHAnsi" w:hAnsiTheme="majorHAnsi"/>
          <w:i/>
        </w:rPr>
        <w:t>The Untapped Market: Today’s Older Consumer – Benchmarking Analytics for Marketing to the Older Consumer</w:t>
      </w:r>
      <w:r w:rsidRPr="00C4466D">
        <w:rPr>
          <w:rFonts w:asciiTheme="majorHAnsi" w:hAnsiTheme="majorHAnsi"/>
        </w:rPr>
        <w:t xml:space="preserve">, 2011. At: </w:t>
      </w:r>
      <w:hyperlink r:id="rId61" w:history="1">
        <w:r w:rsidRPr="00C4466D">
          <w:rPr>
            <w:rStyle w:val="Hyperlink"/>
            <w:rFonts w:asciiTheme="majorHAnsi" w:hAnsiTheme="majorHAnsi"/>
          </w:rPr>
          <w:t>http://www.iqpc.com/GetDownload.aspx?EventID=20634.001&amp;content_url=%2fuploadedFiles%2fEventRedesign%2fAustralia%2f2011%2fOctober%2f20634001%2fAssets%2fBaby_Boomer_Analytics_Paper.pdf</w:t>
        </w:r>
      </w:hyperlink>
      <w:r w:rsidRPr="00C4466D">
        <w:rPr>
          <w:rFonts w:asciiTheme="majorHAnsi" w:hAnsiTheme="majorHAnsi"/>
        </w:rPr>
        <w:t xml:space="preserve">  (viewed 18 February 2014)</w:t>
      </w:r>
    </w:p>
  </w:endnote>
  <w:endnote w:id="62">
    <w:p w:rsidR="00926A8A" w:rsidRPr="00C4466D" w:rsidRDefault="00926A8A">
      <w:pPr>
        <w:pStyle w:val="EndnoteText"/>
        <w:rPr>
          <w:rFonts w:asciiTheme="majorHAnsi" w:hAnsiTheme="majorHAnsi"/>
        </w:rPr>
      </w:pPr>
      <w:r w:rsidRPr="00C4466D">
        <w:rPr>
          <w:rStyle w:val="EndnoteReference"/>
          <w:rFonts w:asciiTheme="majorHAnsi" w:hAnsiTheme="majorHAnsi"/>
        </w:rPr>
        <w:endnoteRef/>
      </w:r>
      <w:r w:rsidRPr="00C4466D">
        <w:rPr>
          <w:rFonts w:asciiTheme="majorHAnsi" w:hAnsiTheme="majorHAnsi"/>
        </w:rPr>
        <w:t xml:space="preserve"> National Seniors Productive Ageing Centre, </w:t>
      </w:r>
      <w:r w:rsidRPr="00C4466D">
        <w:rPr>
          <w:rFonts w:asciiTheme="majorHAnsi" w:hAnsiTheme="majorHAnsi"/>
          <w:i/>
        </w:rPr>
        <w:t>Ageing Baby Boomers in Australia: Informing Actions for Better Retirement</w:t>
      </w:r>
      <w:r w:rsidRPr="00C4466D">
        <w:rPr>
          <w:rFonts w:asciiTheme="majorHAnsi" w:hAnsiTheme="majorHAnsi"/>
        </w:rPr>
        <w:t>, August 2012, pp. 3,7</w:t>
      </w:r>
    </w:p>
  </w:endnote>
  <w:endnote w:id="63">
    <w:p w:rsidR="00926A8A" w:rsidRPr="00C4466D" w:rsidRDefault="00926A8A">
      <w:pPr>
        <w:pStyle w:val="EndnoteText"/>
        <w:rPr>
          <w:rFonts w:asciiTheme="majorHAnsi" w:hAnsiTheme="majorHAnsi"/>
        </w:rPr>
      </w:pPr>
      <w:r w:rsidRPr="00C4466D">
        <w:rPr>
          <w:rStyle w:val="EndnoteReference"/>
          <w:rFonts w:asciiTheme="majorHAnsi" w:hAnsiTheme="majorHAnsi"/>
        </w:rPr>
        <w:endnoteRef/>
      </w:r>
      <w:r w:rsidRPr="00C4466D">
        <w:rPr>
          <w:rFonts w:asciiTheme="majorHAnsi" w:hAnsiTheme="majorHAnsi"/>
        </w:rPr>
        <w:t xml:space="preserve"> M Boyle, ‘Aging Boomers Befuddle Marketers Aching for $15 Trillion Prize’, </w:t>
      </w:r>
      <w:r w:rsidRPr="00C4466D">
        <w:rPr>
          <w:rFonts w:asciiTheme="majorHAnsi" w:hAnsiTheme="majorHAnsi"/>
          <w:i/>
        </w:rPr>
        <w:t>Bloomberg</w:t>
      </w:r>
      <w:r w:rsidRPr="00C4466D">
        <w:rPr>
          <w:rFonts w:asciiTheme="majorHAnsi" w:hAnsiTheme="majorHAnsi"/>
        </w:rPr>
        <w:t xml:space="preserve">, 17 September 2013. At: </w:t>
      </w:r>
      <w:hyperlink r:id="rId62" w:history="1">
        <w:r w:rsidRPr="00C4466D">
          <w:rPr>
            <w:rStyle w:val="Hyperlink"/>
            <w:rFonts w:asciiTheme="majorHAnsi" w:hAnsiTheme="majorHAnsi"/>
          </w:rPr>
          <w:t>http://www.bloomberg.com/news/2013-09-17/aging-boomers-befuddle-marketers-eying-15-trillion-prize.html?cmpid</w:t>
        </w:r>
      </w:hyperlink>
      <w:r w:rsidRPr="00C4466D">
        <w:rPr>
          <w:rFonts w:asciiTheme="majorHAnsi" w:hAnsiTheme="majorHAnsi"/>
        </w:rPr>
        <w:t>=  (viewed 13 February 2014)</w:t>
      </w:r>
    </w:p>
  </w:endnote>
  <w:endnote w:id="64">
    <w:p w:rsidR="00926A8A" w:rsidRPr="00C4466D" w:rsidRDefault="00926A8A">
      <w:pPr>
        <w:pStyle w:val="EndnoteText"/>
        <w:rPr>
          <w:rFonts w:asciiTheme="majorHAnsi" w:hAnsiTheme="majorHAnsi"/>
        </w:rPr>
      </w:pPr>
      <w:r w:rsidRPr="00C4466D">
        <w:rPr>
          <w:rStyle w:val="EndnoteReference"/>
          <w:rFonts w:asciiTheme="majorHAnsi" w:hAnsiTheme="majorHAnsi"/>
        </w:rPr>
        <w:endnoteRef/>
      </w:r>
      <w:r w:rsidRPr="00C4466D">
        <w:rPr>
          <w:rFonts w:asciiTheme="majorHAnsi" w:hAnsiTheme="majorHAnsi"/>
        </w:rPr>
        <w:t xml:space="preserve"> M Boyle, ‘Aging Boomers Befuddle Marketers Aching for $15 Trillion Prize’, </w:t>
      </w:r>
      <w:r w:rsidRPr="00C4466D">
        <w:rPr>
          <w:rFonts w:asciiTheme="majorHAnsi" w:hAnsiTheme="majorHAnsi"/>
          <w:i/>
        </w:rPr>
        <w:t>Bloomberg</w:t>
      </w:r>
      <w:r w:rsidRPr="00C4466D">
        <w:rPr>
          <w:rFonts w:asciiTheme="majorHAnsi" w:hAnsiTheme="majorHAnsi"/>
        </w:rPr>
        <w:t xml:space="preserve">, 17 September 2013. At: </w:t>
      </w:r>
      <w:hyperlink r:id="rId63" w:history="1">
        <w:r w:rsidRPr="00C4466D">
          <w:rPr>
            <w:rStyle w:val="Hyperlink"/>
            <w:rFonts w:asciiTheme="majorHAnsi" w:hAnsiTheme="majorHAnsi"/>
          </w:rPr>
          <w:t>http://www.bloomberg.com/news/2013-09-17/aging-boomers-befuddle-marketers-eying-15-trillion-prize.html?cmpid</w:t>
        </w:r>
      </w:hyperlink>
      <w:r w:rsidRPr="00C4466D">
        <w:rPr>
          <w:rFonts w:asciiTheme="majorHAnsi" w:hAnsiTheme="majorHAnsi"/>
        </w:rPr>
        <w:t>=  (viewed 13 February 2014)</w:t>
      </w:r>
    </w:p>
  </w:endnote>
  <w:endnote w:id="65">
    <w:p w:rsidR="00926A8A" w:rsidRPr="00C4466D" w:rsidRDefault="00926A8A">
      <w:pPr>
        <w:pStyle w:val="EndnoteText"/>
        <w:rPr>
          <w:rFonts w:asciiTheme="majorHAnsi" w:hAnsiTheme="majorHAnsi"/>
        </w:rPr>
      </w:pPr>
      <w:r w:rsidRPr="00C4466D">
        <w:rPr>
          <w:rStyle w:val="EndnoteReference"/>
          <w:rFonts w:asciiTheme="majorHAnsi" w:hAnsiTheme="majorHAnsi"/>
        </w:rPr>
        <w:endnoteRef/>
      </w:r>
      <w:r w:rsidRPr="00C4466D">
        <w:rPr>
          <w:rFonts w:asciiTheme="majorHAnsi" w:hAnsiTheme="majorHAnsi"/>
        </w:rPr>
        <w:t xml:space="preserve"> M Boyle, ‘Aging Boomers Befuddle Marketers Aching for $15 Trillion Prize’, </w:t>
      </w:r>
      <w:r w:rsidRPr="00C4466D">
        <w:rPr>
          <w:rFonts w:asciiTheme="majorHAnsi" w:hAnsiTheme="majorHAnsi"/>
          <w:i/>
        </w:rPr>
        <w:t>Bloomberg</w:t>
      </w:r>
      <w:r w:rsidRPr="00C4466D">
        <w:rPr>
          <w:rFonts w:asciiTheme="majorHAnsi" w:hAnsiTheme="majorHAnsi"/>
        </w:rPr>
        <w:t xml:space="preserve">, 17 September 2013. At: </w:t>
      </w:r>
      <w:hyperlink r:id="rId64" w:history="1">
        <w:r w:rsidRPr="00C4466D">
          <w:rPr>
            <w:rStyle w:val="Hyperlink"/>
            <w:rFonts w:asciiTheme="majorHAnsi" w:hAnsiTheme="majorHAnsi"/>
          </w:rPr>
          <w:t>http://www.bloomberg.com/news/2013-09-17/aging-boomers-befuddle-marketers-eying-15-trillion-prize.html?cmpid</w:t>
        </w:r>
      </w:hyperlink>
      <w:r w:rsidRPr="00C4466D">
        <w:rPr>
          <w:rFonts w:asciiTheme="majorHAnsi" w:hAnsiTheme="majorHAnsi"/>
        </w:rPr>
        <w:t>=  (viewed 13 February 2014)</w:t>
      </w:r>
    </w:p>
  </w:endnote>
  <w:endnote w:id="66">
    <w:p w:rsidR="00926A8A" w:rsidRPr="00C4466D" w:rsidRDefault="00926A8A">
      <w:pPr>
        <w:pStyle w:val="EndnoteText"/>
        <w:rPr>
          <w:rFonts w:asciiTheme="majorHAnsi" w:hAnsiTheme="majorHAnsi"/>
        </w:rPr>
      </w:pPr>
      <w:r w:rsidRPr="00C4466D">
        <w:rPr>
          <w:rStyle w:val="EndnoteReference"/>
          <w:rFonts w:asciiTheme="majorHAnsi" w:hAnsiTheme="majorHAnsi"/>
        </w:rPr>
        <w:endnoteRef/>
      </w:r>
      <w:r w:rsidRPr="00C4466D">
        <w:rPr>
          <w:rFonts w:asciiTheme="majorHAnsi" w:hAnsiTheme="majorHAnsi"/>
        </w:rPr>
        <w:t xml:space="preserve"> M Boyle, ‘Aging Boomers Befuddle Marketers Aching for $15 Trillion Prize’, </w:t>
      </w:r>
      <w:r w:rsidRPr="00C4466D">
        <w:rPr>
          <w:rFonts w:asciiTheme="majorHAnsi" w:hAnsiTheme="majorHAnsi"/>
          <w:i/>
        </w:rPr>
        <w:t>Bloomberg</w:t>
      </w:r>
      <w:r w:rsidRPr="00C4466D">
        <w:rPr>
          <w:rFonts w:asciiTheme="majorHAnsi" w:hAnsiTheme="majorHAnsi"/>
        </w:rPr>
        <w:t xml:space="preserve">, 17 September 2013. At: </w:t>
      </w:r>
      <w:hyperlink r:id="rId65" w:history="1">
        <w:r w:rsidRPr="00C4466D">
          <w:rPr>
            <w:rStyle w:val="Hyperlink"/>
            <w:rFonts w:asciiTheme="majorHAnsi" w:hAnsiTheme="majorHAnsi"/>
          </w:rPr>
          <w:t>http://www.bloomberg.com/news/2013-09-17/aging-boomers-befuddle-marketers-eying-15-trillion-prize.html?cmpid</w:t>
        </w:r>
      </w:hyperlink>
      <w:r w:rsidRPr="00C4466D">
        <w:rPr>
          <w:rFonts w:asciiTheme="majorHAnsi" w:hAnsiTheme="majorHAnsi"/>
        </w:rPr>
        <w:t>=  (viewed 13 February 2014</w:t>
      </w:r>
    </w:p>
  </w:endnote>
  <w:endnote w:id="67">
    <w:p w:rsidR="00926A8A" w:rsidRPr="00C4466D" w:rsidRDefault="00926A8A">
      <w:pPr>
        <w:pStyle w:val="EndnoteText"/>
        <w:rPr>
          <w:rFonts w:asciiTheme="majorHAnsi" w:hAnsiTheme="majorHAnsi"/>
        </w:rPr>
      </w:pPr>
      <w:r w:rsidRPr="00C4466D">
        <w:rPr>
          <w:rStyle w:val="EndnoteReference"/>
          <w:rFonts w:asciiTheme="majorHAnsi" w:hAnsiTheme="majorHAnsi"/>
        </w:rPr>
        <w:endnoteRef/>
      </w:r>
      <w:r w:rsidRPr="00C4466D">
        <w:rPr>
          <w:rFonts w:asciiTheme="majorHAnsi" w:hAnsiTheme="majorHAnsi"/>
        </w:rPr>
        <w:t xml:space="preserve"> M Boyle, ‘Aging Boomers Befuddle Marketers Aching for $15 Trillion Prize’, </w:t>
      </w:r>
      <w:r w:rsidRPr="00C4466D">
        <w:rPr>
          <w:rFonts w:asciiTheme="majorHAnsi" w:hAnsiTheme="majorHAnsi"/>
          <w:i/>
        </w:rPr>
        <w:t>Bloomberg</w:t>
      </w:r>
      <w:r w:rsidRPr="00C4466D">
        <w:rPr>
          <w:rFonts w:asciiTheme="majorHAnsi" w:hAnsiTheme="majorHAnsi"/>
        </w:rPr>
        <w:t xml:space="preserve">, 17 September 2013. At: </w:t>
      </w:r>
      <w:hyperlink r:id="rId66" w:history="1">
        <w:r w:rsidRPr="00C4466D">
          <w:rPr>
            <w:rStyle w:val="Hyperlink"/>
            <w:rFonts w:asciiTheme="majorHAnsi" w:hAnsiTheme="majorHAnsi"/>
          </w:rPr>
          <w:t>http://www.bloomberg.com/news/2013-09-17/aging-boomers-befuddle-marketers-eying-15-trillion-prize.html?cmpid</w:t>
        </w:r>
      </w:hyperlink>
      <w:r w:rsidRPr="00C4466D">
        <w:rPr>
          <w:rFonts w:asciiTheme="majorHAnsi" w:hAnsiTheme="majorHAnsi"/>
        </w:rPr>
        <w:t>=  (viewed 13 February 2014)</w:t>
      </w:r>
    </w:p>
  </w:endnote>
  <w:endnote w:id="68">
    <w:p w:rsidR="00926A8A" w:rsidRPr="00C4466D" w:rsidRDefault="00926A8A">
      <w:pPr>
        <w:pStyle w:val="EndnoteText"/>
        <w:rPr>
          <w:rFonts w:asciiTheme="majorHAnsi" w:hAnsiTheme="majorHAnsi"/>
        </w:rPr>
      </w:pPr>
      <w:r w:rsidRPr="00C4466D">
        <w:rPr>
          <w:rStyle w:val="EndnoteReference"/>
          <w:rFonts w:asciiTheme="majorHAnsi" w:hAnsiTheme="majorHAnsi"/>
        </w:rPr>
        <w:endnoteRef/>
      </w:r>
      <w:r w:rsidRPr="00C4466D">
        <w:rPr>
          <w:rFonts w:asciiTheme="majorHAnsi" w:hAnsiTheme="majorHAnsi"/>
        </w:rPr>
        <w:t xml:space="preserve"> M Boyle, ‘Aging Boomers Befuddle Marketers Aching for $15 Trillion Prize’, </w:t>
      </w:r>
      <w:r w:rsidRPr="00C4466D">
        <w:rPr>
          <w:rFonts w:asciiTheme="majorHAnsi" w:hAnsiTheme="majorHAnsi"/>
          <w:i/>
        </w:rPr>
        <w:t>Bloomberg</w:t>
      </w:r>
      <w:r w:rsidRPr="00C4466D">
        <w:rPr>
          <w:rFonts w:asciiTheme="majorHAnsi" w:hAnsiTheme="majorHAnsi"/>
        </w:rPr>
        <w:t xml:space="preserve">, 17 September 2013. At: </w:t>
      </w:r>
      <w:hyperlink r:id="rId67" w:history="1">
        <w:r w:rsidRPr="00C4466D">
          <w:rPr>
            <w:rStyle w:val="Hyperlink"/>
            <w:rFonts w:asciiTheme="majorHAnsi" w:hAnsiTheme="majorHAnsi"/>
          </w:rPr>
          <w:t>http://www.bloomberg.com/news/2013-09-17/aging-boomers-befuddle-marketers-eying-15-trillion-prize.html?cmpid</w:t>
        </w:r>
      </w:hyperlink>
      <w:r w:rsidRPr="00C4466D">
        <w:rPr>
          <w:rFonts w:asciiTheme="majorHAnsi" w:hAnsiTheme="majorHAnsi"/>
        </w:rPr>
        <w:t>=  (viewed 13 February 2014)</w:t>
      </w:r>
    </w:p>
  </w:endnote>
  <w:endnote w:id="69">
    <w:p w:rsidR="00926A8A" w:rsidRPr="00C4466D" w:rsidRDefault="00926A8A">
      <w:pPr>
        <w:pStyle w:val="EndnoteText"/>
        <w:rPr>
          <w:rFonts w:asciiTheme="majorHAnsi" w:hAnsiTheme="majorHAnsi"/>
        </w:rPr>
      </w:pPr>
      <w:r w:rsidRPr="00C4466D">
        <w:rPr>
          <w:rStyle w:val="EndnoteReference"/>
          <w:rFonts w:asciiTheme="majorHAnsi" w:hAnsiTheme="majorHAnsi"/>
        </w:rPr>
        <w:endnoteRef/>
      </w:r>
      <w:r w:rsidRPr="00C4466D">
        <w:rPr>
          <w:rFonts w:asciiTheme="majorHAnsi" w:hAnsiTheme="majorHAnsi"/>
        </w:rPr>
        <w:t xml:space="preserve"> Marketing IQ, </w:t>
      </w:r>
      <w:r w:rsidRPr="00C4466D">
        <w:rPr>
          <w:rFonts w:asciiTheme="majorHAnsi" w:hAnsiTheme="majorHAnsi"/>
          <w:i/>
        </w:rPr>
        <w:t>The Untapped Market: Today’s Older Consumer – Benchmarking Analytics for Marketing to the Older Consumer</w:t>
      </w:r>
      <w:r w:rsidRPr="00C4466D">
        <w:rPr>
          <w:rFonts w:asciiTheme="majorHAnsi" w:hAnsiTheme="majorHAnsi"/>
        </w:rPr>
        <w:t xml:space="preserve">, 2011. At: </w:t>
      </w:r>
      <w:hyperlink r:id="rId68" w:history="1">
        <w:r w:rsidRPr="00C4466D">
          <w:rPr>
            <w:rStyle w:val="Hyperlink"/>
            <w:rFonts w:asciiTheme="majorHAnsi" w:hAnsiTheme="majorHAnsi"/>
          </w:rPr>
          <w:t>http://www.iqpc.com/GetDownload.aspx?EventID=20634.001&amp;content_url=%2fuploadedFiles%2fEventRedesign%2fAustralia%2f2011%2fOctober%2f20634001%2fAssets%2fBaby_Boomer_Analytics_Paper.pdf</w:t>
        </w:r>
      </w:hyperlink>
      <w:r w:rsidRPr="00C4466D">
        <w:rPr>
          <w:rFonts w:asciiTheme="majorHAnsi" w:hAnsiTheme="majorHAnsi"/>
        </w:rPr>
        <w:t xml:space="preserve">  (viewed 18 February 2014)</w:t>
      </w:r>
    </w:p>
  </w:endnote>
  <w:endnote w:id="70">
    <w:p w:rsidR="00926A8A" w:rsidRPr="00C4466D" w:rsidRDefault="00926A8A">
      <w:pPr>
        <w:pStyle w:val="EndnoteText"/>
        <w:rPr>
          <w:rFonts w:asciiTheme="majorHAnsi" w:hAnsiTheme="majorHAnsi"/>
        </w:rPr>
      </w:pPr>
      <w:r w:rsidRPr="00C4466D">
        <w:rPr>
          <w:rStyle w:val="EndnoteReference"/>
          <w:rFonts w:asciiTheme="majorHAnsi" w:hAnsiTheme="majorHAnsi"/>
        </w:rPr>
        <w:endnoteRef/>
      </w:r>
      <w:r w:rsidRPr="00C4466D">
        <w:rPr>
          <w:rFonts w:asciiTheme="majorHAnsi" w:hAnsiTheme="majorHAnsi"/>
        </w:rPr>
        <w:t xml:space="preserve"> M Strzelecki, ‘Coming of Age’, </w:t>
      </w:r>
      <w:r w:rsidRPr="00C4466D">
        <w:rPr>
          <w:rFonts w:asciiTheme="majorHAnsi" w:hAnsiTheme="majorHAnsi"/>
          <w:i/>
        </w:rPr>
        <w:t>Retail Leader</w:t>
      </w:r>
      <w:r w:rsidRPr="00C4466D">
        <w:rPr>
          <w:rFonts w:asciiTheme="majorHAnsi" w:hAnsiTheme="majorHAnsi"/>
        </w:rPr>
        <w:t xml:space="preserve">, November 2013. At: </w:t>
      </w:r>
      <w:hyperlink r:id="rId69" w:history="1">
        <w:r w:rsidRPr="00C4466D">
          <w:rPr>
            <w:rStyle w:val="Hyperlink"/>
            <w:rFonts w:asciiTheme="majorHAnsi" w:hAnsiTheme="majorHAnsi"/>
          </w:rPr>
          <w:t>http://www.retailleader.com/article-coming_of_age-6646-part2.html</w:t>
        </w:r>
      </w:hyperlink>
      <w:r w:rsidRPr="00C4466D">
        <w:rPr>
          <w:rFonts w:asciiTheme="majorHAnsi" w:hAnsiTheme="majorHAnsi"/>
        </w:rPr>
        <w:t xml:space="preserve">  (viewed 19 February 2014)</w:t>
      </w:r>
    </w:p>
  </w:endnote>
  <w:endnote w:id="71">
    <w:p w:rsidR="00926A8A" w:rsidRPr="00C4466D" w:rsidRDefault="00926A8A">
      <w:pPr>
        <w:pStyle w:val="EndnoteText"/>
        <w:rPr>
          <w:rFonts w:asciiTheme="majorHAnsi" w:hAnsiTheme="majorHAnsi"/>
        </w:rPr>
      </w:pPr>
      <w:r w:rsidRPr="00C4466D">
        <w:rPr>
          <w:rStyle w:val="EndnoteReference"/>
          <w:rFonts w:asciiTheme="majorHAnsi" w:hAnsiTheme="majorHAnsi"/>
        </w:rPr>
        <w:endnoteRef/>
      </w:r>
      <w:r w:rsidRPr="00C4466D">
        <w:rPr>
          <w:rFonts w:asciiTheme="majorHAnsi" w:hAnsiTheme="majorHAnsi"/>
        </w:rPr>
        <w:t xml:space="preserve"> N Korn, </w:t>
      </w:r>
      <w:r w:rsidRPr="00C4466D">
        <w:rPr>
          <w:rFonts w:asciiTheme="majorHAnsi" w:hAnsiTheme="majorHAnsi"/>
          <w:i/>
        </w:rPr>
        <w:t>Boomers and Advertising</w:t>
      </w:r>
      <w:r w:rsidRPr="00C4466D">
        <w:rPr>
          <w:rFonts w:asciiTheme="majorHAnsi" w:hAnsiTheme="majorHAnsi"/>
        </w:rPr>
        <w:t xml:space="preserve">, (Interview as part of ABC’s Radio National with Natasha Mitchell, 1 February 2012). At: </w:t>
      </w:r>
      <w:hyperlink r:id="rId70" w:history="1">
        <w:r w:rsidRPr="00C4466D">
          <w:rPr>
            <w:rStyle w:val="Hyperlink"/>
            <w:rFonts w:asciiTheme="majorHAnsi" w:hAnsiTheme="majorHAnsi"/>
          </w:rPr>
          <w:t>http://www.abc.net.au/radionational/programs/lifematters/boomers-and-advertising/3803190</w:t>
        </w:r>
      </w:hyperlink>
      <w:r w:rsidRPr="00C4466D">
        <w:rPr>
          <w:rFonts w:asciiTheme="majorHAnsi" w:hAnsiTheme="majorHAnsi"/>
        </w:rPr>
        <w:t xml:space="preserve">  (viewed 13 February 2014)</w:t>
      </w:r>
    </w:p>
  </w:endnote>
  <w:endnote w:id="72">
    <w:p w:rsidR="00926A8A" w:rsidRPr="00C4466D" w:rsidRDefault="00926A8A" w:rsidP="00D4670A">
      <w:pPr>
        <w:pStyle w:val="EndnoteText"/>
        <w:rPr>
          <w:rFonts w:asciiTheme="majorHAnsi" w:hAnsiTheme="majorHAnsi"/>
        </w:rPr>
      </w:pPr>
      <w:r w:rsidRPr="00C4466D">
        <w:rPr>
          <w:rStyle w:val="EndnoteReference"/>
          <w:rFonts w:asciiTheme="majorHAnsi" w:hAnsiTheme="majorHAnsi"/>
        </w:rPr>
        <w:endnoteRef/>
      </w:r>
      <w:r w:rsidRPr="00C4466D">
        <w:rPr>
          <w:rFonts w:asciiTheme="majorHAnsi" w:hAnsiTheme="majorHAnsi"/>
        </w:rPr>
        <w:t xml:space="preserve"> N Korn, </w:t>
      </w:r>
      <w:r w:rsidRPr="00C4466D">
        <w:rPr>
          <w:rFonts w:asciiTheme="majorHAnsi" w:hAnsiTheme="majorHAnsi"/>
          <w:i/>
        </w:rPr>
        <w:t>Boomers and Advertising</w:t>
      </w:r>
      <w:r w:rsidRPr="00C4466D">
        <w:rPr>
          <w:rFonts w:asciiTheme="majorHAnsi" w:hAnsiTheme="majorHAnsi"/>
        </w:rPr>
        <w:t xml:space="preserve">, (Interview as part of ABC’s Radio National with Natasha Mitchell, 1 February 2012). At: </w:t>
      </w:r>
      <w:hyperlink r:id="rId71" w:history="1">
        <w:r w:rsidRPr="00C4466D">
          <w:rPr>
            <w:rStyle w:val="Hyperlink"/>
            <w:rFonts w:asciiTheme="majorHAnsi" w:hAnsiTheme="majorHAnsi"/>
          </w:rPr>
          <w:t>http://www.abc.net.au/radionational/programs/lifematters/boomers-and-advertising/3803190</w:t>
        </w:r>
      </w:hyperlink>
      <w:r w:rsidRPr="00C4466D">
        <w:rPr>
          <w:rFonts w:asciiTheme="majorHAnsi" w:hAnsiTheme="majorHAnsi"/>
        </w:rPr>
        <w:t xml:space="preserve">  (viewed 13 February 2014)</w:t>
      </w:r>
    </w:p>
  </w:endnote>
  <w:endnote w:id="73">
    <w:p w:rsidR="00926A8A" w:rsidRPr="00C4466D" w:rsidRDefault="00926A8A">
      <w:pPr>
        <w:pStyle w:val="EndnoteText"/>
        <w:rPr>
          <w:rFonts w:asciiTheme="majorHAnsi" w:hAnsiTheme="majorHAnsi"/>
        </w:rPr>
      </w:pPr>
      <w:r w:rsidRPr="00C4466D">
        <w:rPr>
          <w:rStyle w:val="EndnoteReference"/>
          <w:rFonts w:asciiTheme="majorHAnsi" w:hAnsiTheme="majorHAnsi"/>
        </w:rPr>
        <w:endnoteRef/>
      </w:r>
      <w:r w:rsidRPr="00C4466D">
        <w:rPr>
          <w:rFonts w:asciiTheme="majorHAnsi" w:hAnsiTheme="majorHAnsi"/>
        </w:rPr>
        <w:t xml:space="preserve"> A.T. Kearney, </w:t>
      </w:r>
      <w:r w:rsidRPr="00C4466D">
        <w:rPr>
          <w:rFonts w:asciiTheme="majorHAnsi" w:hAnsiTheme="majorHAnsi"/>
          <w:i/>
        </w:rPr>
        <w:t>Understanding the Needs and Consequences of the Ageing Consumer</w:t>
      </w:r>
      <w:r w:rsidRPr="00C4466D">
        <w:rPr>
          <w:rFonts w:asciiTheme="majorHAnsi" w:hAnsiTheme="majorHAnsi"/>
        </w:rPr>
        <w:t xml:space="preserve">, 2013, p. 10. At: </w:t>
      </w:r>
      <w:hyperlink r:id="rId72" w:history="1">
        <w:r w:rsidRPr="00C4466D">
          <w:rPr>
            <w:rStyle w:val="Hyperlink"/>
            <w:rFonts w:asciiTheme="majorHAnsi" w:hAnsiTheme="majorHAnsi"/>
          </w:rPr>
          <w:t>http://www.atkearney.com/paper/-/asset_publisher/dVxv4Hz2h8bS/content/understanding-the-needs-and-consequences-of-the-ageing-consumer/10192</w:t>
        </w:r>
      </w:hyperlink>
      <w:r w:rsidRPr="00C4466D">
        <w:rPr>
          <w:rFonts w:asciiTheme="majorHAnsi" w:hAnsiTheme="majorHAnsi"/>
        </w:rPr>
        <w:t xml:space="preserve">  (viewed 13 February 2014)</w:t>
      </w:r>
    </w:p>
  </w:endnote>
  <w:endnote w:id="74">
    <w:p w:rsidR="00926A8A" w:rsidRPr="00C4466D" w:rsidRDefault="00926A8A">
      <w:pPr>
        <w:pStyle w:val="EndnoteText"/>
        <w:rPr>
          <w:rFonts w:asciiTheme="majorHAnsi" w:hAnsiTheme="majorHAnsi"/>
        </w:rPr>
      </w:pPr>
      <w:r w:rsidRPr="00C4466D">
        <w:rPr>
          <w:rStyle w:val="EndnoteReference"/>
          <w:rFonts w:asciiTheme="majorHAnsi" w:hAnsiTheme="majorHAnsi"/>
        </w:rPr>
        <w:endnoteRef/>
      </w:r>
      <w:r w:rsidRPr="00C4466D">
        <w:rPr>
          <w:rFonts w:asciiTheme="majorHAnsi" w:hAnsiTheme="majorHAnsi"/>
        </w:rPr>
        <w:t xml:space="preserve"> Marketing IQ, </w:t>
      </w:r>
      <w:r w:rsidRPr="00C4466D">
        <w:rPr>
          <w:rFonts w:asciiTheme="majorHAnsi" w:hAnsiTheme="majorHAnsi"/>
          <w:i/>
        </w:rPr>
        <w:t>The Untapped Market: Today’s Older Consumer – Benchmarking Analytics for Marketing to the Older Consumer</w:t>
      </w:r>
      <w:r w:rsidRPr="00C4466D">
        <w:rPr>
          <w:rFonts w:asciiTheme="majorHAnsi" w:hAnsiTheme="majorHAnsi"/>
        </w:rPr>
        <w:t xml:space="preserve">, 2011. At: </w:t>
      </w:r>
      <w:hyperlink r:id="rId73" w:history="1">
        <w:r w:rsidRPr="00C4466D">
          <w:rPr>
            <w:rStyle w:val="Hyperlink"/>
            <w:rFonts w:asciiTheme="majorHAnsi" w:hAnsiTheme="majorHAnsi"/>
          </w:rPr>
          <w:t>http://www.iqpc.com/GetDownload.aspx?EventID=20634.001&amp;content_url=%2fuploadedFiles%2fEventRedesign%2fAustralia%2f2011%2fOctober%2f20634001%2fAssets%2fBaby_Boomer_Analytics_Paper.pdf</w:t>
        </w:r>
      </w:hyperlink>
      <w:r w:rsidRPr="00C4466D">
        <w:rPr>
          <w:rFonts w:asciiTheme="majorHAnsi" w:hAnsiTheme="majorHAnsi"/>
        </w:rPr>
        <w:t xml:space="preserve">  (viewed 18 February 2014)</w:t>
      </w:r>
    </w:p>
  </w:endnote>
  <w:endnote w:id="75">
    <w:p w:rsidR="00926A8A" w:rsidRPr="00C4466D" w:rsidRDefault="00926A8A">
      <w:pPr>
        <w:pStyle w:val="EndnoteText"/>
        <w:rPr>
          <w:rFonts w:asciiTheme="majorHAnsi" w:hAnsiTheme="majorHAnsi"/>
        </w:rPr>
      </w:pPr>
      <w:r w:rsidRPr="00C4466D">
        <w:rPr>
          <w:rStyle w:val="EndnoteReference"/>
          <w:rFonts w:asciiTheme="majorHAnsi" w:hAnsiTheme="majorHAnsi"/>
        </w:rPr>
        <w:endnoteRef/>
      </w:r>
      <w:r w:rsidRPr="00C4466D">
        <w:rPr>
          <w:rFonts w:asciiTheme="majorHAnsi" w:hAnsiTheme="majorHAnsi"/>
        </w:rPr>
        <w:t xml:space="preserve"> E Byron, ‘How to Market to an Aging Boomer: Flattery, Subterfuge and Euphemism’, </w:t>
      </w:r>
      <w:r w:rsidRPr="00C4466D">
        <w:rPr>
          <w:rFonts w:asciiTheme="majorHAnsi" w:hAnsiTheme="majorHAnsi"/>
          <w:i/>
        </w:rPr>
        <w:t>The Wall Street Journal</w:t>
      </w:r>
      <w:r w:rsidRPr="00C4466D">
        <w:rPr>
          <w:rFonts w:asciiTheme="majorHAnsi" w:hAnsiTheme="majorHAnsi"/>
        </w:rPr>
        <w:t xml:space="preserve">, 5 February 2011, p. 1-3. At: </w:t>
      </w:r>
      <w:hyperlink r:id="rId74" w:history="1">
        <w:r w:rsidRPr="00C4466D">
          <w:rPr>
            <w:rStyle w:val="Hyperlink"/>
            <w:rFonts w:asciiTheme="majorHAnsi" w:hAnsiTheme="majorHAnsi"/>
          </w:rPr>
          <w:t>http://www.iqpc.com/GetDownload.aspx?EventID=20634.001&amp;content_url=%2fuploadedFiles%2fEventRedesign%2fAustralia%2f2011%2fOctober%2f20634001%2fAssets%2fArticle_How_to_Market_to_an_Aging_Boomer.pdf</w:t>
        </w:r>
      </w:hyperlink>
      <w:r w:rsidRPr="00C4466D">
        <w:rPr>
          <w:rFonts w:asciiTheme="majorHAnsi" w:hAnsiTheme="majorHAnsi"/>
        </w:rPr>
        <w:t xml:space="preserve"> (viewed 13 February 2014)</w:t>
      </w:r>
    </w:p>
  </w:endnote>
  <w:endnote w:id="76">
    <w:p w:rsidR="00926A8A" w:rsidRPr="00C4466D" w:rsidRDefault="00926A8A">
      <w:pPr>
        <w:pStyle w:val="EndnoteText"/>
        <w:rPr>
          <w:rFonts w:asciiTheme="majorHAnsi" w:hAnsiTheme="majorHAnsi"/>
        </w:rPr>
      </w:pPr>
      <w:r w:rsidRPr="00C4466D">
        <w:rPr>
          <w:rStyle w:val="EndnoteReference"/>
          <w:rFonts w:asciiTheme="majorHAnsi" w:hAnsiTheme="majorHAnsi"/>
        </w:rPr>
        <w:endnoteRef/>
      </w:r>
      <w:r w:rsidRPr="00C4466D">
        <w:rPr>
          <w:rFonts w:asciiTheme="majorHAnsi" w:hAnsiTheme="majorHAnsi"/>
        </w:rPr>
        <w:t xml:space="preserve"> Marketing IQ, </w:t>
      </w:r>
      <w:r w:rsidRPr="00C4466D">
        <w:rPr>
          <w:rFonts w:asciiTheme="majorHAnsi" w:hAnsiTheme="majorHAnsi"/>
          <w:i/>
        </w:rPr>
        <w:t>The Untapped Market: Today’s Older Consumer – Benchmarking Analytics for Marketing to the Older Consumer</w:t>
      </w:r>
      <w:r w:rsidRPr="00C4466D">
        <w:rPr>
          <w:rFonts w:asciiTheme="majorHAnsi" w:hAnsiTheme="majorHAnsi"/>
        </w:rPr>
        <w:t xml:space="preserve">, 2011. At: </w:t>
      </w:r>
      <w:hyperlink r:id="rId75" w:history="1">
        <w:r w:rsidRPr="00C4466D">
          <w:rPr>
            <w:rStyle w:val="Hyperlink"/>
            <w:rFonts w:asciiTheme="majorHAnsi" w:hAnsiTheme="majorHAnsi"/>
          </w:rPr>
          <w:t>http://www.iqpc.com/GetDownload.aspx?EventID=20634.001&amp;content_url=%2fuploadedFiles%2fEventRedesign%2fAustralia%2f2011%2fOctober%2f20634001%2fAssets%2fBaby_Boomer_Analytics_Paper.pdf</w:t>
        </w:r>
      </w:hyperlink>
      <w:r w:rsidRPr="00C4466D">
        <w:rPr>
          <w:rFonts w:asciiTheme="majorHAnsi" w:hAnsiTheme="majorHAnsi"/>
        </w:rPr>
        <w:t xml:space="preserve">  (viewed 18 February 2014)</w:t>
      </w:r>
    </w:p>
  </w:endnote>
  <w:endnote w:id="77">
    <w:p w:rsidR="00926A8A" w:rsidRPr="00C4466D" w:rsidRDefault="00926A8A">
      <w:pPr>
        <w:pStyle w:val="EndnoteText"/>
        <w:rPr>
          <w:rFonts w:asciiTheme="majorHAnsi" w:hAnsiTheme="majorHAnsi"/>
        </w:rPr>
      </w:pPr>
      <w:r w:rsidRPr="00C4466D">
        <w:rPr>
          <w:rStyle w:val="EndnoteReference"/>
          <w:rFonts w:asciiTheme="majorHAnsi" w:hAnsiTheme="majorHAnsi"/>
        </w:rPr>
        <w:endnoteRef/>
      </w:r>
      <w:r w:rsidRPr="00C4466D">
        <w:rPr>
          <w:rFonts w:asciiTheme="majorHAnsi" w:hAnsiTheme="majorHAnsi"/>
        </w:rPr>
        <w:t xml:space="preserve"> R Meyer, ‘Boomers Say Ads Not Very Appealing’, </w:t>
      </w:r>
      <w:r w:rsidRPr="00C4466D">
        <w:rPr>
          <w:rFonts w:asciiTheme="majorHAnsi" w:hAnsiTheme="majorHAnsi"/>
          <w:i/>
        </w:rPr>
        <w:t>DTC Marketing.com</w:t>
      </w:r>
      <w:r w:rsidRPr="00C4466D">
        <w:rPr>
          <w:rFonts w:asciiTheme="majorHAnsi" w:hAnsiTheme="majorHAnsi"/>
        </w:rPr>
        <w:t xml:space="preserve">, 18 September 2013. At: </w:t>
      </w:r>
      <w:hyperlink r:id="rId76" w:history="1">
        <w:r w:rsidRPr="00C4466D">
          <w:rPr>
            <w:rStyle w:val="Hyperlink"/>
            <w:rFonts w:asciiTheme="majorHAnsi" w:hAnsiTheme="majorHAnsi"/>
          </w:rPr>
          <w:t>http://worldofdtcmarketing.com/boomers-say-ads-not-very-appealing/focus-on-patients/</w:t>
        </w:r>
      </w:hyperlink>
      <w:r w:rsidRPr="00C4466D">
        <w:rPr>
          <w:rFonts w:asciiTheme="majorHAnsi" w:hAnsiTheme="majorHAnsi"/>
        </w:rPr>
        <w:t xml:space="preserve">  (viewed 19 February 2014)</w:t>
      </w:r>
    </w:p>
  </w:endnote>
  <w:endnote w:id="78">
    <w:p w:rsidR="00926A8A" w:rsidRPr="00C4466D" w:rsidRDefault="00926A8A">
      <w:pPr>
        <w:pStyle w:val="EndnoteText"/>
        <w:rPr>
          <w:rFonts w:asciiTheme="majorHAnsi" w:hAnsiTheme="majorHAnsi"/>
        </w:rPr>
      </w:pPr>
      <w:r w:rsidRPr="00C4466D">
        <w:rPr>
          <w:rStyle w:val="EndnoteReference"/>
          <w:rFonts w:asciiTheme="majorHAnsi" w:hAnsiTheme="majorHAnsi"/>
        </w:rPr>
        <w:endnoteRef/>
      </w:r>
      <w:r w:rsidRPr="00C4466D">
        <w:rPr>
          <w:rFonts w:asciiTheme="majorHAnsi" w:hAnsiTheme="majorHAnsi"/>
        </w:rPr>
        <w:t xml:space="preserve"> R Meyer, ‘Boomers Say Ads Not Very Appealing’, </w:t>
      </w:r>
      <w:r w:rsidRPr="00C4466D">
        <w:rPr>
          <w:rFonts w:asciiTheme="majorHAnsi" w:hAnsiTheme="majorHAnsi"/>
          <w:i/>
        </w:rPr>
        <w:t>DTC Marketing.com</w:t>
      </w:r>
      <w:r w:rsidRPr="00C4466D">
        <w:rPr>
          <w:rFonts w:asciiTheme="majorHAnsi" w:hAnsiTheme="majorHAnsi"/>
        </w:rPr>
        <w:t xml:space="preserve">, 18 September 2013. At: </w:t>
      </w:r>
      <w:hyperlink r:id="rId77" w:history="1">
        <w:r w:rsidRPr="00C4466D">
          <w:rPr>
            <w:rStyle w:val="Hyperlink"/>
            <w:rFonts w:asciiTheme="majorHAnsi" w:hAnsiTheme="majorHAnsi"/>
          </w:rPr>
          <w:t>http://worldofdtcmarketing.com/boomers-say-ads-not-very-appealing/focus-on-patients/</w:t>
        </w:r>
      </w:hyperlink>
      <w:r w:rsidRPr="00C4466D">
        <w:rPr>
          <w:rFonts w:asciiTheme="majorHAnsi" w:hAnsiTheme="majorHAnsi"/>
        </w:rPr>
        <w:t xml:space="preserve">  (viewed 19 February 2014)</w:t>
      </w:r>
    </w:p>
  </w:endnote>
  <w:endnote w:id="79">
    <w:p w:rsidR="00926A8A" w:rsidRPr="00C4466D" w:rsidRDefault="00926A8A">
      <w:pPr>
        <w:pStyle w:val="EndnoteText"/>
        <w:rPr>
          <w:rFonts w:asciiTheme="majorHAnsi" w:hAnsiTheme="majorHAnsi"/>
        </w:rPr>
      </w:pPr>
      <w:r w:rsidRPr="00C4466D">
        <w:rPr>
          <w:rStyle w:val="EndnoteReference"/>
          <w:rFonts w:asciiTheme="majorHAnsi" w:hAnsiTheme="majorHAnsi"/>
        </w:rPr>
        <w:endnoteRef/>
      </w:r>
      <w:r w:rsidRPr="00C4466D">
        <w:rPr>
          <w:rFonts w:asciiTheme="majorHAnsi" w:hAnsiTheme="majorHAnsi"/>
        </w:rPr>
        <w:t xml:space="preserve"> A.T. Kearney, </w:t>
      </w:r>
      <w:r w:rsidRPr="00C4466D">
        <w:rPr>
          <w:rFonts w:asciiTheme="majorHAnsi" w:hAnsiTheme="majorHAnsi"/>
          <w:i/>
        </w:rPr>
        <w:t>Understanding the Needs and Consequences of the Ageing Consumer</w:t>
      </w:r>
      <w:r w:rsidRPr="00C4466D">
        <w:rPr>
          <w:rFonts w:asciiTheme="majorHAnsi" w:hAnsiTheme="majorHAnsi"/>
        </w:rPr>
        <w:t xml:space="preserve">, 2013, p. 10. At: </w:t>
      </w:r>
      <w:hyperlink r:id="rId78" w:history="1">
        <w:r w:rsidRPr="00C4466D">
          <w:rPr>
            <w:rStyle w:val="Hyperlink"/>
            <w:rFonts w:asciiTheme="majorHAnsi" w:hAnsiTheme="majorHAnsi"/>
          </w:rPr>
          <w:t>http://www.atkearney.com/paper/-/asset_publisher/dVxv4Hz2h8bS/content/understanding-the-needs-and-consequences-of-the-ageing-consumer/10192</w:t>
        </w:r>
      </w:hyperlink>
      <w:r w:rsidRPr="00C4466D">
        <w:rPr>
          <w:rFonts w:asciiTheme="majorHAnsi" w:hAnsiTheme="majorHAnsi"/>
        </w:rPr>
        <w:t xml:space="preserve">  (viewed 13 February 2014)</w:t>
      </w:r>
    </w:p>
  </w:endnote>
  <w:endnote w:id="80">
    <w:p w:rsidR="00926A8A" w:rsidRPr="00C4466D" w:rsidRDefault="00926A8A">
      <w:pPr>
        <w:pStyle w:val="EndnoteText"/>
        <w:rPr>
          <w:rFonts w:asciiTheme="majorHAnsi" w:hAnsiTheme="majorHAnsi"/>
        </w:rPr>
      </w:pPr>
      <w:r w:rsidRPr="00C4466D">
        <w:rPr>
          <w:rStyle w:val="EndnoteReference"/>
          <w:rFonts w:asciiTheme="majorHAnsi" w:hAnsiTheme="majorHAnsi"/>
        </w:rPr>
        <w:endnoteRef/>
      </w:r>
      <w:r w:rsidRPr="00C4466D">
        <w:rPr>
          <w:rFonts w:asciiTheme="majorHAnsi" w:hAnsiTheme="majorHAnsi"/>
        </w:rPr>
        <w:t xml:space="preserve"> M Boyle, ‘Aging Boomers Befuddle Marketers Aching for $15 Trillion Prize’, </w:t>
      </w:r>
      <w:r w:rsidRPr="00C4466D">
        <w:rPr>
          <w:rFonts w:asciiTheme="majorHAnsi" w:hAnsiTheme="majorHAnsi"/>
          <w:i/>
        </w:rPr>
        <w:t>Bloomberg</w:t>
      </w:r>
      <w:r w:rsidRPr="00C4466D">
        <w:rPr>
          <w:rFonts w:asciiTheme="majorHAnsi" w:hAnsiTheme="majorHAnsi"/>
        </w:rPr>
        <w:t xml:space="preserve">, 17 September 2013. At: </w:t>
      </w:r>
      <w:hyperlink r:id="rId79" w:history="1">
        <w:r w:rsidRPr="00C4466D">
          <w:rPr>
            <w:rStyle w:val="Hyperlink"/>
            <w:rFonts w:asciiTheme="majorHAnsi" w:hAnsiTheme="majorHAnsi"/>
          </w:rPr>
          <w:t>http://www.bloomberg.com/news/2013-09-17/aging-boomers-befuddle-marketers-eying-15-trillion-prize.html?cmpid</w:t>
        </w:r>
      </w:hyperlink>
      <w:r w:rsidRPr="00C4466D">
        <w:rPr>
          <w:rFonts w:asciiTheme="majorHAnsi" w:hAnsiTheme="majorHAnsi"/>
        </w:rPr>
        <w:t>=  (viewed 13 February 2014)</w:t>
      </w:r>
    </w:p>
  </w:endnote>
  <w:endnote w:id="81">
    <w:p w:rsidR="00926A8A" w:rsidRPr="00C4466D" w:rsidRDefault="00926A8A">
      <w:pPr>
        <w:pStyle w:val="EndnoteText"/>
        <w:rPr>
          <w:rFonts w:asciiTheme="majorHAnsi" w:hAnsiTheme="majorHAnsi"/>
        </w:rPr>
      </w:pPr>
      <w:r w:rsidRPr="00C4466D">
        <w:rPr>
          <w:rStyle w:val="EndnoteReference"/>
          <w:rFonts w:asciiTheme="majorHAnsi" w:hAnsiTheme="majorHAnsi"/>
        </w:rPr>
        <w:endnoteRef/>
      </w:r>
      <w:r w:rsidRPr="00C4466D">
        <w:rPr>
          <w:rFonts w:asciiTheme="majorHAnsi" w:hAnsiTheme="majorHAnsi"/>
        </w:rPr>
        <w:t xml:space="preserve"> Marketing IQ, </w:t>
      </w:r>
      <w:r w:rsidRPr="00C4466D">
        <w:rPr>
          <w:rFonts w:asciiTheme="majorHAnsi" w:hAnsiTheme="majorHAnsi"/>
          <w:i/>
        </w:rPr>
        <w:t>The Untapped Market: Today’s Older Consumer – Benchmarking Analytics for Marketing to the Older Consumer</w:t>
      </w:r>
      <w:r w:rsidRPr="00C4466D">
        <w:rPr>
          <w:rFonts w:asciiTheme="majorHAnsi" w:hAnsiTheme="majorHAnsi"/>
        </w:rPr>
        <w:t xml:space="preserve">, 2011. At: </w:t>
      </w:r>
      <w:hyperlink r:id="rId80" w:history="1">
        <w:r w:rsidRPr="00C4466D">
          <w:rPr>
            <w:rStyle w:val="Hyperlink"/>
            <w:rFonts w:asciiTheme="majorHAnsi" w:hAnsiTheme="majorHAnsi"/>
          </w:rPr>
          <w:t>http://www.iqpc.com/GetDownload.aspx?EventID=20634.001&amp;content_url=%2fuploadedFiles%2fEventRedesign%2fAustralia%2f2011%2fOctober%2f20634001%2fAssets%2fBaby_Boomer_Analytics_Paper.pdf</w:t>
        </w:r>
      </w:hyperlink>
      <w:r w:rsidRPr="00C4466D">
        <w:rPr>
          <w:rFonts w:asciiTheme="majorHAnsi" w:hAnsiTheme="majorHAnsi"/>
        </w:rPr>
        <w:t xml:space="preserve">  (viewed 18 February 2014)</w:t>
      </w:r>
    </w:p>
  </w:endnote>
  <w:endnote w:id="82">
    <w:p w:rsidR="00926A8A" w:rsidRPr="00C4466D" w:rsidRDefault="00926A8A">
      <w:pPr>
        <w:pStyle w:val="EndnoteText"/>
        <w:rPr>
          <w:rFonts w:asciiTheme="majorHAnsi" w:hAnsiTheme="majorHAnsi"/>
        </w:rPr>
      </w:pPr>
      <w:r w:rsidRPr="00C4466D">
        <w:rPr>
          <w:rStyle w:val="EndnoteReference"/>
          <w:rFonts w:asciiTheme="majorHAnsi" w:hAnsiTheme="majorHAnsi"/>
        </w:rPr>
        <w:endnoteRef/>
      </w:r>
      <w:r w:rsidRPr="00C4466D">
        <w:rPr>
          <w:rFonts w:asciiTheme="majorHAnsi" w:hAnsiTheme="majorHAnsi"/>
        </w:rPr>
        <w:t xml:space="preserve"> Marketing IQ, </w:t>
      </w:r>
      <w:r w:rsidRPr="00C4466D">
        <w:rPr>
          <w:rFonts w:asciiTheme="majorHAnsi" w:hAnsiTheme="majorHAnsi"/>
          <w:i/>
        </w:rPr>
        <w:t>The Untapped Market: Today’s Older Consumer – Benchmarking Analytics for Marketing to the Older Consumer</w:t>
      </w:r>
      <w:r w:rsidRPr="00C4466D">
        <w:rPr>
          <w:rFonts w:asciiTheme="majorHAnsi" w:hAnsiTheme="majorHAnsi"/>
        </w:rPr>
        <w:t xml:space="preserve">, 2011. At: </w:t>
      </w:r>
      <w:hyperlink r:id="rId81" w:history="1">
        <w:r w:rsidRPr="00C4466D">
          <w:rPr>
            <w:rStyle w:val="Hyperlink"/>
            <w:rFonts w:asciiTheme="majorHAnsi" w:hAnsiTheme="majorHAnsi"/>
          </w:rPr>
          <w:t>http://www.iqpc.com/GetDownload.aspx?EventID=20634.001&amp;content_url=%2fuploadedFiles%2fEventRedesign%2fAustralia%2f2011%2fOctober%2f20634001%2fAssets%2fBaby_Boomer_Analytics_Paper.pdf</w:t>
        </w:r>
      </w:hyperlink>
      <w:r w:rsidRPr="00C4466D">
        <w:rPr>
          <w:rFonts w:asciiTheme="majorHAnsi" w:hAnsiTheme="majorHAnsi"/>
        </w:rPr>
        <w:t xml:space="preserve">  (viewed 18 February 2014)</w:t>
      </w:r>
    </w:p>
  </w:endnote>
  <w:endnote w:id="83">
    <w:p w:rsidR="00926A8A" w:rsidRPr="00C4466D" w:rsidRDefault="00926A8A">
      <w:pPr>
        <w:pStyle w:val="EndnoteText"/>
        <w:rPr>
          <w:rFonts w:asciiTheme="majorHAnsi" w:hAnsiTheme="majorHAnsi"/>
        </w:rPr>
      </w:pPr>
      <w:r w:rsidRPr="00C4466D">
        <w:rPr>
          <w:rStyle w:val="EndnoteReference"/>
          <w:rFonts w:asciiTheme="majorHAnsi" w:hAnsiTheme="majorHAnsi"/>
        </w:rPr>
        <w:endnoteRef/>
      </w:r>
      <w:r w:rsidRPr="00C4466D">
        <w:rPr>
          <w:rFonts w:asciiTheme="majorHAnsi" w:hAnsiTheme="majorHAnsi"/>
        </w:rPr>
        <w:t xml:space="preserve"> E Byron, ‘How to Market to an Aging Boomer: Flattery, Subterfuge and Euphemism’, </w:t>
      </w:r>
      <w:r w:rsidRPr="00C4466D">
        <w:rPr>
          <w:rFonts w:asciiTheme="majorHAnsi" w:hAnsiTheme="majorHAnsi"/>
          <w:i/>
        </w:rPr>
        <w:t>The Wall Street Journal</w:t>
      </w:r>
      <w:r w:rsidRPr="00C4466D">
        <w:rPr>
          <w:rFonts w:asciiTheme="majorHAnsi" w:hAnsiTheme="majorHAnsi"/>
        </w:rPr>
        <w:t xml:space="preserve">, 5 February 2011, p. 1-3. At: </w:t>
      </w:r>
      <w:hyperlink r:id="rId82" w:history="1">
        <w:r w:rsidRPr="00C4466D">
          <w:rPr>
            <w:rStyle w:val="Hyperlink"/>
            <w:rFonts w:asciiTheme="majorHAnsi" w:hAnsiTheme="majorHAnsi"/>
          </w:rPr>
          <w:t>http://www.iqpc.com/GetDownload.aspx?EventID=20634.001&amp;content_url=%2fuploadedFiles%2fEventRedesign%2fAustralia%2f2011%2fOctober%2f20634001%2fAssets%2fArticle_How_to_Market_to_an_Aging_Boomer.pdf</w:t>
        </w:r>
      </w:hyperlink>
      <w:r w:rsidRPr="00C4466D">
        <w:rPr>
          <w:rFonts w:asciiTheme="majorHAnsi" w:hAnsiTheme="majorHAnsi"/>
        </w:rPr>
        <w:t xml:space="preserve"> (viewed 13 February 2014)</w:t>
      </w:r>
    </w:p>
  </w:endnote>
  <w:endnote w:id="84">
    <w:p w:rsidR="00926A8A" w:rsidRPr="00C4466D" w:rsidRDefault="00926A8A">
      <w:pPr>
        <w:pStyle w:val="EndnoteText"/>
        <w:rPr>
          <w:rFonts w:asciiTheme="majorHAnsi" w:hAnsiTheme="majorHAnsi"/>
        </w:rPr>
      </w:pPr>
      <w:r w:rsidRPr="00C4466D">
        <w:rPr>
          <w:rStyle w:val="EndnoteReference"/>
          <w:rFonts w:asciiTheme="majorHAnsi" w:hAnsiTheme="majorHAnsi"/>
        </w:rPr>
        <w:endnoteRef/>
      </w:r>
      <w:r w:rsidRPr="00C4466D">
        <w:rPr>
          <w:rFonts w:asciiTheme="majorHAnsi" w:hAnsiTheme="majorHAnsi"/>
        </w:rPr>
        <w:t xml:space="preserve"> E Byron, ‘How to Market to an Aging Boomer: Flattery, Subterfuge and Euphemism’, </w:t>
      </w:r>
      <w:r w:rsidRPr="00C4466D">
        <w:rPr>
          <w:rFonts w:asciiTheme="majorHAnsi" w:hAnsiTheme="majorHAnsi"/>
          <w:i/>
        </w:rPr>
        <w:t>The Wall Street Journal</w:t>
      </w:r>
      <w:r w:rsidRPr="00C4466D">
        <w:rPr>
          <w:rFonts w:asciiTheme="majorHAnsi" w:hAnsiTheme="majorHAnsi"/>
        </w:rPr>
        <w:t xml:space="preserve">, 5 February 2011, p. 1. At: </w:t>
      </w:r>
      <w:hyperlink r:id="rId83" w:history="1">
        <w:r w:rsidRPr="00C4466D">
          <w:rPr>
            <w:rStyle w:val="Hyperlink"/>
            <w:rFonts w:asciiTheme="majorHAnsi" w:hAnsiTheme="majorHAnsi"/>
          </w:rPr>
          <w:t>http://www.iqpc.com/GetDownload.aspx?EventID=20634.001&amp;content_url=%2fuploadedFiles%2fEventRedesign%2fAustralia%2f2011%2fOctober%2f20634001%2fAssets%2fArticle_How_to_Market_to_an_Aging_Boomer.pdf</w:t>
        </w:r>
      </w:hyperlink>
      <w:r w:rsidRPr="00C4466D">
        <w:rPr>
          <w:rFonts w:asciiTheme="majorHAnsi" w:hAnsiTheme="majorHAnsi"/>
        </w:rPr>
        <w:t xml:space="preserve"> (viewed 13 February 2014)</w:t>
      </w:r>
    </w:p>
  </w:endnote>
  <w:endnote w:id="85">
    <w:p w:rsidR="00926A8A" w:rsidRPr="00C4466D" w:rsidRDefault="00926A8A">
      <w:pPr>
        <w:pStyle w:val="EndnoteText"/>
        <w:rPr>
          <w:rFonts w:asciiTheme="majorHAnsi" w:hAnsiTheme="majorHAnsi"/>
        </w:rPr>
      </w:pPr>
      <w:r w:rsidRPr="00C4466D">
        <w:rPr>
          <w:rStyle w:val="EndnoteReference"/>
          <w:rFonts w:asciiTheme="majorHAnsi" w:hAnsiTheme="majorHAnsi"/>
        </w:rPr>
        <w:endnoteRef/>
      </w:r>
      <w:r w:rsidRPr="00C4466D">
        <w:rPr>
          <w:rFonts w:asciiTheme="majorHAnsi" w:hAnsiTheme="majorHAnsi"/>
        </w:rPr>
        <w:t xml:space="preserve"> E Byron, ‘How to Market to an Aging Boomer: Flattery, Subterfuge and Euphemism’, </w:t>
      </w:r>
      <w:r w:rsidRPr="00C4466D">
        <w:rPr>
          <w:rFonts w:asciiTheme="majorHAnsi" w:hAnsiTheme="majorHAnsi"/>
          <w:i/>
        </w:rPr>
        <w:t>The Wall Street Journal</w:t>
      </w:r>
      <w:r w:rsidRPr="00C4466D">
        <w:rPr>
          <w:rFonts w:asciiTheme="majorHAnsi" w:hAnsiTheme="majorHAnsi"/>
        </w:rPr>
        <w:t xml:space="preserve">, 5 February 2011, p. 4. At: </w:t>
      </w:r>
      <w:hyperlink r:id="rId84" w:history="1">
        <w:r w:rsidRPr="00C4466D">
          <w:rPr>
            <w:rStyle w:val="Hyperlink"/>
            <w:rFonts w:asciiTheme="majorHAnsi" w:hAnsiTheme="majorHAnsi"/>
          </w:rPr>
          <w:t>http://www.iqpc.com/GetDownload.aspx?EventID=20634.001&amp;content_url=%2fuploadedFiles%2fEventRedesign%2fAustralia%2f2011%2fOctober%2f20634001%2fAssets%2fArticle_How_to_Market_to_an_Aging_Boomer.pdf</w:t>
        </w:r>
      </w:hyperlink>
      <w:r w:rsidRPr="00C4466D">
        <w:rPr>
          <w:rFonts w:asciiTheme="majorHAnsi" w:hAnsiTheme="majorHAnsi"/>
        </w:rPr>
        <w:t xml:space="preserve"> (viewed 13 February 2014)</w:t>
      </w:r>
    </w:p>
  </w:endnote>
  <w:endnote w:id="86">
    <w:p w:rsidR="00926A8A" w:rsidRPr="00C4466D" w:rsidRDefault="00926A8A" w:rsidP="008B67FB">
      <w:pPr>
        <w:pStyle w:val="EndnoteText"/>
        <w:rPr>
          <w:rFonts w:asciiTheme="majorHAnsi" w:hAnsiTheme="majorHAnsi"/>
        </w:rPr>
      </w:pPr>
      <w:r w:rsidRPr="00C4466D">
        <w:rPr>
          <w:rStyle w:val="EndnoteReference"/>
          <w:rFonts w:asciiTheme="majorHAnsi" w:hAnsiTheme="majorHAnsi"/>
        </w:rPr>
        <w:endnoteRef/>
      </w:r>
      <w:r w:rsidRPr="00C4466D">
        <w:rPr>
          <w:rFonts w:asciiTheme="majorHAnsi" w:hAnsiTheme="majorHAnsi"/>
        </w:rPr>
        <w:t xml:space="preserve"> R Miller, ‘Marketing to Older Consumers’, </w:t>
      </w:r>
      <w:r w:rsidRPr="00C4466D">
        <w:rPr>
          <w:rFonts w:asciiTheme="majorHAnsi" w:hAnsiTheme="majorHAnsi"/>
          <w:i/>
        </w:rPr>
        <w:t>The Marketing Donut</w:t>
      </w:r>
      <w:r w:rsidRPr="00C4466D">
        <w:rPr>
          <w:rFonts w:asciiTheme="majorHAnsi" w:hAnsiTheme="majorHAnsi"/>
        </w:rPr>
        <w:t xml:space="preserve">. At: </w:t>
      </w:r>
      <w:hyperlink r:id="rId85" w:history="1">
        <w:r w:rsidRPr="00C4466D">
          <w:rPr>
            <w:rStyle w:val="Hyperlink"/>
            <w:rFonts w:asciiTheme="majorHAnsi" w:hAnsiTheme="majorHAnsi"/>
          </w:rPr>
          <w:t>http://www.marketingdonut.co.uk/marketing/sales/marketing-to-older-customers</w:t>
        </w:r>
      </w:hyperlink>
      <w:r w:rsidRPr="00C4466D">
        <w:rPr>
          <w:rFonts w:asciiTheme="majorHAnsi" w:hAnsiTheme="majorHAnsi"/>
        </w:rPr>
        <w:t xml:space="preserve">  (viewed 18 February 2014)</w:t>
      </w:r>
    </w:p>
  </w:endnote>
  <w:endnote w:id="87">
    <w:p w:rsidR="00926A8A" w:rsidRPr="00C4466D" w:rsidRDefault="00926A8A" w:rsidP="008B67FB">
      <w:pPr>
        <w:pStyle w:val="EndnoteText"/>
        <w:rPr>
          <w:rFonts w:asciiTheme="majorHAnsi" w:hAnsiTheme="majorHAnsi"/>
        </w:rPr>
      </w:pPr>
      <w:r w:rsidRPr="00C4466D">
        <w:rPr>
          <w:rStyle w:val="EndnoteReference"/>
          <w:rFonts w:asciiTheme="majorHAnsi" w:hAnsiTheme="majorHAnsi"/>
        </w:rPr>
        <w:endnoteRef/>
      </w:r>
      <w:r w:rsidRPr="00C4466D">
        <w:rPr>
          <w:rFonts w:asciiTheme="majorHAnsi" w:hAnsiTheme="majorHAnsi"/>
        </w:rPr>
        <w:t xml:space="preserve"> R Miller, ‘Marketing to Older Consumers’, </w:t>
      </w:r>
      <w:r w:rsidRPr="00C4466D">
        <w:rPr>
          <w:rFonts w:asciiTheme="majorHAnsi" w:hAnsiTheme="majorHAnsi"/>
          <w:i/>
        </w:rPr>
        <w:t>The Marketing Donut</w:t>
      </w:r>
      <w:r w:rsidRPr="00C4466D">
        <w:rPr>
          <w:rFonts w:asciiTheme="majorHAnsi" w:hAnsiTheme="majorHAnsi"/>
        </w:rPr>
        <w:t xml:space="preserve">. At: </w:t>
      </w:r>
      <w:hyperlink r:id="rId86" w:history="1">
        <w:r w:rsidRPr="00C4466D">
          <w:rPr>
            <w:rStyle w:val="Hyperlink"/>
            <w:rFonts w:asciiTheme="majorHAnsi" w:hAnsiTheme="majorHAnsi"/>
          </w:rPr>
          <w:t>http://www.marketingdonut.co.uk/marketing/sales/marketing-to-older-customers</w:t>
        </w:r>
      </w:hyperlink>
      <w:r w:rsidRPr="00C4466D">
        <w:rPr>
          <w:rFonts w:asciiTheme="majorHAnsi" w:hAnsiTheme="majorHAnsi"/>
        </w:rPr>
        <w:t xml:space="preserve">  (viewed 18 February 2014)</w:t>
      </w:r>
    </w:p>
  </w:endnote>
  <w:endnote w:id="88">
    <w:p w:rsidR="00926A8A" w:rsidRPr="00C4466D" w:rsidRDefault="00926A8A" w:rsidP="008B67FB">
      <w:pPr>
        <w:pStyle w:val="EndnoteText"/>
        <w:rPr>
          <w:rFonts w:asciiTheme="majorHAnsi" w:hAnsiTheme="majorHAnsi"/>
        </w:rPr>
      </w:pPr>
      <w:r w:rsidRPr="00C4466D">
        <w:rPr>
          <w:rStyle w:val="EndnoteReference"/>
          <w:rFonts w:asciiTheme="majorHAnsi" w:hAnsiTheme="majorHAnsi"/>
        </w:rPr>
        <w:endnoteRef/>
      </w:r>
      <w:r w:rsidRPr="00C4466D">
        <w:rPr>
          <w:rFonts w:asciiTheme="majorHAnsi" w:hAnsiTheme="majorHAnsi"/>
        </w:rPr>
        <w:t xml:space="preserve"> M Boyle, ‘Aging Boomers Befuddle Marketers Aching for $15 Trillion Prize’, </w:t>
      </w:r>
      <w:r w:rsidRPr="00C4466D">
        <w:rPr>
          <w:rFonts w:asciiTheme="majorHAnsi" w:hAnsiTheme="majorHAnsi"/>
          <w:i/>
        </w:rPr>
        <w:t>Bloomberg</w:t>
      </w:r>
      <w:r w:rsidRPr="00C4466D">
        <w:rPr>
          <w:rFonts w:asciiTheme="majorHAnsi" w:hAnsiTheme="majorHAnsi"/>
        </w:rPr>
        <w:t xml:space="preserve">, 17 September 2013. At: </w:t>
      </w:r>
      <w:hyperlink r:id="rId87" w:history="1">
        <w:r w:rsidRPr="00C4466D">
          <w:rPr>
            <w:rStyle w:val="Hyperlink"/>
            <w:rFonts w:asciiTheme="majorHAnsi" w:hAnsiTheme="majorHAnsi"/>
          </w:rPr>
          <w:t>http://www.bloomberg.com/news/2013-09-17/aging-boomers-befuddle-marketers-eying-15-trillion-prize.html?cmpid</w:t>
        </w:r>
      </w:hyperlink>
      <w:r w:rsidRPr="00C4466D">
        <w:rPr>
          <w:rFonts w:asciiTheme="majorHAnsi" w:hAnsiTheme="majorHAnsi"/>
        </w:rPr>
        <w:t>=  (viewed 13 February 2014)</w:t>
      </w:r>
    </w:p>
  </w:endnote>
  <w:endnote w:id="89">
    <w:p w:rsidR="00926A8A" w:rsidRPr="00C4466D" w:rsidRDefault="00926A8A" w:rsidP="008B67FB">
      <w:pPr>
        <w:pStyle w:val="EndnoteText"/>
        <w:rPr>
          <w:rFonts w:asciiTheme="majorHAnsi" w:hAnsiTheme="majorHAnsi"/>
        </w:rPr>
      </w:pPr>
      <w:r w:rsidRPr="00C4466D">
        <w:rPr>
          <w:rStyle w:val="EndnoteReference"/>
          <w:rFonts w:asciiTheme="majorHAnsi" w:hAnsiTheme="majorHAnsi"/>
        </w:rPr>
        <w:endnoteRef/>
      </w:r>
      <w:r w:rsidRPr="00C4466D">
        <w:rPr>
          <w:rFonts w:asciiTheme="majorHAnsi" w:hAnsiTheme="majorHAnsi"/>
        </w:rPr>
        <w:t xml:space="preserve"> Marketing IQ, </w:t>
      </w:r>
      <w:r w:rsidRPr="00C4466D">
        <w:rPr>
          <w:rFonts w:asciiTheme="majorHAnsi" w:hAnsiTheme="majorHAnsi"/>
          <w:i/>
        </w:rPr>
        <w:t>The Untapped Market: Today’s Older Consumer – Benchmarking Analytics for Marketing to the Older Consumer</w:t>
      </w:r>
      <w:r w:rsidRPr="00C4466D">
        <w:rPr>
          <w:rFonts w:asciiTheme="majorHAnsi" w:hAnsiTheme="majorHAnsi"/>
        </w:rPr>
        <w:t xml:space="preserve">, 2011. At: </w:t>
      </w:r>
      <w:hyperlink r:id="rId88" w:history="1">
        <w:r w:rsidRPr="00C4466D">
          <w:rPr>
            <w:rStyle w:val="Hyperlink"/>
            <w:rFonts w:asciiTheme="majorHAnsi" w:hAnsiTheme="majorHAnsi"/>
          </w:rPr>
          <w:t>http://www.iqpc.com/GetDownload.aspx?EventID=20634.001&amp;content_url=%2fuploadedFiles%2fEventRedesign%2fAustralia%2f2011%2fOctober%2f20634001%2fAssets%2fBaby_Boomer_Analytics_Paper.pdf</w:t>
        </w:r>
      </w:hyperlink>
      <w:r w:rsidRPr="00C4466D">
        <w:rPr>
          <w:rFonts w:asciiTheme="majorHAnsi" w:hAnsiTheme="majorHAnsi"/>
        </w:rPr>
        <w:t xml:space="preserve">  (viewed 18 February 2014)</w:t>
      </w:r>
    </w:p>
  </w:endnote>
  <w:endnote w:id="90">
    <w:p w:rsidR="00926A8A" w:rsidRPr="00C4466D" w:rsidRDefault="00926A8A" w:rsidP="008B67FB">
      <w:pPr>
        <w:pStyle w:val="EndnoteText"/>
        <w:rPr>
          <w:rFonts w:asciiTheme="majorHAnsi" w:hAnsiTheme="majorHAnsi"/>
        </w:rPr>
      </w:pPr>
      <w:r w:rsidRPr="00C4466D">
        <w:rPr>
          <w:rStyle w:val="EndnoteReference"/>
          <w:rFonts w:asciiTheme="majorHAnsi" w:hAnsiTheme="majorHAnsi"/>
        </w:rPr>
        <w:endnoteRef/>
      </w:r>
      <w:r w:rsidRPr="00C4466D">
        <w:rPr>
          <w:rFonts w:asciiTheme="majorHAnsi" w:hAnsiTheme="majorHAnsi"/>
        </w:rPr>
        <w:t xml:space="preserve"> Marketing IQ, </w:t>
      </w:r>
      <w:r w:rsidRPr="00C4466D">
        <w:rPr>
          <w:rFonts w:asciiTheme="majorHAnsi" w:hAnsiTheme="majorHAnsi"/>
          <w:i/>
        </w:rPr>
        <w:t>The Untapped Market: Today’s Older Consumer – Benchmarking Analytics for Marketing to the Older Consumer</w:t>
      </w:r>
      <w:r w:rsidRPr="00C4466D">
        <w:rPr>
          <w:rFonts w:asciiTheme="majorHAnsi" w:hAnsiTheme="majorHAnsi"/>
        </w:rPr>
        <w:t xml:space="preserve">, 2011. At: </w:t>
      </w:r>
      <w:hyperlink r:id="rId89" w:history="1">
        <w:r w:rsidRPr="00C4466D">
          <w:rPr>
            <w:rStyle w:val="Hyperlink"/>
            <w:rFonts w:asciiTheme="majorHAnsi" w:hAnsiTheme="majorHAnsi"/>
          </w:rPr>
          <w:t>http://www.iqpc.com/GetDownload.aspx?EventID=20634.001&amp;content_url=%2fuploadedFiles%2fEventRedesign%2fAustralia%2f2011%2fOctober%2f20634001%2fAssets%2fBaby_Boomer_Analytics_Paper.pdf</w:t>
        </w:r>
      </w:hyperlink>
      <w:r w:rsidRPr="00C4466D">
        <w:rPr>
          <w:rFonts w:asciiTheme="majorHAnsi" w:hAnsiTheme="majorHAnsi"/>
        </w:rPr>
        <w:t xml:space="preserve">  (viewed 18 February 2014)</w:t>
      </w:r>
    </w:p>
  </w:endnote>
  <w:endnote w:id="91">
    <w:p w:rsidR="00926A8A" w:rsidRPr="00C4466D" w:rsidRDefault="00926A8A" w:rsidP="008B67FB">
      <w:pPr>
        <w:pStyle w:val="EndnoteText"/>
        <w:rPr>
          <w:rFonts w:asciiTheme="majorHAnsi" w:hAnsiTheme="majorHAnsi"/>
        </w:rPr>
      </w:pPr>
      <w:r w:rsidRPr="00C4466D">
        <w:rPr>
          <w:rStyle w:val="EndnoteReference"/>
          <w:rFonts w:asciiTheme="majorHAnsi" w:hAnsiTheme="majorHAnsi"/>
        </w:rPr>
        <w:endnoteRef/>
      </w:r>
      <w:r w:rsidRPr="00C4466D">
        <w:rPr>
          <w:rFonts w:asciiTheme="majorHAnsi" w:hAnsiTheme="majorHAnsi"/>
        </w:rPr>
        <w:t xml:space="preserve"> E Byron, ‘How to Market to an Aging Boomer: Flattery, Subterfuge and Euphemism’, </w:t>
      </w:r>
      <w:r w:rsidRPr="00C4466D">
        <w:rPr>
          <w:rFonts w:asciiTheme="majorHAnsi" w:hAnsiTheme="majorHAnsi"/>
          <w:i/>
        </w:rPr>
        <w:t>The Wall Street Journal</w:t>
      </w:r>
      <w:r w:rsidRPr="00C4466D">
        <w:rPr>
          <w:rFonts w:asciiTheme="majorHAnsi" w:hAnsiTheme="majorHAnsi"/>
        </w:rPr>
        <w:t xml:space="preserve">, 5 February 2011, p. 3. At: </w:t>
      </w:r>
      <w:hyperlink r:id="rId90" w:history="1">
        <w:r w:rsidRPr="00C4466D">
          <w:rPr>
            <w:rStyle w:val="Hyperlink"/>
            <w:rFonts w:asciiTheme="majorHAnsi" w:hAnsiTheme="majorHAnsi"/>
          </w:rPr>
          <w:t>http://www.iqpc.com/GetDownload.aspx?EventID=20634.001&amp;content_url=%2fuploadedFiles%2fEventRedesign%2fAustralia%2f2011%2fOctober%2f20634001%2fAssets%2fArticle_How_to_Market_to_an_Aging_Boomer.pdf</w:t>
        </w:r>
      </w:hyperlink>
      <w:r w:rsidRPr="00C4466D">
        <w:rPr>
          <w:rFonts w:asciiTheme="majorHAnsi" w:hAnsiTheme="majorHAnsi"/>
        </w:rPr>
        <w:t xml:space="preserve"> (viewed 13 February 2014)</w:t>
      </w:r>
    </w:p>
  </w:endnote>
  <w:endnote w:id="92">
    <w:p w:rsidR="00926A8A" w:rsidRPr="00C4466D" w:rsidRDefault="00926A8A" w:rsidP="008B67FB">
      <w:pPr>
        <w:pStyle w:val="EndnoteText"/>
        <w:rPr>
          <w:rFonts w:asciiTheme="majorHAnsi" w:hAnsiTheme="majorHAnsi"/>
        </w:rPr>
      </w:pPr>
      <w:r w:rsidRPr="00C4466D">
        <w:rPr>
          <w:rStyle w:val="EndnoteReference"/>
          <w:rFonts w:asciiTheme="majorHAnsi" w:hAnsiTheme="majorHAnsi"/>
        </w:rPr>
        <w:endnoteRef/>
      </w:r>
      <w:r w:rsidRPr="00C4466D">
        <w:rPr>
          <w:rFonts w:asciiTheme="majorHAnsi" w:hAnsiTheme="majorHAnsi"/>
        </w:rPr>
        <w:t xml:space="preserve"> Marketing IQ, </w:t>
      </w:r>
      <w:r w:rsidRPr="00C4466D">
        <w:rPr>
          <w:rFonts w:asciiTheme="majorHAnsi" w:hAnsiTheme="majorHAnsi"/>
          <w:i/>
        </w:rPr>
        <w:t>The Untapped Market: Today’s Older Consumer – Benchmarking Analytics for Marketing to the Older Consumer</w:t>
      </w:r>
      <w:r w:rsidRPr="00C4466D">
        <w:rPr>
          <w:rFonts w:asciiTheme="majorHAnsi" w:hAnsiTheme="majorHAnsi"/>
        </w:rPr>
        <w:t xml:space="preserve">, 2011. At: </w:t>
      </w:r>
      <w:hyperlink r:id="rId91" w:history="1">
        <w:r w:rsidRPr="00C4466D">
          <w:rPr>
            <w:rStyle w:val="Hyperlink"/>
            <w:rFonts w:asciiTheme="majorHAnsi" w:hAnsiTheme="majorHAnsi"/>
          </w:rPr>
          <w:t>http://www.iqpc.com/GetDownload.aspx?EventID=20634.001&amp;content_url=%2fuploadedFiles%2fEventRedesign%2fAustralia%2f2011%2fOctober%2f20634001%2fAssets%2fBaby_Boomer_Analytics_Paper.pdf</w:t>
        </w:r>
      </w:hyperlink>
      <w:r w:rsidRPr="00C4466D">
        <w:rPr>
          <w:rFonts w:asciiTheme="majorHAnsi" w:hAnsiTheme="majorHAnsi"/>
        </w:rPr>
        <w:t xml:space="preserve">  (viewed 18 February 2014)</w:t>
      </w:r>
    </w:p>
  </w:endnote>
  <w:endnote w:id="93">
    <w:p w:rsidR="00926A8A" w:rsidRPr="00C4466D" w:rsidRDefault="00926A8A" w:rsidP="008B67FB">
      <w:pPr>
        <w:pStyle w:val="EndnoteText"/>
        <w:rPr>
          <w:rFonts w:asciiTheme="majorHAnsi" w:hAnsiTheme="majorHAnsi"/>
        </w:rPr>
      </w:pPr>
      <w:r w:rsidRPr="00C4466D">
        <w:rPr>
          <w:rStyle w:val="EndnoteReference"/>
          <w:rFonts w:asciiTheme="majorHAnsi" w:hAnsiTheme="majorHAnsi"/>
        </w:rPr>
        <w:endnoteRef/>
      </w:r>
      <w:r w:rsidRPr="00C4466D">
        <w:rPr>
          <w:rFonts w:asciiTheme="majorHAnsi" w:hAnsiTheme="majorHAnsi"/>
        </w:rPr>
        <w:t xml:space="preserve"> E Byron, ‘How to Market to an Aging Boomer: Flattery, Subterfuge and Euphemism’, </w:t>
      </w:r>
      <w:r w:rsidRPr="00C4466D">
        <w:rPr>
          <w:rFonts w:asciiTheme="majorHAnsi" w:hAnsiTheme="majorHAnsi"/>
          <w:i/>
        </w:rPr>
        <w:t>The Wall Street Journal</w:t>
      </w:r>
      <w:r w:rsidRPr="00C4466D">
        <w:rPr>
          <w:rFonts w:asciiTheme="majorHAnsi" w:hAnsiTheme="majorHAnsi"/>
        </w:rPr>
        <w:t xml:space="preserve">, 5 February 2011, p. 3. At: </w:t>
      </w:r>
      <w:hyperlink r:id="rId92" w:history="1">
        <w:r w:rsidRPr="00C4466D">
          <w:rPr>
            <w:rStyle w:val="Hyperlink"/>
            <w:rFonts w:asciiTheme="majorHAnsi" w:hAnsiTheme="majorHAnsi"/>
          </w:rPr>
          <w:t>http://www.iqpc.com/GetDownload.aspx?EventID=20634.001&amp;content_url=%2fuploadedFiles%2fEventRedesign%2fAustralia%2f2011%2fOctober%2f20634001%2fAssets%2fArticle_How_to_Market_to_an_Aging_Boomer.pdf</w:t>
        </w:r>
      </w:hyperlink>
      <w:r w:rsidRPr="00C4466D">
        <w:rPr>
          <w:rFonts w:asciiTheme="majorHAnsi" w:hAnsiTheme="majorHAnsi"/>
        </w:rPr>
        <w:t xml:space="preserve"> (viewed 13 February 2014)</w:t>
      </w:r>
    </w:p>
  </w:endnote>
  <w:endnote w:id="94">
    <w:p w:rsidR="00926A8A" w:rsidRPr="00C4466D" w:rsidRDefault="00926A8A" w:rsidP="008B67FB">
      <w:pPr>
        <w:pStyle w:val="EndnoteText"/>
        <w:rPr>
          <w:rFonts w:asciiTheme="majorHAnsi" w:hAnsiTheme="majorHAnsi"/>
        </w:rPr>
      </w:pPr>
      <w:r w:rsidRPr="00C4466D">
        <w:rPr>
          <w:rStyle w:val="EndnoteReference"/>
          <w:rFonts w:asciiTheme="majorHAnsi" w:hAnsiTheme="majorHAnsi"/>
        </w:rPr>
        <w:endnoteRef/>
      </w:r>
      <w:r w:rsidRPr="00C4466D">
        <w:rPr>
          <w:rFonts w:asciiTheme="majorHAnsi" w:hAnsiTheme="majorHAnsi"/>
        </w:rPr>
        <w:t xml:space="preserve"> Marketing IQ, </w:t>
      </w:r>
      <w:r w:rsidRPr="00C4466D">
        <w:rPr>
          <w:rFonts w:asciiTheme="majorHAnsi" w:hAnsiTheme="majorHAnsi"/>
          <w:i/>
        </w:rPr>
        <w:t>The Untapped Market: Today’s Older Consumer – Benchmarking Analytics for Marketing to the Older Consumer</w:t>
      </w:r>
      <w:r w:rsidRPr="00C4466D">
        <w:rPr>
          <w:rFonts w:asciiTheme="majorHAnsi" w:hAnsiTheme="majorHAnsi"/>
        </w:rPr>
        <w:t xml:space="preserve">, 2011. At: </w:t>
      </w:r>
      <w:hyperlink r:id="rId93" w:history="1">
        <w:r w:rsidRPr="00C4466D">
          <w:rPr>
            <w:rStyle w:val="Hyperlink"/>
            <w:rFonts w:asciiTheme="majorHAnsi" w:hAnsiTheme="majorHAnsi"/>
          </w:rPr>
          <w:t>http://www.iqpc.com/GetDownload.aspx?EventID=20634.001&amp;content_url=%2fuploadedFiles%2fEventRedesign%2fAustralia%2f2011%2fOctober%2f20634001%2fAssets%2fBaby_Boomer_Analytics_Paper.pdf</w:t>
        </w:r>
      </w:hyperlink>
      <w:r w:rsidRPr="00C4466D">
        <w:rPr>
          <w:rFonts w:asciiTheme="majorHAnsi" w:hAnsiTheme="majorHAnsi"/>
        </w:rPr>
        <w:t xml:space="preserve">  (viewed 18 February 2014)</w:t>
      </w:r>
    </w:p>
  </w:endnote>
  <w:endnote w:id="95">
    <w:p w:rsidR="00926A8A" w:rsidRPr="00C4466D" w:rsidRDefault="00926A8A" w:rsidP="008B67FB">
      <w:pPr>
        <w:pStyle w:val="EndnoteText"/>
        <w:rPr>
          <w:rFonts w:asciiTheme="majorHAnsi" w:hAnsiTheme="majorHAnsi"/>
        </w:rPr>
      </w:pPr>
      <w:r w:rsidRPr="00C4466D">
        <w:rPr>
          <w:rStyle w:val="EndnoteReference"/>
          <w:rFonts w:asciiTheme="majorHAnsi" w:hAnsiTheme="majorHAnsi"/>
        </w:rPr>
        <w:endnoteRef/>
      </w:r>
      <w:r w:rsidRPr="00C4466D">
        <w:rPr>
          <w:rFonts w:asciiTheme="majorHAnsi" w:hAnsiTheme="majorHAnsi"/>
        </w:rPr>
        <w:t xml:space="preserve"> A.T. Kearney, </w:t>
      </w:r>
      <w:r w:rsidRPr="00C4466D">
        <w:rPr>
          <w:rFonts w:asciiTheme="majorHAnsi" w:hAnsiTheme="majorHAnsi"/>
          <w:i/>
        </w:rPr>
        <w:t>Understanding the Needs and Consequences of the Ageing Consumer</w:t>
      </w:r>
      <w:r w:rsidRPr="00C4466D">
        <w:rPr>
          <w:rFonts w:asciiTheme="majorHAnsi" w:hAnsiTheme="majorHAnsi"/>
        </w:rPr>
        <w:t xml:space="preserve">, 2013, p. 2. At: </w:t>
      </w:r>
      <w:hyperlink r:id="rId94" w:history="1">
        <w:r w:rsidRPr="00C4466D">
          <w:rPr>
            <w:rStyle w:val="Hyperlink"/>
            <w:rFonts w:asciiTheme="majorHAnsi" w:hAnsiTheme="majorHAnsi"/>
          </w:rPr>
          <w:t>http://www.atkearney.com/paper/-/asset_publisher/dVxv4Hz2h8bS/content/understanding-the-needs-and-consequences-of-the-ageing-consumer/10192</w:t>
        </w:r>
      </w:hyperlink>
      <w:r w:rsidRPr="00C4466D">
        <w:rPr>
          <w:rFonts w:asciiTheme="majorHAnsi" w:hAnsiTheme="majorHAnsi"/>
        </w:rPr>
        <w:t xml:space="preserve">  (viewed 13 February 2014)</w:t>
      </w:r>
    </w:p>
  </w:endnote>
  <w:endnote w:id="96">
    <w:p w:rsidR="00926A8A" w:rsidRPr="00C4466D" w:rsidRDefault="00926A8A" w:rsidP="008B67FB">
      <w:pPr>
        <w:pStyle w:val="EndnoteText"/>
        <w:rPr>
          <w:rFonts w:asciiTheme="majorHAnsi" w:hAnsiTheme="majorHAnsi"/>
        </w:rPr>
      </w:pPr>
      <w:r w:rsidRPr="00C4466D">
        <w:rPr>
          <w:rStyle w:val="EndnoteReference"/>
          <w:rFonts w:asciiTheme="majorHAnsi" w:hAnsiTheme="majorHAnsi"/>
        </w:rPr>
        <w:endnoteRef/>
      </w:r>
      <w:r w:rsidRPr="00C4466D">
        <w:rPr>
          <w:rFonts w:asciiTheme="majorHAnsi" w:hAnsiTheme="majorHAnsi"/>
        </w:rPr>
        <w:t xml:space="preserve"> A.T. Kearney, </w:t>
      </w:r>
      <w:r w:rsidRPr="00C4466D">
        <w:rPr>
          <w:rFonts w:asciiTheme="majorHAnsi" w:hAnsiTheme="majorHAnsi"/>
          <w:i/>
        </w:rPr>
        <w:t>Understanding the Needs and Consequences of the Ageing Consumer</w:t>
      </w:r>
      <w:r w:rsidRPr="00C4466D">
        <w:rPr>
          <w:rFonts w:asciiTheme="majorHAnsi" w:hAnsiTheme="majorHAnsi"/>
        </w:rPr>
        <w:t xml:space="preserve">, 2013, p. 8. At: </w:t>
      </w:r>
      <w:hyperlink r:id="rId95" w:history="1">
        <w:r w:rsidRPr="00C4466D">
          <w:rPr>
            <w:rStyle w:val="Hyperlink"/>
            <w:rFonts w:asciiTheme="majorHAnsi" w:hAnsiTheme="majorHAnsi"/>
          </w:rPr>
          <w:t>http://www.atkearney.com/paper/-/asset_publisher/dVxv4Hz2h8bS/content/understanding-the-needs-and-consequences-of-the-ageing-consumer/10192</w:t>
        </w:r>
      </w:hyperlink>
      <w:r w:rsidRPr="00C4466D">
        <w:rPr>
          <w:rFonts w:asciiTheme="majorHAnsi" w:hAnsiTheme="majorHAnsi"/>
        </w:rPr>
        <w:t xml:space="preserve">  (viewed 13 February 2014)</w:t>
      </w:r>
    </w:p>
  </w:endnote>
  <w:endnote w:id="97">
    <w:p w:rsidR="00926A8A" w:rsidRPr="00C4466D" w:rsidRDefault="00926A8A">
      <w:pPr>
        <w:pStyle w:val="EndnoteText"/>
        <w:rPr>
          <w:rFonts w:asciiTheme="majorHAnsi" w:hAnsiTheme="majorHAnsi"/>
        </w:rPr>
      </w:pPr>
      <w:r w:rsidRPr="00C4466D">
        <w:rPr>
          <w:rStyle w:val="EndnoteReference"/>
          <w:rFonts w:asciiTheme="majorHAnsi" w:hAnsiTheme="majorHAnsi"/>
        </w:rPr>
        <w:endnoteRef/>
      </w:r>
      <w:r w:rsidRPr="00C4466D">
        <w:rPr>
          <w:rFonts w:asciiTheme="majorHAnsi" w:hAnsiTheme="majorHAnsi"/>
        </w:rPr>
        <w:t xml:space="preserve"> K Fallick, </w:t>
      </w:r>
      <w:r w:rsidRPr="00C4466D">
        <w:rPr>
          <w:rFonts w:asciiTheme="majorHAnsi" w:hAnsiTheme="majorHAnsi"/>
          <w:i/>
        </w:rPr>
        <w:t>Boomers and Advertising</w:t>
      </w:r>
      <w:r w:rsidRPr="00C4466D">
        <w:rPr>
          <w:rFonts w:asciiTheme="majorHAnsi" w:hAnsiTheme="majorHAnsi"/>
        </w:rPr>
        <w:t xml:space="preserve">, (Interview as part of ABC’s Radio National with Natasha Mitchell, 1 February 2012). At: </w:t>
      </w:r>
      <w:hyperlink r:id="rId96" w:history="1">
        <w:r w:rsidRPr="00C4466D">
          <w:rPr>
            <w:rStyle w:val="Hyperlink"/>
            <w:rFonts w:asciiTheme="majorHAnsi" w:hAnsiTheme="majorHAnsi"/>
          </w:rPr>
          <w:t>http://www.abc.net.au/radionational/programs/lifematters/boomers-and-advertising/3803190</w:t>
        </w:r>
      </w:hyperlink>
      <w:r w:rsidRPr="00C4466D">
        <w:rPr>
          <w:rFonts w:asciiTheme="majorHAnsi" w:hAnsiTheme="majorHAnsi"/>
        </w:rPr>
        <w:t xml:space="preserve">  (viewed 13 February 2014)</w:t>
      </w:r>
    </w:p>
  </w:endnote>
  <w:endnote w:id="98">
    <w:p w:rsidR="00926A8A" w:rsidRPr="00C4466D" w:rsidRDefault="00926A8A" w:rsidP="008B67FB">
      <w:pPr>
        <w:pStyle w:val="EndnoteText"/>
        <w:rPr>
          <w:rFonts w:asciiTheme="majorHAnsi" w:hAnsiTheme="majorHAnsi"/>
        </w:rPr>
      </w:pPr>
      <w:r w:rsidRPr="00C4466D">
        <w:rPr>
          <w:rStyle w:val="EndnoteReference"/>
          <w:rFonts w:asciiTheme="majorHAnsi" w:hAnsiTheme="majorHAnsi"/>
        </w:rPr>
        <w:endnoteRef/>
      </w:r>
      <w:r w:rsidRPr="00C4466D">
        <w:rPr>
          <w:rFonts w:asciiTheme="majorHAnsi" w:hAnsiTheme="majorHAnsi"/>
        </w:rPr>
        <w:t xml:space="preserve"> E Byron, ‘How to Market to an Aging Boomer: Flattery, Subterfuge and Euphemism’, </w:t>
      </w:r>
      <w:r w:rsidRPr="00C4466D">
        <w:rPr>
          <w:rFonts w:asciiTheme="majorHAnsi" w:hAnsiTheme="majorHAnsi"/>
          <w:i/>
        </w:rPr>
        <w:t>The Wall Street Journal</w:t>
      </w:r>
      <w:r w:rsidRPr="00C4466D">
        <w:rPr>
          <w:rFonts w:asciiTheme="majorHAnsi" w:hAnsiTheme="majorHAnsi"/>
        </w:rPr>
        <w:t xml:space="preserve">, 5 February 2011, p. 2. At: </w:t>
      </w:r>
      <w:hyperlink r:id="rId97" w:history="1">
        <w:r w:rsidRPr="00C4466D">
          <w:rPr>
            <w:rStyle w:val="Hyperlink"/>
            <w:rFonts w:asciiTheme="majorHAnsi" w:hAnsiTheme="majorHAnsi"/>
          </w:rPr>
          <w:t>http://www.iqpc.com/GetDownload.aspx?EventID=20634.001&amp;content_url=%2fuploadedFiles%2fEventRedesign%2fAustralia%2f2011%2fOctober%2f20634001%2fAssets%2fArticle_How_to_Market_to_an_Aging_Boomer.pdf</w:t>
        </w:r>
      </w:hyperlink>
      <w:r w:rsidRPr="00C4466D">
        <w:rPr>
          <w:rFonts w:asciiTheme="majorHAnsi" w:hAnsiTheme="majorHAnsi"/>
        </w:rPr>
        <w:t xml:space="preserve"> (viewed 13 February 2014)</w:t>
      </w:r>
    </w:p>
  </w:endnote>
  <w:endnote w:id="99">
    <w:p w:rsidR="00926A8A" w:rsidRPr="00C4466D" w:rsidRDefault="00926A8A">
      <w:pPr>
        <w:pStyle w:val="EndnoteText"/>
        <w:rPr>
          <w:rFonts w:asciiTheme="majorHAnsi" w:hAnsiTheme="majorHAnsi"/>
        </w:rPr>
      </w:pPr>
      <w:r w:rsidRPr="00C4466D">
        <w:rPr>
          <w:rStyle w:val="EndnoteReference"/>
          <w:rFonts w:asciiTheme="majorHAnsi" w:hAnsiTheme="majorHAnsi"/>
        </w:rPr>
        <w:endnoteRef/>
      </w:r>
      <w:r w:rsidRPr="00C4466D">
        <w:rPr>
          <w:rFonts w:asciiTheme="majorHAnsi" w:hAnsiTheme="majorHAnsi"/>
        </w:rPr>
        <w:t xml:space="preserve"> E Byron, ‘How to Market to an Aging Boomer: Flattery, Subterfuge and Euphemism’, </w:t>
      </w:r>
      <w:r w:rsidRPr="00C4466D">
        <w:rPr>
          <w:rFonts w:asciiTheme="majorHAnsi" w:hAnsiTheme="majorHAnsi"/>
          <w:i/>
        </w:rPr>
        <w:t>The Wall Street Journal</w:t>
      </w:r>
      <w:r w:rsidRPr="00C4466D">
        <w:rPr>
          <w:rFonts w:asciiTheme="majorHAnsi" w:hAnsiTheme="majorHAnsi"/>
        </w:rPr>
        <w:t xml:space="preserve">, 5 February 2011, p. 3. At: </w:t>
      </w:r>
      <w:hyperlink r:id="rId98" w:history="1">
        <w:r w:rsidRPr="00C4466D">
          <w:rPr>
            <w:rStyle w:val="Hyperlink"/>
            <w:rFonts w:asciiTheme="majorHAnsi" w:hAnsiTheme="majorHAnsi"/>
          </w:rPr>
          <w:t>http://www.iqpc.com/GetDownload.aspx?EventID=20634.001&amp;content_url=%2fuploadedFiles%2fEventRedesign%2fAustralia%2f2011%2fOctober%2f20634001%2fAssets%2fArticle_How_to_Market_to_an_Aging_Boomer.pdf</w:t>
        </w:r>
      </w:hyperlink>
      <w:r w:rsidRPr="00C4466D">
        <w:rPr>
          <w:rFonts w:asciiTheme="majorHAnsi" w:hAnsiTheme="majorHAnsi"/>
        </w:rPr>
        <w:t xml:space="preserve"> (viewed 13 February 2014)</w:t>
      </w:r>
    </w:p>
  </w:endnote>
  <w:endnote w:id="100">
    <w:p w:rsidR="00926A8A" w:rsidRPr="00C4466D" w:rsidRDefault="00926A8A">
      <w:pPr>
        <w:pStyle w:val="EndnoteText"/>
        <w:rPr>
          <w:rFonts w:asciiTheme="majorHAnsi" w:hAnsiTheme="majorHAnsi"/>
        </w:rPr>
      </w:pPr>
      <w:r w:rsidRPr="00C4466D">
        <w:rPr>
          <w:rStyle w:val="EndnoteReference"/>
          <w:rFonts w:asciiTheme="majorHAnsi" w:hAnsiTheme="majorHAnsi"/>
        </w:rPr>
        <w:endnoteRef/>
      </w:r>
      <w:r w:rsidRPr="00C4466D">
        <w:rPr>
          <w:rFonts w:asciiTheme="majorHAnsi" w:hAnsiTheme="majorHAnsi"/>
        </w:rPr>
        <w:t xml:space="preserve"> A.T. Kearney, </w:t>
      </w:r>
      <w:r w:rsidRPr="00C4466D">
        <w:rPr>
          <w:rFonts w:asciiTheme="majorHAnsi" w:hAnsiTheme="majorHAnsi"/>
          <w:i/>
        </w:rPr>
        <w:t>Understanding the Needs and Consequences of the Ageing Consumer</w:t>
      </w:r>
      <w:r w:rsidRPr="00C4466D">
        <w:rPr>
          <w:rFonts w:asciiTheme="majorHAnsi" w:hAnsiTheme="majorHAnsi"/>
        </w:rPr>
        <w:t xml:space="preserve">, 2013, p. 6. At: </w:t>
      </w:r>
      <w:hyperlink r:id="rId99" w:history="1">
        <w:r w:rsidRPr="00C4466D">
          <w:rPr>
            <w:rStyle w:val="Hyperlink"/>
            <w:rFonts w:asciiTheme="majorHAnsi" w:hAnsiTheme="majorHAnsi"/>
          </w:rPr>
          <w:t>http://www.atkearney.com/paper/-/asset_publisher/dVxv4Hz2h8bS/content/understanding-the-needs-and-consequences-of-the-ageing-consumer/10192</w:t>
        </w:r>
      </w:hyperlink>
      <w:r w:rsidRPr="00C4466D">
        <w:rPr>
          <w:rFonts w:asciiTheme="majorHAnsi" w:hAnsiTheme="majorHAnsi"/>
        </w:rPr>
        <w:t xml:space="preserve">  (viewed 13 February 2014)</w:t>
      </w:r>
    </w:p>
  </w:endnote>
  <w:endnote w:id="101">
    <w:p w:rsidR="00926A8A" w:rsidRPr="00C4466D" w:rsidRDefault="00926A8A">
      <w:pPr>
        <w:pStyle w:val="EndnoteText"/>
        <w:rPr>
          <w:rFonts w:asciiTheme="majorHAnsi" w:hAnsiTheme="majorHAnsi"/>
        </w:rPr>
      </w:pPr>
      <w:r w:rsidRPr="00C4466D">
        <w:rPr>
          <w:rStyle w:val="EndnoteReference"/>
          <w:rFonts w:asciiTheme="majorHAnsi" w:hAnsiTheme="majorHAnsi"/>
        </w:rPr>
        <w:endnoteRef/>
      </w:r>
      <w:r w:rsidRPr="00C4466D">
        <w:rPr>
          <w:rFonts w:asciiTheme="majorHAnsi" w:hAnsiTheme="majorHAnsi"/>
        </w:rPr>
        <w:t xml:space="preserve"> M Strzelecki, ‘Coming of Age’, </w:t>
      </w:r>
      <w:r w:rsidRPr="00C4466D">
        <w:rPr>
          <w:rFonts w:asciiTheme="majorHAnsi" w:hAnsiTheme="majorHAnsi"/>
          <w:i/>
        </w:rPr>
        <w:t>Retail Leader</w:t>
      </w:r>
      <w:r w:rsidRPr="00C4466D">
        <w:rPr>
          <w:rFonts w:asciiTheme="majorHAnsi" w:hAnsiTheme="majorHAnsi"/>
        </w:rPr>
        <w:t xml:space="preserve">, November 2013. At: </w:t>
      </w:r>
      <w:hyperlink r:id="rId100" w:history="1">
        <w:r w:rsidRPr="00C4466D">
          <w:rPr>
            <w:rStyle w:val="Hyperlink"/>
            <w:rFonts w:asciiTheme="majorHAnsi" w:hAnsiTheme="majorHAnsi"/>
          </w:rPr>
          <w:t>http://www.retailleader.com/article-coming_of_age-6646-part2.html</w:t>
        </w:r>
      </w:hyperlink>
      <w:r w:rsidRPr="00C4466D">
        <w:rPr>
          <w:rFonts w:asciiTheme="majorHAnsi" w:hAnsiTheme="majorHAnsi"/>
        </w:rPr>
        <w:t xml:space="preserve">  (viewed 19 February 2014)</w:t>
      </w:r>
    </w:p>
  </w:endnote>
  <w:endnote w:id="102">
    <w:p w:rsidR="00926A8A" w:rsidRPr="00C4466D" w:rsidRDefault="00926A8A">
      <w:pPr>
        <w:pStyle w:val="EndnoteText"/>
        <w:rPr>
          <w:rFonts w:asciiTheme="majorHAnsi" w:hAnsiTheme="majorHAnsi"/>
        </w:rPr>
      </w:pPr>
      <w:r w:rsidRPr="00C4466D">
        <w:rPr>
          <w:rStyle w:val="EndnoteReference"/>
          <w:rFonts w:asciiTheme="majorHAnsi" w:hAnsiTheme="majorHAnsi"/>
        </w:rPr>
        <w:endnoteRef/>
      </w:r>
      <w:r w:rsidRPr="00C4466D">
        <w:rPr>
          <w:rFonts w:asciiTheme="majorHAnsi" w:hAnsiTheme="majorHAnsi"/>
        </w:rPr>
        <w:t xml:space="preserve"> A.T. Kearney, </w:t>
      </w:r>
      <w:r w:rsidRPr="00C4466D">
        <w:rPr>
          <w:rFonts w:asciiTheme="majorHAnsi" w:hAnsiTheme="majorHAnsi"/>
          <w:i/>
        </w:rPr>
        <w:t>Understanding the Needs and Consequences of the Ageing Consumer</w:t>
      </w:r>
      <w:r w:rsidRPr="00C4466D">
        <w:rPr>
          <w:rFonts w:asciiTheme="majorHAnsi" w:hAnsiTheme="majorHAnsi"/>
        </w:rPr>
        <w:t xml:space="preserve">, 2013, p. 6. At: </w:t>
      </w:r>
      <w:hyperlink r:id="rId101" w:history="1">
        <w:r w:rsidRPr="00C4466D">
          <w:rPr>
            <w:rStyle w:val="Hyperlink"/>
            <w:rFonts w:asciiTheme="majorHAnsi" w:hAnsiTheme="majorHAnsi"/>
          </w:rPr>
          <w:t>http://www.atkearney.com/paper/-/asset_publisher/dVxv4Hz2h8bS/content/understanding-the-needs-and-consequences-of-the-ageing-consumer/10192</w:t>
        </w:r>
      </w:hyperlink>
      <w:r w:rsidRPr="00C4466D">
        <w:rPr>
          <w:rFonts w:asciiTheme="majorHAnsi" w:hAnsiTheme="majorHAnsi"/>
        </w:rPr>
        <w:t xml:space="preserve">  (viewed 13 February 2014)</w:t>
      </w:r>
    </w:p>
  </w:endnote>
  <w:endnote w:id="103">
    <w:p w:rsidR="00926A8A" w:rsidRPr="00C4466D" w:rsidRDefault="00926A8A">
      <w:pPr>
        <w:pStyle w:val="EndnoteText"/>
        <w:rPr>
          <w:rFonts w:asciiTheme="majorHAnsi" w:hAnsiTheme="majorHAnsi"/>
        </w:rPr>
      </w:pPr>
      <w:r w:rsidRPr="00C4466D">
        <w:rPr>
          <w:rStyle w:val="EndnoteReference"/>
          <w:rFonts w:asciiTheme="majorHAnsi" w:hAnsiTheme="majorHAnsi"/>
        </w:rPr>
        <w:endnoteRef/>
      </w:r>
      <w:r w:rsidRPr="00C4466D">
        <w:rPr>
          <w:rFonts w:asciiTheme="majorHAnsi" w:hAnsiTheme="majorHAnsi"/>
        </w:rPr>
        <w:t xml:space="preserve"> E Byron, ‘How to Market to an Aging Boomer: Flattery, Subterfuge and Euphemism’, </w:t>
      </w:r>
      <w:r w:rsidRPr="00C4466D">
        <w:rPr>
          <w:rFonts w:asciiTheme="majorHAnsi" w:hAnsiTheme="majorHAnsi"/>
          <w:i/>
        </w:rPr>
        <w:t>The Wall Street Journal</w:t>
      </w:r>
      <w:r w:rsidRPr="00C4466D">
        <w:rPr>
          <w:rFonts w:asciiTheme="majorHAnsi" w:hAnsiTheme="majorHAnsi"/>
        </w:rPr>
        <w:t xml:space="preserve">, 5 February 2011, p. 1. At: </w:t>
      </w:r>
      <w:hyperlink r:id="rId102" w:history="1">
        <w:r w:rsidRPr="00C4466D">
          <w:rPr>
            <w:rStyle w:val="Hyperlink"/>
            <w:rFonts w:asciiTheme="majorHAnsi" w:hAnsiTheme="majorHAnsi"/>
          </w:rPr>
          <w:t>http://www.iqpc.com/GetDownload.aspx?EventID=20634.001&amp;content_url=%2fuploadedFiles%2fEventRedesign%2fAustralia%2f2011%2fOctober%2f20634001%2fAssets%2fArticle_How_to_Market_to_an_Aging_Boomer.pdf</w:t>
        </w:r>
      </w:hyperlink>
      <w:r w:rsidRPr="00C4466D">
        <w:rPr>
          <w:rFonts w:asciiTheme="majorHAnsi" w:hAnsiTheme="majorHAnsi"/>
        </w:rPr>
        <w:t xml:space="preserve"> (viewed 13 February 2014)</w:t>
      </w:r>
    </w:p>
  </w:endnote>
  <w:endnote w:id="104">
    <w:p w:rsidR="00926A8A" w:rsidRPr="00C4466D" w:rsidRDefault="00926A8A">
      <w:pPr>
        <w:pStyle w:val="EndnoteText"/>
        <w:rPr>
          <w:rFonts w:asciiTheme="majorHAnsi" w:hAnsiTheme="majorHAnsi"/>
        </w:rPr>
      </w:pPr>
      <w:r w:rsidRPr="00C4466D">
        <w:rPr>
          <w:rStyle w:val="EndnoteReference"/>
          <w:rFonts w:asciiTheme="majorHAnsi" w:hAnsiTheme="majorHAnsi"/>
        </w:rPr>
        <w:endnoteRef/>
      </w:r>
      <w:r w:rsidRPr="00C4466D">
        <w:rPr>
          <w:rFonts w:asciiTheme="majorHAnsi" w:hAnsiTheme="majorHAnsi"/>
        </w:rPr>
        <w:t xml:space="preserve"> E Byron, ‘How to Market to an Aging Boomer: Flattery, Subterfuge and Euphemism’, </w:t>
      </w:r>
      <w:r w:rsidRPr="00C4466D">
        <w:rPr>
          <w:rFonts w:asciiTheme="majorHAnsi" w:hAnsiTheme="majorHAnsi"/>
          <w:i/>
        </w:rPr>
        <w:t>The Wall Street Journal</w:t>
      </w:r>
      <w:r w:rsidRPr="00C4466D">
        <w:rPr>
          <w:rFonts w:asciiTheme="majorHAnsi" w:hAnsiTheme="majorHAnsi"/>
        </w:rPr>
        <w:t xml:space="preserve">, 5 February 2011. At: </w:t>
      </w:r>
      <w:hyperlink r:id="rId103" w:history="1">
        <w:r w:rsidRPr="00C4466D">
          <w:rPr>
            <w:rStyle w:val="Hyperlink"/>
            <w:rFonts w:asciiTheme="majorHAnsi" w:hAnsiTheme="majorHAnsi"/>
          </w:rPr>
          <w:t>http://www.iqpc.com/GetDownload.aspx?EventID=20634.001&amp;content_url=%2fuploadedFiles%2fEventRedesign%2fAustralia%2f2011%2fOctober%2f20634001%2fAssets%2fArticle_How_to_Market_to_an_Aging_Boomer.pdf</w:t>
        </w:r>
      </w:hyperlink>
      <w:r w:rsidRPr="00C4466D">
        <w:rPr>
          <w:rFonts w:asciiTheme="majorHAnsi" w:hAnsiTheme="majorHAnsi"/>
        </w:rPr>
        <w:t xml:space="preserve"> (viewed 13 February 2014)</w:t>
      </w:r>
    </w:p>
  </w:endnote>
  <w:endnote w:id="105">
    <w:p w:rsidR="00926A8A" w:rsidRPr="00C4466D" w:rsidRDefault="00926A8A">
      <w:pPr>
        <w:pStyle w:val="EndnoteText"/>
        <w:rPr>
          <w:rFonts w:asciiTheme="majorHAnsi" w:hAnsiTheme="majorHAnsi"/>
        </w:rPr>
      </w:pPr>
      <w:r w:rsidRPr="00C4466D">
        <w:rPr>
          <w:rStyle w:val="EndnoteReference"/>
          <w:rFonts w:asciiTheme="majorHAnsi" w:hAnsiTheme="majorHAnsi"/>
        </w:rPr>
        <w:endnoteRef/>
      </w:r>
      <w:r w:rsidRPr="00C4466D">
        <w:rPr>
          <w:rFonts w:asciiTheme="majorHAnsi" w:hAnsiTheme="majorHAnsi"/>
        </w:rPr>
        <w:t xml:space="preserve"> A.T. Kearney, </w:t>
      </w:r>
      <w:r w:rsidRPr="00C4466D">
        <w:rPr>
          <w:rFonts w:asciiTheme="majorHAnsi" w:hAnsiTheme="majorHAnsi"/>
          <w:i/>
        </w:rPr>
        <w:t>Understanding the Needs and Consequences of the Ageing Consumer</w:t>
      </w:r>
      <w:r w:rsidRPr="00C4466D">
        <w:rPr>
          <w:rFonts w:asciiTheme="majorHAnsi" w:hAnsiTheme="majorHAnsi"/>
        </w:rPr>
        <w:t xml:space="preserve">, 2013, p. 6. At: </w:t>
      </w:r>
      <w:hyperlink r:id="rId104" w:history="1">
        <w:r w:rsidRPr="00C4466D">
          <w:rPr>
            <w:rStyle w:val="Hyperlink"/>
            <w:rFonts w:asciiTheme="majorHAnsi" w:hAnsiTheme="majorHAnsi"/>
          </w:rPr>
          <w:t>http://www.atkearney.com/paper/-/asset_publisher/dVxv4Hz2h8bS/content/understanding-the-needs-and-consequences-of-the-ageing-consumer/10192</w:t>
        </w:r>
      </w:hyperlink>
      <w:r w:rsidRPr="00C4466D">
        <w:rPr>
          <w:rFonts w:asciiTheme="majorHAnsi" w:hAnsiTheme="majorHAnsi"/>
        </w:rPr>
        <w:t xml:space="preserve">  (viewed 13 February 2014)</w:t>
      </w:r>
    </w:p>
  </w:endnote>
  <w:endnote w:id="106">
    <w:p w:rsidR="00926A8A" w:rsidRPr="00C4466D" w:rsidRDefault="00926A8A">
      <w:pPr>
        <w:pStyle w:val="EndnoteText"/>
        <w:rPr>
          <w:rFonts w:asciiTheme="majorHAnsi" w:hAnsiTheme="majorHAnsi"/>
        </w:rPr>
      </w:pPr>
      <w:r w:rsidRPr="00C4466D">
        <w:rPr>
          <w:rStyle w:val="EndnoteReference"/>
          <w:rFonts w:asciiTheme="majorHAnsi" w:hAnsiTheme="majorHAnsi"/>
        </w:rPr>
        <w:endnoteRef/>
      </w:r>
      <w:r w:rsidRPr="00C4466D">
        <w:rPr>
          <w:rFonts w:asciiTheme="majorHAnsi" w:hAnsiTheme="majorHAnsi"/>
        </w:rPr>
        <w:t xml:space="preserve"> M Boyle, ‘Aging Boomers Befuddle Marketers Aching for $15 Trillion Prize’, </w:t>
      </w:r>
      <w:r w:rsidRPr="00C4466D">
        <w:rPr>
          <w:rFonts w:asciiTheme="majorHAnsi" w:hAnsiTheme="majorHAnsi"/>
          <w:i/>
        </w:rPr>
        <w:t>Bloomberg</w:t>
      </w:r>
      <w:r w:rsidRPr="00C4466D">
        <w:rPr>
          <w:rFonts w:asciiTheme="majorHAnsi" w:hAnsiTheme="majorHAnsi"/>
        </w:rPr>
        <w:t xml:space="preserve">, 17 September 2013. At: </w:t>
      </w:r>
      <w:hyperlink r:id="rId105" w:history="1">
        <w:r w:rsidRPr="00C4466D">
          <w:rPr>
            <w:rStyle w:val="Hyperlink"/>
            <w:rFonts w:asciiTheme="majorHAnsi" w:hAnsiTheme="majorHAnsi"/>
          </w:rPr>
          <w:t>http://www.bloomberg.com/news/2013-09-17/aging-boomers-befuddle-marketers-eying-15-trillion-prize.html?cmpid</w:t>
        </w:r>
      </w:hyperlink>
      <w:r w:rsidRPr="00C4466D">
        <w:rPr>
          <w:rFonts w:asciiTheme="majorHAnsi" w:hAnsiTheme="majorHAnsi"/>
        </w:rPr>
        <w:t>=  (viewed 13 February 2014)</w:t>
      </w:r>
    </w:p>
  </w:endnote>
  <w:endnote w:id="107">
    <w:p w:rsidR="00926A8A" w:rsidRPr="00C4466D" w:rsidRDefault="00926A8A">
      <w:pPr>
        <w:pStyle w:val="EndnoteText"/>
        <w:rPr>
          <w:rFonts w:asciiTheme="majorHAnsi" w:hAnsiTheme="majorHAnsi"/>
        </w:rPr>
      </w:pPr>
      <w:r w:rsidRPr="00C4466D">
        <w:rPr>
          <w:rStyle w:val="EndnoteReference"/>
          <w:rFonts w:asciiTheme="majorHAnsi" w:hAnsiTheme="majorHAnsi"/>
        </w:rPr>
        <w:endnoteRef/>
      </w:r>
      <w:r w:rsidRPr="00C4466D">
        <w:rPr>
          <w:rFonts w:asciiTheme="majorHAnsi" w:hAnsiTheme="majorHAnsi"/>
        </w:rPr>
        <w:t xml:space="preserve"> M Boyle, ‘Aging Boomers Befuddle Marketers Aching for $15 Trillion Prize’, </w:t>
      </w:r>
      <w:r w:rsidRPr="00C4466D">
        <w:rPr>
          <w:rFonts w:asciiTheme="majorHAnsi" w:hAnsiTheme="majorHAnsi"/>
          <w:i/>
        </w:rPr>
        <w:t>Bloomberg</w:t>
      </w:r>
      <w:r w:rsidRPr="00C4466D">
        <w:rPr>
          <w:rFonts w:asciiTheme="majorHAnsi" w:hAnsiTheme="majorHAnsi"/>
        </w:rPr>
        <w:t xml:space="preserve">, 17 September 2013. At: </w:t>
      </w:r>
      <w:hyperlink r:id="rId106" w:history="1">
        <w:r w:rsidRPr="00C4466D">
          <w:rPr>
            <w:rStyle w:val="Hyperlink"/>
            <w:rFonts w:asciiTheme="majorHAnsi" w:hAnsiTheme="majorHAnsi"/>
          </w:rPr>
          <w:t>http://www.bloomberg.com/news/2013-09-17/aging-boomers-befuddle-marketers-eying-15-trillion-prize.html?cmpid</w:t>
        </w:r>
      </w:hyperlink>
      <w:r w:rsidRPr="00C4466D">
        <w:rPr>
          <w:rFonts w:asciiTheme="majorHAnsi" w:hAnsiTheme="majorHAnsi"/>
        </w:rPr>
        <w:t>=  (viewed 13 February 2014)</w:t>
      </w:r>
    </w:p>
  </w:endnote>
  <w:endnote w:id="108">
    <w:p w:rsidR="00926A8A" w:rsidRPr="00C4466D" w:rsidRDefault="00926A8A">
      <w:pPr>
        <w:pStyle w:val="EndnoteText"/>
        <w:rPr>
          <w:rFonts w:asciiTheme="majorHAnsi" w:hAnsiTheme="majorHAnsi"/>
        </w:rPr>
      </w:pPr>
      <w:r w:rsidRPr="00C4466D">
        <w:rPr>
          <w:rStyle w:val="EndnoteReference"/>
          <w:rFonts w:asciiTheme="majorHAnsi" w:hAnsiTheme="majorHAnsi"/>
        </w:rPr>
        <w:endnoteRef/>
      </w:r>
      <w:r w:rsidRPr="00C4466D">
        <w:rPr>
          <w:rFonts w:asciiTheme="majorHAnsi" w:hAnsiTheme="majorHAnsi"/>
        </w:rPr>
        <w:t xml:space="preserve"> E Byron, ‘How to Market to an Aging Boomer: Flattery, Subterfuge and Euphemism’, </w:t>
      </w:r>
      <w:r w:rsidRPr="00C4466D">
        <w:rPr>
          <w:rFonts w:asciiTheme="majorHAnsi" w:hAnsiTheme="majorHAnsi"/>
          <w:i/>
        </w:rPr>
        <w:t>The Wall Street Journal</w:t>
      </w:r>
      <w:r w:rsidRPr="00C4466D">
        <w:rPr>
          <w:rFonts w:asciiTheme="majorHAnsi" w:hAnsiTheme="majorHAnsi"/>
        </w:rPr>
        <w:t xml:space="preserve">, 5 February 2011 p. 3. At: </w:t>
      </w:r>
      <w:hyperlink r:id="rId107" w:history="1">
        <w:r w:rsidRPr="00C4466D">
          <w:rPr>
            <w:rStyle w:val="Hyperlink"/>
            <w:rFonts w:asciiTheme="majorHAnsi" w:hAnsiTheme="majorHAnsi"/>
          </w:rPr>
          <w:t>http://www.iqpc.com/GetDownload.aspx?EventID=20634.001&amp;content_url=%2fuploadedFiles%2fEventRedesign%2fAustralia%2f2011%2fOctober%2f20634001%2fAssets%2fArticle_How_to_Market_to_an_Aging_Boomer.pdf</w:t>
        </w:r>
      </w:hyperlink>
      <w:r w:rsidRPr="00C4466D">
        <w:rPr>
          <w:rFonts w:asciiTheme="majorHAnsi" w:hAnsiTheme="majorHAnsi"/>
        </w:rPr>
        <w:t xml:space="preserve"> (viewed 13 February 2014)</w:t>
      </w:r>
    </w:p>
  </w:endnote>
  <w:endnote w:id="109">
    <w:p w:rsidR="00926A8A" w:rsidRPr="00C4466D" w:rsidRDefault="00926A8A">
      <w:pPr>
        <w:pStyle w:val="EndnoteText"/>
        <w:rPr>
          <w:rFonts w:asciiTheme="majorHAnsi" w:hAnsiTheme="majorHAnsi"/>
        </w:rPr>
      </w:pPr>
      <w:r w:rsidRPr="00C4466D">
        <w:rPr>
          <w:rStyle w:val="EndnoteReference"/>
          <w:rFonts w:asciiTheme="majorHAnsi" w:hAnsiTheme="majorHAnsi"/>
        </w:rPr>
        <w:endnoteRef/>
      </w:r>
      <w:r w:rsidRPr="00C4466D">
        <w:rPr>
          <w:rFonts w:asciiTheme="majorHAnsi" w:hAnsiTheme="majorHAnsi"/>
        </w:rPr>
        <w:t xml:space="preserve"> M Boyle, ‘Aging Boomers Befuddle Marketers Aching for $15 Trillion Prize’, </w:t>
      </w:r>
      <w:r w:rsidRPr="00C4466D">
        <w:rPr>
          <w:rFonts w:asciiTheme="majorHAnsi" w:hAnsiTheme="majorHAnsi"/>
          <w:i/>
        </w:rPr>
        <w:t>Bloomberg</w:t>
      </w:r>
      <w:r w:rsidRPr="00C4466D">
        <w:rPr>
          <w:rFonts w:asciiTheme="majorHAnsi" w:hAnsiTheme="majorHAnsi"/>
        </w:rPr>
        <w:t xml:space="preserve">, 17 September 2013. At: </w:t>
      </w:r>
      <w:hyperlink r:id="rId108" w:history="1">
        <w:r w:rsidRPr="00C4466D">
          <w:rPr>
            <w:rStyle w:val="Hyperlink"/>
            <w:rFonts w:asciiTheme="majorHAnsi" w:hAnsiTheme="majorHAnsi"/>
          </w:rPr>
          <w:t>http://www.bloomberg.com/news/2013-09-17/aging-boomers-befuddle-marketers-eying-15-trillion-prize.html?cmpid</w:t>
        </w:r>
      </w:hyperlink>
      <w:r w:rsidRPr="00C4466D">
        <w:rPr>
          <w:rFonts w:asciiTheme="majorHAnsi" w:hAnsiTheme="majorHAnsi"/>
        </w:rPr>
        <w:t>=  (viewed 13 February 2014)</w:t>
      </w:r>
    </w:p>
  </w:endnote>
  <w:endnote w:id="110">
    <w:p w:rsidR="00926A8A" w:rsidRPr="00C4466D" w:rsidRDefault="00926A8A">
      <w:pPr>
        <w:pStyle w:val="EndnoteText"/>
        <w:rPr>
          <w:rFonts w:asciiTheme="majorHAnsi" w:hAnsiTheme="majorHAnsi"/>
        </w:rPr>
      </w:pPr>
      <w:r w:rsidRPr="00C4466D">
        <w:rPr>
          <w:rStyle w:val="EndnoteReference"/>
          <w:rFonts w:asciiTheme="majorHAnsi" w:hAnsiTheme="majorHAnsi"/>
        </w:rPr>
        <w:endnoteRef/>
      </w:r>
      <w:r w:rsidRPr="00C4466D">
        <w:rPr>
          <w:rFonts w:asciiTheme="majorHAnsi" w:hAnsiTheme="majorHAnsi"/>
        </w:rPr>
        <w:t xml:space="preserve"> E Byron, ‘How to Market to an Aging Boomer: Flattery, Subterfuge and Euphemism’, </w:t>
      </w:r>
      <w:r w:rsidRPr="00C4466D">
        <w:rPr>
          <w:rFonts w:asciiTheme="majorHAnsi" w:hAnsiTheme="majorHAnsi"/>
          <w:i/>
        </w:rPr>
        <w:t>The Wall Street Journal</w:t>
      </w:r>
      <w:r w:rsidRPr="00C4466D">
        <w:rPr>
          <w:rFonts w:asciiTheme="majorHAnsi" w:hAnsiTheme="majorHAnsi"/>
        </w:rPr>
        <w:t xml:space="preserve">, 5 February 2011 p. 3. At: </w:t>
      </w:r>
      <w:hyperlink r:id="rId109" w:history="1">
        <w:r w:rsidRPr="00C4466D">
          <w:rPr>
            <w:rStyle w:val="Hyperlink"/>
            <w:rFonts w:asciiTheme="majorHAnsi" w:hAnsiTheme="majorHAnsi"/>
          </w:rPr>
          <w:t>http://www.iqpc.com/GetDownload.aspx?EventID=20634.001&amp;content_url=%2fuploadedFiles%2fEventRedesign%2fAustralia%2f2011%2fOctober%2f20634001%2fAssets%2fArticle_How_to_Market_to_an_Aging_Boomer.pdf</w:t>
        </w:r>
      </w:hyperlink>
      <w:r w:rsidRPr="00C4466D">
        <w:rPr>
          <w:rFonts w:asciiTheme="majorHAnsi" w:hAnsiTheme="majorHAnsi"/>
        </w:rPr>
        <w:t xml:space="preserve"> (viewed 13 February 2014)</w:t>
      </w:r>
    </w:p>
  </w:endnote>
  <w:endnote w:id="111">
    <w:p w:rsidR="00926A8A" w:rsidRPr="00C4466D" w:rsidRDefault="00926A8A">
      <w:pPr>
        <w:pStyle w:val="EndnoteText"/>
        <w:rPr>
          <w:rFonts w:asciiTheme="majorHAnsi" w:hAnsiTheme="majorHAnsi"/>
        </w:rPr>
      </w:pPr>
      <w:r w:rsidRPr="00C4466D">
        <w:rPr>
          <w:rStyle w:val="EndnoteReference"/>
          <w:rFonts w:asciiTheme="majorHAnsi" w:hAnsiTheme="majorHAnsi"/>
        </w:rPr>
        <w:endnoteRef/>
      </w:r>
      <w:r w:rsidRPr="00C4466D">
        <w:rPr>
          <w:rFonts w:asciiTheme="majorHAnsi" w:hAnsiTheme="majorHAnsi"/>
        </w:rPr>
        <w:t xml:space="preserve"> E Byron, ‘How to Market to an Aging Boomer: Flattery, Subterfuge and Euphemism’, </w:t>
      </w:r>
      <w:r w:rsidRPr="00C4466D">
        <w:rPr>
          <w:rFonts w:asciiTheme="majorHAnsi" w:hAnsiTheme="majorHAnsi"/>
          <w:i/>
        </w:rPr>
        <w:t>The Wall Street Journal</w:t>
      </w:r>
      <w:r w:rsidRPr="00C4466D">
        <w:rPr>
          <w:rFonts w:asciiTheme="majorHAnsi" w:hAnsiTheme="majorHAnsi"/>
        </w:rPr>
        <w:t xml:space="preserve">, 5 February 2011 p. 3. At: </w:t>
      </w:r>
      <w:hyperlink r:id="rId110" w:history="1">
        <w:r w:rsidRPr="00C4466D">
          <w:rPr>
            <w:rStyle w:val="Hyperlink"/>
            <w:rFonts w:asciiTheme="majorHAnsi" w:hAnsiTheme="majorHAnsi"/>
          </w:rPr>
          <w:t>http://www.iqpc.com/GetDownload.aspx?EventID=20634.001&amp;content_url=%2fuploadedFiles%2fEventRedesign%2fAustralia%2f2011%2fOctober%2f20634001%2fAssets%2fArticle_How_to_Market_to_an_Aging_Boomer.pdf</w:t>
        </w:r>
      </w:hyperlink>
      <w:r w:rsidRPr="00C4466D">
        <w:rPr>
          <w:rFonts w:asciiTheme="majorHAnsi" w:hAnsiTheme="majorHAnsi"/>
        </w:rPr>
        <w:t xml:space="preserve"> (viewed 13 February 2014)</w:t>
      </w:r>
    </w:p>
  </w:endnote>
  <w:endnote w:id="112">
    <w:p w:rsidR="00926A8A" w:rsidRPr="00C4466D" w:rsidRDefault="00926A8A">
      <w:pPr>
        <w:pStyle w:val="EndnoteText"/>
        <w:rPr>
          <w:rFonts w:asciiTheme="majorHAnsi" w:hAnsiTheme="majorHAnsi"/>
        </w:rPr>
      </w:pPr>
      <w:r w:rsidRPr="00C4466D">
        <w:rPr>
          <w:rStyle w:val="EndnoteReference"/>
          <w:rFonts w:asciiTheme="majorHAnsi" w:hAnsiTheme="majorHAnsi"/>
        </w:rPr>
        <w:endnoteRef/>
      </w:r>
      <w:r w:rsidRPr="00C4466D">
        <w:rPr>
          <w:rFonts w:asciiTheme="majorHAnsi" w:hAnsiTheme="majorHAnsi"/>
        </w:rPr>
        <w:t xml:space="preserve"> E Byron, ‘How to Market to an Aging Boomer: Flattery, Subterfuge and Euphemism’, </w:t>
      </w:r>
      <w:r w:rsidRPr="00C4466D">
        <w:rPr>
          <w:rFonts w:asciiTheme="majorHAnsi" w:hAnsiTheme="majorHAnsi"/>
          <w:i/>
        </w:rPr>
        <w:t>The Wall Street Journal</w:t>
      </w:r>
      <w:r w:rsidRPr="00C4466D">
        <w:rPr>
          <w:rFonts w:asciiTheme="majorHAnsi" w:hAnsiTheme="majorHAnsi"/>
        </w:rPr>
        <w:t xml:space="preserve">, 5 February 2011 p. 4. At: </w:t>
      </w:r>
      <w:hyperlink r:id="rId111" w:history="1">
        <w:r w:rsidRPr="00C4466D">
          <w:rPr>
            <w:rStyle w:val="Hyperlink"/>
            <w:rFonts w:asciiTheme="majorHAnsi" w:hAnsiTheme="majorHAnsi"/>
          </w:rPr>
          <w:t>http://www.iqpc.com/GetDownload.aspx?EventID=20634.001&amp;content_url=%2fuploadedFiles%2fEventRedesign%2fAustralia%2f2011%2fOctober%2f20634001%2fAssets%2fArticle_How_to_Market_to_an_Aging_Boomer.pdf</w:t>
        </w:r>
      </w:hyperlink>
      <w:r w:rsidRPr="00C4466D">
        <w:rPr>
          <w:rFonts w:asciiTheme="majorHAnsi" w:hAnsiTheme="majorHAnsi"/>
        </w:rPr>
        <w:t xml:space="preserve"> (viewed 13 February 2014)</w:t>
      </w:r>
    </w:p>
  </w:endnote>
  <w:endnote w:id="113">
    <w:p w:rsidR="00926A8A" w:rsidRPr="00C4466D" w:rsidRDefault="00926A8A">
      <w:pPr>
        <w:pStyle w:val="EndnoteText"/>
        <w:rPr>
          <w:rFonts w:asciiTheme="majorHAnsi" w:hAnsiTheme="majorHAnsi"/>
        </w:rPr>
      </w:pPr>
      <w:r w:rsidRPr="00C4466D">
        <w:rPr>
          <w:rStyle w:val="EndnoteReference"/>
          <w:rFonts w:asciiTheme="majorHAnsi" w:hAnsiTheme="majorHAnsi"/>
        </w:rPr>
        <w:endnoteRef/>
      </w:r>
      <w:r w:rsidRPr="00C4466D">
        <w:rPr>
          <w:rFonts w:asciiTheme="majorHAnsi" w:hAnsiTheme="majorHAnsi"/>
        </w:rPr>
        <w:t xml:space="preserve"> M Strzelecki, ‘Coming of Age’, </w:t>
      </w:r>
      <w:r w:rsidRPr="00C4466D">
        <w:rPr>
          <w:rFonts w:asciiTheme="majorHAnsi" w:hAnsiTheme="majorHAnsi"/>
          <w:i/>
        </w:rPr>
        <w:t>Retail Leader</w:t>
      </w:r>
      <w:r w:rsidRPr="00C4466D">
        <w:rPr>
          <w:rFonts w:asciiTheme="majorHAnsi" w:hAnsiTheme="majorHAnsi"/>
        </w:rPr>
        <w:t xml:space="preserve">, November 2013. At: </w:t>
      </w:r>
      <w:hyperlink r:id="rId112" w:history="1">
        <w:r w:rsidRPr="00C4466D">
          <w:rPr>
            <w:rStyle w:val="Hyperlink"/>
            <w:rFonts w:asciiTheme="majorHAnsi" w:hAnsiTheme="majorHAnsi"/>
          </w:rPr>
          <w:t>http://www.retailleader.com/article-coming_of_age-6646-part2.html</w:t>
        </w:r>
      </w:hyperlink>
      <w:r w:rsidRPr="00C4466D">
        <w:rPr>
          <w:rFonts w:asciiTheme="majorHAnsi" w:hAnsiTheme="majorHAnsi"/>
        </w:rPr>
        <w:t xml:space="preserve">  (viewed 19 February 2014)</w:t>
      </w:r>
    </w:p>
  </w:endnote>
  <w:endnote w:id="114">
    <w:p w:rsidR="00926A8A" w:rsidRPr="00C4466D" w:rsidRDefault="00926A8A">
      <w:pPr>
        <w:pStyle w:val="EndnoteText"/>
        <w:rPr>
          <w:rFonts w:asciiTheme="majorHAnsi" w:hAnsiTheme="majorHAnsi"/>
        </w:rPr>
      </w:pPr>
      <w:r w:rsidRPr="00C4466D">
        <w:rPr>
          <w:rStyle w:val="EndnoteReference"/>
          <w:rFonts w:asciiTheme="majorHAnsi" w:hAnsiTheme="majorHAnsi"/>
        </w:rPr>
        <w:endnoteRef/>
      </w:r>
      <w:r w:rsidRPr="00C4466D">
        <w:rPr>
          <w:rFonts w:asciiTheme="majorHAnsi" w:hAnsiTheme="majorHAnsi"/>
        </w:rPr>
        <w:t xml:space="preserve"> M Strzelecki, ‘Coming of Age’, </w:t>
      </w:r>
      <w:r w:rsidRPr="00C4466D">
        <w:rPr>
          <w:rFonts w:asciiTheme="majorHAnsi" w:hAnsiTheme="majorHAnsi"/>
          <w:i/>
        </w:rPr>
        <w:t>Retail Leader</w:t>
      </w:r>
      <w:r w:rsidRPr="00C4466D">
        <w:rPr>
          <w:rFonts w:asciiTheme="majorHAnsi" w:hAnsiTheme="majorHAnsi"/>
        </w:rPr>
        <w:t xml:space="preserve">, November 2013. At: </w:t>
      </w:r>
      <w:hyperlink r:id="rId113" w:history="1">
        <w:r w:rsidRPr="00C4466D">
          <w:rPr>
            <w:rStyle w:val="Hyperlink"/>
            <w:rFonts w:asciiTheme="majorHAnsi" w:hAnsiTheme="majorHAnsi"/>
          </w:rPr>
          <w:t>http://www.retailleader.com/article-coming_of_age-6646-part2.html</w:t>
        </w:r>
      </w:hyperlink>
      <w:r w:rsidRPr="00C4466D">
        <w:rPr>
          <w:rFonts w:asciiTheme="majorHAnsi" w:hAnsiTheme="majorHAnsi"/>
        </w:rPr>
        <w:t xml:space="preserve">  (viewed 19 February 2014)</w:t>
      </w:r>
    </w:p>
  </w:endnote>
  <w:endnote w:id="115">
    <w:p w:rsidR="00926A8A" w:rsidRPr="00C4466D" w:rsidRDefault="00926A8A">
      <w:pPr>
        <w:pStyle w:val="EndnoteText"/>
        <w:rPr>
          <w:rFonts w:asciiTheme="majorHAnsi" w:hAnsiTheme="majorHAnsi"/>
        </w:rPr>
      </w:pPr>
      <w:r w:rsidRPr="00C4466D">
        <w:rPr>
          <w:rStyle w:val="EndnoteReference"/>
          <w:rFonts w:asciiTheme="majorHAnsi" w:hAnsiTheme="majorHAnsi"/>
        </w:rPr>
        <w:endnoteRef/>
      </w:r>
      <w:r w:rsidRPr="00C4466D">
        <w:rPr>
          <w:rFonts w:asciiTheme="majorHAnsi" w:hAnsiTheme="majorHAnsi"/>
        </w:rPr>
        <w:t xml:space="preserve"> M Boyle, ‘Aging Boomers Befuddle Marketers Aching for $15 Trillion Prize’, </w:t>
      </w:r>
      <w:r w:rsidRPr="00C4466D">
        <w:rPr>
          <w:rFonts w:asciiTheme="majorHAnsi" w:hAnsiTheme="majorHAnsi"/>
          <w:i/>
        </w:rPr>
        <w:t>Bloomberg</w:t>
      </w:r>
      <w:r w:rsidRPr="00C4466D">
        <w:rPr>
          <w:rFonts w:asciiTheme="majorHAnsi" w:hAnsiTheme="majorHAnsi"/>
        </w:rPr>
        <w:t xml:space="preserve">, 17 September 2013. At: </w:t>
      </w:r>
      <w:hyperlink r:id="rId114" w:history="1">
        <w:r w:rsidRPr="00C4466D">
          <w:rPr>
            <w:rStyle w:val="Hyperlink"/>
            <w:rFonts w:asciiTheme="majorHAnsi" w:hAnsiTheme="majorHAnsi"/>
          </w:rPr>
          <w:t>http://www.bloomberg.com/news/2013-09-17/aging-boomers-befuddle-marketers-eying-15-trillion-prize.html?cmpid</w:t>
        </w:r>
      </w:hyperlink>
      <w:r w:rsidRPr="00C4466D">
        <w:rPr>
          <w:rFonts w:asciiTheme="majorHAnsi" w:hAnsiTheme="majorHAnsi"/>
        </w:rPr>
        <w:t>=  (viewed 13 February 2014)</w:t>
      </w:r>
    </w:p>
  </w:endnote>
  <w:endnote w:id="116">
    <w:p w:rsidR="00926A8A" w:rsidRPr="00C4466D" w:rsidRDefault="00926A8A">
      <w:pPr>
        <w:pStyle w:val="EndnoteText"/>
        <w:rPr>
          <w:rFonts w:asciiTheme="majorHAnsi" w:hAnsiTheme="majorHAnsi"/>
        </w:rPr>
      </w:pPr>
      <w:r w:rsidRPr="00C4466D">
        <w:rPr>
          <w:rStyle w:val="EndnoteReference"/>
          <w:rFonts w:asciiTheme="majorHAnsi" w:hAnsiTheme="majorHAnsi"/>
        </w:rPr>
        <w:endnoteRef/>
      </w:r>
      <w:r w:rsidRPr="00C4466D">
        <w:rPr>
          <w:rFonts w:asciiTheme="majorHAnsi" w:hAnsiTheme="majorHAnsi"/>
        </w:rPr>
        <w:t xml:space="preserve"> E Byron, ‘How to Market to an Aging Boomer: Flattery, Subterfuge and Euphemism’, </w:t>
      </w:r>
      <w:r w:rsidRPr="00C4466D">
        <w:rPr>
          <w:rFonts w:asciiTheme="majorHAnsi" w:hAnsiTheme="majorHAnsi"/>
          <w:i/>
        </w:rPr>
        <w:t>The Wall Street Journal</w:t>
      </w:r>
      <w:r w:rsidRPr="00C4466D">
        <w:rPr>
          <w:rFonts w:asciiTheme="majorHAnsi" w:hAnsiTheme="majorHAnsi"/>
        </w:rPr>
        <w:t xml:space="preserve">, 5 February 2011 p. 4. At: </w:t>
      </w:r>
      <w:hyperlink r:id="rId115" w:history="1">
        <w:r w:rsidRPr="00C4466D">
          <w:rPr>
            <w:rStyle w:val="Hyperlink"/>
            <w:rFonts w:asciiTheme="majorHAnsi" w:hAnsiTheme="majorHAnsi"/>
          </w:rPr>
          <w:t>http://www.iqpc.com/GetDownload.aspx?EventID=20634.001&amp;content_url=%2fuploadedFiles%2fEventRedesign%2fAustralia%2f2011%2fOctober%2f20634001%2fAssets%2fArticle_How_to_Market_to_an_Aging_Boomer.pdf</w:t>
        </w:r>
      </w:hyperlink>
      <w:r w:rsidRPr="00C4466D">
        <w:rPr>
          <w:rFonts w:asciiTheme="majorHAnsi" w:hAnsiTheme="majorHAnsi"/>
        </w:rPr>
        <w:t xml:space="preserve"> (viewed 13 February 2014)</w:t>
      </w:r>
    </w:p>
  </w:endnote>
  <w:endnote w:id="117">
    <w:p w:rsidR="00926A8A" w:rsidRPr="00C4466D" w:rsidRDefault="00926A8A">
      <w:pPr>
        <w:pStyle w:val="EndnoteText"/>
        <w:rPr>
          <w:rFonts w:asciiTheme="majorHAnsi" w:hAnsiTheme="majorHAnsi"/>
        </w:rPr>
      </w:pPr>
      <w:r w:rsidRPr="00C4466D">
        <w:rPr>
          <w:rStyle w:val="EndnoteReference"/>
          <w:rFonts w:asciiTheme="majorHAnsi" w:hAnsiTheme="majorHAnsi"/>
        </w:rPr>
        <w:endnoteRef/>
      </w:r>
      <w:r w:rsidRPr="00C4466D">
        <w:rPr>
          <w:rFonts w:asciiTheme="majorHAnsi" w:hAnsiTheme="majorHAnsi"/>
        </w:rPr>
        <w:t xml:space="preserve"> A.T. Kearney, </w:t>
      </w:r>
      <w:r w:rsidRPr="00C4466D">
        <w:rPr>
          <w:rFonts w:asciiTheme="majorHAnsi" w:hAnsiTheme="majorHAnsi"/>
          <w:i/>
        </w:rPr>
        <w:t>Understanding the Needs and Consequences of the Ageing Consumer</w:t>
      </w:r>
      <w:r w:rsidRPr="00C4466D">
        <w:rPr>
          <w:rFonts w:asciiTheme="majorHAnsi" w:hAnsiTheme="majorHAnsi"/>
        </w:rPr>
        <w:t xml:space="preserve">, 2013, p. 6. At: </w:t>
      </w:r>
      <w:hyperlink r:id="rId116" w:history="1">
        <w:r w:rsidRPr="00C4466D">
          <w:rPr>
            <w:rStyle w:val="Hyperlink"/>
            <w:rFonts w:asciiTheme="majorHAnsi" w:hAnsiTheme="majorHAnsi"/>
          </w:rPr>
          <w:t>http://www.atkearney.com/paper/-/asset_publisher/dVxv4Hz2h8bS/content/understanding-the-needs-and-consequences-of-the-ageing-consumer/10192</w:t>
        </w:r>
      </w:hyperlink>
      <w:r w:rsidRPr="00C4466D">
        <w:rPr>
          <w:rFonts w:asciiTheme="majorHAnsi" w:hAnsiTheme="majorHAnsi"/>
        </w:rPr>
        <w:t xml:space="preserve">  (viewed 13 February 2014)</w:t>
      </w:r>
    </w:p>
  </w:endnote>
  <w:endnote w:id="118">
    <w:p w:rsidR="00926A8A" w:rsidRPr="00C4466D" w:rsidRDefault="00926A8A">
      <w:pPr>
        <w:pStyle w:val="EndnoteText"/>
        <w:rPr>
          <w:rFonts w:asciiTheme="majorHAnsi" w:hAnsiTheme="majorHAnsi"/>
        </w:rPr>
      </w:pPr>
      <w:r w:rsidRPr="00C4466D">
        <w:rPr>
          <w:rStyle w:val="EndnoteReference"/>
          <w:rFonts w:asciiTheme="majorHAnsi" w:hAnsiTheme="majorHAnsi"/>
        </w:rPr>
        <w:endnoteRef/>
      </w:r>
      <w:r w:rsidRPr="00C4466D">
        <w:rPr>
          <w:rFonts w:asciiTheme="majorHAnsi" w:hAnsiTheme="majorHAnsi"/>
        </w:rPr>
        <w:t xml:space="preserve"> A.T. Kearney, </w:t>
      </w:r>
      <w:r w:rsidRPr="00C4466D">
        <w:rPr>
          <w:rFonts w:asciiTheme="majorHAnsi" w:hAnsiTheme="majorHAnsi"/>
          <w:i/>
        </w:rPr>
        <w:t>Understanding the Needs and Consequences of the Ageing Consumer</w:t>
      </w:r>
      <w:r w:rsidRPr="00C4466D">
        <w:rPr>
          <w:rFonts w:asciiTheme="majorHAnsi" w:hAnsiTheme="majorHAnsi"/>
        </w:rPr>
        <w:t xml:space="preserve">, 2013, p. 6. At: </w:t>
      </w:r>
      <w:hyperlink r:id="rId117" w:history="1">
        <w:r w:rsidRPr="00C4466D">
          <w:rPr>
            <w:rStyle w:val="Hyperlink"/>
            <w:rFonts w:asciiTheme="majorHAnsi" w:hAnsiTheme="majorHAnsi"/>
          </w:rPr>
          <w:t>http://www.atkearney.com/paper/-/asset_publisher/dVxv4Hz2h8bS/content/understanding-the-needs-and-consequences-of-the-ageing-consumer/10192</w:t>
        </w:r>
      </w:hyperlink>
      <w:r w:rsidRPr="00C4466D">
        <w:rPr>
          <w:rFonts w:asciiTheme="majorHAnsi" w:hAnsiTheme="majorHAnsi"/>
        </w:rPr>
        <w:t xml:space="preserve">  (viewed 13 February 2014)</w:t>
      </w:r>
    </w:p>
  </w:endnote>
  <w:endnote w:id="119">
    <w:p w:rsidR="00926A8A" w:rsidRPr="00C4466D" w:rsidRDefault="00926A8A">
      <w:pPr>
        <w:pStyle w:val="EndnoteText"/>
        <w:rPr>
          <w:rFonts w:asciiTheme="majorHAnsi" w:hAnsiTheme="majorHAnsi"/>
        </w:rPr>
      </w:pPr>
      <w:r w:rsidRPr="00C4466D">
        <w:rPr>
          <w:rStyle w:val="EndnoteReference"/>
          <w:rFonts w:asciiTheme="majorHAnsi" w:hAnsiTheme="majorHAnsi"/>
        </w:rPr>
        <w:endnoteRef/>
      </w:r>
      <w:r w:rsidRPr="00C4466D">
        <w:rPr>
          <w:rFonts w:asciiTheme="majorHAnsi" w:hAnsiTheme="majorHAnsi"/>
        </w:rPr>
        <w:t xml:space="preserve"> A.T. Kearney, </w:t>
      </w:r>
      <w:r w:rsidRPr="00C4466D">
        <w:rPr>
          <w:rFonts w:asciiTheme="majorHAnsi" w:hAnsiTheme="majorHAnsi"/>
          <w:i/>
        </w:rPr>
        <w:t>Understanding the Needs and Consequences of the Ageing Consumer</w:t>
      </w:r>
      <w:r w:rsidRPr="00C4466D">
        <w:rPr>
          <w:rFonts w:asciiTheme="majorHAnsi" w:hAnsiTheme="majorHAnsi"/>
        </w:rPr>
        <w:t xml:space="preserve">, 2013, p. 8. At: </w:t>
      </w:r>
      <w:hyperlink r:id="rId118" w:history="1">
        <w:r w:rsidRPr="00C4466D">
          <w:rPr>
            <w:rStyle w:val="Hyperlink"/>
            <w:rFonts w:asciiTheme="majorHAnsi" w:hAnsiTheme="majorHAnsi"/>
          </w:rPr>
          <w:t>http://www.atkearney.com/paper/-/asset_publisher/dVxv4Hz2h8bS/content/understanding-the-needs-and-consequences-of-the-ageing-consumer/10192</w:t>
        </w:r>
      </w:hyperlink>
      <w:r w:rsidRPr="00C4466D">
        <w:rPr>
          <w:rFonts w:asciiTheme="majorHAnsi" w:hAnsiTheme="majorHAnsi"/>
        </w:rPr>
        <w:t xml:space="preserve">  (viewed 13 February 2014)</w:t>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E00002FF" w:usb1="400004FF" w:usb2="00000000" w:usb3="00000000" w:csb0="0000019F" w:csb1="00000000"/>
  </w:font>
  <w:font w:name="MS Mincho">
    <w:altName w:val="ＭＳ 明朝"/>
    <w:panose1 w:val="02020609040205080304"/>
    <w:charset w:val="80"/>
    <w:family w:val="modern"/>
    <w:pitch w:val="fixed"/>
    <w:sig w:usb0="E00002FF" w:usb1="6AC7FDFB" w:usb2="00000012" w:usb3="00000000" w:csb0="0002009F" w:csb1="00000000"/>
  </w:font>
  <w:font w:name="ArialMT">
    <w:altName w:val="Arial"/>
    <w:panose1 w:val="00000000000000000000"/>
    <w:charset w:val="4D"/>
    <w:family w:val="auto"/>
    <w:notTrueType/>
    <w:pitch w:val="default"/>
    <w:sig w:usb0="00000003" w:usb1="00000000" w:usb2="00000000" w:usb3="00000000" w:csb0="00000001" w:csb1="00000000"/>
  </w:font>
  <w:font w:name="Tahoma">
    <w:panose1 w:val="020B0604030504040204"/>
    <w:charset w:val="00"/>
    <w:family w:val="swiss"/>
    <w:notTrueType/>
    <w:pitch w:val="variable"/>
    <w:sig w:usb0="00000003" w:usb1="00000000" w:usb2="00000000" w:usb3="00000000" w:csb0="00000001" w:csb1="00000000"/>
  </w:font>
  <w:font w:name="Calibri">
    <w:panose1 w:val="020F0502020204030204"/>
    <w:charset w:val="00"/>
    <w:family w:val="swiss"/>
    <w:pitch w:val="variable"/>
    <w:sig w:usb0="E10002FF" w:usb1="4000ACFF" w:usb2="00000009"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926A8A" w:rsidRDefault="00926A8A" w:rsidP="00CE7182">
    <w:pPr>
      <w:pStyle w:val="Footer"/>
      <w:spacing w:before="0"/>
    </w:pPr>
    <w:r w:rsidRPr="0090165F">
      <w:fldChar w:fldCharType="begin"/>
    </w:r>
    <w:r w:rsidRPr="0090165F">
      <w:instrText xml:space="preserve"> PAGE   \* MERGEFORMAT </w:instrText>
    </w:r>
    <w:r w:rsidRPr="0090165F">
      <w:fldChar w:fldCharType="separate"/>
    </w:r>
    <w:r w:rsidR="00577159">
      <w:rPr>
        <w:noProof/>
      </w:rPr>
      <w:t>4</w:t>
    </w:r>
    <w:r w:rsidRPr="0090165F">
      <w:fldChar w:fldCharType="end"/>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926A8A" w:rsidRDefault="00926A8A" w:rsidP="00F14C6D">
      <w:r>
        <w:separator/>
      </w:r>
    </w:p>
  </w:footnote>
  <w:footnote w:type="continuationSeparator" w:id="0">
    <w:p w:rsidR="00926A8A" w:rsidRDefault="00926A8A" w:rsidP="00F14C6D">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926A8A" w:rsidRPr="00BB7FD2" w:rsidRDefault="00926A8A" w:rsidP="00BB7FD2">
    <w:pPr>
      <w:rPr>
        <w:rFonts w:asciiTheme="majorHAnsi" w:hAnsiTheme="majorHAnsi" w:cs="Arial"/>
        <w:b/>
        <w:sz w:val="32"/>
      </w:rPr>
    </w:pPr>
    <w:r w:rsidRPr="00BB7FD2">
      <w:rPr>
        <w:rFonts w:asciiTheme="majorHAnsi" w:hAnsiTheme="majorHAnsi" w:cs="Arial"/>
        <w:b/>
        <w:sz w:val="32"/>
        <w:u w:val="single"/>
      </w:rPr>
      <w:t>Older Consumers Factsheet</w:t>
    </w:r>
    <w:r w:rsidRPr="00BB7FD2">
      <w:rPr>
        <w:rFonts w:asciiTheme="majorHAnsi" w:hAnsiTheme="majorHAnsi" w:cs="Arial"/>
        <w:b/>
        <w:sz w:val="32"/>
      </w:rPr>
      <w:tab/>
    </w:r>
    <w:r w:rsidRPr="00BB7FD2">
      <w:rPr>
        <w:rFonts w:asciiTheme="majorHAnsi" w:hAnsiTheme="majorHAnsi" w:cs="Arial"/>
        <w:b/>
        <w:sz w:val="32"/>
      </w:rPr>
      <w:tab/>
    </w:r>
    <w:r w:rsidRPr="00BB7FD2">
      <w:rPr>
        <w:rFonts w:asciiTheme="majorHAnsi" w:hAnsiTheme="majorHAnsi" w:cs="Arial"/>
        <w:b/>
        <w:sz w:val="32"/>
      </w:rPr>
      <w:tab/>
    </w:r>
    <w:r w:rsidRPr="00BB7FD2">
      <w:rPr>
        <w:rFonts w:asciiTheme="majorHAnsi" w:hAnsiTheme="majorHAnsi" w:cstheme="minorHAnsi"/>
        <w:sz w:val="20"/>
        <w:szCs w:val="20"/>
      </w:rPr>
      <w:t xml:space="preserve">     </w:t>
    </w:r>
    <w:r w:rsidR="0055000C">
      <w:rPr>
        <w:rFonts w:asciiTheme="majorHAnsi" w:hAnsiTheme="majorHAnsi" w:cstheme="minorHAnsi"/>
        <w:sz w:val="20"/>
        <w:szCs w:val="20"/>
      </w:rPr>
      <w:tab/>
    </w:r>
    <w:r w:rsidR="0055000C">
      <w:rPr>
        <w:rFonts w:asciiTheme="majorHAnsi" w:hAnsiTheme="majorHAnsi" w:cstheme="minorHAnsi"/>
        <w:sz w:val="20"/>
        <w:szCs w:val="20"/>
      </w:rPr>
      <w:tab/>
    </w:r>
    <w:r w:rsidR="0055000C">
      <w:rPr>
        <w:rFonts w:asciiTheme="majorHAnsi" w:hAnsiTheme="majorHAnsi" w:cstheme="minorHAnsi"/>
        <w:sz w:val="20"/>
        <w:szCs w:val="20"/>
      </w:rPr>
      <w:tab/>
    </w:r>
    <w:r w:rsidRPr="00BB7FD2">
      <w:rPr>
        <w:rFonts w:asciiTheme="majorHAnsi" w:hAnsiTheme="majorHAnsi" w:cstheme="minorHAnsi"/>
        <w:sz w:val="20"/>
        <w:szCs w:val="20"/>
      </w:rPr>
      <w:t xml:space="preserve"> 20</w:t>
    </w:r>
    <w:r w:rsidR="0055000C">
      <w:rPr>
        <w:rFonts w:asciiTheme="majorHAnsi" w:hAnsiTheme="majorHAnsi" w:cstheme="minorHAnsi"/>
        <w:sz w:val="20"/>
        <w:szCs w:val="20"/>
      </w:rPr>
      <w:t xml:space="preserve"> F</w:t>
    </w:r>
    <w:r w:rsidRPr="00BB7FD2">
      <w:rPr>
        <w:rFonts w:asciiTheme="majorHAnsi" w:hAnsiTheme="majorHAnsi" w:cstheme="minorHAnsi"/>
        <w:sz w:val="20"/>
        <w:szCs w:val="20"/>
      </w:rPr>
      <w:t>ebruary2014</w:t>
    </w: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FFFFFF7C"/>
    <w:multiLevelType w:val="singleLevel"/>
    <w:tmpl w:val="4E301292"/>
    <w:lvl w:ilvl="0">
      <w:start w:val="1"/>
      <w:numFmt w:val="decimal"/>
      <w:pStyle w:val="ListNumber5"/>
      <w:lvlText w:val="%1."/>
      <w:lvlJc w:val="left"/>
      <w:pPr>
        <w:tabs>
          <w:tab w:val="num" w:pos="1492"/>
        </w:tabs>
        <w:ind w:left="1492" w:hanging="360"/>
      </w:pPr>
    </w:lvl>
  </w:abstractNum>
  <w:abstractNum w:abstractNumId="1">
    <w:nsid w:val="FFFFFF7D"/>
    <w:multiLevelType w:val="singleLevel"/>
    <w:tmpl w:val="6F36045A"/>
    <w:lvl w:ilvl="0">
      <w:start w:val="1"/>
      <w:numFmt w:val="decimal"/>
      <w:pStyle w:val="ListNumber4"/>
      <w:lvlText w:val="%1."/>
      <w:lvlJc w:val="left"/>
      <w:pPr>
        <w:tabs>
          <w:tab w:val="num" w:pos="1209"/>
        </w:tabs>
        <w:ind w:left="1209" w:hanging="360"/>
      </w:pPr>
    </w:lvl>
  </w:abstractNum>
  <w:abstractNum w:abstractNumId="2">
    <w:nsid w:val="FFFFFF7E"/>
    <w:multiLevelType w:val="singleLevel"/>
    <w:tmpl w:val="5558AC88"/>
    <w:lvl w:ilvl="0">
      <w:start w:val="1"/>
      <w:numFmt w:val="decimal"/>
      <w:pStyle w:val="ListNumber3"/>
      <w:lvlText w:val="%1."/>
      <w:lvlJc w:val="left"/>
      <w:pPr>
        <w:tabs>
          <w:tab w:val="num" w:pos="926"/>
        </w:tabs>
        <w:ind w:left="926" w:hanging="360"/>
      </w:pPr>
    </w:lvl>
  </w:abstractNum>
  <w:abstractNum w:abstractNumId="3">
    <w:nsid w:val="FFFFFF7F"/>
    <w:multiLevelType w:val="singleLevel"/>
    <w:tmpl w:val="91EC8FA0"/>
    <w:lvl w:ilvl="0">
      <w:start w:val="1"/>
      <w:numFmt w:val="decimal"/>
      <w:pStyle w:val="ListNumber2"/>
      <w:lvlText w:val="%1."/>
      <w:lvlJc w:val="left"/>
      <w:pPr>
        <w:tabs>
          <w:tab w:val="num" w:pos="643"/>
        </w:tabs>
        <w:ind w:left="643" w:hanging="360"/>
      </w:pPr>
    </w:lvl>
  </w:abstractNum>
  <w:abstractNum w:abstractNumId="4">
    <w:nsid w:val="FFFFFF80"/>
    <w:multiLevelType w:val="singleLevel"/>
    <w:tmpl w:val="3104E1E6"/>
    <w:lvl w:ilvl="0">
      <w:start w:val="1"/>
      <w:numFmt w:val="bullet"/>
      <w:pStyle w:val="ListBullet5"/>
      <w:lvlText w:val=""/>
      <w:lvlJc w:val="left"/>
      <w:pPr>
        <w:tabs>
          <w:tab w:val="num" w:pos="1492"/>
        </w:tabs>
        <w:ind w:left="1492" w:hanging="360"/>
      </w:pPr>
      <w:rPr>
        <w:rFonts w:ascii="Symbol" w:hAnsi="Symbol" w:hint="default"/>
      </w:rPr>
    </w:lvl>
  </w:abstractNum>
  <w:abstractNum w:abstractNumId="5">
    <w:nsid w:val="FFFFFF81"/>
    <w:multiLevelType w:val="singleLevel"/>
    <w:tmpl w:val="C2C21C32"/>
    <w:lvl w:ilvl="0">
      <w:start w:val="1"/>
      <w:numFmt w:val="bullet"/>
      <w:pStyle w:val="ListBullet4"/>
      <w:lvlText w:val=""/>
      <w:lvlJc w:val="left"/>
      <w:pPr>
        <w:tabs>
          <w:tab w:val="num" w:pos="1209"/>
        </w:tabs>
        <w:ind w:left="1209" w:hanging="360"/>
      </w:pPr>
      <w:rPr>
        <w:rFonts w:ascii="Symbol" w:hAnsi="Symbol" w:hint="default"/>
      </w:rPr>
    </w:lvl>
  </w:abstractNum>
  <w:abstractNum w:abstractNumId="6">
    <w:nsid w:val="FFFFFF82"/>
    <w:multiLevelType w:val="singleLevel"/>
    <w:tmpl w:val="5656989A"/>
    <w:lvl w:ilvl="0">
      <w:start w:val="1"/>
      <w:numFmt w:val="bullet"/>
      <w:pStyle w:val="ListBullet3"/>
      <w:lvlText w:val=""/>
      <w:lvlJc w:val="left"/>
      <w:pPr>
        <w:tabs>
          <w:tab w:val="num" w:pos="926"/>
        </w:tabs>
        <w:ind w:left="926" w:hanging="360"/>
      </w:pPr>
      <w:rPr>
        <w:rFonts w:ascii="Symbol" w:hAnsi="Symbol" w:hint="default"/>
      </w:rPr>
    </w:lvl>
  </w:abstractNum>
  <w:abstractNum w:abstractNumId="7">
    <w:nsid w:val="FFFFFF83"/>
    <w:multiLevelType w:val="singleLevel"/>
    <w:tmpl w:val="AF9C86F2"/>
    <w:lvl w:ilvl="0">
      <w:start w:val="1"/>
      <w:numFmt w:val="bullet"/>
      <w:pStyle w:val="ListBullet2"/>
      <w:lvlText w:val=""/>
      <w:lvlJc w:val="left"/>
      <w:pPr>
        <w:tabs>
          <w:tab w:val="num" w:pos="643"/>
        </w:tabs>
        <w:ind w:left="643" w:hanging="360"/>
      </w:pPr>
      <w:rPr>
        <w:rFonts w:ascii="Symbol" w:hAnsi="Symbol" w:hint="default"/>
      </w:rPr>
    </w:lvl>
  </w:abstractNum>
  <w:abstractNum w:abstractNumId="8">
    <w:nsid w:val="FFFFFF88"/>
    <w:multiLevelType w:val="singleLevel"/>
    <w:tmpl w:val="F3FEF416"/>
    <w:lvl w:ilvl="0">
      <w:start w:val="1"/>
      <w:numFmt w:val="decimal"/>
      <w:pStyle w:val="ListNumber"/>
      <w:lvlText w:val="%1."/>
      <w:lvlJc w:val="left"/>
      <w:pPr>
        <w:tabs>
          <w:tab w:val="num" w:pos="360"/>
        </w:tabs>
        <w:ind w:left="360" w:hanging="360"/>
      </w:pPr>
    </w:lvl>
  </w:abstractNum>
  <w:abstractNum w:abstractNumId="9">
    <w:nsid w:val="FFFFFF89"/>
    <w:multiLevelType w:val="singleLevel"/>
    <w:tmpl w:val="548259C4"/>
    <w:lvl w:ilvl="0">
      <w:start w:val="1"/>
      <w:numFmt w:val="bullet"/>
      <w:pStyle w:val="ListBullet"/>
      <w:lvlText w:val=""/>
      <w:lvlJc w:val="left"/>
      <w:pPr>
        <w:tabs>
          <w:tab w:val="num" w:pos="360"/>
        </w:tabs>
        <w:ind w:left="360" w:hanging="360"/>
      </w:pPr>
      <w:rPr>
        <w:rFonts w:ascii="Symbol" w:hAnsi="Symbol" w:hint="default"/>
      </w:rPr>
    </w:lvl>
  </w:abstractNum>
  <w:abstractNum w:abstractNumId="10">
    <w:nsid w:val="02BA3DDE"/>
    <w:multiLevelType w:val="hybridMultilevel"/>
    <w:tmpl w:val="593E3A90"/>
    <w:lvl w:ilvl="0" w:tplc="0C090001">
      <w:start w:val="1"/>
      <w:numFmt w:val="bullet"/>
      <w:lvlText w:val=""/>
      <w:lvlJc w:val="left"/>
      <w:pPr>
        <w:ind w:left="720" w:hanging="360"/>
      </w:pPr>
      <w:rPr>
        <w:rFonts w:ascii="Symbol" w:hAnsi="Symbol" w:hint="default"/>
      </w:rPr>
    </w:lvl>
    <w:lvl w:ilvl="1" w:tplc="0C090003">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1">
    <w:nsid w:val="03807DD2"/>
    <w:multiLevelType w:val="hybridMultilevel"/>
    <w:tmpl w:val="5636D87E"/>
    <w:lvl w:ilvl="0" w:tplc="0C09000F">
      <w:start w:val="1"/>
      <w:numFmt w:val="decimal"/>
      <w:lvlText w:val="%1."/>
      <w:lvlJc w:val="left"/>
      <w:pPr>
        <w:tabs>
          <w:tab w:val="num" w:pos="720"/>
        </w:tabs>
        <w:ind w:left="720" w:hanging="360"/>
      </w:pPr>
    </w:lvl>
    <w:lvl w:ilvl="1" w:tplc="0C090019" w:tentative="1">
      <w:start w:val="1"/>
      <w:numFmt w:val="lowerLetter"/>
      <w:lvlText w:val="%2."/>
      <w:lvlJc w:val="left"/>
      <w:pPr>
        <w:tabs>
          <w:tab w:val="num" w:pos="1440"/>
        </w:tabs>
        <w:ind w:left="1440" w:hanging="360"/>
      </w:pPr>
    </w:lvl>
    <w:lvl w:ilvl="2" w:tplc="0C09001B" w:tentative="1">
      <w:start w:val="1"/>
      <w:numFmt w:val="lowerRoman"/>
      <w:lvlText w:val="%3."/>
      <w:lvlJc w:val="right"/>
      <w:pPr>
        <w:tabs>
          <w:tab w:val="num" w:pos="2160"/>
        </w:tabs>
        <w:ind w:left="2160" w:hanging="180"/>
      </w:pPr>
    </w:lvl>
    <w:lvl w:ilvl="3" w:tplc="0C09000F" w:tentative="1">
      <w:start w:val="1"/>
      <w:numFmt w:val="decimal"/>
      <w:lvlText w:val="%4."/>
      <w:lvlJc w:val="left"/>
      <w:pPr>
        <w:tabs>
          <w:tab w:val="num" w:pos="2880"/>
        </w:tabs>
        <w:ind w:left="2880" w:hanging="360"/>
      </w:pPr>
    </w:lvl>
    <w:lvl w:ilvl="4" w:tplc="0C090019" w:tentative="1">
      <w:start w:val="1"/>
      <w:numFmt w:val="lowerLetter"/>
      <w:lvlText w:val="%5."/>
      <w:lvlJc w:val="left"/>
      <w:pPr>
        <w:tabs>
          <w:tab w:val="num" w:pos="3600"/>
        </w:tabs>
        <w:ind w:left="3600" w:hanging="360"/>
      </w:pPr>
    </w:lvl>
    <w:lvl w:ilvl="5" w:tplc="0C09001B" w:tentative="1">
      <w:start w:val="1"/>
      <w:numFmt w:val="lowerRoman"/>
      <w:lvlText w:val="%6."/>
      <w:lvlJc w:val="right"/>
      <w:pPr>
        <w:tabs>
          <w:tab w:val="num" w:pos="4320"/>
        </w:tabs>
        <w:ind w:left="4320" w:hanging="180"/>
      </w:pPr>
    </w:lvl>
    <w:lvl w:ilvl="6" w:tplc="0C09000F" w:tentative="1">
      <w:start w:val="1"/>
      <w:numFmt w:val="decimal"/>
      <w:lvlText w:val="%7."/>
      <w:lvlJc w:val="left"/>
      <w:pPr>
        <w:tabs>
          <w:tab w:val="num" w:pos="5040"/>
        </w:tabs>
        <w:ind w:left="5040" w:hanging="360"/>
      </w:pPr>
    </w:lvl>
    <w:lvl w:ilvl="7" w:tplc="0C090019" w:tentative="1">
      <w:start w:val="1"/>
      <w:numFmt w:val="lowerLetter"/>
      <w:lvlText w:val="%8."/>
      <w:lvlJc w:val="left"/>
      <w:pPr>
        <w:tabs>
          <w:tab w:val="num" w:pos="5760"/>
        </w:tabs>
        <w:ind w:left="5760" w:hanging="360"/>
      </w:pPr>
    </w:lvl>
    <w:lvl w:ilvl="8" w:tplc="0C09001B" w:tentative="1">
      <w:start w:val="1"/>
      <w:numFmt w:val="lowerRoman"/>
      <w:lvlText w:val="%9."/>
      <w:lvlJc w:val="right"/>
      <w:pPr>
        <w:tabs>
          <w:tab w:val="num" w:pos="6480"/>
        </w:tabs>
        <w:ind w:left="6480" w:hanging="180"/>
      </w:pPr>
    </w:lvl>
  </w:abstractNum>
  <w:abstractNum w:abstractNumId="12">
    <w:nsid w:val="0B377CF8"/>
    <w:multiLevelType w:val="multilevel"/>
    <w:tmpl w:val="0C09001D"/>
    <w:lvl w:ilvl="0">
      <w:start w:val="1"/>
      <w:numFmt w:val="decimal"/>
      <w:lvlText w:val="%1)"/>
      <w:lvlJc w:val="left"/>
      <w:pPr>
        <w:tabs>
          <w:tab w:val="num" w:pos="360"/>
        </w:tabs>
        <w:ind w:left="360" w:hanging="360"/>
      </w:pPr>
    </w:lvl>
    <w:lvl w:ilvl="1">
      <w:start w:val="1"/>
      <w:numFmt w:val="lowerLetter"/>
      <w:lvlText w:val="%2)"/>
      <w:lvlJc w:val="left"/>
      <w:pPr>
        <w:tabs>
          <w:tab w:val="num" w:pos="720"/>
        </w:tabs>
        <w:ind w:left="720" w:hanging="360"/>
      </w:pPr>
    </w:lvl>
    <w:lvl w:ilvl="2">
      <w:start w:val="1"/>
      <w:numFmt w:val="lowerRoman"/>
      <w:lvlText w:val="%3)"/>
      <w:lvlJc w:val="left"/>
      <w:pPr>
        <w:tabs>
          <w:tab w:val="num" w:pos="1080"/>
        </w:tabs>
        <w:ind w:left="1080" w:hanging="360"/>
      </w:pPr>
    </w:lvl>
    <w:lvl w:ilvl="3">
      <w:start w:val="1"/>
      <w:numFmt w:val="decimal"/>
      <w:lvlText w:val="(%4)"/>
      <w:lvlJc w:val="left"/>
      <w:pPr>
        <w:tabs>
          <w:tab w:val="num" w:pos="1440"/>
        </w:tabs>
        <w:ind w:left="1440" w:hanging="360"/>
      </w:pPr>
    </w:lvl>
    <w:lvl w:ilvl="4">
      <w:start w:val="1"/>
      <w:numFmt w:val="lowerLetter"/>
      <w:lvlText w:val="(%5)"/>
      <w:lvlJc w:val="left"/>
      <w:pPr>
        <w:tabs>
          <w:tab w:val="num" w:pos="1800"/>
        </w:tabs>
        <w:ind w:left="1800" w:hanging="360"/>
      </w:pPr>
    </w:lvl>
    <w:lvl w:ilvl="5">
      <w:start w:val="1"/>
      <w:numFmt w:val="lowerRoman"/>
      <w:lvlText w:val="(%6)"/>
      <w:lvlJc w:val="left"/>
      <w:pPr>
        <w:tabs>
          <w:tab w:val="num" w:pos="2160"/>
        </w:tabs>
        <w:ind w:left="2160" w:hanging="360"/>
      </w:pPr>
    </w:lvl>
    <w:lvl w:ilvl="6">
      <w:start w:val="1"/>
      <w:numFmt w:val="decimal"/>
      <w:lvlText w:val="%7."/>
      <w:lvlJc w:val="left"/>
      <w:pPr>
        <w:tabs>
          <w:tab w:val="num" w:pos="2520"/>
        </w:tabs>
        <w:ind w:left="2520" w:hanging="360"/>
      </w:pPr>
    </w:lvl>
    <w:lvl w:ilvl="7">
      <w:start w:val="1"/>
      <w:numFmt w:val="lowerLetter"/>
      <w:lvlText w:val="%8."/>
      <w:lvlJc w:val="left"/>
      <w:pPr>
        <w:tabs>
          <w:tab w:val="num" w:pos="2880"/>
        </w:tabs>
        <w:ind w:left="2880" w:hanging="360"/>
      </w:pPr>
    </w:lvl>
    <w:lvl w:ilvl="8">
      <w:start w:val="1"/>
      <w:numFmt w:val="lowerRoman"/>
      <w:lvlText w:val="%9."/>
      <w:lvlJc w:val="left"/>
      <w:pPr>
        <w:tabs>
          <w:tab w:val="num" w:pos="3240"/>
        </w:tabs>
        <w:ind w:left="3240" w:hanging="360"/>
      </w:pPr>
    </w:lvl>
  </w:abstractNum>
  <w:abstractNum w:abstractNumId="13">
    <w:nsid w:val="119A7911"/>
    <w:multiLevelType w:val="hybridMultilevel"/>
    <w:tmpl w:val="BDC4B1E4"/>
    <w:lvl w:ilvl="0" w:tplc="0C090001">
      <w:start w:val="1"/>
      <w:numFmt w:val="bullet"/>
      <w:lvlText w:val=""/>
      <w:lvlJc w:val="left"/>
      <w:pPr>
        <w:ind w:left="720" w:hanging="360"/>
      </w:pPr>
      <w:rPr>
        <w:rFonts w:ascii="Symbol" w:hAnsi="Symbol" w:hint="default"/>
      </w:rPr>
    </w:lvl>
    <w:lvl w:ilvl="1" w:tplc="0C090003">
      <w:start w:val="1"/>
      <w:numFmt w:val="bullet"/>
      <w:lvlText w:val="o"/>
      <w:lvlJc w:val="left"/>
      <w:pPr>
        <w:ind w:left="1440" w:hanging="360"/>
      </w:pPr>
      <w:rPr>
        <w:rFonts w:ascii="Courier New" w:hAnsi="Courier New" w:cs="Courier New" w:hint="default"/>
      </w:rPr>
    </w:lvl>
    <w:lvl w:ilvl="2" w:tplc="0C090005">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4">
    <w:nsid w:val="14A40C80"/>
    <w:multiLevelType w:val="hybridMultilevel"/>
    <w:tmpl w:val="58C87FFC"/>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5">
    <w:nsid w:val="168818FE"/>
    <w:multiLevelType w:val="hybridMultilevel"/>
    <w:tmpl w:val="F208A342"/>
    <w:lvl w:ilvl="0" w:tplc="0C090001">
      <w:start w:val="1"/>
      <w:numFmt w:val="bullet"/>
      <w:lvlText w:val=""/>
      <w:lvlJc w:val="left"/>
      <w:pPr>
        <w:ind w:left="720" w:hanging="360"/>
      </w:pPr>
      <w:rPr>
        <w:rFonts w:ascii="Symbol" w:hAnsi="Symbol" w:hint="default"/>
      </w:rPr>
    </w:lvl>
    <w:lvl w:ilvl="1" w:tplc="0C090003">
      <w:start w:val="1"/>
      <w:numFmt w:val="bullet"/>
      <w:lvlText w:val="o"/>
      <w:lvlJc w:val="left"/>
      <w:pPr>
        <w:ind w:left="1440" w:hanging="360"/>
      </w:pPr>
      <w:rPr>
        <w:rFonts w:ascii="Courier New" w:hAnsi="Courier New" w:cs="Courier New" w:hint="default"/>
      </w:rPr>
    </w:lvl>
    <w:lvl w:ilvl="2" w:tplc="0C090005">
      <w:start w:val="1"/>
      <w:numFmt w:val="bullet"/>
      <w:lvlText w:val=""/>
      <w:lvlJc w:val="left"/>
      <w:pPr>
        <w:ind w:left="2160" w:hanging="360"/>
      </w:pPr>
      <w:rPr>
        <w:rFonts w:ascii="Wingdings" w:hAnsi="Wingdings" w:hint="default"/>
      </w:rPr>
    </w:lvl>
    <w:lvl w:ilvl="3" w:tplc="0C090001">
      <w:start w:val="1"/>
      <w:numFmt w:val="bullet"/>
      <w:lvlText w:val=""/>
      <w:lvlJc w:val="left"/>
      <w:pPr>
        <w:ind w:left="2880" w:hanging="360"/>
      </w:pPr>
      <w:rPr>
        <w:rFonts w:ascii="Symbol" w:hAnsi="Symbol" w:hint="default"/>
      </w:rPr>
    </w:lvl>
    <w:lvl w:ilvl="4" w:tplc="0C090003">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6">
    <w:nsid w:val="18AC3039"/>
    <w:multiLevelType w:val="multilevel"/>
    <w:tmpl w:val="0C09001D"/>
    <w:lvl w:ilvl="0">
      <w:start w:val="1"/>
      <w:numFmt w:val="decimal"/>
      <w:lvlText w:val="%1)"/>
      <w:lvlJc w:val="left"/>
      <w:pPr>
        <w:tabs>
          <w:tab w:val="num" w:pos="360"/>
        </w:tabs>
        <w:ind w:left="360" w:hanging="360"/>
      </w:pPr>
    </w:lvl>
    <w:lvl w:ilvl="1">
      <w:start w:val="1"/>
      <w:numFmt w:val="lowerLetter"/>
      <w:lvlText w:val="%2)"/>
      <w:lvlJc w:val="left"/>
      <w:pPr>
        <w:tabs>
          <w:tab w:val="num" w:pos="720"/>
        </w:tabs>
        <w:ind w:left="720" w:hanging="360"/>
      </w:pPr>
    </w:lvl>
    <w:lvl w:ilvl="2">
      <w:start w:val="1"/>
      <w:numFmt w:val="lowerRoman"/>
      <w:lvlText w:val="%3)"/>
      <w:lvlJc w:val="left"/>
      <w:pPr>
        <w:tabs>
          <w:tab w:val="num" w:pos="1080"/>
        </w:tabs>
        <w:ind w:left="1080" w:hanging="360"/>
      </w:pPr>
    </w:lvl>
    <w:lvl w:ilvl="3">
      <w:start w:val="1"/>
      <w:numFmt w:val="decimal"/>
      <w:lvlText w:val="(%4)"/>
      <w:lvlJc w:val="left"/>
      <w:pPr>
        <w:tabs>
          <w:tab w:val="num" w:pos="1440"/>
        </w:tabs>
        <w:ind w:left="1440" w:hanging="360"/>
      </w:pPr>
    </w:lvl>
    <w:lvl w:ilvl="4">
      <w:start w:val="1"/>
      <w:numFmt w:val="lowerLetter"/>
      <w:lvlText w:val="(%5)"/>
      <w:lvlJc w:val="left"/>
      <w:pPr>
        <w:tabs>
          <w:tab w:val="num" w:pos="1800"/>
        </w:tabs>
        <w:ind w:left="1800" w:hanging="360"/>
      </w:pPr>
    </w:lvl>
    <w:lvl w:ilvl="5">
      <w:start w:val="1"/>
      <w:numFmt w:val="lowerRoman"/>
      <w:lvlText w:val="(%6)"/>
      <w:lvlJc w:val="left"/>
      <w:pPr>
        <w:tabs>
          <w:tab w:val="num" w:pos="2160"/>
        </w:tabs>
        <w:ind w:left="2160" w:hanging="360"/>
      </w:pPr>
    </w:lvl>
    <w:lvl w:ilvl="6">
      <w:start w:val="1"/>
      <w:numFmt w:val="decimal"/>
      <w:lvlText w:val="%7."/>
      <w:lvlJc w:val="left"/>
      <w:pPr>
        <w:tabs>
          <w:tab w:val="num" w:pos="2520"/>
        </w:tabs>
        <w:ind w:left="2520" w:hanging="360"/>
      </w:pPr>
    </w:lvl>
    <w:lvl w:ilvl="7">
      <w:start w:val="1"/>
      <w:numFmt w:val="lowerLetter"/>
      <w:lvlText w:val="%8."/>
      <w:lvlJc w:val="left"/>
      <w:pPr>
        <w:tabs>
          <w:tab w:val="num" w:pos="2880"/>
        </w:tabs>
        <w:ind w:left="2880" w:hanging="360"/>
      </w:pPr>
    </w:lvl>
    <w:lvl w:ilvl="8">
      <w:start w:val="1"/>
      <w:numFmt w:val="lowerRoman"/>
      <w:lvlText w:val="%9."/>
      <w:lvlJc w:val="left"/>
      <w:pPr>
        <w:tabs>
          <w:tab w:val="num" w:pos="3240"/>
        </w:tabs>
        <w:ind w:left="3240" w:hanging="360"/>
      </w:pPr>
    </w:lvl>
  </w:abstractNum>
  <w:abstractNum w:abstractNumId="17">
    <w:nsid w:val="1A794F33"/>
    <w:multiLevelType w:val="hybridMultilevel"/>
    <w:tmpl w:val="64B2605E"/>
    <w:lvl w:ilvl="0" w:tplc="0C090001">
      <w:start w:val="1"/>
      <w:numFmt w:val="bullet"/>
      <w:lvlText w:val=""/>
      <w:lvlJc w:val="left"/>
      <w:pPr>
        <w:ind w:left="720" w:hanging="360"/>
      </w:pPr>
      <w:rPr>
        <w:rFonts w:ascii="Symbol" w:hAnsi="Symbol" w:hint="default"/>
      </w:rPr>
    </w:lvl>
    <w:lvl w:ilvl="1" w:tplc="0C090003">
      <w:start w:val="1"/>
      <w:numFmt w:val="bullet"/>
      <w:lvlText w:val="o"/>
      <w:lvlJc w:val="left"/>
      <w:pPr>
        <w:ind w:left="1440" w:hanging="360"/>
      </w:pPr>
      <w:rPr>
        <w:rFonts w:ascii="Courier New" w:hAnsi="Courier New" w:cs="Courier New" w:hint="default"/>
      </w:rPr>
    </w:lvl>
    <w:lvl w:ilvl="2" w:tplc="0C090005">
      <w:start w:val="1"/>
      <w:numFmt w:val="bullet"/>
      <w:lvlText w:val=""/>
      <w:lvlJc w:val="left"/>
      <w:pPr>
        <w:ind w:left="2160" w:hanging="360"/>
      </w:pPr>
      <w:rPr>
        <w:rFonts w:ascii="Wingdings" w:hAnsi="Wingdings" w:hint="default"/>
      </w:rPr>
    </w:lvl>
    <w:lvl w:ilvl="3" w:tplc="0C09000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8">
    <w:nsid w:val="1F012B0B"/>
    <w:multiLevelType w:val="hybridMultilevel"/>
    <w:tmpl w:val="0096B3FE"/>
    <w:lvl w:ilvl="0" w:tplc="0C090001">
      <w:start w:val="1"/>
      <w:numFmt w:val="bullet"/>
      <w:lvlText w:val=""/>
      <w:lvlJc w:val="left"/>
      <w:pPr>
        <w:ind w:left="720" w:hanging="360"/>
      </w:pPr>
      <w:rPr>
        <w:rFonts w:ascii="Symbol" w:hAnsi="Symbol" w:hint="default"/>
      </w:rPr>
    </w:lvl>
    <w:lvl w:ilvl="1" w:tplc="0C090003">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9">
    <w:nsid w:val="21B71560"/>
    <w:multiLevelType w:val="multilevel"/>
    <w:tmpl w:val="0C090023"/>
    <w:styleLink w:val="ArticleSection"/>
    <w:lvl w:ilvl="0">
      <w:start w:val="1"/>
      <w:numFmt w:val="upperRoman"/>
      <w:lvlText w:val="Article %1."/>
      <w:lvlJc w:val="left"/>
      <w:pPr>
        <w:tabs>
          <w:tab w:val="num" w:pos="1440"/>
        </w:tabs>
        <w:ind w:left="0" w:firstLine="0"/>
      </w:pPr>
    </w:lvl>
    <w:lvl w:ilvl="1">
      <w:start w:val="1"/>
      <w:numFmt w:val="decimalZero"/>
      <w:isLgl/>
      <w:lvlText w:val="Section %1.%2"/>
      <w:lvlJc w:val="left"/>
      <w:pPr>
        <w:tabs>
          <w:tab w:val="num" w:pos="1440"/>
        </w:tabs>
        <w:ind w:left="0" w:firstLine="0"/>
      </w:pPr>
    </w:lvl>
    <w:lvl w:ilvl="2">
      <w:start w:val="1"/>
      <w:numFmt w:val="lowerLetter"/>
      <w:lvlText w:val="(%3)"/>
      <w:lvlJc w:val="left"/>
      <w:pPr>
        <w:tabs>
          <w:tab w:val="num" w:pos="720"/>
        </w:tabs>
        <w:ind w:left="720" w:hanging="432"/>
      </w:pPr>
    </w:lvl>
    <w:lvl w:ilvl="3">
      <w:start w:val="1"/>
      <w:numFmt w:val="lowerRoman"/>
      <w:lvlText w:val="(%4)"/>
      <w:lvlJc w:val="right"/>
      <w:pPr>
        <w:tabs>
          <w:tab w:val="num" w:pos="864"/>
        </w:tabs>
        <w:ind w:left="864" w:hanging="144"/>
      </w:pPr>
    </w:lvl>
    <w:lvl w:ilvl="4">
      <w:start w:val="1"/>
      <w:numFmt w:val="decimal"/>
      <w:lvlText w:val="%5)"/>
      <w:lvlJc w:val="left"/>
      <w:pPr>
        <w:tabs>
          <w:tab w:val="num" w:pos="1008"/>
        </w:tabs>
        <w:ind w:left="1008" w:hanging="432"/>
      </w:pPr>
    </w:lvl>
    <w:lvl w:ilvl="5">
      <w:start w:val="1"/>
      <w:numFmt w:val="lowerLetter"/>
      <w:lvlText w:val="%6)"/>
      <w:lvlJc w:val="left"/>
      <w:pPr>
        <w:tabs>
          <w:tab w:val="num" w:pos="1152"/>
        </w:tabs>
        <w:ind w:left="1152" w:hanging="432"/>
      </w:pPr>
    </w:lvl>
    <w:lvl w:ilvl="6">
      <w:start w:val="1"/>
      <w:numFmt w:val="lowerRoman"/>
      <w:lvlText w:val="%7)"/>
      <w:lvlJc w:val="right"/>
      <w:pPr>
        <w:tabs>
          <w:tab w:val="num" w:pos="1296"/>
        </w:tabs>
        <w:ind w:left="1296" w:hanging="288"/>
      </w:pPr>
    </w:lvl>
    <w:lvl w:ilvl="7">
      <w:start w:val="1"/>
      <w:numFmt w:val="lowerLetter"/>
      <w:lvlText w:val="%8."/>
      <w:lvlJc w:val="left"/>
      <w:pPr>
        <w:tabs>
          <w:tab w:val="num" w:pos="1440"/>
        </w:tabs>
        <w:ind w:left="1440" w:hanging="432"/>
      </w:pPr>
    </w:lvl>
    <w:lvl w:ilvl="8">
      <w:start w:val="1"/>
      <w:numFmt w:val="lowerRoman"/>
      <w:lvlText w:val="%9."/>
      <w:lvlJc w:val="right"/>
      <w:pPr>
        <w:tabs>
          <w:tab w:val="num" w:pos="1584"/>
        </w:tabs>
        <w:ind w:left="1584" w:hanging="144"/>
      </w:pPr>
    </w:lvl>
  </w:abstractNum>
  <w:abstractNum w:abstractNumId="20">
    <w:nsid w:val="261105D0"/>
    <w:multiLevelType w:val="hybridMultilevel"/>
    <w:tmpl w:val="361060E0"/>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1">
    <w:nsid w:val="297817C3"/>
    <w:multiLevelType w:val="multilevel"/>
    <w:tmpl w:val="20A0E41A"/>
    <w:lvl w:ilvl="0">
      <w:start w:val="1"/>
      <w:numFmt w:val="decimal"/>
      <w:pStyle w:val="Heading1"/>
      <w:lvlText w:val="%1"/>
      <w:lvlJc w:val="left"/>
      <w:pPr>
        <w:tabs>
          <w:tab w:val="num" w:pos="851"/>
        </w:tabs>
        <w:ind w:left="851" w:hanging="851"/>
      </w:pPr>
      <w:rPr>
        <w:rFonts w:hint="default"/>
      </w:rPr>
    </w:lvl>
    <w:lvl w:ilvl="1">
      <w:start w:val="1"/>
      <w:numFmt w:val="decimal"/>
      <w:pStyle w:val="Heading2"/>
      <w:lvlText w:val="%1.%2"/>
      <w:lvlJc w:val="left"/>
      <w:pPr>
        <w:tabs>
          <w:tab w:val="num" w:pos="851"/>
        </w:tabs>
        <w:ind w:left="851" w:hanging="851"/>
      </w:pPr>
      <w:rPr>
        <w:rFonts w:hint="default"/>
      </w:rPr>
    </w:lvl>
    <w:lvl w:ilvl="2">
      <w:start w:val="1"/>
      <w:numFmt w:val="lowerLetter"/>
      <w:pStyle w:val="Heading3"/>
      <w:lvlText w:val="(%3)"/>
      <w:lvlJc w:val="left"/>
      <w:pPr>
        <w:tabs>
          <w:tab w:val="num" w:pos="851"/>
        </w:tabs>
        <w:ind w:left="851" w:hanging="851"/>
      </w:pPr>
      <w:rPr>
        <w:rFonts w:ascii="Arial" w:hAnsi="Arial" w:hint="default"/>
        <w:b w:val="0"/>
        <w:i/>
        <w:sz w:val="24"/>
      </w:rPr>
    </w:lvl>
    <w:lvl w:ilvl="3">
      <w:start w:val="1"/>
      <w:numFmt w:val="lowerRoman"/>
      <w:pStyle w:val="Heading4"/>
      <w:lvlText w:val="(%4)"/>
      <w:lvlJc w:val="left"/>
      <w:pPr>
        <w:tabs>
          <w:tab w:val="num" w:pos="851"/>
        </w:tabs>
        <w:ind w:left="851" w:hanging="851"/>
      </w:pPr>
      <w:rPr>
        <w:rFonts w:hint="default"/>
      </w:rPr>
    </w:lvl>
    <w:lvl w:ilvl="4">
      <w:start w:val="1"/>
      <w:numFmt w:val="decimal"/>
      <w:lvlText w:val="%1.%2.%3.%4.%5"/>
      <w:lvlJc w:val="left"/>
      <w:pPr>
        <w:tabs>
          <w:tab w:val="num" w:pos="1008"/>
        </w:tabs>
        <w:ind w:left="1008" w:hanging="1008"/>
      </w:pPr>
      <w:rPr>
        <w:rFonts w:hint="default"/>
      </w:rPr>
    </w:lvl>
    <w:lvl w:ilvl="5">
      <w:start w:val="1"/>
      <w:numFmt w:val="decimal"/>
      <w:lvlText w:val="%1.%2.%3.%4.%5.%6"/>
      <w:lvlJc w:val="left"/>
      <w:pPr>
        <w:tabs>
          <w:tab w:val="num" w:pos="1152"/>
        </w:tabs>
        <w:ind w:left="1152" w:hanging="1152"/>
      </w:pPr>
      <w:rPr>
        <w:rFonts w:hint="default"/>
      </w:rPr>
    </w:lvl>
    <w:lvl w:ilvl="6">
      <w:start w:val="1"/>
      <w:numFmt w:val="decimal"/>
      <w:lvlText w:val="%1.%2.%3.%4.%5.%6.%7"/>
      <w:lvlJc w:val="left"/>
      <w:pPr>
        <w:tabs>
          <w:tab w:val="num" w:pos="1296"/>
        </w:tabs>
        <w:ind w:left="1296" w:hanging="1296"/>
      </w:pPr>
      <w:rPr>
        <w:rFonts w:hint="default"/>
      </w:rPr>
    </w:lvl>
    <w:lvl w:ilvl="7">
      <w:start w:val="1"/>
      <w:numFmt w:val="decimal"/>
      <w:lvlText w:val="%1.%2.%3.%4.%5.%6.%7.%8"/>
      <w:lvlJc w:val="left"/>
      <w:pPr>
        <w:tabs>
          <w:tab w:val="num" w:pos="1440"/>
        </w:tabs>
        <w:ind w:left="1440" w:hanging="1440"/>
      </w:pPr>
      <w:rPr>
        <w:rFonts w:hint="default"/>
      </w:rPr>
    </w:lvl>
    <w:lvl w:ilvl="8">
      <w:start w:val="1"/>
      <w:numFmt w:val="decimal"/>
      <w:lvlText w:val="%1.%2.%3.%4.%5.%6.%7.%8.%9"/>
      <w:lvlJc w:val="left"/>
      <w:pPr>
        <w:tabs>
          <w:tab w:val="num" w:pos="1584"/>
        </w:tabs>
        <w:ind w:left="1584" w:hanging="1584"/>
      </w:pPr>
      <w:rPr>
        <w:rFonts w:hint="default"/>
      </w:rPr>
    </w:lvl>
  </w:abstractNum>
  <w:abstractNum w:abstractNumId="22">
    <w:nsid w:val="2FEF1550"/>
    <w:multiLevelType w:val="hybridMultilevel"/>
    <w:tmpl w:val="C79A0DE2"/>
    <w:lvl w:ilvl="0" w:tplc="0C090001">
      <w:start w:val="1"/>
      <w:numFmt w:val="bullet"/>
      <w:lvlText w:val=""/>
      <w:lvlJc w:val="left"/>
      <w:pPr>
        <w:ind w:left="720" w:hanging="360"/>
      </w:pPr>
      <w:rPr>
        <w:rFonts w:ascii="Symbol" w:hAnsi="Symbol" w:hint="default"/>
      </w:rPr>
    </w:lvl>
    <w:lvl w:ilvl="1" w:tplc="0C090003">
      <w:start w:val="1"/>
      <w:numFmt w:val="bullet"/>
      <w:lvlText w:val="o"/>
      <w:lvlJc w:val="left"/>
      <w:pPr>
        <w:ind w:left="1440" w:hanging="360"/>
      </w:pPr>
      <w:rPr>
        <w:rFonts w:ascii="Courier New" w:hAnsi="Courier New" w:cs="Courier New" w:hint="default"/>
      </w:rPr>
    </w:lvl>
    <w:lvl w:ilvl="2" w:tplc="0C090005">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3">
    <w:nsid w:val="31D275F6"/>
    <w:multiLevelType w:val="multilevel"/>
    <w:tmpl w:val="0C09001D"/>
    <w:lvl w:ilvl="0">
      <w:start w:val="1"/>
      <w:numFmt w:val="decimal"/>
      <w:lvlText w:val="%1)"/>
      <w:lvlJc w:val="left"/>
      <w:pPr>
        <w:tabs>
          <w:tab w:val="num" w:pos="360"/>
        </w:tabs>
        <w:ind w:left="360" w:hanging="360"/>
      </w:pPr>
    </w:lvl>
    <w:lvl w:ilvl="1">
      <w:start w:val="1"/>
      <w:numFmt w:val="lowerLetter"/>
      <w:lvlText w:val="%2)"/>
      <w:lvlJc w:val="left"/>
      <w:pPr>
        <w:tabs>
          <w:tab w:val="num" w:pos="720"/>
        </w:tabs>
        <w:ind w:left="720" w:hanging="360"/>
      </w:pPr>
    </w:lvl>
    <w:lvl w:ilvl="2">
      <w:start w:val="1"/>
      <w:numFmt w:val="lowerRoman"/>
      <w:lvlText w:val="%3)"/>
      <w:lvlJc w:val="left"/>
      <w:pPr>
        <w:tabs>
          <w:tab w:val="num" w:pos="1080"/>
        </w:tabs>
        <w:ind w:left="1080" w:hanging="360"/>
      </w:pPr>
    </w:lvl>
    <w:lvl w:ilvl="3">
      <w:start w:val="1"/>
      <w:numFmt w:val="decimal"/>
      <w:lvlText w:val="(%4)"/>
      <w:lvlJc w:val="left"/>
      <w:pPr>
        <w:tabs>
          <w:tab w:val="num" w:pos="1440"/>
        </w:tabs>
        <w:ind w:left="1440" w:hanging="360"/>
      </w:pPr>
    </w:lvl>
    <w:lvl w:ilvl="4">
      <w:start w:val="1"/>
      <w:numFmt w:val="lowerLetter"/>
      <w:lvlText w:val="(%5)"/>
      <w:lvlJc w:val="left"/>
      <w:pPr>
        <w:tabs>
          <w:tab w:val="num" w:pos="1800"/>
        </w:tabs>
        <w:ind w:left="1800" w:hanging="360"/>
      </w:pPr>
    </w:lvl>
    <w:lvl w:ilvl="5">
      <w:start w:val="1"/>
      <w:numFmt w:val="lowerRoman"/>
      <w:lvlText w:val="(%6)"/>
      <w:lvlJc w:val="left"/>
      <w:pPr>
        <w:tabs>
          <w:tab w:val="num" w:pos="2160"/>
        </w:tabs>
        <w:ind w:left="2160" w:hanging="360"/>
      </w:pPr>
    </w:lvl>
    <w:lvl w:ilvl="6">
      <w:start w:val="1"/>
      <w:numFmt w:val="decimal"/>
      <w:lvlText w:val="%7."/>
      <w:lvlJc w:val="left"/>
      <w:pPr>
        <w:tabs>
          <w:tab w:val="num" w:pos="2520"/>
        </w:tabs>
        <w:ind w:left="2520" w:hanging="360"/>
      </w:pPr>
    </w:lvl>
    <w:lvl w:ilvl="7">
      <w:start w:val="1"/>
      <w:numFmt w:val="lowerLetter"/>
      <w:lvlText w:val="%8."/>
      <w:lvlJc w:val="left"/>
      <w:pPr>
        <w:tabs>
          <w:tab w:val="num" w:pos="2880"/>
        </w:tabs>
        <w:ind w:left="2880" w:hanging="360"/>
      </w:pPr>
    </w:lvl>
    <w:lvl w:ilvl="8">
      <w:start w:val="1"/>
      <w:numFmt w:val="lowerRoman"/>
      <w:lvlText w:val="%9."/>
      <w:lvlJc w:val="left"/>
      <w:pPr>
        <w:tabs>
          <w:tab w:val="num" w:pos="3240"/>
        </w:tabs>
        <w:ind w:left="3240" w:hanging="360"/>
      </w:pPr>
    </w:lvl>
  </w:abstractNum>
  <w:abstractNum w:abstractNumId="24">
    <w:nsid w:val="349031F4"/>
    <w:multiLevelType w:val="hybridMultilevel"/>
    <w:tmpl w:val="19508716"/>
    <w:lvl w:ilvl="0" w:tplc="0C09000F">
      <w:start w:val="1"/>
      <w:numFmt w:val="decimal"/>
      <w:lvlText w:val="%1."/>
      <w:lvlJc w:val="left"/>
      <w:pPr>
        <w:tabs>
          <w:tab w:val="num" w:pos="720"/>
        </w:tabs>
        <w:ind w:left="720" w:hanging="360"/>
      </w:pPr>
    </w:lvl>
    <w:lvl w:ilvl="1" w:tplc="0C090019">
      <w:start w:val="1"/>
      <w:numFmt w:val="decimal"/>
      <w:lvlText w:val="%2."/>
      <w:lvlJc w:val="left"/>
      <w:pPr>
        <w:tabs>
          <w:tab w:val="num" w:pos="1440"/>
        </w:tabs>
        <w:ind w:left="1440" w:hanging="360"/>
      </w:pPr>
    </w:lvl>
    <w:lvl w:ilvl="2" w:tplc="0C09001B">
      <w:start w:val="1"/>
      <w:numFmt w:val="decimal"/>
      <w:lvlText w:val="%3."/>
      <w:lvlJc w:val="left"/>
      <w:pPr>
        <w:tabs>
          <w:tab w:val="num" w:pos="2160"/>
        </w:tabs>
        <w:ind w:left="2160" w:hanging="360"/>
      </w:pPr>
    </w:lvl>
    <w:lvl w:ilvl="3" w:tplc="0C09000F">
      <w:start w:val="1"/>
      <w:numFmt w:val="decimal"/>
      <w:lvlText w:val="%4."/>
      <w:lvlJc w:val="left"/>
      <w:pPr>
        <w:tabs>
          <w:tab w:val="num" w:pos="2880"/>
        </w:tabs>
        <w:ind w:left="2880" w:hanging="360"/>
      </w:pPr>
    </w:lvl>
    <w:lvl w:ilvl="4" w:tplc="0C090019">
      <w:start w:val="1"/>
      <w:numFmt w:val="decimal"/>
      <w:lvlText w:val="%5."/>
      <w:lvlJc w:val="left"/>
      <w:pPr>
        <w:tabs>
          <w:tab w:val="num" w:pos="3600"/>
        </w:tabs>
        <w:ind w:left="3600" w:hanging="360"/>
      </w:pPr>
    </w:lvl>
    <w:lvl w:ilvl="5" w:tplc="0C09001B">
      <w:start w:val="1"/>
      <w:numFmt w:val="decimal"/>
      <w:lvlText w:val="%6."/>
      <w:lvlJc w:val="left"/>
      <w:pPr>
        <w:tabs>
          <w:tab w:val="num" w:pos="4320"/>
        </w:tabs>
        <w:ind w:left="4320" w:hanging="360"/>
      </w:pPr>
    </w:lvl>
    <w:lvl w:ilvl="6" w:tplc="0C09000F">
      <w:start w:val="1"/>
      <w:numFmt w:val="decimal"/>
      <w:lvlText w:val="%7."/>
      <w:lvlJc w:val="left"/>
      <w:pPr>
        <w:tabs>
          <w:tab w:val="num" w:pos="5040"/>
        </w:tabs>
        <w:ind w:left="5040" w:hanging="360"/>
      </w:pPr>
    </w:lvl>
    <w:lvl w:ilvl="7" w:tplc="0C090019">
      <w:start w:val="1"/>
      <w:numFmt w:val="decimal"/>
      <w:lvlText w:val="%8."/>
      <w:lvlJc w:val="left"/>
      <w:pPr>
        <w:tabs>
          <w:tab w:val="num" w:pos="5760"/>
        </w:tabs>
        <w:ind w:left="5760" w:hanging="360"/>
      </w:pPr>
    </w:lvl>
    <w:lvl w:ilvl="8" w:tplc="0C09001B">
      <w:start w:val="1"/>
      <w:numFmt w:val="decimal"/>
      <w:lvlText w:val="%9."/>
      <w:lvlJc w:val="left"/>
      <w:pPr>
        <w:tabs>
          <w:tab w:val="num" w:pos="6480"/>
        </w:tabs>
        <w:ind w:left="6480" w:hanging="360"/>
      </w:pPr>
    </w:lvl>
  </w:abstractNum>
  <w:abstractNum w:abstractNumId="25">
    <w:nsid w:val="3D3C7851"/>
    <w:multiLevelType w:val="hybridMultilevel"/>
    <w:tmpl w:val="12C8C5AE"/>
    <w:lvl w:ilvl="0" w:tplc="0C090001">
      <w:start w:val="1"/>
      <w:numFmt w:val="bullet"/>
      <w:lvlText w:val=""/>
      <w:lvlJc w:val="left"/>
      <w:pPr>
        <w:ind w:left="720" w:hanging="360"/>
      </w:pPr>
      <w:rPr>
        <w:rFonts w:ascii="Symbol" w:hAnsi="Symbol" w:hint="default"/>
      </w:rPr>
    </w:lvl>
    <w:lvl w:ilvl="1" w:tplc="0C090003">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6">
    <w:nsid w:val="3EC42FE8"/>
    <w:multiLevelType w:val="multilevel"/>
    <w:tmpl w:val="0C09001D"/>
    <w:styleLink w:val="1ai"/>
    <w:lvl w:ilvl="0">
      <w:start w:val="1"/>
      <w:numFmt w:val="decimal"/>
      <w:lvlText w:val="%1)"/>
      <w:lvlJc w:val="left"/>
      <w:pPr>
        <w:tabs>
          <w:tab w:val="num" w:pos="360"/>
        </w:tabs>
        <w:ind w:left="360" w:hanging="360"/>
      </w:pPr>
    </w:lvl>
    <w:lvl w:ilvl="1">
      <w:start w:val="1"/>
      <w:numFmt w:val="lowerLetter"/>
      <w:lvlText w:val="%2)"/>
      <w:lvlJc w:val="left"/>
      <w:pPr>
        <w:tabs>
          <w:tab w:val="num" w:pos="720"/>
        </w:tabs>
        <w:ind w:left="720" w:hanging="360"/>
      </w:pPr>
    </w:lvl>
    <w:lvl w:ilvl="2">
      <w:start w:val="1"/>
      <w:numFmt w:val="lowerRoman"/>
      <w:lvlText w:val="%3)"/>
      <w:lvlJc w:val="left"/>
      <w:pPr>
        <w:tabs>
          <w:tab w:val="num" w:pos="1080"/>
        </w:tabs>
        <w:ind w:left="1080" w:hanging="360"/>
      </w:pPr>
    </w:lvl>
    <w:lvl w:ilvl="3">
      <w:start w:val="1"/>
      <w:numFmt w:val="decimal"/>
      <w:lvlText w:val="(%4)"/>
      <w:lvlJc w:val="left"/>
      <w:pPr>
        <w:tabs>
          <w:tab w:val="num" w:pos="1440"/>
        </w:tabs>
        <w:ind w:left="1440" w:hanging="360"/>
      </w:pPr>
    </w:lvl>
    <w:lvl w:ilvl="4">
      <w:start w:val="1"/>
      <w:numFmt w:val="lowerLetter"/>
      <w:lvlText w:val="(%5)"/>
      <w:lvlJc w:val="left"/>
      <w:pPr>
        <w:tabs>
          <w:tab w:val="num" w:pos="1800"/>
        </w:tabs>
        <w:ind w:left="1800" w:hanging="360"/>
      </w:pPr>
    </w:lvl>
    <w:lvl w:ilvl="5">
      <w:start w:val="1"/>
      <w:numFmt w:val="lowerRoman"/>
      <w:lvlText w:val="(%6)"/>
      <w:lvlJc w:val="left"/>
      <w:pPr>
        <w:tabs>
          <w:tab w:val="num" w:pos="2160"/>
        </w:tabs>
        <w:ind w:left="2160" w:hanging="360"/>
      </w:pPr>
    </w:lvl>
    <w:lvl w:ilvl="6">
      <w:start w:val="1"/>
      <w:numFmt w:val="decimal"/>
      <w:lvlText w:val="%7."/>
      <w:lvlJc w:val="left"/>
      <w:pPr>
        <w:tabs>
          <w:tab w:val="num" w:pos="2520"/>
        </w:tabs>
        <w:ind w:left="2520" w:hanging="360"/>
      </w:pPr>
    </w:lvl>
    <w:lvl w:ilvl="7">
      <w:start w:val="1"/>
      <w:numFmt w:val="lowerLetter"/>
      <w:lvlText w:val="%8."/>
      <w:lvlJc w:val="left"/>
      <w:pPr>
        <w:tabs>
          <w:tab w:val="num" w:pos="2880"/>
        </w:tabs>
        <w:ind w:left="2880" w:hanging="360"/>
      </w:pPr>
    </w:lvl>
    <w:lvl w:ilvl="8">
      <w:start w:val="1"/>
      <w:numFmt w:val="lowerRoman"/>
      <w:lvlText w:val="%9."/>
      <w:lvlJc w:val="left"/>
      <w:pPr>
        <w:tabs>
          <w:tab w:val="num" w:pos="3240"/>
        </w:tabs>
        <w:ind w:left="3240" w:hanging="360"/>
      </w:pPr>
    </w:lvl>
  </w:abstractNum>
  <w:abstractNum w:abstractNumId="27">
    <w:nsid w:val="3F264845"/>
    <w:multiLevelType w:val="multilevel"/>
    <w:tmpl w:val="0C09001D"/>
    <w:lvl w:ilvl="0">
      <w:start w:val="1"/>
      <w:numFmt w:val="decimal"/>
      <w:lvlText w:val="%1)"/>
      <w:lvlJc w:val="left"/>
      <w:pPr>
        <w:tabs>
          <w:tab w:val="num" w:pos="360"/>
        </w:tabs>
        <w:ind w:left="360" w:hanging="360"/>
      </w:pPr>
    </w:lvl>
    <w:lvl w:ilvl="1">
      <w:start w:val="1"/>
      <w:numFmt w:val="lowerLetter"/>
      <w:lvlText w:val="%2)"/>
      <w:lvlJc w:val="left"/>
      <w:pPr>
        <w:tabs>
          <w:tab w:val="num" w:pos="720"/>
        </w:tabs>
        <w:ind w:left="720" w:hanging="360"/>
      </w:pPr>
    </w:lvl>
    <w:lvl w:ilvl="2">
      <w:start w:val="1"/>
      <w:numFmt w:val="lowerRoman"/>
      <w:lvlText w:val="%3)"/>
      <w:lvlJc w:val="left"/>
      <w:pPr>
        <w:tabs>
          <w:tab w:val="num" w:pos="1080"/>
        </w:tabs>
        <w:ind w:left="1080" w:hanging="360"/>
      </w:pPr>
    </w:lvl>
    <w:lvl w:ilvl="3">
      <w:start w:val="1"/>
      <w:numFmt w:val="decimal"/>
      <w:lvlText w:val="(%4)"/>
      <w:lvlJc w:val="left"/>
      <w:pPr>
        <w:tabs>
          <w:tab w:val="num" w:pos="1440"/>
        </w:tabs>
        <w:ind w:left="1440" w:hanging="360"/>
      </w:pPr>
    </w:lvl>
    <w:lvl w:ilvl="4">
      <w:start w:val="1"/>
      <w:numFmt w:val="lowerLetter"/>
      <w:lvlText w:val="(%5)"/>
      <w:lvlJc w:val="left"/>
      <w:pPr>
        <w:tabs>
          <w:tab w:val="num" w:pos="1800"/>
        </w:tabs>
        <w:ind w:left="1800" w:hanging="360"/>
      </w:pPr>
    </w:lvl>
    <w:lvl w:ilvl="5">
      <w:start w:val="1"/>
      <w:numFmt w:val="lowerRoman"/>
      <w:lvlText w:val="(%6)"/>
      <w:lvlJc w:val="left"/>
      <w:pPr>
        <w:tabs>
          <w:tab w:val="num" w:pos="2160"/>
        </w:tabs>
        <w:ind w:left="2160" w:hanging="360"/>
      </w:pPr>
    </w:lvl>
    <w:lvl w:ilvl="6">
      <w:start w:val="1"/>
      <w:numFmt w:val="decimal"/>
      <w:lvlText w:val="%7."/>
      <w:lvlJc w:val="left"/>
      <w:pPr>
        <w:tabs>
          <w:tab w:val="num" w:pos="2520"/>
        </w:tabs>
        <w:ind w:left="2520" w:hanging="360"/>
      </w:pPr>
    </w:lvl>
    <w:lvl w:ilvl="7">
      <w:start w:val="1"/>
      <w:numFmt w:val="lowerLetter"/>
      <w:lvlText w:val="%8."/>
      <w:lvlJc w:val="left"/>
      <w:pPr>
        <w:tabs>
          <w:tab w:val="num" w:pos="2880"/>
        </w:tabs>
        <w:ind w:left="2880" w:hanging="360"/>
      </w:pPr>
    </w:lvl>
    <w:lvl w:ilvl="8">
      <w:start w:val="1"/>
      <w:numFmt w:val="lowerRoman"/>
      <w:lvlText w:val="%9."/>
      <w:lvlJc w:val="left"/>
      <w:pPr>
        <w:tabs>
          <w:tab w:val="num" w:pos="3240"/>
        </w:tabs>
        <w:ind w:left="3240" w:hanging="360"/>
      </w:pPr>
    </w:lvl>
  </w:abstractNum>
  <w:abstractNum w:abstractNumId="28">
    <w:nsid w:val="3FDE70AC"/>
    <w:multiLevelType w:val="hybridMultilevel"/>
    <w:tmpl w:val="9822E59E"/>
    <w:lvl w:ilvl="0" w:tplc="0C090001">
      <w:start w:val="1"/>
      <w:numFmt w:val="bullet"/>
      <w:lvlText w:val=""/>
      <w:lvlJc w:val="left"/>
      <w:pPr>
        <w:ind w:left="720" w:hanging="360"/>
      </w:pPr>
      <w:rPr>
        <w:rFonts w:ascii="Symbol" w:hAnsi="Symbol" w:hint="default"/>
      </w:rPr>
    </w:lvl>
    <w:lvl w:ilvl="1" w:tplc="0C090003">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9">
    <w:nsid w:val="42A21482"/>
    <w:multiLevelType w:val="hybridMultilevel"/>
    <w:tmpl w:val="EF5660BE"/>
    <w:lvl w:ilvl="0" w:tplc="0C090001">
      <w:start w:val="1"/>
      <w:numFmt w:val="bullet"/>
      <w:lvlText w:val=""/>
      <w:lvlJc w:val="left"/>
      <w:pPr>
        <w:ind w:left="720" w:hanging="360"/>
      </w:pPr>
      <w:rPr>
        <w:rFonts w:ascii="Symbol" w:hAnsi="Symbol" w:hint="default"/>
      </w:rPr>
    </w:lvl>
    <w:lvl w:ilvl="1" w:tplc="0C090003">
      <w:start w:val="1"/>
      <w:numFmt w:val="bullet"/>
      <w:lvlText w:val="o"/>
      <w:lvlJc w:val="left"/>
      <w:pPr>
        <w:ind w:left="1440" w:hanging="360"/>
      </w:pPr>
      <w:rPr>
        <w:rFonts w:ascii="Courier New" w:hAnsi="Courier New" w:cs="Courier New" w:hint="default"/>
      </w:rPr>
    </w:lvl>
    <w:lvl w:ilvl="2" w:tplc="0C090005">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30">
    <w:nsid w:val="45E05924"/>
    <w:multiLevelType w:val="hybridMultilevel"/>
    <w:tmpl w:val="E0604C1C"/>
    <w:lvl w:ilvl="0" w:tplc="0C090001">
      <w:start w:val="1"/>
      <w:numFmt w:val="bullet"/>
      <w:lvlText w:val=""/>
      <w:lvlJc w:val="left"/>
      <w:pPr>
        <w:ind w:left="720" w:hanging="360"/>
      </w:pPr>
      <w:rPr>
        <w:rFonts w:ascii="Symbol" w:hAnsi="Symbol" w:hint="default"/>
      </w:rPr>
    </w:lvl>
    <w:lvl w:ilvl="1" w:tplc="0C090003">
      <w:start w:val="1"/>
      <w:numFmt w:val="bullet"/>
      <w:lvlText w:val="o"/>
      <w:lvlJc w:val="left"/>
      <w:pPr>
        <w:ind w:left="1440" w:hanging="360"/>
      </w:pPr>
      <w:rPr>
        <w:rFonts w:ascii="Courier New" w:hAnsi="Courier New" w:cs="Courier New" w:hint="default"/>
      </w:rPr>
    </w:lvl>
    <w:lvl w:ilvl="2" w:tplc="0C090005">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31">
    <w:nsid w:val="46126F20"/>
    <w:multiLevelType w:val="multilevel"/>
    <w:tmpl w:val="0C09001D"/>
    <w:lvl w:ilvl="0">
      <w:start w:val="1"/>
      <w:numFmt w:val="decimal"/>
      <w:lvlText w:val="%1)"/>
      <w:lvlJc w:val="left"/>
      <w:pPr>
        <w:tabs>
          <w:tab w:val="num" w:pos="360"/>
        </w:tabs>
        <w:ind w:left="360" w:hanging="360"/>
      </w:pPr>
    </w:lvl>
    <w:lvl w:ilvl="1">
      <w:start w:val="1"/>
      <w:numFmt w:val="lowerLetter"/>
      <w:lvlText w:val="%2)"/>
      <w:lvlJc w:val="left"/>
      <w:pPr>
        <w:tabs>
          <w:tab w:val="num" w:pos="720"/>
        </w:tabs>
        <w:ind w:left="720" w:hanging="360"/>
      </w:pPr>
    </w:lvl>
    <w:lvl w:ilvl="2">
      <w:start w:val="1"/>
      <w:numFmt w:val="lowerRoman"/>
      <w:lvlText w:val="%3)"/>
      <w:lvlJc w:val="left"/>
      <w:pPr>
        <w:tabs>
          <w:tab w:val="num" w:pos="1080"/>
        </w:tabs>
        <w:ind w:left="1080" w:hanging="360"/>
      </w:pPr>
    </w:lvl>
    <w:lvl w:ilvl="3">
      <w:start w:val="1"/>
      <w:numFmt w:val="decimal"/>
      <w:lvlText w:val="(%4)"/>
      <w:lvlJc w:val="left"/>
      <w:pPr>
        <w:tabs>
          <w:tab w:val="num" w:pos="1440"/>
        </w:tabs>
        <w:ind w:left="1440" w:hanging="360"/>
      </w:pPr>
    </w:lvl>
    <w:lvl w:ilvl="4">
      <w:start w:val="1"/>
      <w:numFmt w:val="lowerLetter"/>
      <w:lvlText w:val="(%5)"/>
      <w:lvlJc w:val="left"/>
      <w:pPr>
        <w:tabs>
          <w:tab w:val="num" w:pos="1800"/>
        </w:tabs>
        <w:ind w:left="1800" w:hanging="360"/>
      </w:pPr>
    </w:lvl>
    <w:lvl w:ilvl="5">
      <w:start w:val="1"/>
      <w:numFmt w:val="lowerRoman"/>
      <w:lvlText w:val="(%6)"/>
      <w:lvlJc w:val="left"/>
      <w:pPr>
        <w:tabs>
          <w:tab w:val="num" w:pos="2160"/>
        </w:tabs>
        <w:ind w:left="2160" w:hanging="360"/>
      </w:pPr>
    </w:lvl>
    <w:lvl w:ilvl="6">
      <w:start w:val="1"/>
      <w:numFmt w:val="decimal"/>
      <w:lvlText w:val="%7."/>
      <w:lvlJc w:val="left"/>
      <w:pPr>
        <w:tabs>
          <w:tab w:val="num" w:pos="2520"/>
        </w:tabs>
        <w:ind w:left="2520" w:hanging="360"/>
      </w:pPr>
    </w:lvl>
    <w:lvl w:ilvl="7">
      <w:start w:val="1"/>
      <w:numFmt w:val="lowerLetter"/>
      <w:lvlText w:val="%8."/>
      <w:lvlJc w:val="left"/>
      <w:pPr>
        <w:tabs>
          <w:tab w:val="num" w:pos="2880"/>
        </w:tabs>
        <w:ind w:left="2880" w:hanging="360"/>
      </w:pPr>
    </w:lvl>
    <w:lvl w:ilvl="8">
      <w:start w:val="1"/>
      <w:numFmt w:val="lowerRoman"/>
      <w:lvlText w:val="%9."/>
      <w:lvlJc w:val="left"/>
      <w:pPr>
        <w:tabs>
          <w:tab w:val="num" w:pos="3240"/>
        </w:tabs>
        <w:ind w:left="3240" w:hanging="360"/>
      </w:pPr>
    </w:lvl>
  </w:abstractNum>
  <w:abstractNum w:abstractNumId="32">
    <w:nsid w:val="48716645"/>
    <w:multiLevelType w:val="hybridMultilevel"/>
    <w:tmpl w:val="66FE8E94"/>
    <w:lvl w:ilvl="0" w:tplc="0C090001">
      <w:start w:val="1"/>
      <w:numFmt w:val="bullet"/>
      <w:lvlText w:val=""/>
      <w:lvlJc w:val="left"/>
      <w:pPr>
        <w:ind w:left="720" w:hanging="360"/>
      </w:pPr>
      <w:rPr>
        <w:rFonts w:ascii="Symbol" w:hAnsi="Symbol" w:hint="default"/>
      </w:rPr>
    </w:lvl>
    <w:lvl w:ilvl="1" w:tplc="0C090003">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33">
    <w:nsid w:val="495052B2"/>
    <w:multiLevelType w:val="hybridMultilevel"/>
    <w:tmpl w:val="861E8C6E"/>
    <w:lvl w:ilvl="0" w:tplc="0C090001">
      <w:start w:val="1"/>
      <w:numFmt w:val="bullet"/>
      <w:lvlText w:val=""/>
      <w:lvlJc w:val="left"/>
      <w:pPr>
        <w:ind w:left="720" w:hanging="360"/>
      </w:pPr>
      <w:rPr>
        <w:rFonts w:ascii="Symbol" w:hAnsi="Symbol" w:hint="default"/>
      </w:rPr>
    </w:lvl>
    <w:lvl w:ilvl="1" w:tplc="0C090003">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34">
    <w:nsid w:val="4ABD0B46"/>
    <w:multiLevelType w:val="multilevel"/>
    <w:tmpl w:val="8676E80A"/>
    <w:styleLink w:val="StyleNumbered"/>
    <w:lvl w:ilvl="0">
      <w:start w:val="1"/>
      <w:numFmt w:val="decimal"/>
      <w:lvlText w:val="%1."/>
      <w:lvlJc w:val="left"/>
      <w:pPr>
        <w:tabs>
          <w:tab w:val="num" w:pos="720"/>
        </w:tabs>
        <w:ind w:left="720" w:hanging="360"/>
      </w:pPr>
      <w:rPr>
        <w:rFonts w:ascii="Arial" w:hAnsi="Arial"/>
        <w:sz w:val="24"/>
      </w:rPr>
    </w:lvl>
    <w:lvl w:ilvl="1">
      <w:start w:val="1"/>
      <w:numFmt w:val="lowerLetter"/>
      <w:lvlText w:val="%2."/>
      <w:lvlJc w:val="left"/>
      <w:pPr>
        <w:tabs>
          <w:tab w:val="num" w:pos="1440"/>
        </w:tabs>
        <w:ind w:left="1440" w:hanging="360"/>
      </w:pPr>
    </w:lvl>
    <w:lvl w:ilvl="2">
      <w:start w:val="1"/>
      <w:numFmt w:val="lowerRoman"/>
      <w:lvlText w:val="%3."/>
      <w:lvlJc w:val="right"/>
      <w:pPr>
        <w:tabs>
          <w:tab w:val="num" w:pos="2160"/>
        </w:tabs>
        <w:ind w:left="2160" w:hanging="180"/>
      </w:pPr>
    </w:lvl>
    <w:lvl w:ilvl="3">
      <w:start w:val="1"/>
      <w:numFmt w:val="decimal"/>
      <w:lvlText w:val="%4."/>
      <w:lvlJc w:val="left"/>
      <w:pPr>
        <w:tabs>
          <w:tab w:val="num" w:pos="2880"/>
        </w:tabs>
        <w:ind w:left="2880" w:hanging="360"/>
      </w:pPr>
    </w:lvl>
    <w:lvl w:ilvl="4">
      <w:start w:val="1"/>
      <w:numFmt w:val="lowerLetter"/>
      <w:lvlText w:val="%5."/>
      <w:lvlJc w:val="left"/>
      <w:pPr>
        <w:tabs>
          <w:tab w:val="num" w:pos="3600"/>
        </w:tabs>
        <w:ind w:left="3600" w:hanging="360"/>
      </w:pPr>
    </w:lvl>
    <w:lvl w:ilvl="5">
      <w:start w:val="1"/>
      <w:numFmt w:val="lowerRoman"/>
      <w:lvlText w:val="%6."/>
      <w:lvlJc w:val="right"/>
      <w:pPr>
        <w:tabs>
          <w:tab w:val="num" w:pos="4320"/>
        </w:tabs>
        <w:ind w:left="4320" w:hanging="180"/>
      </w:pPr>
    </w:lvl>
    <w:lvl w:ilvl="6">
      <w:start w:val="1"/>
      <w:numFmt w:val="decimal"/>
      <w:lvlText w:val="%7."/>
      <w:lvlJc w:val="left"/>
      <w:pPr>
        <w:tabs>
          <w:tab w:val="num" w:pos="5040"/>
        </w:tabs>
        <w:ind w:left="5040" w:hanging="360"/>
      </w:pPr>
    </w:lvl>
    <w:lvl w:ilvl="7">
      <w:start w:val="1"/>
      <w:numFmt w:val="lowerLetter"/>
      <w:lvlText w:val="%8."/>
      <w:lvlJc w:val="left"/>
      <w:pPr>
        <w:tabs>
          <w:tab w:val="num" w:pos="5760"/>
        </w:tabs>
        <w:ind w:left="5760" w:hanging="360"/>
      </w:pPr>
    </w:lvl>
    <w:lvl w:ilvl="8">
      <w:start w:val="1"/>
      <w:numFmt w:val="lowerRoman"/>
      <w:lvlText w:val="%9."/>
      <w:lvlJc w:val="right"/>
      <w:pPr>
        <w:tabs>
          <w:tab w:val="num" w:pos="6480"/>
        </w:tabs>
        <w:ind w:left="6480" w:hanging="180"/>
      </w:pPr>
    </w:lvl>
  </w:abstractNum>
  <w:abstractNum w:abstractNumId="35">
    <w:nsid w:val="4E4322A8"/>
    <w:multiLevelType w:val="multilevel"/>
    <w:tmpl w:val="0C09001F"/>
    <w:styleLink w:val="111111"/>
    <w:lvl w:ilvl="0">
      <w:start w:val="1"/>
      <w:numFmt w:val="decimal"/>
      <w:lvlText w:val="%1."/>
      <w:lvlJc w:val="left"/>
      <w:pPr>
        <w:tabs>
          <w:tab w:val="num" w:pos="360"/>
        </w:tabs>
        <w:ind w:left="360" w:hanging="360"/>
      </w:pPr>
    </w:lvl>
    <w:lvl w:ilvl="1">
      <w:start w:val="1"/>
      <w:numFmt w:val="decimal"/>
      <w:lvlText w:val="%1.%2."/>
      <w:lvlJc w:val="left"/>
      <w:pPr>
        <w:tabs>
          <w:tab w:val="num" w:pos="792"/>
        </w:tabs>
        <w:ind w:left="792" w:hanging="432"/>
      </w:pPr>
    </w:lvl>
    <w:lvl w:ilvl="2">
      <w:start w:val="1"/>
      <w:numFmt w:val="decimal"/>
      <w:lvlText w:val="%1.%2.%3."/>
      <w:lvlJc w:val="left"/>
      <w:pPr>
        <w:tabs>
          <w:tab w:val="num" w:pos="1440"/>
        </w:tabs>
        <w:ind w:left="1224" w:hanging="504"/>
      </w:pPr>
    </w:lvl>
    <w:lvl w:ilvl="3">
      <w:start w:val="1"/>
      <w:numFmt w:val="decimal"/>
      <w:lvlText w:val="%1.%2.%3.%4."/>
      <w:lvlJc w:val="left"/>
      <w:pPr>
        <w:tabs>
          <w:tab w:val="num" w:pos="2160"/>
        </w:tabs>
        <w:ind w:left="1728" w:hanging="648"/>
      </w:pPr>
    </w:lvl>
    <w:lvl w:ilvl="4">
      <w:start w:val="1"/>
      <w:numFmt w:val="decimal"/>
      <w:lvlText w:val="%1.%2.%3.%4.%5."/>
      <w:lvlJc w:val="left"/>
      <w:pPr>
        <w:tabs>
          <w:tab w:val="num" w:pos="2520"/>
        </w:tabs>
        <w:ind w:left="2232" w:hanging="792"/>
      </w:pPr>
    </w:lvl>
    <w:lvl w:ilvl="5">
      <w:start w:val="1"/>
      <w:numFmt w:val="decimal"/>
      <w:lvlText w:val="%1.%2.%3.%4.%5.%6."/>
      <w:lvlJc w:val="left"/>
      <w:pPr>
        <w:tabs>
          <w:tab w:val="num" w:pos="3240"/>
        </w:tabs>
        <w:ind w:left="2736" w:hanging="936"/>
      </w:pPr>
    </w:lvl>
    <w:lvl w:ilvl="6">
      <w:start w:val="1"/>
      <w:numFmt w:val="decimal"/>
      <w:lvlText w:val="%1.%2.%3.%4.%5.%6.%7."/>
      <w:lvlJc w:val="left"/>
      <w:pPr>
        <w:tabs>
          <w:tab w:val="num" w:pos="3600"/>
        </w:tabs>
        <w:ind w:left="3240" w:hanging="1080"/>
      </w:pPr>
    </w:lvl>
    <w:lvl w:ilvl="7">
      <w:start w:val="1"/>
      <w:numFmt w:val="decimal"/>
      <w:lvlText w:val="%1.%2.%3.%4.%5.%6.%7.%8."/>
      <w:lvlJc w:val="left"/>
      <w:pPr>
        <w:tabs>
          <w:tab w:val="num" w:pos="4320"/>
        </w:tabs>
        <w:ind w:left="3744" w:hanging="1224"/>
      </w:pPr>
    </w:lvl>
    <w:lvl w:ilvl="8">
      <w:start w:val="1"/>
      <w:numFmt w:val="decimal"/>
      <w:lvlText w:val="%1.%2.%3.%4.%5.%6.%7.%8.%9."/>
      <w:lvlJc w:val="left"/>
      <w:pPr>
        <w:tabs>
          <w:tab w:val="num" w:pos="5040"/>
        </w:tabs>
        <w:ind w:left="4320" w:hanging="1440"/>
      </w:pPr>
    </w:lvl>
  </w:abstractNum>
  <w:abstractNum w:abstractNumId="36">
    <w:nsid w:val="4FC33B71"/>
    <w:multiLevelType w:val="hybridMultilevel"/>
    <w:tmpl w:val="6FBA9208"/>
    <w:lvl w:ilvl="0" w:tplc="0C09000F">
      <w:start w:val="1"/>
      <w:numFmt w:val="decimal"/>
      <w:lvlText w:val="%1."/>
      <w:lvlJc w:val="left"/>
      <w:pPr>
        <w:tabs>
          <w:tab w:val="num" w:pos="720"/>
        </w:tabs>
        <w:ind w:left="720" w:hanging="360"/>
      </w:pPr>
    </w:lvl>
    <w:lvl w:ilvl="1" w:tplc="0C090019">
      <w:start w:val="1"/>
      <w:numFmt w:val="decimal"/>
      <w:lvlText w:val="%2."/>
      <w:lvlJc w:val="left"/>
      <w:pPr>
        <w:tabs>
          <w:tab w:val="num" w:pos="1440"/>
        </w:tabs>
        <w:ind w:left="1440" w:hanging="360"/>
      </w:pPr>
    </w:lvl>
    <w:lvl w:ilvl="2" w:tplc="0C09001B">
      <w:start w:val="1"/>
      <w:numFmt w:val="decimal"/>
      <w:lvlText w:val="%3."/>
      <w:lvlJc w:val="left"/>
      <w:pPr>
        <w:tabs>
          <w:tab w:val="num" w:pos="2160"/>
        </w:tabs>
        <w:ind w:left="2160" w:hanging="360"/>
      </w:pPr>
    </w:lvl>
    <w:lvl w:ilvl="3" w:tplc="0C09000F">
      <w:start w:val="1"/>
      <w:numFmt w:val="decimal"/>
      <w:lvlText w:val="%4."/>
      <w:lvlJc w:val="left"/>
      <w:pPr>
        <w:tabs>
          <w:tab w:val="num" w:pos="2880"/>
        </w:tabs>
        <w:ind w:left="2880" w:hanging="360"/>
      </w:pPr>
    </w:lvl>
    <w:lvl w:ilvl="4" w:tplc="0C090019">
      <w:start w:val="1"/>
      <w:numFmt w:val="decimal"/>
      <w:lvlText w:val="%5."/>
      <w:lvlJc w:val="left"/>
      <w:pPr>
        <w:tabs>
          <w:tab w:val="num" w:pos="3600"/>
        </w:tabs>
        <w:ind w:left="3600" w:hanging="360"/>
      </w:pPr>
    </w:lvl>
    <w:lvl w:ilvl="5" w:tplc="0C09001B">
      <w:start w:val="1"/>
      <w:numFmt w:val="decimal"/>
      <w:lvlText w:val="%6."/>
      <w:lvlJc w:val="left"/>
      <w:pPr>
        <w:tabs>
          <w:tab w:val="num" w:pos="4320"/>
        </w:tabs>
        <w:ind w:left="4320" w:hanging="360"/>
      </w:pPr>
    </w:lvl>
    <w:lvl w:ilvl="6" w:tplc="0C09000F">
      <w:start w:val="1"/>
      <w:numFmt w:val="decimal"/>
      <w:lvlText w:val="%7."/>
      <w:lvlJc w:val="left"/>
      <w:pPr>
        <w:tabs>
          <w:tab w:val="num" w:pos="5040"/>
        </w:tabs>
        <w:ind w:left="5040" w:hanging="360"/>
      </w:pPr>
    </w:lvl>
    <w:lvl w:ilvl="7" w:tplc="0C090019">
      <w:start w:val="1"/>
      <w:numFmt w:val="decimal"/>
      <w:lvlText w:val="%8."/>
      <w:lvlJc w:val="left"/>
      <w:pPr>
        <w:tabs>
          <w:tab w:val="num" w:pos="5760"/>
        </w:tabs>
        <w:ind w:left="5760" w:hanging="360"/>
      </w:pPr>
    </w:lvl>
    <w:lvl w:ilvl="8" w:tplc="0C09001B">
      <w:start w:val="1"/>
      <w:numFmt w:val="decimal"/>
      <w:lvlText w:val="%9."/>
      <w:lvlJc w:val="left"/>
      <w:pPr>
        <w:tabs>
          <w:tab w:val="num" w:pos="6480"/>
        </w:tabs>
        <w:ind w:left="6480" w:hanging="360"/>
      </w:pPr>
    </w:lvl>
  </w:abstractNum>
  <w:abstractNum w:abstractNumId="37">
    <w:nsid w:val="52D1695F"/>
    <w:multiLevelType w:val="hybridMultilevel"/>
    <w:tmpl w:val="7E48F096"/>
    <w:lvl w:ilvl="0" w:tplc="0C090001">
      <w:start w:val="1"/>
      <w:numFmt w:val="bullet"/>
      <w:lvlText w:val=""/>
      <w:lvlJc w:val="left"/>
      <w:pPr>
        <w:ind w:left="720" w:hanging="360"/>
      </w:pPr>
      <w:rPr>
        <w:rFonts w:ascii="Symbol" w:hAnsi="Symbol" w:hint="default"/>
      </w:rPr>
    </w:lvl>
    <w:lvl w:ilvl="1" w:tplc="0C090003">
      <w:start w:val="1"/>
      <w:numFmt w:val="bullet"/>
      <w:lvlText w:val="o"/>
      <w:lvlJc w:val="left"/>
      <w:pPr>
        <w:ind w:left="1440" w:hanging="360"/>
      </w:pPr>
      <w:rPr>
        <w:rFonts w:ascii="Courier New" w:hAnsi="Courier New" w:cs="Courier New" w:hint="default"/>
      </w:rPr>
    </w:lvl>
    <w:lvl w:ilvl="2" w:tplc="0C090005">
      <w:start w:val="1"/>
      <w:numFmt w:val="bullet"/>
      <w:lvlText w:val=""/>
      <w:lvlJc w:val="left"/>
      <w:pPr>
        <w:ind w:left="2160" w:hanging="360"/>
      </w:pPr>
      <w:rPr>
        <w:rFonts w:ascii="Wingdings" w:hAnsi="Wingdings" w:hint="default"/>
      </w:rPr>
    </w:lvl>
    <w:lvl w:ilvl="3" w:tplc="0C09000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38">
    <w:nsid w:val="5B2274D0"/>
    <w:multiLevelType w:val="hybridMultilevel"/>
    <w:tmpl w:val="2F4825DC"/>
    <w:lvl w:ilvl="0" w:tplc="0C090001">
      <w:start w:val="1"/>
      <w:numFmt w:val="bullet"/>
      <w:lvlText w:val=""/>
      <w:lvlJc w:val="left"/>
      <w:pPr>
        <w:ind w:left="720" w:hanging="360"/>
      </w:pPr>
      <w:rPr>
        <w:rFonts w:ascii="Symbol" w:hAnsi="Symbol" w:hint="default"/>
      </w:rPr>
    </w:lvl>
    <w:lvl w:ilvl="1" w:tplc="0C090003">
      <w:start w:val="1"/>
      <w:numFmt w:val="bullet"/>
      <w:lvlText w:val="o"/>
      <w:lvlJc w:val="left"/>
      <w:pPr>
        <w:ind w:left="1440" w:hanging="360"/>
      </w:pPr>
      <w:rPr>
        <w:rFonts w:ascii="Courier New" w:hAnsi="Courier New" w:cs="Courier New" w:hint="default"/>
      </w:rPr>
    </w:lvl>
    <w:lvl w:ilvl="2" w:tplc="0C090005">
      <w:start w:val="1"/>
      <w:numFmt w:val="bullet"/>
      <w:lvlText w:val=""/>
      <w:lvlJc w:val="left"/>
      <w:pPr>
        <w:ind w:left="2160" w:hanging="360"/>
      </w:pPr>
      <w:rPr>
        <w:rFonts w:ascii="Wingdings" w:hAnsi="Wingdings" w:hint="default"/>
      </w:rPr>
    </w:lvl>
    <w:lvl w:ilvl="3" w:tplc="0C09000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39">
    <w:nsid w:val="5EF5378B"/>
    <w:multiLevelType w:val="hybridMultilevel"/>
    <w:tmpl w:val="0B76206A"/>
    <w:lvl w:ilvl="0" w:tplc="0C090001">
      <w:start w:val="1"/>
      <w:numFmt w:val="bullet"/>
      <w:lvlText w:val=""/>
      <w:lvlJc w:val="left"/>
      <w:pPr>
        <w:ind w:left="720" w:hanging="360"/>
      </w:pPr>
      <w:rPr>
        <w:rFonts w:ascii="Symbol" w:hAnsi="Symbol" w:hint="default"/>
      </w:rPr>
    </w:lvl>
    <w:lvl w:ilvl="1" w:tplc="0C090003">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40">
    <w:nsid w:val="6343539E"/>
    <w:multiLevelType w:val="hybridMultilevel"/>
    <w:tmpl w:val="5110461E"/>
    <w:lvl w:ilvl="0" w:tplc="0C090001">
      <w:start w:val="1"/>
      <w:numFmt w:val="bullet"/>
      <w:lvlText w:val=""/>
      <w:lvlJc w:val="left"/>
      <w:pPr>
        <w:tabs>
          <w:tab w:val="num" w:pos="1080"/>
        </w:tabs>
        <w:ind w:left="1080" w:hanging="360"/>
      </w:pPr>
      <w:rPr>
        <w:rFonts w:ascii="Symbol" w:hAnsi="Symbol" w:hint="default"/>
      </w:rPr>
    </w:lvl>
    <w:lvl w:ilvl="1" w:tplc="0C090019">
      <w:start w:val="1"/>
      <w:numFmt w:val="decimal"/>
      <w:lvlText w:val="%2."/>
      <w:lvlJc w:val="left"/>
      <w:pPr>
        <w:tabs>
          <w:tab w:val="num" w:pos="1440"/>
        </w:tabs>
        <w:ind w:left="1440" w:hanging="360"/>
      </w:pPr>
    </w:lvl>
    <w:lvl w:ilvl="2" w:tplc="0C09001B">
      <w:start w:val="1"/>
      <w:numFmt w:val="decimal"/>
      <w:lvlText w:val="%3."/>
      <w:lvlJc w:val="left"/>
      <w:pPr>
        <w:tabs>
          <w:tab w:val="num" w:pos="2160"/>
        </w:tabs>
        <w:ind w:left="2160" w:hanging="360"/>
      </w:pPr>
    </w:lvl>
    <w:lvl w:ilvl="3" w:tplc="0C09000F">
      <w:start w:val="1"/>
      <w:numFmt w:val="decimal"/>
      <w:lvlText w:val="%4."/>
      <w:lvlJc w:val="left"/>
      <w:pPr>
        <w:tabs>
          <w:tab w:val="num" w:pos="2880"/>
        </w:tabs>
        <w:ind w:left="2880" w:hanging="360"/>
      </w:pPr>
    </w:lvl>
    <w:lvl w:ilvl="4" w:tplc="0C090019">
      <w:start w:val="1"/>
      <w:numFmt w:val="decimal"/>
      <w:lvlText w:val="%5."/>
      <w:lvlJc w:val="left"/>
      <w:pPr>
        <w:tabs>
          <w:tab w:val="num" w:pos="3600"/>
        </w:tabs>
        <w:ind w:left="3600" w:hanging="360"/>
      </w:pPr>
    </w:lvl>
    <w:lvl w:ilvl="5" w:tplc="0C09001B">
      <w:start w:val="1"/>
      <w:numFmt w:val="decimal"/>
      <w:lvlText w:val="%6."/>
      <w:lvlJc w:val="left"/>
      <w:pPr>
        <w:tabs>
          <w:tab w:val="num" w:pos="4320"/>
        </w:tabs>
        <w:ind w:left="4320" w:hanging="360"/>
      </w:pPr>
    </w:lvl>
    <w:lvl w:ilvl="6" w:tplc="0C09000F">
      <w:start w:val="1"/>
      <w:numFmt w:val="decimal"/>
      <w:lvlText w:val="%7."/>
      <w:lvlJc w:val="left"/>
      <w:pPr>
        <w:tabs>
          <w:tab w:val="num" w:pos="5040"/>
        </w:tabs>
        <w:ind w:left="5040" w:hanging="360"/>
      </w:pPr>
    </w:lvl>
    <w:lvl w:ilvl="7" w:tplc="0C090019">
      <w:start w:val="1"/>
      <w:numFmt w:val="decimal"/>
      <w:lvlText w:val="%8."/>
      <w:lvlJc w:val="left"/>
      <w:pPr>
        <w:tabs>
          <w:tab w:val="num" w:pos="5760"/>
        </w:tabs>
        <w:ind w:left="5760" w:hanging="360"/>
      </w:pPr>
    </w:lvl>
    <w:lvl w:ilvl="8" w:tplc="0C09001B">
      <w:start w:val="1"/>
      <w:numFmt w:val="decimal"/>
      <w:lvlText w:val="%9."/>
      <w:lvlJc w:val="left"/>
      <w:pPr>
        <w:tabs>
          <w:tab w:val="num" w:pos="6480"/>
        </w:tabs>
        <w:ind w:left="6480" w:hanging="360"/>
      </w:pPr>
    </w:lvl>
  </w:abstractNum>
  <w:abstractNum w:abstractNumId="41">
    <w:nsid w:val="75700949"/>
    <w:multiLevelType w:val="hybridMultilevel"/>
    <w:tmpl w:val="C194D4FC"/>
    <w:lvl w:ilvl="0" w:tplc="0C090003">
      <w:start w:val="1"/>
      <w:numFmt w:val="bullet"/>
      <w:lvlText w:val="o"/>
      <w:lvlJc w:val="left"/>
      <w:pPr>
        <w:ind w:left="720" w:hanging="360"/>
      </w:pPr>
      <w:rPr>
        <w:rFonts w:ascii="Courier New" w:hAnsi="Courier New" w:cs="Courier New"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42">
    <w:nsid w:val="7803578E"/>
    <w:multiLevelType w:val="hybridMultilevel"/>
    <w:tmpl w:val="30E66F70"/>
    <w:lvl w:ilvl="0" w:tplc="0C090001">
      <w:start w:val="1"/>
      <w:numFmt w:val="bullet"/>
      <w:lvlText w:val=""/>
      <w:lvlJc w:val="left"/>
      <w:pPr>
        <w:ind w:left="720" w:hanging="360"/>
      </w:pPr>
      <w:rPr>
        <w:rFonts w:ascii="Symbol" w:hAnsi="Symbol" w:hint="default"/>
      </w:rPr>
    </w:lvl>
    <w:lvl w:ilvl="1" w:tplc="0C090003">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43">
    <w:nsid w:val="7C0D4FD1"/>
    <w:multiLevelType w:val="hybridMultilevel"/>
    <w:tmpl w:val="B8320056"/>
    <w:lvl w:ilvl="0" w:tplc="0C090001">
      <w:start w:val="1"/>
      <w:numFmt w:val="bullet"/>
      <w:lvlText w:val=""/>
      <w:lvlJc w:val="left"/>
      <w:pPr>
        <w:ind w:left="720" w:hanging="360"/>
      </w:pPr>
      <w:rPr>
        <w:rFonts w:ascii="Symbol" w:hAnsi="Symbol" w:hint="default"/>
      </w:rPr>
    </w:lvl>
    <w:lvl w:ilvl="1" w:tplc="0C090003">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44">
    <w:nsid w:val="7D4E74BB"/>
    <w:multiLevelType w:val="hybridMultilevel"/>
    <w:tmpl w:val="EBE4081A"/>
    <w:lvl w:ilvl="0" w:tplc="686C8210">
      <w:start w:val="1"/>
      <w:numFmt w:val="decimal"/>
      <w:lvlText w:val="%1."/>
      <w:lvlJc w:val="left"/>
      <w:pPr>
        <w:tabs>
          <w:tab w:val="num" w:pos="360"/>
        </w:tabs>
        <w:ind w:left="360" w:hanging="360"/>
      </w:pPr>
      <w:rPr>
        <w:rFonts w:cs="Arial" w:hint="default"/>
      </w:rPr>
    </w:lvl>
    <w:lvl w:ilvl="1" w:tplc="0C090019" w:tentative="1">
      <w:start w:val="1"/>
      <w:numFmt w:val="lowerLetter"/>
      <w:lvlText w:val="%2."/>
      <w:lvlJc w:val="left"/>
      <w:pPr>
        <w:tabs>
          <w:tab w:val="num" w:pos="1440"/>
        </w:tabs>
        <w:ind w:left="1440" w:hanging="360"/>
      </w:pPr>
    </w:lvl>
    <w:lvl w:ilvl="2" w:tplc="0C09001B" w:tentative="1">
      <w:start w:val="1"/>
      <w:numFmt w:val="lowerRoman"/>
      <w:lvlText w:val="%3."/>
      <w:lvlJc w:val="right"/>
      <w:pPr>
        <w:tabs>
          <w:tab w:val="num" w:pos="2160"/>
        </w:tabs>
        <w:ind w:left="2160" w:hanging="180"/>
      </w:pPr>
    </w:lvl>
    <w:lvl w:ilvl="3" w:tplc="0C09000F" w:tentative="1">
      <w:start w:val="1"/>
      <w:numFmt w:val="decimal"/>
      <w:lvlText w:val="%4."/>
      <w:lvlJc w:val="left"/>
      <w:pPr>
        <w:tabs>
          <w:tab w:val="num" w:pos="2880"/>
        </w:tabs>
        <w:ind w:left="2880" w:hanging="360"/>
      </w:pPr>
    </w:lvl>
    <w:lvl w:ilvl="4" w:tplc="0C090019" w:tentative="1">
      <w:start w:val="1"/>
      <w:numFmt w:val="lowerLetter"/>
      <w:lvlText w:val="%5."/>
      <w:lvlJc w:val="left"/>
      <w:pPr>
        <w:tabs>
          <w:tab w:val="num" w:pos="3600"/>
        </w:tabs>
        <w:ind w:left="3600" w:hanging="360"/>
      </w:pPr>
    </w:lvl>
    <w:lvl w:ilvl="5" w:tplc="0C09001B" w:tentative="1">
      <w:start w:val="1"/>
      <w:numFmt w:val="lowerRoman"/>
      <w:lvlText w:val="%6."/>
      <w:lvlJc w:val="right"/>
      <w:pPr>
        <w:tabs>
          <w:tab w:val="num" w:pos="4320"/>
        </w:tabs>
        <w:ind w:left="4320" w:hanging="180"/>
      </w:pPr>
    </w:lvl>
    <w:lvl w:ilvl="6" w:tplc="0C09000F" w:tentative="1">
      <w:start w:val="1"/>
      <w:numFmt w:val="decimal"/>
      <w:lvlText w:val="%7."/>
      <w:lvlJc w:val="left"/>
      <w:pPr>
        <w:tabs>
          <w:tab w:val="num" w:pos="5040"/>
        </w:tabs>
        <w:ind w:left="5040" w:hanging="360"/>
      </w:pPr>
    </w:lvl>
    <w:lvl w:ilvl="7" w:tplc="0C090019" w:tentative="1">
      <w:start w:val="1"/>
      <w:numFmt w:val="lowerLetter"/>
      <w:lvlText w:val="%8."/>
      <w:lvlJc w:val="left"/>
      <w:pPr>
        <w:tabs>
          <w:tab w:val="num" w:pos="5760"/>
        </w:tabs>
        <w:ind w:left="5760" w:hanging="360"/>
      </w:pPr>
    </w:lvl>
    <w:lvl w:ilvl="8" w:tplc="0C09001B" w:tentative="1">
      <w:start w:val="1"/>
      <w:numFmt w:val="lowerRoman"/>
      <w:lvlText w:val="%9."/>
      <w:lvlJc w:val="right"/>
      <w:pPr>
        <w:tabs>
          <w:tab w:val="num" w:pos="6480"/>
        </w:tabs>
        <w:ind w:left="6480" w:hanging="180"/>
      </w:pPr>
    </w:lvl>
  </w:abstractNum>
  <w:num w:numId="1">
    <w:abstractNumId w:val="9"/>
  </w:num>
  <w:num w:numId="2">
    <w:abstractNumId w:val="7"/>
  </w:num>
  <w:num w:numId="3">
    <w:abstractNumId w:val="6"/>
  </w:num>
  <w:num w:numId="4">
    <w:abstractNumId w:val="5"/>
  </w:num>
  <w:num w:numId="5">
    <w:abstractNumId w:val="4"/>
  </w:num>
  <w:num w:numId="6">
    <w:abstractNumId w:val="8"/>
  </w:num>
  <w:num w:numId="7">
    <w:abstractNumId w:val="1"/>
  </w:num>
  <w:num w:numId="8">
    <w:abstractNumId w:val="0"/>
  </w:num>
  <w:num w:numId="9">
    <w:abstractNumId w:val="3"/>
  </w:num>
  <w:num w:numId="10">
    <w:abstractNumId w:val="2"/>
  </w:num>
  <w:num w:numId="11">
    <w:abstractNumId w:val="35"/>
  </w:num>
  <w:num w:numId="12">
    <w:abstractNumId w:val="26"/>
  </w:num>
  <w:num w:numId="13">
    <w:abstractNumId w:val="19"/>
  </w:num>
  <w:num w:numId="14">
    <w:abstractNumId w:val="34"/>
  </w:num>
  <w:num w:numId="15">
    <w:abstractNumId w:val="21"/>
  </w:num>
  <w:num w:numId="16">
    <w:abstractNumId w:val="11"/>
  </w:num>
  <w:num w:numId="17">
    <w:abstractNumId w:val="44"/>
  </w:num>
  <w:num w:numId="18">
    <w:abstractNumId w:val="21"/>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9">
    <w:abstractNumId w:val="23"/>
  </w:num>
  <w:num w:numId="20">
    <w:abstractNumId w:val="31"/>
  </w:num>
  <w:num w:numId="21">
    <w:abstractNumId w:val="27"/>
  </w:num>
  <w:num w:numId="22">
    <w:abstractNumId w:val="16"/>
  </w:num>
  <w:num w:numId="23">
    <w:abstractNumId w:val="24"/>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4">
    <w:abstractNumId w:val="36"/>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5">
    <w:abstractNumId w:val="40"/>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6">
    <w:abstractNumId w:val="12"/>
  </w:num>
  <w:num w:numId="27">
    <w:abstractNumId w:val="40"/>
  </w:num>
  <w:num w:numId="28">
    <w:abstractNumId w:val="20"/>
  </w:num>
  <w:num w:numId="29">
    <w:abstractNumId w:val="13"/>
  </w:num>
  <w:num w:numId="30">
    <w:abstractNumId w:val="39"/>
  </w:num>
  <w:num w:numId="31">
    <w:abstractNumId w:val="30"/>
  </w:num>
  <w:num w:numId="32">
    <w:abstractNumId w:val="29"/>
  </w:num>
  <w:num w:numId="33">
    <w:abstractNumId w:val="33"/>
  </w:num>
  <w:num w:numId="34">
    <w:abstractNumId w:val="41"/>
  </w:num>
  <w:num w:numId="35">
    <w:abstractNumId w:val="15"/>
  </w:num>
  <w:num w:numId="36">
    <w:abstractNumId w:val="42"/>
  </w:num>
  <w:num w:numId="37">
    <w:abstractNumId w:val="22"/>
  </w:num>
  <w:num w:numId="38">
    <w:abstractNumId w:val="28"/>
  </w:num>
  <w:num w:numId="39">
    <w:abstractNumId w:val="17"/>
  </w:num>
  <w:num w:numId="40">
    <w:abstractNumId w:val="37"/>
  </w:num>
  <w:num w:numId="41">
    <w:abstractNumId w:val="18"/>
  </w:num>
  <w:num w:numId="42">
    <w:abstractNumId w:val="43"/>
  </w:num>
  <w:num w:numId="43">
    <w:abstractNumId w:val="25"/>
  </w:num>
  <w:num w:numId="44">
    <w:abstractNumId w:val="38"/>
  </w:num>
  <w:num w:numId="45">
    <w:abstractNumId w:val="10"/>
  </w:num>
  <w:num w:numId="46">
    <w:abstractNumId w:val="32"/>
  </w:num>
  <w:num w:numId="47">
    <w:abstractNumId w:val="14"/>
  </w:num>
  <w:numIdMacAtCleanup w:val="17"/>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stylePaneFormatFilter w:val="0004" w:allStyles="0" w:customStyles="0" w:latentStyles="1" w:stylesInUse="0" w:headingStyles="0" w:numberingStyles="0" w:tableStyles="0" w:directFormattingOnRuns="0" w:directFormattingOnParagraphs="0" w:directFormattingOnNumbering="0" w:directFormattingOnTables="0" w:clearFormatting="0" w:top3HeadingStyles="0" w:visibleStyles="0" w:alternateStyleNames="0"/>
  <w:defaultTabStop w:val="720"/>
  <w:drawingGridHorizontalSpacing w:val="120"/>
  <w:displayHorizontalDrawingGridEvery w:val="2"/>
  <w:characterSpacingControl w:val="doNotCompress"/>
  <w:hdrShapeDefaults>
    <o:shapedefaults v:ext="edit" spidmax="24577"/>
  </w:hdrShapeDefaults>
  <w:footnotePr>
    <w:footnote w:id="-1"/>
    <w:footnote w:id="0"/>
  </w:footnotePr>
  <w:endnotePr>
    <w:numFmt w:val="decimal"/>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0B18C2"/>
    <w:rsid w:val="00002EA6"/>
    <w:rsid w:val="0001254B"/>
    <w:rsid w:val="00013272"/>
    <w:rsid w:val="00021134"/>
    <w:rsid w:val="00031149"/>
    <w:rsid w:val="00034CCB"/>
    <w:rsid w:val="00043699"/>
    <w:rsid w:val="0004740C"/>
    <w:rsid w:val="000540A0"/>
    <w:rsid w:val="000579B1"/>
    <w:rsid w:val="0006352E"/>
    <w:rsid w:val="000658D9"/>
    <w:rsid w:val="00074750"/>
    <w:rsid w:val="00074CD6"/>
    <w:rsid w:val="000816E3"/>
    <w:rsid w:val="00095D5D"/>
    <w:rsid w:val="000A0826"/>
    <w:rsid w:val="000A08DB"/>
    <w:rsid w:val="000A1D4E"/>
    <w:rsid w:val="000B0657"/>
    <w:rsid w:val="000B0A5D"/>
    <w:rsid w:val="000B18C2"/>
    <w:rsid w:val="000B3973"/>
    <w:rsid w:val="000B7FA0"/>
    <w:rsid w:val="000C2C4E"/>
    <w:rsid w:val="000D2459"/>
    <w:rsid w:val="000D40B7"/>
    <w:rsid w:val="000D6FC9"/>
    <w:rsid w:val="000E336E"/>
    <w:rsid w:val="000E7046"/>
    <w:rsid w:val="001011C8"/>
    <w:rsid w:val="001057A3"/>
    <w:rsid w:val="00113BC3"/>
    <w:rsid w:val="00125B4F"/>
    <w:rsid w:val="00130E7D"/>
    <w:rsid w:val="00132462"/>
    <w:rsid w:val="001341DC"/>
    <w:rsid w:val="00137FCD"/>
    <w:rsid w:val="00140077"/>
    <w:rsid w:val="001439A7"/>
    <w:rsid w:val="001523D8"/>
    <w:rsid w:val="001566D4"/>
    <w:rsid w:val="00162A8D"/>
    <w:rsid w:val="00184098"/>
    <w:rsid w:val="0018471A"/>
    <w:rsid w:val="001867A2"/>
    <w:rsid w:val="001A3C34"/>
    <w:rsid w:val="001A5D46"/>
    <w:rsid w:val="001B0353"/>
    <w:rsid w:val="001C139C"/>
    <w:rsid w:val="001C451B"/>
    <w:rsid w:val="001D144C"/>
    <w:rsid w:val="001D274D"/>
    <w:rsid w:val="001D5583"/>
    <w:rsid w:val="001E69D9"/>
    <w:rsid w:val="001F2BBB"/>
    <w:rsid w:val="001F6652"/>
    <w:rsid w:val="0020759E"/>
    <w:rsid w:val="00222A8A"/>
    <w:rsid w:val="0023027D"/>
    <w:rsid w:val="00231ED1"/>
    <w:rsid w:val="0023303F"/>
    <w:rsid w:val="0024300C"/>
    <w:rsid w:val="00243301"/>
    <w:rsid w:val="0024557E"/>
    <w:rsid w:val="002702D9"/>
    <w:rsid w:val="00280A54"/>
    <w:rsid w:val="00293C04"/>
    <w:rsid w:val="002A5388"/>
    <w:rsid w:val="002F1899"/>
    <w:rsid w:val="003040CA"/>
    <w:rsid w:val="00310ED4"/>
    <w:rsid w:val="003139BD"/>
    <w:rsid w:val="003143FA"/>
    <w:rsid w:val="0031492A"/>
    <w:rsid w:val="00314B66"/>
    <w:rsid w:val="00316504"/>
    <w:rsid w:val="00316C1A"/>
    <w:rsid w:val="00321AF0"/>
    <w:rsid w:val="00332457"/>
    <w:rsid w:val="0033452D"/>
    <w:rsid w:val="003541FA"/>
    <w:rsid w:val="003575BB"/>
    <w:rsid w:val="00377C8F"/>
    <w:rsid w:val="00380EFD"/>
    <w:rsid w:val="00381206"/>
    <w:rsid w:val="0038578A"/>
    <w:rsid w:val="003931C7"/>
    <w:rsid w:val="003955AE"/>
    <w:rsid w:val="00395B25"/>
    <w:rsid w:val="003A2C9B"/>
    <w:rsid w:val="003A533F"/>
    <w:rsid w:val="003B18A7"/>
    <w:rsid w:val="003C2EFA"/>
    <w:rsid w:val="003D592A"/>
    <w:rsid w:val="003E104C"/>
    <w:rsid w:val="003F0CEE"/>
    <w:rsid w:val="003F4AC7"/>
    <w:rsid w:val="0042091B"/>
    <w:rsid w:val="004215B3"/>
    <w:rsid w:val="00425A48"/>
    <w:rsid w:val="00427C7F"/>
    <w:rsid w:val="00430EC2"/>
    <w:rsid w:val="00434AC1"/>
    <w:rsid w:val="00444303"/>
    <w:rsid w:val="004449AB"/>
    <w:rsid w:val="00453FB9"/>
    <w:rsid w:val="00454165"/>
    <w:rsid w:val="004551CF"/>
    <w:rsid w:val="004561BE"/>
    <w:rsid w:val="004611C3"/>
    <w:rsid w:val="00462D4C"/>
    <w:rsid w:val="00470587"/>
    <w:rsid w:val="00473DB9"/>
    <w:rsid w:val="00474063"/>
    <w:rsid w:val="00476EEA"/>
    <w:rsid w:val="00484C9F"/>
    <w:rsid w:val="00494D4B"/>
    <w:rsid w:val="004A722D"/>
    <w:rsid w:val="004B0659"/>
    <w:rsid w:val="004B366C"/>
    <w:rsid w:val="004C3738"/>
    <w:rsid w:val="004D1FFE"/>
    <w:rsid w:val="004D5D58"/>
    <w:rsid w:val="004D76A4"/>
    <w:rsid w:val="004F53EF"/>
    <w:rsid w:val="00503E04"/>
    <w:rsid w:val="005041AB"/>
    <w:rsid w:val="00504B28"/>
    <w:rsid w:val="00513540"/>
    <w:rsid w:val="005163AB"/>
    <w:rsid w:val="005173C0"/>
    <w:rsid w:val="00517DDF"/>
    <w:rsid w:val="00522CED"/>
    <w:rsid w:val="005300E5"/>
    <w:rsid w:val="00531583"/>
    <w:rsid w:val="005354DA"/>
    <w:rsid w:val="00541E3A"/>
    <w:rsid w:val="0055000C"/>
    <w:rsid w:val="00554C04"/>
    <w:rsid w:val="00565B53"/>
    <w:rsid w:val="00567486"/>
    <w:rsid w:val="00570DF2"/>
    <w:rsid w:val="00577159"/>
    <w:rsid w:val="005821A7"/>
    <w:rsid w:val="00594857"/>
    <w:rsid w:val="005A12EC"/>
    <w:rsid w:val="005A2418"/>
    <w:rsid w:val="005A4A3B"/>
    <w:rsid w:val="005A60D7"/>
    <w:rsid w:val="005B7515"/>
    <w:rsid w:val="005C13AE"/>
    <w:rsid w:val="005C1654"/>
    <w:rsid w:val="005D04F4"/>
    <w:rsid w:val="005D1F34"/>
    <w:rsid w:val="005D3200"/>
    <w:rsid w:val="005E2759"/>
    <w:rsid w:val="005E28FF"/>
    <w:rsid w:val="005E3065"/>
    <w:rsid w:val="005E6F5C"/>
    <w:rsid w:val="005E774E"/>
    <w:rsid w:val="005F19CA"/>
    <w:rsid w:val="005F2FAE"/>
    <w:rsid w:val="005F5F45"/>
    <w:rsid w:val="005F7B18"/>
    <w:rsid w:val="00641045"/>
    <w:rsid w:val="00690313"/>
    <w:rsid w:val="00696390"/>
    <w:rsid w:val="006A2284"/>
    <w:rsid w:val="006A357C"/>
    <w:rsid w:val="006A6BB3"/>
    <w:rsid w:val="006A6EB3"/>
    <w:rsid w:val="006B3680"/>
    <w:rsid w:val="006C01FE"/>
    <w:rsid w:val="006C3C06"/>
    <w:rsid w:val="006C61C4"/>
    <w:rsid w:val="006C79EA"/>
    <w:rsid w:val="006D026B"/>
    <w:rsid w:val="006D1000"/>
    <w:rsid w:val="006D1B20"/>
    <w:rsid w:val="006D317B"/>
    <w:rsid w:val="006D5EE5"/>
    <w:rsid w:val="006E06ED"/>
    <w:rsid w:val="006E06F5"/>
    <w:rsid w:val="006E17AD"/>
    <w:rsid w:val="006E657C"/>
    <w:rsid w:val="00700E56"/>
    <w:rsid w:val="007039FC"/>
    <w:rsid w:val="00706FAB"/>
    <w:rsid w:val="00707793"/>
    <w:rsid w:val="0071477B"/>
    <w:rsid w:val="007169BB"/>
    <w:rsid w:val="00725D5E"/>
    <w:rsid w:val="0074708F"/>
    <w:rsid w:val="007548CA"/>
    <w:rsid w:val="0075531C"/>
    <w:rsid w:val="00756696"/>
    <w:rsid w:val="00770DCB"/>
    <w:rsid w:val="00772979"/>
    <w:rsid w:val="00775485"/>
    <w:rsid w:val="007841E1"/>
    <w:rsid w:val="00787590"/>
    <w:rsid w:val="00791C69"/>
    <w:rsid w:val="007A5389"/>
    <w:rsid w:val="007A58B2"/>
    <w:rsid w:val="007D40BD"/>
    <w:rsid w:val="007E0E91"/>
    <w:rsid w:val="007E1866"/>
    <w:rsid w:val="007E6434"/>
    <w:rsid w:val="007F3F1C"/>
    <w:rsid w:val="00810ABF"/>
    <w:rsid w:val="008125EE"/>
    <w:rsid w:val="0083209A"/>
    <w:rsid w:val="008724DE"/>
    <w:rsid w:val="00886A2D"/>
    <w:rsid w:val="008A2AF7"/>
    <w:rsid w:val="008A3D57"/>
    <w:rsid w:val="008A605B"/>
    <w:rsid w:val="008B1BB6"/>
    <w:rsid w:val="008B67FB"/>
    <w:rsid w:val="008D3EDC"/>
    <w:rsid w:val="008E3604"/>
    <w:rsid w:val="008E3D60"/>
    <w:rsid w:val="0090165F"/>
    <w:rsid w:val="00921CB7"/>
    <w:rsid w:val="00923C4F"/>
    <w:rsid w:val="00924FD4"/>
    <w:rsid w:val="00926A8A"/>
    <w:rsid w:val="00945343"/>
    <w:rsid w:val="0094627C"/>
    <w:rsid w:val="009472C4"/>
    <w:rsid w:val="00950E88"/>
    <w:rsid w:val="00966C2F"/>
    <w:rsid w:val="009802F3"/>
    <w:rsid w:val="009A5753"/>
    <w:rsid w:val="009A6006"/>
    <w:rsid w:val="009B09DB"/>
    <w:rsid w:val="009B5F36"/>
    <w:rsid w:val="009B7ACA"/>
    <w:rsid w:val="009C5FB8"/>
    <w:rsid w:val="009D6C91"/>
    <w:rsid w:val="009E0D26"/>
    <w:rsid w:val="009E6BF8"/>
    <w:rsid w:val="009E7FC4"/>
    <w:rsid w:val="009F51D9"/>
    <w:rsid w:val="009F761B"/>
    <w:rsid w:val="009F7AAC"/>
    <w:rsid w:val="00A02522"/>
    <w:rsid w:val="00A02F56"/>
    <w:rsid w:val="00A0406E"/>
    <w:rsid w:val="00A23433"/>
    <w:rsid w:val="00A36D3F"/>
    <w:rsid w:val="00A41355"/>
    <w:rsid w:val="00A43550"/>
    <w:rsid w:val="00A43B92"/>
    <w:rsid w:val="00A44720"/>
    <w:rsid w:val="00A519C3"/>
    <w:rsid w:val="00A6179E"/>
    <w:rsid w:val="00A66F67"/>
    <w:rsid w:val="00A96B44"/>
    <w:rsid w:val="00AB3027"/>
    <w:rsid w:val="00AC27AB"/>
    <w:rsid w:val="00AC3468"/>
    <w:rsid w:val="00AC6A34"/>
    <w:rsid w:val="00AD2221"/>
    <w:rsid w:val="00AD2297"/>
    <w:rsid w:val="00AD66AE"/>
    <w:rsid w:val="00AE66FC"/>
    <w:rsid w:val="00AE685E"/>
    <w:rsid w:val="00AE76EB"/>
    <w:rsid w:val="00B11AAC"/>
    <w:rsid w:val="00B1645C"/>
    <w:rsid w:val="00B17F23"/>
    <w:rsid w:val="00B22697"/>
    <w:rsid w:val="00B277E0"/>
    <w:rsid w:val="00B40379"/>
    <w:rsid w:val="00B46CE2"/>
    <w:rsid w:val="00B52708"/>
    <w:rsid w:val="00B52E2D"/>
    <w:rsid w:val="00B73FDC"/>
    <w:rsid w:val="00B76653"/>
    <w:rsid w:val="00B837E2"/>
    <w:rsid w:val="00B83E27"/>
    <w:rsid w:val="00B85976"/>
    <w:rsid w:val="00B95AE1"/>
    <w:rsid w:val="00B95CEE"/>
    <w:rsid w:val="00BA239C"/>
    <w:rsid w:val="00BA262D"/>
    <w:rsid w:val="00BA6709"/>
    <w:rsid w:val="00BB7FD2"/>
    <w:rsid w:val="00BC2D7F"/>
    <w:rsid w:val="00BC79EB"/>
    <w:rsid w:val="00BD00E2"/>
    <w:rsid w:val="00BD5CDE"/>
    <w:rsid w:val="00C02278"/>
    <w:rsid w:val="00C04DD1"/>
    <w:rsid w:val="00C04F55"/>
    <w:rsid w:val="00C060D0"/>
    <w:rsid w:val="00C076F2"/>
    <w:rsid w:val="00C247EB"/>
    <w:rsid w:val="00C25BDA"/>
    <w:rsid w:val="00C30E95"/>
    <w:rsid w:val="00C3688E"/>
    <w:rsid w:val="00C404CD"/>
    <w:rsid w:val="00C4466D"/>
    <w:rsid w:val="00C45498"/>
    <w:rsid w:val="00C506A4"/>
    <w:rsid w:val="00C53971"/>
    <w:rsid w:val="00C54FB1"/>
    <w:rsid w:val="00C567B6"/>
    <w:rsid w:val="00C631E5"/>
    <w:rsid w:val="00C76062"/>
    <w:rsid w:val="00C80F9F"/>
    <w:rsid w:val="00C84C7C"/>
    <w:rsid w:val="00C8601E"/>
    <w:rsid w:val="00C96E9E"/>
    <w:rsid w:val="00CA0045"/>
    <w:rsid w:val="00CA0D78"/>
    <w:rsid w:val="00CB27A8"/>
    <w:rsid w:val="00CB654F"/>
    <w:rsid w:val="00CE5A24"/>
    <w:rsid w:val="00CE7182"/>
    <w:rsid w:val="00CF181E"/>
    <w:rsid w:val="00D36D90"/>
    <w:rsid w:val="00D4086C"/>
    <w:rsid w:val="00D4670A"/>
    <w:rsid w:val="00D65C76"/>
    <w:rsid w:val="00D74112"/>
    <w:rsid w:val="00DA2F73"/>
    <w:rsid w:val="00DA30A2"/>
    <w:rsid w:val="00DA42E8"/>
    <w:rsid w:val="00DB1BD8"/>
    <w:rsid w:val="00DC193F"/>
    <w:rsid w:val="00DC3C4F"/>
    <w:rsid w:val="00DC462F"/>
    <w:rsid w:val="00DD75DF"/>
    <w:rsid w:val="00DE3915"/>
    <w:rsid w:val="00DE6CA7"/>
    <w:rsid w:val="00E01634"/>
    <w:rsid w:val="00E24FA3"/>
    <w:rsid w:val="00E30E23"/>
    <w:rsid w:val="00E328CD"/>
    <w:rsid w:val="00E42841"/>
    <w:rsid w:val="00E44471"/>
    <w:rsid w:val="00E45954"/>
    <w:rsid w:val="00E528EB"/>
    <w:rsid w:val="00E66EF6"/>
    <w:rsid w:val="00E67E24"/>
    <w:rsid w:val="00E75519"/>
    <w:rsid w:val="00E75D90"/>
    <w:rsid w:val="00E77658"/>
    <w:rsid w:val="00E835AF"/>
    <w:rsid w:val="00E97EF8"/>
    <w:rsid w:val="00EE44D7"/>
    <w:rsid w:val="00F14C6D"/>
    <w:rsid w:val="00F16D30"/>
    <w:rsid w:val="00F3100E"/>
    <w:rsid w:val="00F60247"/>
    <w:rsid w:val="00F62C5E"/>
    <w:rsid w:val="00F64137"/>
    <w:rsid w:val="00F71A6E"/>
    <w:rsid w:val="00F73056"/>
    <w:rsid w:val="00F772B9"/>
    <w:rsid w:val="00F77978"/>
    <w:rsid w:val="00F9078E"/>
    <w:rsid w:val="00F9222B"/>
    <w:rsid w:val="00F95982"/>
    <w:rsid w:val="00FA0090"/>
    <w:rsid w:val="00FA1C61"/>
    <w:rsid w:val="00FA407F"/>
    <w:rsid w:val="00FC1E47"/>
    <w:rsid w:val="00FC582E"/>
    <w:rsid w:val="00FD2F99"/>
    <w:rsid w:val="00FD754C"/>
    <w:rsid w:val="00FE2041"/>
    <w:rsid w:val="00FE6D9C"/>
    <w:rsid w:val="00FF4820"/>
  </w:rsids>
  <m:mathPr>
    <m:mathFont m:val="Cambria Math"/>
    <m:brkBin m:val="before"/>
    <m:brkBinSub m:val="--"/>
    <m:smallFrac m:val="0"/>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4577"/>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en-AU" w:eastAsia="en-AU" w:bidi="ar-SA"/>
      </w:rPr>
    </w:rPrDefault>
    <w:pPrDefault/>
  </w:docDefaults>
  <w:latentStyles w:defLockedState="0" w:defUIPriority="0" w:defSemiHidden="0" w:defUnhideWhenUsed="0" w:defQFormat="0" w:count="267">
    <w:lsdException w:name="Normal" w:qFormat="1"/>
    <w:lsdException w:name="heading 1" w:qFormat="1"/>
    <w:lsdException w:name="heading 2" w:qFormat="1"/>
    <w:lsdException w:name="heading 3" w:qFormat="1"/>
    <w:lsdException w:name="heading 4" w:qFormat="1"/>
    <w:lsdException w:name="heading 5" w:qFormat="1"/>
    <w:lsdException w:name="heading 6" w:qFormat="1"/>
    <w:lsdException w:name="heading 7" w:qFormat="1"/>
    <w:lsdException w:name="heading 8" w:qFormat="1"/>
    <w:lsdException w:name="heading 9" w:qFormat="1"/>
    <w:lsdException w:name="index 1" w:locked="1"/>
    <w:lsdException w:name="index 2" w:locked="1"/>
    <w:lsdException w:name="index 3" w:locked="1"/>
    <w:lsdException w:name="index 4" w:locked="1"/>
    <w:lsdException w:name="index 5" w:locked="1"/>
    <w:lsdException w:name="index 6" w:locked="1"/>
    <w:lsdException w:name="index 7" w:locked="1"/>
    <w:lsdException w:name="index 8" w:locked="1"/>
    <w:lsdException w:name="index 9" w:locked="1"/>
    <w:lsdException w:name="toc 1" w:uiPriority="39" w:qFormat="1"/>
    <w:lsdException w:name="toc 2" w:uiPriority="39" w:qFormat="1"/>
    <w:lsdException w:name="toc 3" w:uiPriority="39" w:qFormat="1"/>
    <w:lsdException w:name="toc 4" w:uiPriority="39"/>
    <w:lsdException w:name="toc 5" w:locked="1"/>
    <w:lsdException w:name="toc 6" w:locked="1"/>
    <w:lsdException w:name="toc 7" w:locked="1"/>
    <w:lsdException w:name="toc 8" w:locked="1"/>
    <w:lsdException w:name="toc 9" w:locked="1"/>
    <w:lsdException w:name="Normal Indent" w:locked="1"/>
    <w:lsdException w:name="annotation text" w:locked="1"/>
    <w:lsdException w:name="footer" w:uiPriority="99"/>
    <w:lsdException w:name="index heading" w:locked="1"/>
    <w:lsdException w:name="caption" w:locked="1" w:semiHidden="1" w:unhideWhenUsed="1" w:qFormat="1"/>
    <w:lsdException w:name="table of figures" w:locked="1"/>
    <w:lsdException w:name="envelope address" w:locked="1"/>
    <w:lsdException w:name="envelope return" w:locked="1"/>
    <w:lsdException w:name="annotation reference" w:locked="1"/>
    <w:lsdException w:name="line number" w:locked="1"/>
    <w:lsdException w:name="page number" w:locked="1"/>
    <w:lsdException w:name="table of authorities" w:locked="1"/>
    <w:lsdException w:name="macro" w:locked="1"/>
    <w:lsdException w:name="toa heading" w:locked="1"/>
    <w:lsdException w:name="List" w:locked="1"/>
    <w:lsdException w:name="List Bullet" w:locked="1"/>
    <w:lsdException w:name="List Number" w:locked="1"/>
    <w:lsdException w:name="List 2" w:locked="1"/>
    <w:lsdException w:name="List 3" w:locked="1"/>
    <w:lsdException w:name="List 4" w:locked="1"/>
    <w:lsdException w:name="List 5" w:locked="1"/>
    <w:lsdException w:name="List Bullet 2" w:locked="1"/>
    <w:lsdException w:name="List Bullet 3" w:locked="1"/>
    <w:lsdException w:name="List Bullet 4" w:locked="1"/>
    <w:lsdException w:name="List Bullet 5" w:locked="1"/>
    <w:lsdException w:name="List Number 2" w:locked="1"/>
    <w:lsdException w:name="List Number 3" w:locked="1"/>
    <w:lsdException w:name="List Number 4" w:locked="1"/>
    <w:lsdException w:name="List Number 5" w:locked="1"/>
    <w:lsdException w:name="Title" w:locked="1" w:qFormat="1"/>
    <w:lsdException w:name="Closing" w:locked="1"/>
    <w:lsdException w:name="Signature" w:locked="1"/>
    <w:lsdException w:name="Body Text" w:locked="1"/>
    <w:lsdException w:name="Body Text Indent" w:locked="1"/>
    <w:lsdException w:name="List Continue" w:locked="1"/>
    <w:lsdException w:name="List Continue 2" w:locked="1"/>
    <w:lsdException w:name="List Continue 3" w:locked="1"/>
    <w:lsdException w:name="List Continue 5" w:locked="1"/>
    <w:lsdException w:name="Message Header" w:locked="1"/>
    <w:lsdException w:name="Subtitle" w:locked="1" w:qFormat="1"/>
    <w:lsdException w:name="Salutation" w:locked="1"/>
    <w:lsdException w:name="Date" w:locked="1"/>
    <w:lsdException w:name="Body Text First Indent" w:locked="1"/>
    <w:lsdException w:name="Body Text First Indent 2" w:locked="1"/>
    <w:lsdException w:name="Note Heading" w:locked="1"/>
    <w:lsdException w:name="Body Text 2" w:locked="1"/>
    <w:lsdException w:name="Body Text 3" w:locked="1"/>
    <w:lsdException w:name="Body Text Indent 2" w:locked="1"/>
    <w:lsdException w:name="Body Text Indent 3" w:locked="1"/>
    <w:lsdException w:name="Block Text" w:locked="1"/>
    <w:lsdException w:name="Hyperlink" w:uiPriority="99"/>
    <w:lsdException w:name="FollowedHyperlink" w:locked="1"/>
    <w:lsdException w:name="Strong" w:qFormat="1"/>
    <w:lsdException w:name="Emphasis" w:locked="1" w:qFormat="1"/>
    <w:lsdException w:name="Document Map" w:locked="1"/>
    <w:lsdException w:name="Plain Text" w:locked="1"/>
    <w:lsdException w:name="E-mail Signature" w:locked="1"/>
    <w:lsdException w:name="Normal (Web)" w:locked="1"/>
    <w:lsdException w:name="HTML Acronym" w:locked="1"/>
    <w:lsdException w:name="HTML Address" w:locked="1"/>
    <w:lsdException w:name="HTML Cite" w:locked="1"/>
    <w:lsdException w:name="HTML Code" w:locked="1"/>
    <w:lsdException w:name="HTML Definition" w:locked="1"/>
    <w:lsdException w:name="HTML Keyboard" w:locked="1"/>
    <w:lsdException w:name="HTML Preformatted" w:locked="1"/>
    <w:lsdException w:name="HTML Sample" w:locked="1"/>
    <w:lsdException w:name="HTML Typewriter" w:locked="1"/>
    <w:lsdException w:name="HTML Variable" w:locked="1"/>
    <w:lsdException w:name="annotation subject" w:locked="1"/>
    <w:lsdException w:name="Outline List 1" w:locked="1"/>
    <w:lsdException w:name="Outline List 2" w:locked="1"/>
    <w:lsdException w:name="Outline List 3" w:locked="1"/>
    <w:lsdException w:name="Table Simple 1" w:locked="1"/>
    <w:lsdException w:name="Table Simple 2" w:locked="1"/>
    <w:lsdException w:name="Table Simple 3" w:locked="1"/>
    <w:lsdException w:name="Table Classic 1" w:locked="1"/>
    <w:lsdException w:name="Table Classic 2" w:locked="1"/>
    <w:lsdException w:name="Table Classic 3" w:locked="1"/>
    <w:lsdException w:name="Table Classic 4" w:locked="1"/>
    <w:lsdException w:name="Table Colorful 1" w:locked="1"/>
    <w:lsdException w:name="Table Colorful 2" w:locked="1"/>
    <w:lsdException w:name="Table Colorful 3" w:locked="1"/>
    <w:lsdException w:name="Table Columns 1" w:locked="1"/>
    <w:lsdException w:name="Table Columns 2" w:locked="1"/>
    <w:lsdException w:name="Table Columns 3" w:locked="1"/>
    <w:lsdException w:name="Table Columns 4" w:locked="1"/>
    <w:lsdException w:name="Table Columns 5" w:locked="1"/>
    <w:lsdException w:name="Table Grid 1" w:locked="1"/>
    <w:lsdException w:name="Table Grid 2" w:locked="1"/>
    <w:lsdException w:name="Table Grid 3" w:locked="1"/>
    <w:lsdException w:name="Table Grid 4" w:locked="1"/>
    <w:lsdException w:name="Table Grid 5" w:locked="1"/>
    <w:lsdException w:name="Table Grid 6" w:locked="1"/>
    <w:lsdException w:name="Table Grid 7" w:locked="1"/>
    <w:lsdException w:name="Table Grid 8" w:locked="1"/>
    <w:lsdException w:name="Table List 1" w:locked="1"/>
    <w:lsdException w:name="Table List 2" w:locked="1"/>
    <w:lsdException w:name="Table List 3" w:locked="1"/>
    <w:lsdException w:name="Table List 4" w:locked="1"/>
    <w:lsdException w:name="Table List 5" w:locked="1"/>
    <w:lsdException w:name="Table List 6" w:locked="1"/>
    <w:lsdException w:name="Table List 7" w:locked="1"/>
    <w:lsdException w:name="Table List 8" w:locked="1"/>
    <w:lsdException w:name="Table 3D effects 1" w:locked="1"/>
    <w:lsdException w:name="Table 3D effects 2" w:locked="1"/>
    <w:lsdException w:name="Table 3D effects 3" w:locked="1"/>
    <w:lsdException w:name="Table Contemporary" w:locked="1"/>
    <w:lsdException w:name="Table Elegant" w:locked="1"/>
    <w:lsdException w:name="Table Professional" w:locked="1"/>
    <w:lsdException w:name="Table Subtle 1" w:locked="1"/>
    <w:lsdException w:name="Table Subtle 2" w:locked="1"/>
    <w:lsdException w:name="Table Web 1" w:locked="1"/>
    <w:lsdException w:name="Table Web 2" w:locked="1"/>
    <w:lsdException w:name="Table Web 3" w:locked="1"/>
    <w:lsdException w:name="Balloon Text" w:locked="1"/>
    <w:lsdException w:name="Table Grid" w:locked="1"/>
    <w:lsdException w:name="Table Theme" w:lock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uiPriority="39" w:qFormat="1"/>
  </w:latentStyles>
  <w:style w:type="paragraph" w:default="1" w:styleId="Normal">
    <w:name w:val="Normal"/>
    <w:qFormat/>
    <w:rsid w:val="008A2AF7"/>
    <w:pPr>
      <w:spacing w:before="240" w:after="240"/>
    </w:pPr>
    <w:rPr>
      <w:rFonts w:ascii="Arial" w:hAnsi="Arial"/>
      <w:sz w:val="24"/>
      <w:szCs w:val="24"/>
    </w:rPr>
  </w:style>
  <w:style w:type="paragraph" w:styleId="Heading1">
    <w:name w:val="heading 1"/>
    <w:basedOn w:val="Normal"/>
    <w:next w:val="Normal"/>
    <w:link w:val="Heading1Char"/>
    <w:qFormat/>
    <w:rsid w:val="00AC27AB"/>
    <w:pPr>
      <w:keepNext/>
      <w:keepLines/>
      <w:numPr>
        <w:numId w:val="15"/>
      </w:numPr>
      <w:spacing w:before="360"/>
      <w:outlineLvl w:val="0"/>
    </w:pPr>
    <w:rPr>
      <w:b/>
      <w:bCs/>
      <w:sz w:val="28"/>
      <w:szCs w:val="28"/>
    </w:rPr>
  </w:style>
  <w:style w:type="paragraph" w:styleId="Heading2">
    <w:name w:val="heading 2"/>
    <w:basedOn w:val="Heading1"/>
    <w:next w:val="Normal"/>
    <w:link w:val="Heading2Char"/>
    <w:qFormat/>
    <w:rsid w:val="00AC27AB"/>
    <w:pPr>
      <w:numPr>
        <w:ilvl w:val="1"/>
      </w:numPr>
      <w:outlineLvl w:val="1"/>
    </w:pPr>
    <w:rPr>
      <w:bCs w:val="0"/>
      <w:i/>
      <w:color w:val="000000"/>
      <w:szCs w:val="26"/>
    </w:rPr>
  </w:style>
  <w:style w:type="paragraph" w:styleId="Heading3">
    <w:name w:val="heading 3"/>
    <w:basedOn w:val="Heading2"/>
    <w:next w:val="Normal"/>
    <w:link w:val="Heading3Char"/>
    <w:qFormat/>
    <w:rsid w:val="00AC27AB"/>
    <w:pPr>
      <w:numPr>
        <w:ilvl w:val="2"/>
      </w:numPr>
      <w:outlineLvl w:val="2"/>
    </w:pPr>
    <w:rPr>
      <w:b w:val="0"/>
      <w:bCs/>
      <w:color w:val="auto"/>
      <w:sz w:val="24"/>
    </w:rPr>
  </w:style>
  <w:style w:type="paragraph" w:styleId="Heading4">
    <w:name w:val="heading 4"/>
    <w:basedOn w:val="Heading3"/>
    <w:next w:val="Normal"/>
    <w:link w:val="Heading4Char"/>
    <w:qFormat/>
    <w:rsid w:val="00AC27AB"/>
    <w:pPr>
      <w:numPr>
        <w:ilvl w:val="3"/>
      </w:numPr>
      <w:outlineLvl w:val="3"/>
    </w:pPr>
    <w:rPr>
      <w:bCs w:val="0"/>
      <w:i w:val="0"/>
      <w:iCs/>
    </w:rPr>
  </w:style>
  <w:style w:type="paragraph" w:styleId="Heading5">
    <w:name w:val="heading 5"/>
    <w:basedOn w:val="Normal"/>
    <w:next w:val="Normal"/>
    <w:link w:val="Heading5Char"/>
    <w:qFormat/>
    <w:locked/>
    <w:rsid w:val="00F14C6D"/>
    <w:pPr>
      <w:keepNext/>
      <w:keepLines/>
      <w:spacing w:before="200"/>
      <w:outlineLvl w:val="4"/>
    </w:pPr>
    <w:rPr>
      <w:rFonts w:ascii="Cambria" w:hAnsi="Cambria"/>
      <w:color w:val="243F60"/>
    </w:rPr>
  </w:style>
  <w:style w:type="paragraph" w:styleId="Heading6">
    <w:name w:val="heading 6"/>
    <w:basedOn w:val="Normal"/>
    <w:next w:val="Normal"/>
    <w:link w:val="Heading6Char"/>
    <w:qFormat/>
    <w:locked/>
    <w:rsid w:val="00F14C6D"/>
    <w:pPr>
      <w:keepNext/>
      <w:keepLines/>
      <w:spacing w:before="200"/>
      <w:outlineLvl w:val="5"/>
    </w:pPr>
    <w:rPr>
      <w:rFonts w:ascii="Cambria" w:hAnsi="Cambria"/>
      <w:i/>
      <w:iCs/>
      <w:color w:val="243F60"/>
    </w:rPr>
  </w:style>
  <w:style w:type="paragraph" w:styleId="Heading7">
    <w:name w:val="heading 7"/>
    <w:basedOn w:val="Normal"/>
    <w:next w:val="Normal"/>
    <w:link w:val="Heading7Char"/>
    <w:qFormat/>
    <w:locked/>
    <w:rsid w:val="00F14C6D"/>
    <w:pPr>
      <w:keepNext/>
      <w:keepLines/>
      <w:spacing w:before="200"/>
      <w:outlineLvl w:val="6"/>
    </w:pPr>
    <w:rPr>
      <w:rFonts w:ascii="Cambria" w:hAnsi="Cambria"/>
      <w:i/>
      <w:iCs/>
      <w:color w:val="404040"/>
    </w:rPr>
  </w:style>
  <w:style w:type="paragraph" w:styleId="Heading8">
    <w:name w:val="heading 8"/>
    <w:basedOn w:val="Normal"/>
    <w:next w:val="Normal"/>
    <w:link w:val="Heading8Char"/>
    <w:qFormat/>
    <w:locked/>
    <w:rsid w:val="00F14C6D"/>
    <w:pPr>
      <w:keepNext/>
      <w:keepLines/>
      <w:spacing w:before="200"/>
      <w:outlineLvl w:val="7"/>
    </w:pPr>
    <w:rPr>
      <w:rFonts w:ascii="Cambria" w:hAnsi="Cambria"/>
      <w:color w:val="404040"/>
      <w:sz w:val="20"/>
      <w:szCs w:val="20"/>
    </w:rPr>
  </w:style>
  <w:style w:type="paragraph" w:styleId="Heading9">
    <w:name w:val="heading 9"/>
    <w:basedOn w:val="Normal"/>
    <w:next w:val="Normal"/>
    <w:link w:val="Heading9Char"/>
    <w:qFormat/>
    <w:locked/>
    <w:rsid w:val="00F14C6D"/>
    <w:pPr>
      <w:keepNext/>
      <w:keepLines/>
      <w:spacing w:before="200"/>
      <w:outlineLvl w:val="8"/>
    </w:pPr>
    <w:rPr>
      <w:rFonts w:ascii="Cambria" w:hAnsi="Cambria"/>
      <w:i/>
      <w:iCs/>
      <w:color w:val="404040"/>
      <w:sz w:val="20"/>
      <w:szCs w:val="2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rsid w:val="00AC27AB"/>
    <w:rPr>
      <w:rFonts w:ascii="Arial" w:hAnsi="Arial"/>
      <w:b/>
      <w:bCs/>
      <w:sz w:val="28"/>
      <w:szCs w:val="28"/>
      <w:lang w:val="en-AU" w:eastAsia="en-AU" w:bidi="ar-SA"/>
    </w:rPr>
  </w:style>
  <w:style w:type="character" w:customStyle="1" w:styleId="Heading2Char">
    <w:name w:val="Heading 2 Char"/>
    <w:basedOn w:val="DefaultParagraphFont"/>
    <w:link w:val="Heading2"/>
    <w:rsid w:val="00AC27AB"/>
    <w:rPr>
      <w:rFonts w:ascii="Arial" w:hAnsi="Arial"/>
      <w:b/>
      <w:i/>
      <w:color w:val="000000"/>
      <w:sz w:val="28"/>
      <w:szCs w:val="26"/>
      <w:lang w:val="en-AU" w:eastAsia="en-AU" w:bidi="ar-SA"/>
    </w:rPr>
  </w:style>
  <w:style w:type="character" w:customStyle="1" w:styleId="Heading3Char">
    <w:name w:val="Heading 3 Char"/>
    <w:basedOn w:val="DefaultParagraphFont"/>
    <w:link w:val="Heading3"/>
    <w:rsid w:val="00AC27AB"/>
    <w:rPr>
      <w:rFonts w:ascii="Arial" w:hAnsi="Arial"/>
      <w:bCs/>
      <w:i/>
      <w:sz w:val="24"/>
      <w:szCs w:val="26"/>
      <w:lang w:val="en-AU" w:eastAsia="en-AU" w:bidi="ar-SA"/>
    </w:rPr>
  </w:style>
  <w:style w:type="character" w:customStyle="1" w:styleId="Heading4Char">
    <w:name w:val="Heading 4 Char"/>
    <w:basedOn w:val="DefaultParagraphFont"/>
    <w:link w:val="Heading4"/>
    <w:rsid w:val="00AC27AB"/>
    <w:rPr>
      <w:rFonts w:ascii="Arial" w:hAnsi="Arial"/>
      <w:iCs/>
      <w:sz w:val="24"/>
      <w:szCs w:val="26"/>
      <w:lang w:val="en-AU" w:eastAsia="en-AU" w:bidi="ar-SA"/>
    </w:rPr>
  </w:style>
  <w:style w:type="character" w:styleId="Strong">
    <w:name w:val="Strong"/>
    <w:basedOn w:val="DefaultParagraphFont"/>
    <w:qFormat/>
    <w:locked/>
    <w:rsid w:val="000B0A5D"/>
    <w:rPr>
      <w:b/>
      <w:bCs/>
    </w:rPr>
  </w:style>
  <w:style w:type="character" w:customStyle="1" w:styleId="Heading5Char">
    <w:name w:val="Heading 5 Char"/>
    <w:basedOn w:val="DefaultParagraphFont"/>
    <w:link w:val="Heading5"/>
    <w:semiHidden/>
    <w:rsid w:val="00F14C6D"/>
    <w:rPr>
      <w:rFonts w:ascii="Cambria" w:hAnsi="Cambria"/>
      <w:color w:val="243F60"/>
      <w:sz w:val="24"/>
      <w:szCs w:val="24"/>
      <w:lang w:val="en-AU" w:eastAsia="en-AU" w:bidi="ar-SA"/>
    </w:rPr>
  </w:style>
  <w:style w:type="character" w:customStyle="1" w:styleId="Heading6Char">
    <w:name w:val="Heading 6 Char"/>
    <w:basedOn w:val="DefaultParagraphFont"/>
    <w:link w:val="Heading6"/>
    <w:semiHidden/>
    <w:rsid w:val="00F14C6D"/>
    <w:rPr>
      <w:rFonts w:ascii="Cambria" w:hAnsi="Cambria"/>
      <w:i/>
      <w:iCs/>
      <w:color w:val="243F60"/>
      <w:sz w:val="24"/>
      <w:szCs w:val="24"/>
      <w:lang w:val="en-AU" w:eastAsia="en-AU" w:bidi="ar-SA"/>
    </w:rPr>
  </w:style>
  <w:style w:type="character" w:customStyle="1" w:styleId="Heading7Char">
    <w:name w:val="Heading 7 Char"/>
    <w:basedOn w:val="DefaultParagraphFont"/>
    <w:link w:val="Heading7"/>
    <w:semiHidden/>
    <w:rsid w:val="00F14C6D"/>
    <w:rPr>
      <w:rFonts w:ascii="Cambria" w:hAnsi="Cambria"/>
      <w:i/>
      <w:iCs/>
      <w:color w:val="404040"/>
      <w:sz w:val="24"/>
      <w:szCs w:val="24"/>
      <w:lang w:val="en-AU" w:eastAsia="en-AU" w:bidi="ar-SA"/>
    </w:rPr>
  </w:style>
  <w:style w:type="character" w:customStyle="1" w:styleId="Heading8Char">
    <w:name w:val="Heading 8 Char"/>
    <w:basedOn w:val="DefaultParagraphFont"/>
    <w:link w:val="Heading8"/>
    <w:semiHidden/>
    <w:rsid w:val="00F14C6D"/>
    <w:rPr>
      <w:rFonts w:ascii="Cambria" w:hAnsi="Cambria"/>
      <w:color w:val="404040"/>
      <w:lang w:val="en-AU" w:eastAsia="en-AU" w:bidi="ar-SA"/>
    </w:rPr>
  </w:style>
  <w:style w:type="character" w:customStyle="1" w:styleId="Heading9Char">
    <w:name w:val="Heading 9 Char"/>
    <w:basedOn w:val="DefaultParagraphFont"/>
    <w:link w:val="Heading9"/>
    <w:semiHidden/>
    <w:rsid w:val="00F14C6D"/>
    <w:rPr>
      <w:rFonts w:ascii="Cambria" w:hAnsi="Cambria"/>
      <w:i/>
      <w:iCs/>
      <w:color w:val="404040"/>
      <w:lang w:val="en-AU" w:eastAsia="en-AU" w:bidi="ar-SA"/>
    </w:rPr>
  </w:style>
  <w:style w:type="paragraph" w:styleId="Header">
    <w:name w:val="header"/>
    <w:basedOn w:val="Normal"/>
    <w:link w:val="HeaderChar"/>
    <w:semiHidden/>
    <w:rsid w:val="00E75D90"/>
    <w:pPr>
      <w:tabs>
        <w:tab w:val="center" w:pos="4513"/>
        <w:tab w:val="right" w:pos="9026"/>
      </w:tabs>
      <w:spacing w:before="0" w:after="0"/>
      <w:jc w:val="right"/>
    </w:pPr>
    <w:rPr>
      <w:sz w:val="22"/>
    </w:rPr>
  </w:style>
  <w:style w:type="character" w:customStyle="1" w:styleId="HeaderChar">
    <w:name w:val="Header Char"/>
    <w:basedOn w:val="DefaultParagraphFont"/>
    <w:link w:val="Header"/>
    <w:semiHidden/>
    <w:rsid w:val="00E75D90"/>
    <w:rPr>
      <w:rFonts w:ascii="Arial" w:hAnsi="Arial"/>
      <w:sz w:val="22"/>
      <w:szCs w:val="24"/>
    </w:rPr>
  </w:style>
  <w:style w:type="paragraph" w:styleId="Footer">
    <w:name w:val="footer"/>
    <w:basedOn w:val="Normal"/>
    <w:link w:val="FooterChar"/>
    <w:uiPriority w:val="99"/>
    <w:semiHidden/>
    <w:rsid w:val="00E75D90"/>
    <w:pPr>
      <w:tabs>
        <w:tab w:val="center" w:pos="4513"/>
        <w:tab w:val="right" w:pos="9026"/>
      </w:tabs>
      <w:spacing w:after="0"/>
      <w:jc w:val="right"/>
    </w:pPr>
    <w:rPr>
      <w:sz w:val="22"/>
    </w:rPr>
  </w:style>
  <w:style w:type="character" w:customStyle="1" w:styleId="FooterChar">
    <w:name w:val="Footer Char"/>
    <w:basedOn w:val="DefaultParagraphFont"/>
    <w:link w:val="Footer"/>
    <w:uiPriority w:val="99"/>
    <w:semiHidden/>
    <w:rsid w:val="00E75D90"/>
    <w:rPr>
      <w:rFonts w:ascii="Arial" w:hAnsi="Arial"/>
      <w:sz w:val="22"/>
      <w:szCs w:val="24"/>
    </w:rPr>
  </w:style>
  <w:style w:type="paragraph" w:styleId="TOC3">
    <w:name w:val="toc 3"/>
    <w:basedOn w:val="Normal"/>
    <w:next w:val="Normal"/>
    <w:autoRedefine/>
    <w:uiPriority w:val="39"/>
    <w:semiHidden/>
    <w:qFormat/>
    <w:locked/>
    <w:rsid w:val="002702D9"/>
    <w:pPr>
      <w:spacing w:before="0" w:after="0"/>
      <w:ind w:left="1202" w:hanging="720"/>
    </w:pPr>
    <w:rPr>
      <w:rFonts w:eastAsia="MS Mincho" w:cs="Arial"/>
      <w:i/>
      <w:noProof/>
    </w:rPr>
  </w:style>
  <w:style w:type="character" w:styleId="PlaceholderText">
    <w:name w:val="Placeholder Text"/>
    <w:basedOn w:val="DefaultParagraphFont"/>
    <w:uiPriority w:val="99"/>
    <w:semiHidden/>
    <w:locked/>
    <w:rsid w:val="005D1F34"/>
    <w:rPr>
      <w:color w:val="808080"/>
    </w:rPr>
  </w:style>
  <w:style w:type="paragraph" w:styleId="ListContinue4">
    <w:name w:val="List Continue 4"/>
    <w:basedOn w:val="Normal"/>
    <w:semiHidden/>
    <w:locked/>
    <w:rsid w:val="0090165F"/>
    <w:pPr>
      <w:spacing w:after="120"/>
      <w:ind w:left="1132"/>
    </w:pPr>
  </w:style>
  <w:style w:type="numbering" w:styleId="111111">
    <w:name w:val="Outline List 2"/>
    <w:basedOn w:val="NoList"/>
    <w:semiHidden/>
    <w:locked/>
    <w:rsid w:val="00E45954"/>
    <w:pPr>
      <w:numPr>
        <w:numId w:val="11"/>
      </w:numPr>
    </w:pPr>
  </w:style>
  <w:style w:type="paragraph" w:styleId="TOC1">
    <w:name w:val="toc 1"/>
    <w:basedOn w:val="Normal"/>
    <w:next w:val="Normal"/>
    <w:autoRedefine/>
    <w:uiPriority w:val="39"/>
    <w:semiHidden/>
    <w:qFormat/>
    <w:locked/>
    <w:rsid w:val="002702D9"/>
    <w:pPr>
      <w:tabs>
        <w:tab w:val="right" w:leader="dot" w:pos="9060"/>
      </w:tabs>
      <w:spacing w:after="0"/>
      <w:ind w:left="720" w:hanging="720"/>
    </w:pPr>
    <w:rPr>
      <w:b/>
    </w:rPr>
  </w:style>
  <w:style w:type="paragraph" w:styleId="TOC2">
    <w:name w:val="toc 2"/>
    <w:basedOn w:val="Normal"/>
    <w:next w:val="Normal"/>
    <w:autoRedefine/>
    <w:uiPriority w:val="39"/>
    <w:semiHidden/>
    <w:qFormat/>
    <w:locked/>
    <w:rsid w:val="002702D9"/>
    <w:pPr>
      <w:spacing w:before="0" w:after="0"/>
      <w:ind w:left="958" w:hanging="720"/>
    </w:pPr>
    <w:rPr>
      <w:b/>
      <w:i/>
    </w:rPr>
  </w:style>
  <w:style w:type="paragraph" w:styleId="TOC4">
    <w:name w:val="toc 4"/>
    <w:basedOn w:val="Normal"/>
    <w:next w:val="Normal"/>
    <w:autoRedefine/>
    <w:uiPriority w:val="39"/>
    <w:semiHidden/>
    <w:locked/>
    <w:rsid w:val="008A2AF7"/>
    <w:pPr>
      <w:tabs>
        <w:tab w:val="left" w:pos="1440"/>
        <w:tab w:val="right" w:leader="dot" w:pos="9060"/>
      </w:tabs>
      <w:spacing w:before="0" w:after="0"/>
      <w:ind w:left="1440" w:hanging="720"/>
    </w:pPr>
    <w:rPr>
      <w:noProof/>
    </w:rPr>
  </w:style>
  <w:style w:type="character" w:styleId="Hyperlink">
    <w:name w:val="Hyperlink"/>
    <w:basedOn w:val="DefaultParagraphFont"/>
    <w:uiPriority w:val="99"/>
    <w:unhideWhenUsed/>
    <w:locked/>
    <w:rsid w:val="0024557E"/>
    <w:rPr>
      <w:color w:val="0000FF"/>
      <w:u w:val="single"/>
    </w:rPr>
  </w:style>
  <w:style w:type="paragraph" w:styleId="TOCHeading">
    <w:name w:val="TOC Heading"/>
    <w:basedOn w:val="Normal"/>
    <w:next w:val="Normal"/>
    <w:uiPriority w:val="39"/>
    <w:qFormat/>
    <w:locked/>
    <w:rsid w:val="00725D5E"/>
    <w:pPr>
      <w:spacing w:before="0"/>
    </w:pPr>
    <w:rPr>
      <w:b/>
      <w:sz w:val="28"/>
      <w:lang w:val="en-US" w:eastAsia="en-US"/>
    </w:rPr>
  </w:style>
  <w:style w:type="paragraph" w:styleId="EndnoteText">
    <w:name w:val="endnote text"/>
    <w:basedOn w:val="Normal"/>
    <w:link w:val="EndnoteTextChar"/>
    <w:semiHidden/>
    <w:rsid w:val="00706FAB"/>
    <w:pPr>
      <w:spacing w:before="0" w:after="0"/>
    </w:pPr>
    <w:rPr>
      <w:sz w:val="20"/>
      <w:szCs w:val="20"/>
    </w:rPr>
  </w:style>
  <w:style w:type="character" w:customStyle="1" w:styleId="EndnoteTextChar">
    <w:name w:val="Endnote Text Char"/>
    <w:basedOn w:val="DefaultParagraphFont"/>
    <w:link w:val="EndnoteText"/>
    <w:rsid w:val="00706FAB"/>
    <w:rPr>
      <w:rFonts w:ascii="Arial" w:hAnsi="Arial"/>
      <w:lang w:val="en-AU" w:eastAsia="en-AU" w:bidi="ar-SA"/>
    </w:rPr>
  </w:style>
  <w:style w:type="character" w:styleId="EndnoteReference">
    <w:name w:val="endnote reference"/>
    <w:basedOn w:val="DefaultParagraphFont"/>
    <w:semiHidden/>
    <w:rsid w:val="00074CD6"/>
    <w:rPr>
      <w:rFonts w:ascii="Arial" w:hAnsi="Arial"/>
      <w:sz w:val="20"/>
      <w:vertAlign w:val="superscript"/>
    </w:rPr>
  </w:style>
  <w:style w:type="numbering" w:styleId="1ai">
    <w:name w:val="Outline List 1"/>
    <w:basedOn w:val="NoList"/>
    <w:semiHidden/>
    <w:locked/>
    <w:rsid w:val="00E45954"/>
    <w:pPr>
      <w:numPr>
        <w:numId w:val="12"/>
      </w:numPr>
    </w:pPr>
  </w:style>
  <w:style w:type="numbering" w:styleId="ArticleSection">
    <w:name w:val="Outline List 3"/>
    <w:basedOn w:val="NoList"/>
    <w:semiHidden/>
    <w:locked/>
    <w:rsid w:val="00E45954"/>
    <w:pPr>
      <w:numPr>
        <w:numId w:val="13"/>
      </w:numPr>
    </w:pPr>
  </w:style>
  <w:style w:type="paragraph" w:styleId="BlockText">
    <w:name w:val="Block Text"/>
    <w:basedOn w:val="Normal"/>
    <w:semiHidden/>
    <w:locked/>
    <w:rsid w:val="00E45954"/>
    <w:pPr>
      <w:spacing w:after="120"/>
      <w:ind w:left="1440" w:right="1440"/>
    </w:pPr>
  </w:style>
  <w:style w:type="paragraph" w:styleId="BodyText">
    <w:name w:val="Body Text"/>
    <w:basedOn w:val="Normal"/>
    <w:semiHidden/>
    <w:locked/>
    <w:rsid w:val="00E45954"/>
    <w:pPr>
      <w:spacing w:after="120"/>
    </w:pPr>
  </w:style>
  <w:style w:type="paragraph" w:styleId="BodyText2">
    <w:name w:val="Body Text 2"/>
    <w:basedOn w:val="Normal"/>
    <w:semiHidden/>
    <w:locked/>
    <w:rsid w:val="00E45954"/>
    <w:pPr>
      <w:spacing w:after="120" w:line="480" w:lineRule="auto"/>
    </w:pPr>
  </w:style>
  <w:style w:type="paragraph" w:styleId="BodyText3">
    <w:name w:val="Body Text 3"/>
    <w:basedOn w:val="Normal"/>
    <w:semiHidden/>
    <w:locked/>
    <w:rsid w:val="00E45954"/>
    <w:pPr>
      <w:spacing w:after="120"/>
    </w:pPr>
    <w:rPr>
      <w:sz w:val="16"/>
      <w:szCs w:val="16"/>
    </w:rPr>
  </w:style>
  <w:style w:type="paragraph" w:styleId="BodyTextFirstIndent">
    <w:name w:val="Body Text First Indent"/>
    <w:basedOn w:val="BodyText"/>
    <w:semiHidden/>
    <w:locked/>
    <w:rsid w:val="00E45954"/>
    <w:pPr>
      <w:ind w:firstLine="210"/>
    </w:pPr>
  </w:style>
  <w:style w:type="paragraph" w:styleId="BodyTextIndent">
    <w:name w:val="Body Text Indent"/>
    <w:basedOn w:val="Normal"/>
    <w:semiHidden/>
    <w:locked/>
    <w:rsid w:val="00E45954"/>
    <w:pPr>
      <w:spacing w:after="120"/>
      <w:ind w:left="283"/>
    </w:pPr>
  </w:style>
  <w:style w:type="paragraph" w:styleId="BodyTextFirstIndent2">
    <w:name w:val="Body Text First Indent 2"/>
    <w:basedOn w:val="BodyTextIndent"/>
    <w:semiHidden/>
    <w:locked/>
    <w:rsid w:val="00E45954"/>
    <w:pPr>
      <w:ind w:firstLine="210"/>
    </w:pPr>
  </w:style>
  <w:style w:type="paragraph" w:styleId="BodyTextIndent2">
    <w:name w:val="Body Text Indent 2"/>
    <w:basedOn w:val="Normal"/>
    <w:semiHidden/>
    <w:locked/>
    <w:rsid w:val="00E45954"/>
    <w:pPr>
      <w:spacing w:after="120" w:line="480" w:lineRule="auto"/>
      <w:ind w:left="283"/>
    </w:pPr>
  </w:style>
  <w:style w:type="paragraph" w:styleId="BodyTextIndent3">
    <w:name w:val="Body Text Indent 3"/>
    <w:basedOn w:val="Normal"/>
    <w:semiHidden/>
    <w:locked/>
    <w:rsid w:val="00E45954"/>
    <w:pPr>
      <w:spacing w:after="120"/>
      <w:ind w:left="283"/>
    </w:pPr>
    <w:rPr>
      <w:sz w:val="16"/>
      <w:szCs w:val="16"/>
    </w:rPr>
  </w:style>
  <w:style w:type="paragraph" w:styleId="Closing">
    <w:name w:val="Closing"/>
    <w:basedOn w:val="Normal"/>
    <w:semiHidden/>
    <w:locked/>
    <w:rsid w:val="00E45954"/>
    <w:pPr>
      <w:ind w:left="4252"/>
    </w:pPr>
  </w:style>
  <w:style w:type="paragraph" w:styleId="Date">
    <w:name w:val="Date"/>
    <w:basedOn w:val="Normal"/>
    <w:next w:val="Normal"/>
    <w:semiHidden/>
    <w:locked/>
    <w:rsid w:val="00E45954"/>
  </w:style>
  <w:style w:type="paragraph" w:styleId="E-mailSignature">
    <w:name w:val="E-mail Signature"/>
    <w:basedOn w:val="Normal"/>
    <w:semiHidden/>
    <w:locked/>
    <w:rsid w:val="00E45954"/>
  </w:style>
  <w:style w:type="character" w:styleId="Emphasis">
    <w:name w:val="Emphasis"/>
    <w:basedOn w:val="DefaultParagraphFont"/>
    <w:qFormat/>
    <w:locked/>
    <w:rsid w:val="00E45954"/>
    <w:rPr>
      <w:i/>
      <w:iCs/>
    </w:rPr>
  </w:style>
  <w:style w:type="paragraph" w:styleId="EnvelopeAddress">
    <w:name w:val="envelope address"/>
    <w:basedOn w:val="Normal"/>
    <w:semiHidden/>
    <w:locked/>
    <w:rsid w:val="001C139C"/>
    <w:pPr>
      <w:framePr w:w="7920" w:h="1980" w:hRule="exact" w:hSpace="180" w:wrap="auto" w:hAnchor="page" w:xAlign="center" w:yAlign="bottom"/>
      <w:spacing w:before="0" w:after="0"/>
      <w:ind w:left="2880"/>
    </w:pPr>
    <w:rPr>
      <w:rFonts w:cs="Arial"/>
    </w:rPr>
  </w:style>
  <w:style w:type="paragraph" w:styleId="EnvelopeReturn">
    <w:name w:val="envelope return"/>
    <w:basedOn w:val="Normal"/>
    <w:semiHidden/>
    <w:locked/>
    <w:rsid w:val="00E45954"/>
    <w:rPr>
      <w:rFonts w:cs="Arial"/>
      <w:sz w:val="20"/>
      <w:szCs w:val="20"/>
    </w:rPr>
  </w:style>
  <w:style w:type="character" w:styleId="FootnoteReference">
    <w:name w:val="footnote reference"/>
    <w:basedOn w:val="DefaultParagraphFont"/>
    <w:semiHidden/>
    <w:rsid w:val="00074CD6"/>
    <w:rPr>
      <w:rFonts w:ascii="Arial" w:hAnsi="Arial"/>
      <w:sz w:val="20"/>
      <w:vertAlign w:val="superscript"/>
    </w:rPr>
  </w:style>
  <w:style w:type="paragraph" w:styleId="FootnoteText">
    <w:name w:val="footnote text"/>
    <w:basedOn w:val="Normal"/>
    <w:link w:val="FootnoteTextChar"/>
    <w:semiHidden/>
    <w:rsid w:val="00706FAB"/>
    <w:pPr>
      <w:spacing w:before="0" w:after="0"/>
    </w:pPr>
    <w:rPr>
      <w:sz w:val="20"/>
      <w:szCs w:val="20"/>
    </w:rPr>
  </w:style>
  <w:style w:type="character" w:styleId="HTMLAcronym">
    <w:name w:val="HTML Acronym"/>
    <w:basedOn w:val="DefaultParagraphFont"/>
    <w:semiHidden/>
    <w:locked/>
    <w:rsid w:val="00E45954"/>
  </w:style>
  <w:style w:type="paragraph" w:styleId="HTMLAddress">
    <w:name w:val="HTML Address"/>
    <w:basedOn w:val="Normal"/>
    <w:semiHidden/>
    <w:locked/>
    <w:rsid w:val="00E45954"/>
    <w:rPr>
      <w:i/>
      <w:iCs/>
    </w:rPr>
  </w:style>
  <w:style w:type="character" w:styleId="HTMLCite">
    <w:name w:val="HTML Cite"/>
    <w:basedOn w:val="DefaultParagraphFont"/>
    <w:semiHidden/>
    <w:locked/>
    <w:rsid w:val="00E45954"/>
    <w:rPr>
      <w:i/>
      <w:iCs/>
    </w:rPr>
  </w:style>
  <w:style w:type="character" w:styleId="HTMLCode">
    <w:name w:val="HTML Code"/>
    <w:basedOn w:val="DefaultParagraphFont"/>
    <w:semiHidden/>
    <w:locked/>
    <w:rsid w:val="00E45954"/>
    <w:rPr>
      <w:rFonts w:ascii="Courier New" w:hAnsi="Courier New" w:cs="Courier New"/>
      <w:sz w:val="20"/>
      <w:szCs w:val="20"/>
    </w:rPr>
  </w:style>
  <w:style w:type="character" w:styleId="HTMLDefinition">
    <w:name w:val="HTML Definition"/>
    <w:basedOn w:val="DefaultParagraphFont"/>
    <w:semiHidden/>
    <w:locked/>
    <w:rsid w:val="00E45954"/>
    <w:rPr>
      <w:i/>
      <w:iCs/>
    </w:rPr>
  </w:style>
  <w:style w:type="character" w:styleId="HTMLKeyboard">
    <w:name w:val="HTML Keyboard"/>
    <w:basedOn w:val="DefaultParagraphFont"/>
    <w:semiHidden/>
    <w:locked/>
    <w:rsid w:val="00E45954"/>
    <w:rPr>
      <w:rFonts w:ascii="Courier New" w:hAnsi="Courier New" w:cs="Courier New"/>
      <w:sz w:val="20"/>
      <w:szCs w:val="20"/>
    </w:rPr>
  </w:style>
  <w:style w:type="paragraph" w:styleId="HTMLPreformatted">
    <w:name w:val="HTML Preformatted"/>
    <w:basedOn w:val="Normal"/>
    <w:semiHidden/>
    <w:locked/>
    <w:rsid w:val="00E45954"/>
    <w:rPr>
      <w:rFonts w:ascii="Courier New" w:hAnsi="Courier New" w:cs="Courier New"/>
      <w:sz w:val="20"/>
      <w:szCs w:val="20"/>
    </w:rPr>
  </w:style>
  <w:style w:type="character" w:styleId="HTMLSample">
    <w:name w:val="HTML Sample"/>
    <w:basedOn w:val="DefaultParagraphFont"/>
    <w:semiHidden/>
    <w:locked/>
    <w:rsid w:val="00E45954"/>
    <w:rPr>
      <w:rFonts w:ascii="Courier New" w:hAnsi="Courier New" w:cs="Courier New"/>
    </w:rPr>
  </w:style>
  <w:style w:type="character" w:styleId="HTMLTypewriter">
    <w:name w:val="HTML Typewriter"/>
    <w:basedOn w:val="DefaultParagraphFont"/>
    <w:semiHidden/>
    <w:locked/>
    <w:rsid w:val="00E45954"/>
    <w:rPr>
      <w:rFonts w:ascii="Courier New" w:hAnsi="Courier New" w:cs="Courier New"/>
      <w:sz w:val="20"/>
      <w:szCs w:val="20"/>
    </w:rPr>
  </w:style>
  <w:style w:type="character" w:styleId="HTMLVariable">
    <w:name w:val="HTML Variable"/>
    <w:basedOn w:val="DefaultParagraphFont"/>
    <w:semiHidden/>
    <w:locked/>
    <w:rsid w:val="00E45954"/>
    <w:rPr>
      <w:i/>
      <w:iCs/>
    </w:rPr>
  </w:style>
  <w:style w:type="character" w:styleId="LineNumber">
    <w:name w:val="line number"/>
    <w:basedOn w:val="DefaultParagraphFont"/>
    <w:semiHidden/>
    <w:locked/>
    <w:rsid w:val="00E45954"/>
  </w:style>
  <w:style w:type="paragraph" w:styleId="List">
    <w:name w:val="List"/>
    <w:basedOn w:val="Normal"/>
    <w:semiHidden/>
    <w:locked/>
    <w:rsid w:val="00E45954"/>
    <w:pPr>
      <w:ind w:left="283" w:hanging="283"/>
    </w:pPr>
  </w:style>
  <w:style w:type="paragraph" w:styleId="List2">
    <w:name w:val="List 2"/>
    <w:basedOn w:val="Normal"/>
    <w:semiHidden/>
    <w:locked/>
    <w:rsid w:val="00E45954"/>
    <w:pPr>
      <w:ind w:left="566" w:hanging="283"/>
    </w:pPr>
  </w:style>
  <w:style w:type="paragraph" w:styleId="List3">
    <w:name w:val="List 3"/>
    <w:basedOn w:val="Normal"/>
    <w:semiHidden/>
    <w:locked/>
    <w:rsid w:val="00E45954"/>
    <w:pPr>
      <w:ind w:left="849" w:hanging="283"/>
    </w:pPr>
  </w:style>
  <w:style w:type="paragraph" w:styleId="List4">
    <w:name w:val="List 4"/>
    <w:basedOn w:val="Normal"/>
    <w:semiHidden/>
    <w:locked/>
    <w:rsid w:val="00E45954"/>
    <w:pPr>
      <w:ind w:left="1132" w:hanging="283"/>
    </w:pPr>
  </w:style>
  <w:style w:type="paragraph" w:styleId="List5">
    <w:name w:val="List 5"/>
    <w:basedOn w:val="Normal"/>
    <w:semiHidden/>
    <w:locked/>
    <w:rsid w:val="00E45954"/>
    <w:pPr>
      <w:ind w:left="1415" w:hanging="283"/>
    </w:pPr>
  </w:style>
  <w:style w:type="numbering" w:customStyle="1" w:styleId="StyleNumbered">
    <w:name w:val="Style Numbered"/>
    <w:basedOn w:val="NoList"/>
    <w:semiHidden/>
    <w:rsid w:val="00074CD6"/>
    <w:pPr>
      <w:numPr>
        <w:numId w:val="14"/>
      </w:numPr>
    </w:pPr>
  </w:style>
  <w:style w:type="paragraph" w:styleId="ListBullet2">
    <w:name w:val="List Bullet 2"/>
    <w:basedOn w:val="Normal"/>
    <w:semiHidden/>
    <w:locked/>
    <w:rsid w:val="00E45954"/>
    <w:pPr>
      <w:numPr>
        <w:numId w:val="2"/>
      </w:numPr>
    </w:pPr>
  </w:style>
  <w:style w:type="paragraph" w:styleId="ListBullet3">
    <w:name w:val="List Bullet 3"/>
    <w:basedOn w:val="Normal"/>
    <w:semiHidden/>
    <w:locked/>
    <w:rsid w:val="00E45954"/>
    <w:pPr>
      <w:numPr>
        <w:numId w:val="3"/>
      </w:numPr>
    </w:pPr>
  </w:style>
  <w:style w:type="paragraph" w:styleId="ListBullet4">
    <w:name w:val="List Bullet 4"/>
    <w:basedOn w:val="Normal"/>
    <w:semiHidden/>
    <w:locked/>
    <w:rsid w:val="00E45954"/>
    <w:pPr>
      <w:numPr>
        <w:numId w:val="4"/>
      </w:numPr>
    </w:pPr>
  </w:style>
  <w:style w:type="paragraph" w:styleId="ListBullet5">
    <w:name w:val="List Bullet 5"/>
    <w:basedOn w:val="Normal"/>
    <w:semiHidden/>
    <w:locked/>
    <w:rsid w:val="00E45954"/>
    <w:pPr>
      <w:numPr>
        <w:numId w:val="5"/>
      </w:numPr>
    </w:pPr>
  </w:style>
  <w:style w:type="paragraph" w:styleId="ListContinue">
    <w:name w:val="List Continue"/>
    <w:basedOn w:val="Normal"/>
    <w:semiHidden/>
    <w:locked/>
    <w:rsid w:val="00E45954"/>
    <w:pPr>
      <w:spacing w:after="120"/>
      <w:ind w:left="283"/>
    </w:pPr>
  </w:style>
  <w:style w:type="paragraph" w:styleId="ListContinue2">
    <w:name w:val="List Continue 2"/>
    <w:basedOn w:val="Normal"/>
    <w:semiHidden/>
    <w:locked/>
    <w:rsid w:val="00E45954"/>
    <w:pPr>
      <w:spacing w:after="120"/>
      <w:ind w:left="566"/>
    </w:pPr>
  </w:style>
  <w:style w:type="paragraph" w:styleId="ListContinue3">
    <w:name w:val="List Continue 3"/>
    <w:basedOn w:val="Normal"/>
    <w:semiHidden/>
    <w:locked/>
    <w:rsid w:val="00E45954"/>
    <w:pPr>
      <w:spacing w:after="120"/>
      <w:ind w:left="849"/>
    </w:pPr>
  </w:style>
  <w:style w:type="paragraph" w:styleId="ListContinue5">
    <w:name w:val="List Continue 5"/>
    <w:basedOn w:val="Normal"/>
    <w:semiHidden/>
    <w:locked/>
    <w:rsid w:val="00E45954"/>
    <w:pPr>
      <w:spacing w:after="120"/>
      <w:ind w:left="1415"/>
    </w:pPr>
  </w:style>
  <w:style w:type="paragraph" w:styleId="ListNumber">
    <w:name w:val="List Number"/>
    <w:basedOn w:val="Normal"/>
    <w:semiHidden/>
    <w:locked/>
    <w:rsid w:val="00E45954"/>
    <w:pPr>
      <w:numPr>
        <w:numId w:val="6"/>
      </w:numPr>
    </w:pPr>
  </w:style>
  <w:style w:type="paragraph" w:styleId="ListNumber2">
    <w:name w:val="List Number 2"/>
    <w:basedOn w:val="Normal"/>
    <w:semiHidden/>
    <w:locked/>
    <w:rsid w:val="00E45954"/>
    <w:pPr>
      <w:numPr>
        <w:numId w:val="9"/>
      </w:numPr>
    </w:pPr>
  </w:style>
  <w:style w:type="paragraph" w:styleId="ListNumber3">
    <w:name w:val="List Number 3"/>
    <w:basedOn w:val="Normal"/>
    <w:semiHidden/>
    <w:locked/>
    <w:rsid w:val="00E45954"/>
    <w:pPr>
      <w:numPr>
        <w:numId w:val="10"/>
      </w:numPr>
    </w:pPr>
  </w:style>
  <w:style w:type="paragraph" w:styleId="ListNumber4">
    <w:name w:val="List Number 4"/>
    <w:basedOn w:val="Normal"/>
    <w:semiHidden/>
    <w:locked/>
    <w:rsid w:val="00E45954"/>
    <w:pPr>
      <w:numPr>
        <w:numId w:val="7"/>
      </w:numPr>
    </w:pPr>
  </w:style>
  <w:style w:type="paragraph" w:styleId="ListNumber5">
    <w:name w:val="List Number 5"/>
    <w:basedOn w:val="Normal"/>
    <w:semiHidden/>
    <w:locked/>
    <w:rsid w:val="00E45954"/>
    <w:pPr>
      <w:numPr>
        <w:numId w:val="8"/>
      </w:numPr>
    </w:pPr>
  </w:style>
  <w:style w:type="paragraph" w:styleId="MessageHeader">
    <w:name w:val="Message Header"/>
    <w:basedOn w:val="Normal"/>
    <w:semiHidden/>
    <w:locked/>
    <w:rsid w:val="00E45954"/>
    <w:pPr>
      <w:pBdr>
        <w:top w:val="single" w:sz="6" w:space="1" w:color="auto"/>
        <w:left w:val="single" w:sz="6" w:space="1" w:color="auto"/>
        <w:bottom w:val="single" w:sz="6" w:space="1" w:color="auto"/>
        <w:right w:val="single" w:sz="6" w:space="1" w:color="auto"/>
      </w:pBdr>
      <w:shd w:val="pct20" w:color="auto" w:fill="auto"/>
      <w:ind w:left="1134" w:hanging="1134"/>
    </w:pPr>
    <w:rPr>
      <w:rFonts w:cs="Arial"/>
    </w:rPr>
  </w:style>
  <w:style w:type="paragraph" w:styleId="NormalWeb">
    <w:name w:val="Normal (Web)"/>
    <w:basedOn w:val="Normal"/>
    <w:semiHidden/>
    <w:locked/>
    <w:rsid w:val="00E45954"/>
    <w:rPr>
      <w:rFonts w:ascii="Times New Roman" w:hAnsi="Times New Roman"/>
    </w:rPr>
  </w:style>
  <w:style w:type="paragraph" w:styleId="NormalIndent">
    <w:name w:val="Normal Indent"/>
    <w:basedOn w:val="Normal"/>
    <w:semiHidden/>
    <w:locked/>
    <w:rsid w:val="00E45954"/>
    <w:pPr>
      <w:ind w:left="720"/>
    </w:pPr>
  </w:style>
  <w:style w:type="paragraph" w:styleId="NoteHeading">
    <w:name w:val="Note Heading"/>
    <w:basedOn w:val="Normal"/>
    <w:next w:val="Normal"/>
    <w:semiHidden/>
    <w:locked/>
    <w:rsid w:val="00E45954"/>
  </w:style>
  <w:style w:type="character" w:styleId="PageNumber">
    <w:name w:val="page number"/>
    <w:basedOn w:val="DefaultParagraphFont"/>
    <w:semiHidden/>
    <w:locked/>
    <w:rsid w:val="00E45954"/>
  </w:style>
  <w:style w:type="paragraph" w:styleId="PlainText">
    <w:name w:val="Plain Text"/>
    <w:basedOn w:val="Normal"/>
    <w:semiHidden/>
    <w:locked/>
    <w:rsid w:val="00E45954"/>
    <w:rPr>
      <w:rFonts w:ascii="Courier New" w:hAnsi="Courier New" w:cs="Courier New"/>
      <w:sz w:val="20"/>
      <w:szCs w:val="20"/>
    </w:rPr>
  </w:style>
  <w:style w:type="paragraph" w:styleId="Salutation">
    <w:name w:val="Salutation"/>
    <w:basedOn w:val="Normal"/>
    <w:next w:val="Normal"/>
    <w:semiHidden/>
    <w:locked/>
    <w:rsid w:val="00E45954"/>
  </w:style>
  <w:style w:type="paragraph" w:styleId="Signature">
    <w:name w:val="Signature"/>
    <w:basedOn w:val="Normal"/>
    <w:semiHidden/>
    <w:locked/>
    <w:rsid w:val="00E45954"/>
    <w:pPr>
      <w:ind w:left="4252"/>
    </w:pPr>
  </w:style>
  <w:style w:type="paragraph" w:styleId="Subtitle">
    <w:name w:val="Subtitle"/>
    <w:basedOn w:val="Normal"/>
    <w:qFormat/>
    <w:locked/>
    <w:rsid w:val="00E45954"/>
    <w:pPr>
      <w:spacing w:after="60"/>
      <w:jc w:val="center"/>
      <w:outlineLvl w:val="1"/>
    </w:pPr>
    <w:rPr>
      <w:rFonts w:cs="Arial"/>
    </w:rPr>
  </w:style>
  <w:style w:type="table" w:styleId="Table3Deffects1">
    <w:name w:val="Table 3D effects 1"/>
    <w:basedOn w:val="TableNormal"/>
    <w:semiHidden/>
    <w:locked/>
    <w:rsid w:val="00E45954"/>
    <w:pPr>
      <w:spacing w:after="240"/>
    </w:pPr>
    <w:tblPr>
      <w:tblInd w:w="0" w:type="dxa"/>
      <w:tblCellMar>
        <w:top w:w="0" w:type="dxa"/>
        <w:left w:w="108" w:type="dxa"/>
        <w:bottom w:w="0" w:type="dxa"/>
        <w:right w:w="108" w:type="dxa"/>
      </w:tblCellMar>
    </w:tblPr>
    <w:tcPr>
      <w:shd w:val="solid" w:color="C0C0C0" w:fill="FFFFFF"/>
    </w:tcPr>
    <w:tblStylePr w:type="firstRow">
      <w:rPr>
        <w:b/>
        <w:bCs/>
        <w:color w:val="800080"/>
      </w:rPr>
      <w:tblPr/>
      <w:tcPr>
        <w:tcBorders>
          <w:bottom w:val="single" w:sz="6" w:space="0" w:color="808080"/>
          <w:tl2br w:val="none" w:sz="0" w:space="0" w:color="auto"/>
          <w:tr2bl w:val="none" w:sz="0" w:space="0" w:color="auto"/>
        </w:tcBorders>
      </w:tcPr>
    </w:tblStylePr>
    <w:tblStylePr w:type="lastRow">
      <w:tblPr/>
      <w:tcPr>
        <w:tcBorders>
          <w:top w:val="single" w:sz="6" w:space="0" w:color="FFFFFF"/>
          <w:tl2br w:val="none" w:sz="0" w:space="0" w:color="auto"/>
          <w:tr2bl w:val="none" w:sz="0" w:space="0" w:color="auto"/>
        </w:tcBorders>
      </w:tcPr>
    </w:tblStylePr>
    <w:tblStylePr w:type="firstCol">
      <w:rPr>
        <w:b/>
        <w:bCs/>
      </w:rPr>
      <w:tblPr/>
      <w:tcPr>
        <w:tcBorders>
          <w:right w:val="single" w:sz="6" w:space="0" w:color="808080"/>
          <w:tl2br w:val="none" w:sz="0" w:space="0" w:color="auto"/>
          <w:tr2bl w:val="none" w:sz="0" w:space="0" w:color="auto"/>
        </w:tcBorders>
      </w:tcPr>
    </w:tblStylePr>
    <w:tblStylePr w:type="lastCol">
      <w:tblPr/>
      <w:tcPr>
        <w:tcBorders>
          <w:left w:val="single" w:sz="6" w:space="0" w:color="FFFFFF"/>
          <w:tl2br w:val="none" w:sz="0" w:space="0" w:color="auto"/>
          <w:tr2bl w:val="none" w:sz="0" w:space="0" w:color="auto"/>
        </w:tcBorders>
      </w:tcPr>
    </w:tblStylePr>
    <w:tblStylePr w:type="neCell">
      <w:tblPr/>
      <w:tcPr>
        <w:tcBorders>
          <w:left w:val="none" w:sz="0" w:space="0" w:color="auto"/>
          <w:bottom w:val="none" w:sz="0" w:space="0" w:color="auto"/>
          <w:tl2br w:val="none" w:sz="0" w:space="0" w:color="auto"/>
          <w:tr2bl w:val="none" w:sz="0" w:space="0" w:color="auto"/>
        </w:tcBorders>
      </w:tcPr>
    </w:tblStylePr>
    <w:tblStylePr w:type="nwCell">
      <w:tblPr/>
      <w:tcPr>
        <w:tcBorders>
          <w:bottom w:val="none" w:sz="0" w:space="0" w:color="auto"/>
          <w:right w:val="none" w:sz="0" w:space="0" w:color="auto"/>
          <w:tl2br w:val="none" w:sz="0" w:space="0" w:color="auto"/>
          <w:tr2bl w:val="none" w:sz="0" w:space="0" w:color="auto"/>
        </w:tcBorders>
      </w:tcPr>
    </w:tblStylePr>
    <w:tblStylePr w:type="seCell">
      <w:tblPr/>
      <w:tcPr>
        <w:tcBorders>
          <w:top w:val="none" w:sz="0" w:space="0" w:color="auto"/>
          <w:left w:val="none" w:sz="0" w:space="0" w:color="auto"/>
          <w:tl2br w:val="none" w:sz="0" w:space="0" w:color="auto"/>
          <w:tr2bl w:val="none" w:sz="0" w:space="0" w:color="auto"/>
        </w:tcBorders>
      </w:tcPr>
    </w:tblStylePr>
    <w:tblStylePr w:type="swCell">
      <w:rPr>
        <w:color w:val="000080"/>
      </w:rPr>
      <w:tblPr/>
      <w:tcPr>
        <w:tcBorders>
          <w:top w:val="none" w:sz="0" w:space="0" w:color="auto"/>
          <w:right w:val="none" w:sz="0" w:space="0" w:color="auto"/>
          <w:tl2br w:val="none" w:sz="0" w:space="0" w:color="auto"/>
          <w:tr2bl w:val="none" w:sz="0" w:space="0" w:color="auto"/>
        </w:tcBorders>
      </w:tcPr>
    </w:tblStylePr>
  </w:style>
  <w:style w:type="table" w:styleId="Table3Deffects2">
    <w:name w:val="Table 3D effects 2"/>
    <w:basedOn w:val="TableNormal"/>
    <w:semiHidden/>
    <w:locked/>
    <w:rsid w:val="00E45954"/>
    <w:pPr>
      <w:spacing w:after="240"/>
    </w:pPr>
    <w:tblPr>
      <w:tblStyleRowBandSize w:val="1"/>
      <w:tblInd w:w="0" w:type="dxa"/>
      <w:tblCellMar>
        <w:top w:w="0" w:type="dxa"/>
        <w:left w:w="108" w:type="dxa"/>
        <w:bottom w:w="0" w:type="dxa"/>
        <w:right w:w="108" w:type="dxa"/>
      </w:tblCellMar>
    </w:tblPr>
    <w:tcPr>
      <w:shd w:val="solid" w:color="C0C0C0" w:fill="FFFFFF"/>
    </w:tcPr>
    <w:tblStylePr w:type="firstRow">
      <w:rPr>
        <w:b/>
        <w:bCs/>
      </w:rPr>
      <w:tblPr/>
      <w:tcPr>
        <w:tcBorders>
          <w:tl2br w:val="none" w:sz="0" w:space="0" w:color="auto"/>
          <w:tr2bl w:val="none" w:sz="0" w:space="0" w:color="auto"/>
        </w:tcBorders>
      </w:tcPr>
    </w:tblStylePr>
    <w:tblStylePr w:type="firstCol">
      <w:tblPr/>
      <w:tcPr>
        <w:tcBorders>
          <w:top w:val="none" w:sz="0" w:space="0" w:color="auto"/>
          <w:bottom w:val="none" w:sz="0" w:space="0" w:color="auto"/>
          <w:right w:val="single" w:sz="6" w:space="0" w:color="808080"/>
          <w:tl2br w:val="none" w:sz="0" w:space="0" w:color="auto"/>
          <w:tr2bl w:val="none" w:sz="0" w:space="0" w:color="auto"/>
        </w:tcBorders>
      </w:tcPr>
    </w:tblStylePr>
    <w:tblStylePr w:type="lastCol">
      <w:tblPr/>
      <w:tcPr>
        <w:tcBorders>
          <w:right w:val="single" w:sz="6" w:space="0" w:color="FFFFFF"/>
          <w:tl2br w:val="none" w:sz="0" w:space="0" w:color="auto"/>
          <w:tr2bl w:val="none" w:sz="0" w:space="0" w:color="auto"/>
        </w:tcBorders>
      </w:tcPr>
    </w:tblStylePr>
    <w:tblStylePr w:type="band1Horz">
      <w:tblPr/>
      <w:tcPr>
        <w:tcBorders>
          <w:top w:val="single" w:sz="6" w:space="0" w:color="808080"/>
          <w:bottom w:val="single" w:sz="6" w:space="0" w:color="FFFFFF"/>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styleId="Table3Deffects3">
    <w:name w:val="Table 3D effects 3"/>
    <w:basedOn w:val="TableNormal"/>
    <w:semiHidden/>
    <w:locked/>
    <w:rsid w:val="00E45954"/>
    <w:pPr>
      <w:spacing w:after="240"/>
    </w:pPr>
    <w:tblPr>
      <w:tblStyleRowBandSize w:val="1"/>
      <w:tblStyleColBandSize w:val="1"/>
      <w:tblInd w:w="0" w:type="dxa"/>
      <w:tblCellMar>
        <w:top w:w="0" w:type="dxa"/>
        <w:left w:w="108" w:type="dxa"/>
        <w:bottom w:w="0" w:type="dxa"/>
        <w:right w:w="108" w:type="dxa"/>
      </w:tblCellMar>
    </w:tblPr>
    <w:tblStylePr w:type="firstRow">
      <w:rPr>
        <w:b/>
        <w:bCs/>
      </w:rPr>
      <w:tblPr/>
      <w:tcPr>
        <w:tcBorders>
          <w:tl2br w:val="none" w:sz="0" w:space="0" w:color="auto"/>
          <w:tr2bl w:val="none" w:sz="0" w:space="0" w:color="auto"/>
        </w:tcBorders>
      </w:tcPr>
    </w:tblStylePr>
    <w:tblStylePr w:type="firstCol">
      <w:tblPr/>
      <w:tcPr>
        <w:tcBorders>
          <w:top w:val="none" w:sz="0" w:space="0" w:color="auto"/>
          <w:bottom w:val="none" w:sz="0" w:space="0" w:color="auto"/>
          <w:right w:val="single" w:sz="6" w:space="0" w:color="808080"/>
          <w:tl2br w:val="none" w:sz="0" w:space="0" w:color="auto"/>
          <w:tr2bl w:val="none" w:sz="0" w:space="0" w:color="auto"/>
        </w:tcBorders>
      </w:tcPr>
    </w:tblStylePr>
    <w:tblStylePr w:type="lastCol">
      <w:tblPr/>
      <w:tcPr>
        <w:tcBorders>
          <w:right w:val="single" w:sz="6" w:space="0" w:color="FFFFFF"/>
          <w:tl2br w:val="none" w:sz="0" w:space="0" w:color="auto"/>
          <w:tr2bl w:val="none" w:sz="0" w:space="0" w:color="auto"/>
        </w:tcBorders>
      </w:tcPr>
    </w:tblStylePr>
    <w:tblStylePr w:type="band1Vert">
      <w:rPr>
        <w:color w:val="auto"/>
      </w:rPr>
      <w:tblPr/>
      <w:tcPr>
        <w:shd w:val="solid" w:color="C0C0C0" w:fill="FFFFFF"/>
      </w:tcPr>
    </w:tblStylePr>
    <w:tblStylePr w:type="band2Vert">
      <w:rPr>
        <w:color w:val="auto"/>
      </w:rPr>
      <w:tblPr/>
      <w:tcPr>
        <w:shd w:val="pct50" w:color="C0C0C0" w:fill="FFFFFF"/>
      </w:tcPr>
    </w:tblStylePr>
    <w:tblStylePr w:type="band1Horz">
      <w:tblPr/>
      <w:tcPr>
        <w:tcBorders>
          <w:top w:val="single" w:sz="6" w:space="0" w:color="808080"/>
          <w:bottom w:val="single" w:sz="6" w:space="0" w:color="FFFFFF"/>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styleId="TableClassic1">
    <w:name w:val="Table Classic 1"/>
    <w:basedOn w:val="TableNormal"/>
    <w:semiHidden/>
    <w:locked/>
    <w:rsid w:val="00E45954"/>
    <w:pPr>
      <w:spacing w:after="240"/>
    </w:pPr>
    <w:tblPr>
      <w:tblInd w:w="0" w:type="dxa"/>
      <w:tblBorders>
        <w:top w:val="single" w:sz="12" w:space="0" w:color="000000"/>
        <w:bottom w:val="single" w:sz="12" w:space="0" w:color="000000"/>
      </w:tblBorders>
      <w:tblCellMar>
        <w:top w:w="0" w:type="dxa"/>
        <w:left w:w="108" w:type="dxa"/>
        <w:bottom w:w="0" w:type="dxa"/>
        <w:right w:w="108" w:type="dxa"/>
      </w:tblCellMar>
    </w:tblPr>
    <w:tcPr>
      <w:shd w:val="clear" w:color="auto" w:fill="auto"/>
    </w:tcPr>
    <w:tblStylePr w:type="firstRow">
      <w:rPr>
        <w:i/>
        <w:iCs/>
      </w:rPr>
      <w:tblPr/>
      <w:tcPr>
        <w:tcBorders>
          <w:bottom w:val="single" w:sz="6" w:space="0" w:color="000000"/>
          <w:tl2br w:val="none" w:sz="0" w:space="0" w:color="auto"/>
          <w:tr2bl w:val="none" w:sz="0" w:space="0" w:color="auto"/>
        </w:tcBorders>
      </w:tcPr>
    </w:tblStylePr>
    <w:tblStylePr w:type="lastRow">
      <w:rPr>
        <w:color w:val="auto"/>
      </w:rPr>
      <w:tblPr/>
      <w:tcPr>
        <w:tcBorders>
          <w:top w:val="single" w:sz="6" w:space="0" w:color="000000"/>
          <w:tl2br w:val="none" w:sz="0" w:space="0" w:color="auto"/>
          <w:tr2bl w:val="none" w:sz="0" w:space="0" w:color="auto"/>
        </w:tcBorders>
      </w:tcPr>
    </w:tblStylePr>
    <w:tblStylePr w:type="firstCol">
      <w:tblPr/>
      <w:tcPr>
        <w:tcBorders>
          <w:right w:val="single" w:sz="6" w:space="0" w:color="000000"/>
          <w:tl2br w:val="none" w:sz="0" w:space="0" w:color="auto"/>
          <w:tr2bl w:val="none" w:sz="0" w:space="0" w:color="auto"/>
        </w:tcBorders>
      </w:tcPr>
    </w:tblStylePr>
    <w:tblStylePr w:type="neCell">
      <w:rPr>
        <w:b/>
        <w:bCs/>
        <w:i w:val="0"/>
        <w:iCs w:val="0"/>
      </w:rPr>
      <w:tblPr/>
      <w:tcPr>
        <w:tcBorders>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styleId="TableClassic2">
    <w:name w:val="Table Classic 2"/>
    <w:basedOn w:val="TableNormal"/>
    <w:semiHidden/>
    <w:locked/>
    <w:rsid w:val="00E45954"/>
    <w:pPr>
      <w:spacing w:after="240"/>
    </w:pPr>
    <w:tblPr>
      <w:tblInd w:w="0" w:type="dxa"/>
      <w:tblBorders>
        <w:top w:val="single" w:sz="12" w:space="0" w:color="000000"/>
        <w:bottom w:val="single" w:sz="12" w:space="0" w:color="000000"/>
      </w:tblBorders>
      <w:tblCellMar>
        <w:top w:w="0" w:type="dxa"/>
        <w:left w:w="108" w:type="dxa"/>
        <w:bottom w:w="0" w:type="dxa"/>
        <w:right w:w="108" w:type="dxa"/>
      </w:tblCellMar>
    </w:tblPr>
    <w:tcPr>
      <w:shd w:val="clear" w:color="auto" w:fill="auto"/>
    </w:tcPr>
    <w:tblStylePr w:type="firstRow">
      <w:rPr>
        <w:color w:val="FFFFFF"/>
      </w:rPr>
      <w:tblPr/>
      <w:tcPr>
        <w:tcBorders>
          <w:bottom w:val="single" w:sz="6" w:space="0" w:color="000000"/>
          <w:tl2br w:val="none" w:sz="0" w:space="0" w:color="auto"/>
          <w:tr2bl w:val="none" w:sz="0" w:space="0" w:color="auto"/>
        </w:tcBorders>
        <w:shd w:val="solid" w:color="800080" w:fill="FFFFFF"/>
      </w:tcPr>
    </w:tblStylePr>
    <w:tblStylePr w:type="lastRow">
      <w:tblPr/>
      <w:tcPr>
        <w:tcBorders>
          <w:top w:val="single" w:sz="6" w:space="0" w:color="000000"/>
          <w:tl2br w:val="none" w:sz="0" w:space="0" w:color="auto"/>
          <w:tr2bl w:val="none" w:sz="0" w:space="0" w:color="auto"/>
        </w:tcBorders>
      </w:tcPr>
    </w:tblStylePr>
    <w:tblStylePr w:type="firstCol">
      <w:rPr>
        <w:b/>
        <w:bCs/>
      </w:rPr>
      <w:tblPr/>
      <w:tcPr>
        <w:tcBorders>
          <w:tl2br w:val="none" w:sz="0" w:space="0" w:color="auto"/>
          <w:tr2bl w:val="none" w:sz="0" w:space="0" w:color="auto"/>
        </w:tcBorders>
        <w:shd w:val="solid" w:color="C0C0C0" w:fill="FFFFFF"/>
      </w:tcPr>
    </w:tblStylePr>
    <w:tblStylePr w:type="neCell">
      <w:rPr>
        <w:b/>
        <w:bCs/>
      </w:rPr>
      <w:tblPr/>
      <w:tcPr>
        <w:tcBorders>
          <w:tl2br w:val="none" w:sz="0" w:space="0" w:color="auto"/>
          <w:tr2bl w:val="none" w:sz="0" w:space="0" w:color="auto"/>
        </w:tcBorders>
      </w:tcPr>
    </w:tblStylePr>
    <w:tblStylePr w:type="nwCell">
      <w:tblPr/>
      <w:tcPr>
        <w:tcBorders>
          <w:tl2br w:val="none" w:sz="0" w:space="0" w:color="auto"/>
          <w:tr2bl w:val="none" w:sz="0" w:space="0" w:color="auto"/>
        </w:tcBorders>
        <w:shd w:val="solid" w:color="800080" w:fill="FFFFFF"/>
      </w:tcPr>
    </w:tblStylePr>
    <w:tblStylePr w:type="swCell">
      <w:rPr>
        <w:color w:val="000080"/>
      </w:rPr>
      <w:tblPr/>
      <w:tcPr>
        <w:tcBorders>
          <w:tl2br w:val="none" w:sz="0" w:space="0" w:color="auto"/>
          <w:tr2bl w:val="none" w:sz="0" w:space="0" w:color="auto"/>
        </w:tcBorders>
      </w:tcPr>
    </w:tblStylePr>
  </w:style>
  <w:style w:type="table" w:styleId="TableClassic3">
    <w:name w:val="Table Classic 3"/>
    <w:basedOn w:val="TableNormal"/>
    <w:semiHidden/>
    <w:locked/>
    <w:rsid w:val="00E45954"/>
    <w:pPr>
      <w:spacing w:after="240"/>
    </w:pPr>
    <w:rPr>
      <w:color w:val="000080"/>
    </w:rPr>
    <w:tblPr>
      <w:tblInd w:w="0" w:type="dxa"/>
      <w:tblBorders>
        <w:top w:val="single" w:sz="12" w:space="0" w:color="000000"/>
        <w:left w:val="single" w:sz="12" w:space="0" w:color="000000"/>
        <w:bottom w:val="single" w:sz="12" w:space="0" w:color="000000"/>
        <w:right w:val="single" w:sz="12" w:space="0" w:color="000000"/>
      </w:tblBorders>
      <w:tblCellMar>
        <w:top w:w="0" w:type="dxa"/>
        <w:left w:w="108" w:type="dxa"/>
        <w:bottom w:w="0" w:type="dxa"/>
        <w:right w:w="108" w:type="dxa"/>
      </w:tblCellMar>
    </w:tblPr>
    <w:tcPr>
      <w:shd w:val="solid" w:color="C0C0C0" w:fill="FFFFFF"/>
    </w:tcPr>
    <w:tblStylePr w:type="firstRow">
      <w:rPr>
        <w:b/>
        <w:bCs/>
        <w:i/>
        <w:iCs/>
        <w:color w:val="FFFFFF"/>
      </w:rPr>
      <w:tblPr/>
      <w:tcPr>
        <w:tcBorders>
          <w:bottom w:val="single" w:sz="6" w:space="0" w:color="000000"/>
          <w:tl2br w:val="none" w:sz="0" w:space="0" w:color="auto"/>
          <w:tr2bl w:val="none" w:sz="0" w:space="0" w:color="auto"/>
        </w:tcBorders>
        <w:shd w:val="solid" w:color="000080" w:fill="FFFFFF"/>
      </w:tcPr>
    </w:tblStylePr>
    <w:tblStylePr w:type="lastRow">
      <w:rPr>
        <w:color w:val="000080"/>
      </w:rPr>
      <w:tblPr/>
      <w:tcPr>
        <w:tcBorders>
          <w:top w:val="single" w:sz="12" w:space="0" w:color="000000"/>
          <w:tl2br w:val="none" w:sz="0" w:space="0" w:color="auto"/>
          <w:tr2bl w:val="none" w:sz="0" w:space="0" w:color="auto"/>
        </w:tcBorders>
        <w:shd w:val="solid" w:color="FFFFFF" w:fill="FFFFFF"/>
      </w:tcPr>
    </w:tblStylePr>
    <w:tblStylePr w:type="firstCol">
      <w:rPr>
        <w:b/>
        <w:bCs/>
        <w:color w:val="000000"/>
      </w:rPr>
      <w:tblPr/>
      <w:tcPr>
        <w:tcBorders>
          <w:tl2br w:val="none" w:sz="0" w:space="0" w:color="auto"/>
          <w:tr2bl w:val="none" w:sz="0" w:space="0" w:color="auto"/>
        </w:tcBorders>
      </w:tcPr>
    </w:tblStylePr>
  </w:style>
  <w:style w:type="table" w:styleId="TableClassic4">
    <w:name w:val="Table Classic 4"/>
    <w:basedOn w:val="TableNormal"/>
    <w:semiHidden/>
    <w:locked/>
    <w:rsid w:val="00E45954"/>
    <w:pPr>
      <w:spacing w:after="240"/>
    </w:pPr>
    <w:tblPr>
      <w:tblInd w:w="0" w:type="dxa"/>
      <w:tblBorders>
        <w:top w:val="single" w:sz="12" w:space="0" w:color="000000"/>
        <w:left w:val="single" w:sz="6" w:space="0" w:color="000000"/>
        <w:bottom w:val="single" w:sz="12" w:space="0" w:color="000000"/>
        <w:right w:val="single" w:sz="6" w:space="0" w:color="000000"/>
      </w:tblBorders>
      <w:tblCellMar>
        <w:top w:w="0" w:type="dxa"/>
        <w:left w:w="108" w:type="dxa"/>
        <w:bottom w:w="0" w:type="dxa"/>
        <w:right w:w="108" w:type="dxa"/>
      </w:tblCellMar>
    </w:tblPr>
    <w:tcPr>
      <w:shd w:val="clear" w:color="auto" w:fill="auto"/>
    </w:tcPr>
    <w:tblStylePr w:type="firstRow">
      <w:rPr>
        <w:b/>
        <w:bCs/>
        <w:i/>
        <w:iCs/>
        <w:color w:val="FFFFFF"/>
      </w:rPr>
      <w:tblPr/>
      <w:tcPr>
        <w:tcBorders>
          <w:bottom w:val="single" w:sz="6" w:space="0" w:color="000000"/>
          <w:tl2br w:val="none" w:sz="0" w:space="0" w:color="auto"/>
          <w:tr2bl w:val="none" w:sz="0" w:space="0" w:color="auto"/>
        </w:tcBorders>
        <w:shd w:val="pct50" w:color="000080" w:fill="FFFFFF"/>
      </w:tcPr>
    </w:tblStylePr>
    <w:tblStylePr w:type="lastRow">
      <w:rPr>
        <w:color w:val="000080"/>
      </w:rPr>
      <w:tblPr/>
      <w:tcPr>
        <w:tcBorders>
          <w:bottom w:val="single" w:sz="6" w:space="0" w:color="000000"/>
          <w:tl2br w:val="none" w:sz="0" w:space="0" w:color="auto"/>
          <w:tr2bl w:val="none" w:sz="0" w:space="0" w:color="auto"/>
        </w:tcBorders>
        <w:shd w:val="pct50" w:color="000000" w:fill="FFFFFF"/>
      </w:tcPr>
    </w:tblStylePr>
    <w:tblStylePr w:type="firstCol">
      <w:rPr>
        <w:b/>
        <w:bCs/>
      </w:rPr>
      <w:tblPr/>
      <w:tcPr>
        <w:tcBorders>
          <w:tl2br w:val="none" w:sz="0" w:space="0" w:color="auto"/>
          <w:tr2bl w:val="none" w:sz="0" w:space="0" w:color="auto"/>
        </w:tcBorders>
      </w:tcPr>
    </w:tblStylePr>
    <w:tblStylePr w:type="nwCell">
      <w:rPr>
        <w:b/>
        <w:bCs/>
      </w:rPr>
      <w:tblPr/>
      <w:tcPr>
        <w:tcBorders>
          <w:tl2br w:val="none" w:sz="0" w:space="0" w:color="auto"/>
          <w:tr2bl w:val="none" w:sz="0" w:space="0" w:color="auto"/>
        </w:tcBorders>
      </w:tcPr>
    </w:tblStylePr>
    <w:tblStylePr w:type="swCell">
      <w:rPr>
        <w:color w:val="000080"/>
      </w:rPr>
      <w:tblPr/>
      <w:tcPr>
        <w:tcBorders>
          <w:tl2br w:val="none" w:sz="0" w:space="0" w:color="auto"/>
          <w:tr2bl w:val="none" w:sz="0" w:space="0" w:color="auto"/>
        </w:tcBorders>
      </w:tcPr>
    </w:tblStylePr>
  </w:style>
  <w:style w:type="table" w:styleId="TableColorful1">
    <w:name w:val="Table Colorful 1"/>
    <w:basedOn w:val="TableNormal"/>
    <w:semiHidden/>
    <w:locked/>
    <w:rsid w:val="00E45954"/>
    <w:pPr>
      <w:spacing w:after="240"/>
    </w:pPr>
    <w:rPr>
      <w:color w:val="FFFFFF"/>
    </w:rPr>
    <w:tblPr>
      <w:tblInd w:w="0" w:type="dxa"/>
      <w:tblBorders>
        <w:top w:val="single" w:sz="12" w:space="0" w:color="008080"/>
        <w:left w:val="single" w:sz="12" w:space="0" w:color="008080"/>
        <w:bottom w:val="single" w:sz="12" w:space="0" w:color="008080"/>
        <w:right w:val="single" w:sz="12" w:space="0" w:color="008080"/>
        <w:insideH w:val="single" w:sz="6" w:space="0" w:color="00FFFF"/>
      </w:tblBorders>
      <w:tblCellMar>
        <w:top w:w="0" w:type="dxa"/>
        <w:left w:w="108" w:type="dxa"/>
        <w:bottom w:w="0" w:type="dxa"/>
        <w:right w:w="108" w:type="dxa"/>
      </w:tblCellMar>
    </w:tblPr>
    <w:tcPr>
      <w:shd w:val="solid" w:color="008080" w:fill="FFFFFF"/>
    </w:tcPr>
    <w:tblStylePr w:type="firstRow">
      <w:rPr>
        <w:b/>
        <w:bCs/>
        <w:i/>
        <w:iCs/>
      </w:rPr>
      <w:tblPr/>
      <w:tcPr>
        <w:tcBorders>
          <w:tl2br w:val="none" w:sz="0" w:space="0" w:color="auto"/>
          <w:tr2bl w:val="none" w:sz="0" w:space="0" w:color="auto"/>
        </w:tcBorders>
        <w:shd w:val="solid" w:color="000000" w:fill="FFFFFF"/>
      </w:tcPr>
    </w:tblStylePr>
    <w:tblStylePr w:type="firstCol">
      <w:rPr>
        <w:b/>
        <w:bCs/>
        <w:i/>
        <w:iCs/>
      </w:rPr>
      <w:tblPr/>
      <w:tcPr>
        <w:tcBorders>
          <w:tl2br w:val="none" w:sz="0" w:space="0" w:color="auto"/>
          <w:tr2bl w:val="none" w:sz="0" w:space="0" w:color="auto"/>
        </w:tcBorders>
        <w:shd w:val="solid" w:color="000080" w:fill="FFFFFF"/>
      </w:tcPr>
    </w:tblStylePr>
    <w:tblStylePr w:type="nwCell">
      <w:tblPr/>
      <w:tcPr>
        <w:tcBorders>
          <w:tl2br w:val="none" w:sz="0" w:space="0" w:color="auto"/>
          <w:tr2bl w:val="none" w:sz="0" w:space="0" w:color="auto"/>
        </w:tcBorders>
        <w:shd w:val="solid" w:color="000000" w:fill="FFFFFF"/>
      </w:tcPr>
    </w:tblStylePr>
    <w:tblStylePr w:type="swCell">
      <w:rPr>
        <w:b/>
        <w:bCs/>
        <w:i w:val="0"/>
        <w:iCs w:val="0"/>
      </w:rPr>
      <w:tblPr/>
      <w:tcPr>
        <w:tcBorders>
          <w:tl2br w:val="none" w:sz="0" w:space="0" w:color="auto"/>
          <w:tr2bl w:val="none" w:sz="0" w:space="0" w:color="auto"/>
        </w:tcBorders>
      </w:tcPr>
    </w:tblStylePr>
  </w:style>
  <w:style w:type="table" w:styleId="TableColorful2">
    <w:name w:val="Table Colorful 2"/>
    <w:basedOn w:val="TableNormal"/>
    <w:semiHidden/>
    <w:locked/>
    <w:rsid w:val="00E45954"/>
    <w:pPr>
      <w:spacing w:after="240"/>
    </w:pPr>
    <w:tblPr>
      <w:tblInd w:w="0" w:type="dxa"/>
      <w:tblBorders>
        <w:bottom w:val="single" w:sz="12" w:space="0" w:color="000000"/>
      </w:tblBorders>
      <w:tblCellMar>
        <w:top w:w="0" w:type="dxa"/>
        <w:left w:w="108" w:type="dxa"/>
        <w:bottom w:w="0" w:type="dxa"/>
        <w:right w:w="108" w:type="dxa"/>
      </w:tblCellMar>
    </w:tblPr>
    <w:tcPr>
      <w:shd w:val="pct20" w:color="FFFF00" w:fill="FFFFFF"/>
    </w:tcPr>
    <w:tblStylePr w:type="firstRow">
      <w:rPr>
        <w:b/>
        <w:bCs/>
        <w:i/>
        <w:iCs/>
        <w:color w:val="FFFFFF"/>
      </w:rPr>
      <w:tblPr/>
      <w:tcPr>
        <w:tcBorders>
          <w:bottom w:val="single" w:sz="12" w:space="0" w:color="000000"/>
          <w:tl2br w:val="none" w:sz="0" w:space="0" w:color="auto"/>
          <w:tr2bl w:val="none" w:sz="0" w:space="0" w:color="auto"/>
        </w:tcBorders>
        <w:shd w:val="solid" w:color="800000" w:fill="FFFFFF"/>
      </w:tcPr>
    </w:tblStylePr>
    <w:tblStylePr w:type="firstCol">
      <w:rPr>
        <w:b/>
        <w:bCs/>
        <w:i/>
        <w:iCs/>
      </w:rPr>
      <w:tblPr/>
      <w:tcPr>
        <w:tcBorders>
          <w:tl2br w:val="none" w:sz="0" w:space="0" w:color="auto"/>
          <w:tr2bl w:val="none" w:sz="0" w:space="0" w:color="auto"/>
        </w:tcBorders>
      </w:tcPr>
    </w:tblStylePr>
    <w:tblStylePr w:type="lastCol">
      <w:tblPr/>
      <w:tcPr>
        <w:tcBorders>
          <w:tl2br w:val="none" w:sz="0" w:space="0" w:color="auto"/>
          <w:tr2bl w:val="none" w:sz="0" w:space="0" w:color="auto"/>
        </w:tcBorders>
        <w:shd w:val="solid" w:color="C0C0C0" w:fill="FFFFFF"/>
      </w:tcPr>
    </w:tblStylePr>
    <w:tblStylePr w:type="swCell">
      <w:rPr>
        <w:b/>
        <w:bCs/>
        <w:i w:val="0"/>
        <w:iCs w:val="0"/>
      </w:rPr>
      <w:tblPr/>
      <w:tcPr>
        <w:tcBorders>
          <w:tl2br w:val="none" w:sz="0" w:space="0" w:color="auto"/>
          <w:tr2bl w:val="none" w:sz="0" w:space="0" w:color="auto"/>
        </w:tcBorders>
      </w:tcPr>
    </w:tblStylePr>
  </w:style>
  <w:style w:type="table" w:styleId="TableColorful3">
    <w:name w:val="Table Colorful 3"/>
    <w:basedOn w:val="TableNormal"/>
    <w:semiHidden/>
    <w:locked/>
    <w:rsid w:val="00E45954"/>
    <w:pPr>
      <w:spacing w:after="240"/>
    </w:pPr>
    <w:tblPr>
      <w:tblInd w:w="0" w:type="dxa"/>
      <w:tblBorders>
        <w:top w:val="single" w:sz="18" w:space="0" w:color="000000"/>
        <w:left w:val="single" w:sz="18" w:space="0" w:color="000000"/>
        <w:bottom w:val="single" w:sz="18" w:space="0" w:color="000000"/>
        <w:right w:val="single" w:sz="18" w:space="0" w:color="000000"/>
        <w:insideH w:val="single" w:sz="6" w:space="0" w:color="C0C0C0"/>
      </w:tblBorders>
      <w:tblCellMar>
        <w:top w:w="0" w:type="dxa"/>
        <w:left w:w="108" w:type="dxa"/>
        <w:bottom w:w="0" w:type="dxa"/>
        <w:right w:w="108" w:type="dxa"/>
      </w:tblCellMar>
    </w:tblPr>
    <w:tcPr>
      <w:shd w:val="pct25" w:color="008080" w:fill="FFFFFF"/>
    </w:tcPr>
    <w:tblStylePr w:type="firstRow">
      <w:tblPr/>
      <w:tcPr>
        <w:tcBorders>
          <w:bottom w:val="single" w:sz="6" w:space="0" w:color="000000"/>
          <w:tl2br w:val="none" w:sz="0" w:space="0" w:color="auto"/>
          <w:tr2bl w:val="none" w:sz="0" w:space="0" w:color="auto"/>
        </w:tcBorders>
        <w:shd w:val="solid" w:color="008080" w:fill="FFFFFF"/>
      </w:tcPr>
    </w:tblStylePr>
    <w:tblStylePr w:type="firstCol">
      <w:tblPr/>
      <w:tcPr>
        <w:tcBorders>
          <w:left w:val="single" w:sz="36" w:space="0" w:color="000000"/>
          <w:right w:val="single" w:sz="6" w:space="0" w:color="000000"/>
          <w:tl2br w:val="none" w:sz="0" w:space="0" w:color="auto"/>
          <w:tr2bl w:val="none" w:sz="0" w:space="0" w:color="auto"/>
        </w:tcBorders>
        <w:shd w:val="solid" w:color="008080" w:fill="FFFFFF"/>
      </w:tcPr>
    </w:tblStylePr>
    <w:tblStylePr w:type="nwCell">
      <w:rPr>
        <w:b/>
        <w:bCs/>
        <w:color w:val="FFFFFF"/>
      </w:rPr>
      <w:tblPr/>
      <w:tcPr>
        <w:tcBorders>
          <w:tl2br w:val="none" w:sz="0" w:space="0" w:color="auto"/>
          <w:tr2bl w:val="none" w:sz="0" w:space="0" w:color="auto"/>
        </w:tcBorders>
        <w:shd w:val="solid" w:color="000000" w:fill="FFFFFF"/>
      </w:tcPr>
    </w:tblStylePr>
  </w:style>
  <w:style w:type="table" w:styleId="TableColumns1">
    <w:name w:val="Table Columns 1"/>
    <w:basedOn w:val="TableNormal"/>
    <w:semiHidden/>
    <w:locked/>
    <w:rsid w:val="00E45954"/>
    <w:pPr>
      <w:spacing w:after="240"/>
    </w:pPr>
    <w:rPr>
      <w:b/>
      <w:bCs/>
    </w:rPr>
    <w:tblPr>
      <w:tblStyleColBandSize w:val="1"/>
      <w:tblInd w:w="0" w:type="dxa"/>
      <w:tblBorders>
        <w:top w:val="single" w:sz="12" w:space="0" w:color="000000"/>
        <w:left w:val="single" w:sz="12" w:space="0" w:color="000000"/>
        <w:bottom w:val="single" w:sz="12" w:space="0" w:color="000000"/>
        <w:right w:val="single" w:sz="12" w:space="0" w:color="000000"/>
      </w:tblBorders>
      <w:tblCellMar>
        <w:top w:w="0" w:type="dxa"/>
        <w:left w:w="108" w:type="dxa"/>
        <w:bottom w:w="0" w:type="dxa"/>
        <w:right w:w="108" w:type="dxa"/>
      </w:tblCellMar>
    </w:tblPr>
    <w:tblStylePr w:type="firstRow">
      <w:rPr>
        <w:b w:val="0"/>
        <w:bCs w:val="0"/>
      </w:rPr>
      <w:tblPr/>
      <w:tcPr>
        <w:tcBorders>
          <w:bottom w:val="double" w:sz="6" w:space="0" w:color="000000"/>
          <w:tl2br w:val="none" w:sz="0" w:space="0" w:color="auto"/>
          <w:tr2bl w:val="none" w:sz="0" w:space="0" w:color="auto"/>
        </w:tcBorders>
      </w:tcPr>
    </w:tblStylePr>
    <w:tblStylePr w:type="lastRow">
      <w:rPr>
        <w:b w:val="0"/>
        <w:bCs w:val="0"/>
      </w:rPr>
      <w:tblPr/>
      <w:tcPr>
        <w:tcBorders>
          <w:tl2br w:val="none" w:sz="0" w:space="0" w:color="auto"/>
          <w:tr2bl w:val="none" w:sz="0" w:space="0" w:color="auto"/>
        </w:tcBorders>
      </w:tcPr>
    </w:tblStylePr>
    <w:tblStylePr w:type="firstCol">
      <w:rPr>
        <w:b w:val="0"/>
        <w:bCs w:val="0"/>
      </w:rPr>
      <w:tblPr/>
      <w:tcPr>
        <w:tcBorders>
          <w:tl2br w:val="none" w:sz="0" w:space="0" w:color="auto"/>
          <w:tr2bl w:val="none" w:sz="0" w:space="0" w:color="auto"/>
        </w:tcBorders>
      </w:tcPr>
    </w:tblStylePr>
    <w:tblStylePr w:type="lastCol">
      <w:rPr>
        <w:b w:val="0"/>
        <w:bCs w:val="0"/>
      </w:rPr>
      <w:tblPr/>
      <w:tcPr>
        <w:tcBorders>
          <w:tl2br w:val="none" w:sz="0" w:space="0" w:color="auto"/>
          <w:tr2bl w:val="none" w:sz="0" w:space="0" w:color="auto"/>
        </w:tcBorders>
      </w:tcPr>
    </w:tblStylePr>
    <w:tblStylePr w:type="band1Vert">
      <w:rPr>
        <w:color w:val="auto"/>
      </w:rPr>
      <w:tblPr/>
      <w:tcPr>
        <w:shd w:val="pct25" w:color="000000" w:fill="FFFFFF"/>
      </w:tcPr>
    </w:tblStylePr>
    <w:tblStylePr w:type="band2Vert">
      <w:rPr>
        <w:color w:val="auto"/>
      </w:rPr>
      <w:tblPr/>
      <w:tcPr>
        <w:shd w:val="pct25" w:color="FFFF00" w:fill="FFFFFF"/>
      </w:tcPr>
    </w:tblStylePr>
    <w:tblStylePr w:type="neCell">
      <w:rPr>
        <w:b/>
        <w:bCs/>
      </w:rPr>
      <w:tblPr/>
      <w:tcPr>
        <w:tcBorders>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styleId="TableColumns2">
    <w:name w:val="Table Columns 2"/>
    <w:basedOn w:val="TableNormal"/>
    <w:semiHidden/>
    <w:locked/>
    <w:rsid w:val="00E45954"/>
    <w:pPr>
      <w:spacing w:after="240"/>
    </w:pPr>
    <w:rPr>
      <w:b/>
      <w:bCs/>
    </w:rPr>
    <w:tblPr>
      <w:tblStyleColBandSize w:val="1"/>
      <w:tblInd w:w="0" w:type="dxa"/>
      <w:tblCellMar>
        <w:top w:w="0" w:type="dxa"/>
        <w:left w:w="108" w:type="dxa"/>
        <w:bottom w:w="0" w:type="dxa"/>
        <w:right w:w="108" w:type="dxa"/>
      </w:tblCellMar>
    </w:tblPr>
    <w:tblStylePr w:type="firstRow">
      <w:rPr>
        <w:color w:val="FFFFFF"/>
      </w:rPr>
      <w:tblPr/>
      <w:tcPr>
        <w:tcBorders>
          <w:tl2br w:val="none" w:sz="0" w:space="0" w:color="auto"/>
          <w:tr2bl w:val="none" w:sz="0" w:space="0" w:color="auto"/>
        </w:tcBorders>
        <w:shd w:val="solid" w:color="000080" w:fill="FFFFFF"/>
      </w:tcPr>
    </w:tblStylePr>
    <w:tblStylePr w:type="lastRow">
      <w:rPr>
        <w:b w:val="0"/>
        <w:bCs w:val="0"/>
      </w:rPr>
      <w:tblPr/>
      <w:tcPr>
        <w:tcBorders>
          <w:tl2br w:val="none" w:sz="0" w:space="0" w:color="auto"/>
          <w:tr2bl w:val="none" w:sz="0" w:space="0" w:color="auto"/>
        </w:tcBorders>
      </w:tcPr>
    </w:tblStylePr>
    <w:tblStylePr w:type="firstCol">
      <w:rPr>
        <w:b w:val="0"/>
        <w:bCs w:val="0"/>
        <w:color w:val="000000"/>
      </w:rPr>
      <w:tblPr/>
      <w:tcPr>
        <w:tcBorders>
          <w:tl2br w:val="none" w:sz="0" w:space="0" w:color="auto"/>
          <w:tr2bl w:val="none" w:sz="0" w:space="0" w:color="auto"/>
        </w:tcBorders>
      </w:tcPr>
    </w:tblStylePr>
    <w:tblStylePr w:type="lastCol">
      <w:rPr>
        <w:b w:val="0"/>
        <w:bCs w:val="0"/>
      </w:rPr>
      <w:tblPr/>
      <w:tcPr>
        <w:tcBorders>
          <w:tl2br w:val="none" w:sz="0" w:space="0" w:color="auto"/>
          <w:tr2bl w:val="none" w:sz="0" w:space="0" w:color="auto"/>
        </w:tcBorders>
      </w:tcPr>
    </w:tblStylePr>
    <w:tblStylePr w:type="band1Vert">
      <w:rPr>
        <w:color w:val="auto"/>
      </w:rPr>
      <w:tblPr/>
      <w:tcPr>
        <w:shd w:val="pct30" w:color="000000" w:fill="FFFFFF"/>
      </w:tcPr>
    </w:tblStylePr>
    <w:tblStylePr w:type="band2Vert">
      <w:rPr>
        <w:color w:val="auto"/>
      </w:rPr>
      <w:tblPr/>
      <w:tcPr>
        <w:shd w:val="pct25" w:color="00FF00" w:fill="FFFFFF"/>
      </w:tcPr>
    </w:tblStylePr>
    <w:tblStylePr w:type="neCell">
      <w:rPr>
        <w:b/>
        <w:bCs/>
      </w:rPr>
      <w:tblPr/>
      <w:tcPr>
        <w:tcBorders>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styleId="TableColumns3">
    <w:name w:val="Table Columns 3"/>
    <w:basedOn w:val="TableNormal"/>
    <w:semiHidden/>
    <w:locked/>
    <w:rsid w:val="00E45954"/>
    <w:pPr>
      <w:spacing w:after="240"/>
    </w:pPr>
    <w:rPr>
      <w:b/>
      <w:bCs/>
    </w:rPr>
    <w:tblPr>
      <w:tblStyleColBandSize w:val="1"/>
      <w:tblInd w:w="0" w:type="dxa"/>
      <w:tblBorders>
        <w:top w:val="single" w:sz="6" w:space="0" w:color="000080"/>
        <w:left w:val="single" w:sz="6" w:space="0" w:color="000080"/>
        <w:bottom w:val="single" w:sz="6" w:space="0" w:color="000080"/>
        <w:right w:val="single" w:sz="6" w:space="0" w:color="000080"/>
        <w:insideV w:val="single" w:sz="6" w:space="0" w:color="000080"/>
      </w:tblBorders>
      <w:tblCellMar>
        <w:top w:w="0" w:type="dxa"/>
        <w:left w:w="108" w:type="dxa"/>
        <w:bottom w:w="0" w:type="dxa"/>
        <w:right w:w="108" w:type="dxa"/>
      </w:tblCellMar>
    </w:tblPr>
    <w:tblStylePr w:type="firstRow">
      <w:rPr>
        <w:color w:val="FFFFFF"/>
      </w:rPr>
      <w:tblPr/>
      <w:tcPr>
        <w:tcBorders>
          <w:tl2br w:val="none" w:sz="0" w:space="0" w:color="auto"/>
          <w:tr2bl w:val="none" w:sz="0" w:space="0" w:color="auto"/>
        </w:tcBorders>
        <w:shd w:val="solid" w:color="000080" w:fill="FFFFFF"/>
      </w:tcPr>
    </w:tblStylePr>
    <w:tblStylePr w:type="lastRow">
      <w:rPr>
        <w:b w:val="0"/>
        <w:bCs w:val="0"/>
      </w:rPr>
      <w:tblPr/>
      <w:tcPr>
        <w:tcBorders>
          <w:top w:val="single" w:sz="6" w:space="0" w:color="000080"/>
          <w:tl2br w:val="none" w:sz="0" w:space="0" w:color="auto"/>
          <w:tr2bl w:val="none" w:sz="0" w:space="0" w:color="auto"/>
        </w:tcBorders>
      </w:tcPr>
    </w:tblStylePr>
    <w:tblStylePr w:type="firstCol">
      <w:rPr>
        <w:b w:val="0"/>
        <w:bCs w:val="0"/>
      </w:rPr>
      <w:tblPr/>
      <w:tcPr>
        <w:tcBorders>
          <w:tl2br w:val="none" w:sz="0" w:space="0" w:color="auto"/>
          <w:tr2bl w:val="none" w:sz="0" w:space="0" w:color="auto"/>
        </w:tcBorders>
      </w:tcPr>
    </w:tblStylePr>
    <w:tblStylePr w:type="lastCol">
      <w:rPr>
        <w:b w:val="0"/>
        <w:bCs w:val="0"/>
      </w:rPr>
      <w:tblPr/>
      <w:tcPr>
        <w:tcBorders>
          <w:tl2br w:val="none" w:sz="0" w:space="0" w:color="auto"/>
          <w:tr2bl w:val="none" w:sz="0" w:space="0" w:color="auto"/>
        </w:tcBorders>
      </w:tcPr>
    </w:tblStylePr>
    <w:tblStylePr w:type="band1Vert">
      <w:rPr>
        <w:color w:val="auto"/>
      </w:rPr>
      <w:tblPr/>
      <w:tcPr>
        <w:shd w:val="solid" w:color="C0C0C0" w:fill="FFFFFF"/>
      </w:tcPr>
    </w:tblStylePr>
    <w:tblStylePr w:type="band2Vert">
      <w:rPr>
        <w:color w:val="auto"/>
      </w:rPr>
      <w:tblPr/>
      <w:tcPr>
        <w:shd w:val="pct10" w:color="000000" w:fill="FFFFFF"/>
      </w:tcPr>
    </w:tblStylePr>
    <w:tblStylePr w:type="neCell">
      <w:rPr>
        <w:b/>
        <w:bCs/>
      </w:rPr>
      <w:tblPr/>
      <w:tcPr>
        <w:tcBorders>
          <w:tl2br w:val="none" w:sz="0" w:space="0" w:color="auto"/>
          <w:tr2bl w:val="none" w:sz="0" w:space="0" w:color="auto"/>
        </w:tcBorders>
      </w:tcPr>
    </w:tblStylePr>
  </w:style>
  <w:style w:type="table" w:styleId="TableColumns4">
    <w:name w:val="Table Columns 4"/>
    <w:basedOn w:val="TableNormal"/>
    <w:semiHidden/>
    <w:locked/>
    <w:rsid w:val="00E45954"/>
    <w:pPr>
      <w:spacing w:after="240"/>
    </w:pPr>
    <w:tblPr>
      <w:tblStyleColBandSize w:val="1"/>
      <w:tblInd w:w="0" w:type="dxa"/>
      <w:tblCellMar>
        <w:top w:w="0" w:type="dxa"/>
        <w:left w:w="108" w:type="dxa"/>
        <w:bottom w:w="0" w:type="dxa"/>
        <w:right w:w="108" w:type="dxa"/>
      </w:tblCellMar>
    </w:tblPr>
    <w:tblStylePr w:type="firstRow">
      <w:rPr>
        <w:color w:val="FFFFFF"/>
      </w:rPr>
      <w:tblPr/>
      <w:tcPr>
        <w:tcBorders>
          <w:tl2br w:val="none" w:sz="0" w:space="0" w:color="auto"/>
          <w:tr2bl w:val="none" w:sz="0" w:space="0" w:color="auto"/>
        </w:tcBorders>
        <w:shd w:val="solid" w:color="000000" w:fill="FFFFFF"/>
      </w:tcPr>
    </w:tblStylePr>
    <w:tblStylePr w:type="lastRow">
      <w:rPr>
        <w:b/>
        <w:bCs/>
      </w:rPr>
      <w:tblPr/>
      <w:tcPr>
        <w:tcBorders>
          <w:tl2br w:val="none" w:sz="0" w:space="0" w:color="auto"/>
          <w:tr2bl w:val="none" w:sz="0" w:space="0" w:color="auto"/>
        </w:tcBorders>
      </w:tcPr>
    </w:tblStylePr>
    <w:tblStylePr w:type="lastCol">
      <w:rPr>
        <w:b/>
        <w:bCs/>
      </w:rPr>
      <w:tblPr/>
      <w:tcPr>
        <w:tcBorders>
          <w:tl2br w:val="none" w:sz="0" w:space="0" w:color="auto"/>
          <w:tr2bl w:val="none" w:sz="0" w:space="0" w:color="auto"/>
        </w:tcBorders>
      </w:tcPr>
    </w:tblStylePr>
    <w:tblStylePr w:type="band1Vert">
      <w:rPr>
        <w:color w:val="auto"/>
      </w:rPr>
      <w:tblPr/>
      <w:tcPr>
        <w:shd w:val="pct50" w:color="008080" w:fill="FFFFFF"/>
      </w:tcPr>
    </w:tblStylePr>
    <w:tblStylePr w:type="band2Vert">
      <w:rPr>
        <w:color w:val="auto"/>
      </w:rPr>
      <w:tblPr/>
      <w:tcPr>
        <w:shd w:val="pct10" w:color="000000" w:fill="FFFFFF"/>
      </w:tcPr>
    </w:tblStylePr>
  </w:style>
  <w:style w:type="table" w:styleId="TableColumns5">
    <w:name w:val="Table Columns 5"/>
    <w:basedOn w:val="TableNormal"/>
    <w:semiHidden/>
    <w:locked/>
    <w:rsid w:val="00E45954"/>
    <w:pPr>
      <w:spacing w:after="240"/>
    </w:pPr>
    <w:tblPr>
      <w:tblStyleColBandSize w:val="1"/>
      <w:tblInd w:w="0" w:type="dxa"/>
      <w:tblBorders>
        <w:top w:val="single" w:sz="12" w:space="0" w:color="808080"/>
        <w:left w:val="single" w:sz="12" w:space="0" w:color="808080"/>
        <w:bottom w:val="single" w:sz="12" w:space="0" w:color="808080"/>
        <w:right w:val="single" w:sz="12" w:space="0" w:color="808080"/>
        <w:insideV w:val="single" w:sz="6" w:space="0" w:color="C0C0C0"/>
      </w:tblBorders>
      <w:tblCellMar>
        <w:top w:w="0" w:type="dxa"/>
        <w:left w:w="108" w:type="dxa"/>
        <w:bottom w:w="0" w:type="dxa"/>
        <w:right w:w="108" w:type="dxa"/>
      </w:tblCellMar>
    </w:tblPr>
    <w:tblStylePr w:type="firstRow">
      <w:rPr>
        <w:b/>
        <w:bCs/>
        <w:i/>
        <w:iCs/>
      </w:rPr>
      <w:tblPr/>
      <w:tcPr>
        <w:tcBorders>
          <w:bottom w:val="single" w:sz="6" w:space="0" w:color="808080"/>
          <w:tl2br w:val="none" w:sz="0" w:space="0" w:color="auto"/>
          <w:tr2bl w:val="none" w:sz="0" w:space="0" w:color="auto"/>
        </w:tcBorders>
      </w:tcPr>
    </w:tblStylePr>
    <w:tblStylePr w:type="lastRow">
      <w:rPr>
        <w:b/>
        <w:bCs/>
      </w:rPr>
      <w:tblPr/>
      <w:tcPr>
        <w:tcBorders>
          <w:top w:val="single" w:sz="6" w:space="0" w:color="808080"/>
          <w:tl2br w:val="none" w:sz="0" w:space="0" w:color="auto"/>
          <w:tr2bl w:val="none" w:sz="0" w:space="0" w:color="auto"/>
        </w:tcBorders>
      </w:tcPr>
    </w:tblStylePr>
    <w:tblStylePr w:type="firstCol">
      <w:rPr>
        <w:b/>
        <w:bCs/>
      </w:rPr>
      <w:tblPr/>
      <w:tcPr>
        <w:tcBorders>
          <w:tl2br w:val="none" w:sz="0" w:space="0" w:color="auto"/>
          <w:tr2bl w:val="none" w:sz="0" w:space="0" w:color="auto"/>
        </w:tcBorders>
      </w:tcPr>
    </w:tblStylePr>
    <w:tblStylePr w:type="lastCol">
      <w:rPr>
        <w:b/>
        <w:bCs/>
      </w:rPr>
      <w:tblPr/>
      <w:tcPr>
        <w:tcBorders>
          <w:tl2br w:val="none" w:sz="0" w:space="0" w:color="auto"/>
          <w:tr2bl w:val="none" w:sz="0" w:space="0" w:color="auto"/>
        </w:tcBorders>
      </w:tcPr>
    </w:tblStylePr>
    <w:tblStylePr w:type="band1Vert">
      <w:rPr>
        <w:color w:val="auto"/>
      </w:rPr>
      <w:tblPr/>
      <w:tcPr>
        <w:shd w:val="solid" w:color="C0C0C0" w:fill="FFFFFF"/>
      </w:tcPr>
    </w:tblStylePr>
    <w:tblStylePr w:type="band2Vert">
      <w:rPr>
        <w:color w:val="auto"/>
      </w:rPr>
    </w:tblStylePr>
  </w:style>
  <w:style w:type="table" w:styleId="TableContemporary">
    <w:name w:val="Table Contemporary"/>
    <w:basedOn w:val="TableNormal"/>
    <w:semiHidden/>
    <w:locked/>
    <w:rsid w:val="00E45954"/>
    <w:pPr>
      <w:spacing w:after="240"/>
    </w:pPr>
    <w:tblPr>
      <w:tblStyleRowBandSize w:val="1"/>
      <w:tblInd w:w="0" w:type="dxa"/>
      <w:tblBorders>
        <w:insideH w:val="single" w:sz="18" w:space="0" w:color="FFFFFF"/>
        <w:insideV w:val="single" w:sz="18" w:space="0" w:color="FFFFFF"/>
      </w:tblBorders>
      <w:tblCellMar>
        <w:top w:w="0" w:type="dxa"/>
        <w:left w:w="108" w:type="dxa"/>
        <w:bottom w:w="0" w:type="dxa"/>
        <w:right w:w="108" w:type="dxa"/>
      </w:tblCellMar>
    </w:tblPr>
    <w:tblStylePr w:type="firstRow">
      <w:rPr>
        <w:b/>
        <w:bCs/>
        <w:color w:val="auto"/>
      </w:rPr>
      <w:tblPr/>
      <w:tcPr>
        <w:tcBorders>
          <w:tl2br w:val="none" w:sz="0" w:space="0" w:color="auto"/>
          <w:tr2bl w:val="none" w:sz="0" w:space="0" w:color="auto"/>
        </w:tcBorders>
        <w:shd w:val="pct20" w:color="000000" w:fill="FFFFFF"/>
      </w:tcPr>
    </w:tblStylePr>
    <w:tblStylePr w:type="band1Horz">
      <w:rPr>
        <w:color w:val="auto"/>
      </w:rPr>
      <w:tblPr/>
      <w:tcPr>
        <w:tcBorders>
          <w:tl2br w:val="none" w:sz="0" w:space="0" w:color="auto"/>
          <w:tr2bl w:val="none" w:sz="0" w:space="0" w:color="auto"/>
        </w:tcBorders>
        <w:shd w:val="pct5" w:color="000000" w:fill="FFFFFF"/>
      </w:tcPr>
    </w:tblStylePr>
    <w:tblStylePr w:type="band2Horz">
      <w:rPr>
        <w:color w:val="auto"/>
      </w:rPr>
      <w:tblPr/>
      <w:tcPr>
        <w:tcBorders>
          <w:tl2br w:val="none" w:sz="0" w:space="0" w:color="auto"/>
          <w:tr2bl w:val="none" w:sz="0" w:space="0" w:color="auto"/>
        </w:tcBorders>
        <w:shd w:val="pct20" w:color="000000" w:fill="FFFFFF"/>
      </w:tcPr>
    </w:tblStylePr>
  </w:style>
  <w:style w:type="table" w:styleId="TableElegant">
    <w:name w:val="Table Elegant"/>
    <w:basedOn w:val="TableNormal"/>
    <w:semiHidden/>
    <w:locked/>
    <w:rsid w:val="00E45954"/>
    <w:pPr>
      <w:spacing w:after="240"/>
    </w:pPr>
    <w:tblPr>
      <w:tblInd w:w="0" w:type="dxa"/>
      <w:tblBorders>
        <w:top w:val="double" w:sz="6" w:space="0" w:color="000000"/>
        <w:left w:val="double" w:sz="6" w:space="0" w:color="000000"/>
        <w:bottom w:val="double" w:sz="6" w:space="0" w:color="000000"/>
        <w:right w:val="double" w:sz="6" w:space="0" w:color="000000"/>
        <w:insideH w:val="single" w:sz="6" w:space="0" w:color="000000"/>
        <w:insideV w:val="single" w:sz="6" w:space="0" w:color="000000"/>
      </w:tblBorders>
      <w:tblCellMar>
        <w:top w:w="0" w:type="dxa"/>
        <w:left w:w="108" w:type="dxa"/>
        <w:bottom w:w="0" w:type="dxa"/>
        <w:right w:w="108" w:type="dxa"/>
      </w:tblCellMar>
    </w:tblPr>
    <w:tcPr>
      <w:shd w:val="clear" w:color="auto" w:fill="auto"/>
    </w:tcPr>
    <w:tblStylePr w:type="firstRow">
      <w:rPr>
        <w:caps/>
        <w:color w:val="auto"/>
      </w:rPr>
      <w:tblPr/>
      <w:tcPr>
        <w:tcBorders>
          <w:tl2br w:val="none" w:sz="0" w:space="0" w:color="auto"/>
          <w:tr2bl w:val="none" w:sz="0" w:space="0" w:color="auto"/>
        </w:tcBorders>
      </w:tcPr>
    </w:tblStylePr>
  </w:style>
  <w:style w:type="table" w:styleId="TableGrid">
    <w:name w:val="Table Grid"/>
    <w:basedOn w:val="TableNormal"/>
    <w:semiHidden/>
    <w:locked/>
    <w:rsid w:val="00E45954"/>
    <w:pPr>
      <w:spacing w:after="240"/>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styleId="TableGrid1">
    <w:name w:val="Table Grid 1"/>
    <w:basedOn w:val="TableNormal"/>
    <w:semiHidden/>
    <w:locked/>
    <w:rsid w:val="00E45954"/>
    <w:pPr>
      <w:spacing w:after="240"/>
    </w:pPr>
    <w:tblPr>
      <w:tblInd w:w="0" w:type="dxa"/>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CellMar>
        <w:top w:w="0" w:type="dxa"/>
        <w:left w:w="108" w:type="dxa"/>
        <w:bottom w:w="0" w:type="dxa"/>
        <w:right w:w="108" w:type="dxa"/>
      </w:tblCellMar>
    </w:tblPr>
    <w:tcPr>
      <w:shd w:val="clear" w:color="auto" w:fill="auto"/>
    </w:tcPr>
    <w:tblStylePr w:type="lastRow">
      <w:rPr>
        <w:i/>
        <w:iCs/>
      </w:rPr>
      <w:tblPr/>
      <w:tcPr>
        <w:tcBorders>
          <w:tl2br w:val="none" w:sz="0" w:space="0" w:color="auto"/>
          <w:tr2bl w:val="none" w:sz="0" w:space="0" w:color="auto"/>
        </w:tcBorders>
      </w:tcPr>
    </w:tblStylePr>
    <w:tblStylePr w:type="lastCol">
      <w:rPr>
        <w:i/>
        <w:iCs/>
      </w:rPr>
      <w:tblPr/>
      <w:tcPr>
        <w:tcBorders>
          <w:tl2br w:val="none" w:sz="0" w:space="0" w:color="auto"/>
          <w:tr2bl w:val="none" w:sz="0" w:space="0" w:color="auto"/>
        </w:tcBorders>
      </w:tcPr>
    </w:tblStylePr>
  </w:style>
  <w:style w:type="table" w:styleId="TableGrid2">
    <w:name w:val="Table Grid 2"/>
    <w:basedOn w:val="TableNormal"/>
    <w:semiHidden/>
    <w:locked/>
    <w:rsid w:val="00E45954"/>
    <w:pPr>
      <w:spacing w:after="240"/>
    </w:pPr>
    <w:tblPr>
      <w:tblInd w:w="0" w:type="dxa"/>
      <w:tblBorders>
        <w:insideH w:val="single" w:sz="6" w:space="0" w:color="000000"/>
        <w:insideV w:val="single" w:sz="6" w:space="0" w:color="000000"/>
      </w:tblBorders>
      <w:tblCellMar>
        <w:top w:w="0" w:type="dxa"/>
        <w:left w:w="108" w:type="dxa"/>
        <w:bottom w:w="0" w:type="dxa"/>
        <w:right w:w="108" w:type="dxa"/>
      </w:tblCellMar>
    </w:tblPr>
    <w:tcPr>
      <w:shd w:val="clear" w:color="auto" w:fill="auto"/>
    </w:tcPr>
    <w:tblStylePr w:type="firstRow">
      <w:rPr>
        <w:b/>
        <w:bCs/>
      </w:rPr>
      <w:tblPr/>
      <w:tcPr>
        <w:tcBorders>
          <w:tl2br w:val="none" w:sz="0" w:space="0" w:color="auto"/>
          <w:tr2bl w:val="none" w:sz="0" w:space="0" w:color="auto"/>
        </w:tcBorders>
      </w:tcPr>
    </w:tblStylePr>
    <w:tblStylePr w:type="lastRow">
      <w:rPr>
        <w:b/>
        <w:bCs/>
      </w:rPr>
      <w:tblPr/>
      <w:tcPr>
        <w:tcBorders>
          <w:top w:val="single" w:sz="6" w:space="0" w:color="000000"/>
          <w:tl2br w:val="none" w:sz="0" w:space="0" w:color="auto"/>
          <w:tr2bl w:val="none" w:sz="0" w:space="0" w:color="auto"/>
        </w:tcBorders>
      </w:tcPr>
    </w:tblStylePr>
    <w:tblStylePr w:type="firstCol">
      <w:rPr>
        <w:b/>
        <w:bCs/>
      </w:rPr>
      <w:tblPr/>
      <w:tcPr>
        <w:tcBorders>
          <w:tl2br w:val="none" w:sz="0" w:space="0" w:color="auto"/>
          <w:tr2bl w:val="none" w:sz="0" w:space="0" w:color="auto"/>
        </w:tcBorders>
      </w:tcPr>
    </w:tblStylePr>
    <w:tblStylePr w:type="lastCol">
      <w:rPr>
        <w:b/>
        <w:bCs/>
      </w:rPr>
      <w:tblPr/>
      <w:tcPr>
        <w:tcBorders>
          <w:tl2br w:val="none" w:sz="0" w:space="0" w:color="auto"/>
          <w:tr2bl w:val="none" w:sz="0" w:space="0" w:color="auto"/>
        </w:tcBorders>
      </w:tcPr>
    </w:tblStylePr>
  </w:style>
  <w:style w:type="table" w:styleId="TableGrid3">
    <w:name w:val="Table Grid 3"/>
    <w:basedOn w:val="TableNormal"/>
    <w:semiHidden/>
    <w:locked/>
    <w:rsid w:val="00E45954"/>
    <w:pPr>
      <w:spacing w:after="240"/>
    </w:pPr>
    <w:tblPr>
      <w:tblInd w:w="0" w:type="dxa"/>
      <w:tblBorders>
        <w:top w:val="single" w:sz="6" w:space="0" w:color="000000"/>
        <w:left w:val="single" w:sz="12" w:space="0" w:color="000000"/>
        <w:bottom w:val="single" w:sz="6" w:space="0" w:color="000000"/>
        <w:right w:val="single" w:sz="12" w:space="0" w:color="000000"/>
        <w:insideV w:val="single" w:sz="6" w:space="0" w:color="000000"/>
      </w:tblBorders>
      <w:tblCellMar>
        <w:top w:w="0" w:type="dxa"/>
        <w:left w:w="108" w:type="dxa"/>
        <w:bottom w:w="0" w:type="dxa"/>
        <w:right w:w="108" w:type="dxa"/>
      </w:tblCellMar>
    </w:tblPr>
    <w:tcPr>
      <w:shd w:val="clear" w:color="auto" w:fill="auto"/>
    </w:tcPr>
    <w:tblStylePr w:type="firstRow">
      <w:tblPr/>
      <w:tcPr>
        <w:tcBorders>
          <w:bottom w:val="single" w:sz="6" w:space="0" w:color="000000"/>
          <w:tl2br w:val="none" w:sz="0" w:space="0" w:color="auto"/>
          <w:tr2bl w:val="none" w:sz="0" w:space="0" w:color="auto"/>
        </w:tcBorders>
        <w:shd w:val="pct30" w:color="FFFF00" w:fill="FFFFFF"/>
      </w:tcPr>
    </w:tblStylePr>
    <w:tblStylePr w:type="lastRow">
      <w:rPr>
        <w:b/>
        <w:bCs/>
      </w:rPr>
      <w:tblPr/>
      <w:tcPr>
        <w:tcBorders>
          <w:tl2br w:val="none" w:sz="0" w:space="0" w:color="auto"/>
          <w:tr2bl w:val="none" w:sz="0" w:space="0" w:color="auto"/>
        </w:tcBorders>
      </w:tcPr>
    </w:tblStylePr>
    <w:tblStylePr w:type="lastCol">
      <w:rPr>
        <w:b/>
        <w:bCs/>
      </w:rPr>
      <w:tblPr/>
      <w:tcPr>
        <w:tcBorders>
          <w:tl2br w:val="none" w:sz="0" w:space="0" w:color="auto"/>
          <w:tr2bl w:val="none" w:sz="0" w:space="0" w:color="auto"/>
        </w:tcBorders>
      </w:tcPr>
    </w:tblStylePr>
  </w:style>
  <w:style w:type="table" w:styleId="TableGrid4">
    <w:name w:val="Table Grid 4"/>
    <w:basedOn w:val="TableNormal"/>
    <w:semiHidden/>
    <w:locked/>
    <w:rsid w:val="00E45954"/>
    <w:pPr>
      <w:spacing w:after="240"/>
    </w:pPr>
    <w:tblPr>
      <w:tblInd w:w="0" w:type="dxa"/>
      <w:tblBorders>
        <w:left w:val="single" w:sz="12" w:space="0" w:color="000000"/>
        <w:right w:val="single" w:sz="12" w:space="0" w:color="000000"/>
        <w:insideH w:val="single" w:sz="6" w:space="0" w:color="000000"/>
        <w:insideV w:val="single" w:sz="6" w:space="0" w:color="000000"/>
      </w:tblBorders>
      <w:tblCellMar>
        <w:top w:w="0" w:type="dxa"/>
        <w:left w:w="108" w:type="dxa"/>
        <w:bottom w:w="0" w:type="dxa"/>
        <w:right w:w="108" w:type="dxa"/>
      </w:tblCellMar>
    </w:tblPr>
    <w:tcPr>
      <w:shd w:val="clear" w:color="auto" w:fill="auto"/>
    </w:tcPr>
    <w:tblStylePr w:type="firstRow">
      <w:rPr>
        <w:color w:val="auto"/>
      </w:rPr>
      <w:tblPr/>
      <w:tcPr>
        <w:tcBorders>
          <w:bottom w:val="single" w:sz="6" w:space="0" w:color="000000"/>
          <w:tl2br w:val="none" w:sz="0" w:space="0" w:color="auto"/>
          <w:tr2bl w:val="none" w:sz="0" w:space="0" w:color="auto"/>
        </w:tcBorders>
        <w:shd w:val="pct30" w:color="FFFF00" w:fill="FFFFFF"/>
      </w:tcPr>
    </w:tblStylePr>
    <w:tblStylePr w:type="lastRow">
      <w:rPr>
        <w:b/>
        <w:bCs/>
        <w:color w:val="auto"/>
      </w:rPr>
      <w:tblPr/>
      <w:tcPr>
        <w:tcBorders>
          <w:top w:val="single" w:sz="6" w:space="0" w:color="000000"/>
          <w:tl2br w:val="none" w:sz="0" w:space="0" w:color="auto"/>
          <w:tr2bl w:val="none" w:sz="0" w:space="0" w:color="auto"/>
        </w:tcBorders>
        <w:shd w:val="pct30" w:color="FFFF00" w:fill="FFFFFF"/>
      </w:tcPr>
    </w:tblStylePr>
    <w:tblStylePr w:type="lastCol">
      <w:rPr>
        <w:b/>
        <w:bCs/>
        <w:color w:val="auto"/>
      </w:rPr>
      <w:tblPr/>
      <w:tcPr>
        <w:tcBorders>
          <w:tl2br w:val="none" w:sz="0" w:space="0" w:color="auto"/>
          <w:tr2bl w:val="none" w:sz="0" w:space="0" w:color="auto"/>
        </w:tcBorders>
      </w:tcPr>
    </w:tblStylePr>
  </w:style>
  <w:style w:type="table" w:styleId="TableGrid5">
    <w:name w:val="Table Grid 5"/>
    <w:basedOn w:val="TableNormal"/>
    <w:semiHidden/>
    <w:locked/>
    <w:rsid w:val="00E45954"/>
    <w:pPr>
      <w:spacing w:after="240"/>
    </w:pPr>
    <w:tblPr>
      <w:tblInd w:w="0" w:type="dxa"/>
      <w:tblBorders>
        <w:top w:val="single" w:sz="12" w:space="0" w:color="000000"/>
        <w:left w:val="single" w:sz="12" w:space="0" w:color="000000"/>
        <w:bottom w:val="single" w:sz="12" w:space="0" w:color="000000"/>
        <w:right w:val="single" w:sz="12" w:space="0" w:color="000000"/>
        <w:insideH w:val="single" w:sz="6" w:space="0" w:color="000000"/>
        <w:insideV w:val="single" w:sz="6" w:space="0" w:color="000000"/>
      </w:tblBorders>
      <w:tblCellMar>
        <w:top w:w="0" w:type="dxa"/>
        <w:left w:w="108" w:type="dxa"/>
        <w:bottom w:w="0" w:type="dxa"/>
        <w:right w:w="108" w:type="dxa"/>
      </w:tblCellMar>
    </w:tblPr>
    <w:tcPr>
      <w:shd w:val="clear" w:color="auto" w:fill="auto"/>
    </w:tcPr>
    <w:tblStylePr w:type="firstRow">
      <w:tblPr/>
      <w:tcPr>
        <w:tcBorders>
          <w:bottom w:val="single" w:sz="12" w:space="0" w:color="000000"/>
          <w:tl2br w:val="none" w:sz="0" w:space="0" w:color="auto"/>
          <w:tr2bl w:val="none" w:sz="0" w:space="0" w:color="auto"/>
        </w:tcBorders>
      </w:tcPr>
    </w:tblStylePr>
    <w:tblStylePr w:type="lastRow">
      <w:rPr>
        <w:b/>
        <w:bCs/>
      </w:rPr>
      <w:tblPr/>
      <w:tcPr>
        <w:tcBorders>
          <w:tl2br w:val="none" w:sz="0" w:space="0" w:color="auto"/>
          <w:tr2bl w:val="none" w:sz="0" w:space="0" w:color="auto"/>
        </w:tcBorders>
      </w:tcPr>
    </w:tblStylePr>
    <w:tblStylePr w:type="lastCol">
      <w:rPr>
        <w:b/>
        <w:bCs/>
      </w:rPr>
      <w:tblPr/>
      <w:tcPr>
        <w:tcBorders>
          <w:tl2br w:val="none" w:sz="0" w:space="0" w:color="auto"/>
          <w:tr2bl w:val="none" w:sz="0" w:space="0" w:color="auto"/>
        </w:tcBorders>
      </w:tcPr>
    </w:tblStylePr>
    <w:tblStylePr w:type="nwCell">
      <w:tblPr/>
      <w:tcPr>
        <w:tcBorders>
          <w:tl2br w:val="single" w:sz="6" w:space="0" w:color="000000"/>
          <w:tr2bl w:val="none" w:sz="0" w:space="0" w:color="auto"/>
        </w:tcBorders>
      </w:tcPr>
    </w:tblStylePr>
  </w:style>
  <w:style w:type="table" w:styleId="TableGrid6">
    <w:name w:val="Table Grid 6"/>
    <w:basedOn w:val="TableNormal"/>
    <w:semiHidden/>
    <w:locked/>
    <w:rsid w:val="00E45954"/>
    <w:pPr>
      <w:spacing w:after="240"/>
    </w:pPr>
    <w:tblPr>
      <w:tblInd w:w="0" w:type="dxa"/>
      <w:tblBorders>
        <w:top w:val="single" w:sz="12" w:space="0" w:color="000000"/>
        <w:left w:val="single" w:sz="12" w:space="0" w:color="000000"/>
        <w:bottom w:val="single" w:sz="12" w:space="0" w:color="000000"/>
        <w:right w:val="single" w:sz="12" w:space="0" w:color="000000"/>
        <w:insideV w:val="single" w:sz="6" w:space="0" w:color="000000"/>
      </w:tblBorders>
      <w:tblCellMar>
        <w:top w:w="0" w:type="dxa"/>
        <w:left w:w="108" w:type="dxa"/>
        <w:bottom w:w="0" w:type="dxa"/>
        <w:right w:w="108" w:type="dxa"/>
      </w:tblCellMar>
    </w:tblPr>
    <w:tcPr>
      <w:shd w:val="clear" w:color="auto" w:fill="auto"/>
    </w:tcPr>
    <w:tblStylePr w:type="firstRow">
      <w:rPr>
        <w:b/>
        <w:bCs/>
      </w:rPr>
      <w:tblPr/>
      <w:tcPr>
        <w:tcBorders>
          <w:bottom w:val="single" w:sz="6" w:space="0" w:color="000000"/>
          <w:tl2br w:val="none" w:sz="0" w:space="0" w:color="auto"/>
          <w:tr2bl w:val="none" w:sz="0" w:space="0" w:color="auto"/>
        </w:tcBorders>
      </w:tcPr>
    </w:tblStylePr>
    <w:tblStylePr w:type="lastRow">
      <w:rPr>
        <w:color w:val="auto"/>
      </w:rPr>
      <w:tblPr/>
      <w:tcPr>
        <w:tcBorders>
          <w:top w:val="single" w:sz="6" w:space="0" w:color="000000"/>
          <w:tl2br w:val="none" w:sz="0" w:space="0" w:color="auto"/>
          <w:tr2bl w:val="none" w:sz="0" w:space="0" w:color="auto"/>
        </w:tcBorders>
      </w:tcPr>
    </w:tblStylePr>
    <w:tblStylePr w:type="firstCol">
      <w:rPr>
        <w:b/>
        <w:bCs/>
      </w:rPr>
      <w:tblPr/>
      <w:tcPr>
        <w:tcBorders>
          <w:tl2br w:val="none" w:sz="0" w:space="0" w:color="auto"/>
          <w:tr2bl w:val="none" w:sz="0" w:space="0" w:color="auto"/>
        </w:tcBorders>
      </w:tcPr>
    </w:tblStylePr>
    <w:tblStylePr w:type="nwCell">
      <w:tblPr/>
      <w:tcPr>
        <w:tcBorders>
          <w:tl2br w:val="single" w:sz="6" w:space="0" w:color="000000"/>
          <w:tr2bl w:val="none" w:sz="0" w:space="0" w:color="auto"/>
        </w:tcBorders>
      </w:tcPr>
    </w:tblStylePr>
  </w:style>
  <w:style w:type="table" w:styleId="TableGrid7">
    <w:name w:val="Table Grid 7"/>
    <w:basedOn w:val="TableNormal"/>
    <w:semiHidden/>
    <w:locked/>
    <w:rsid w:val="00E45954"/>
    <w:pPr>
      <w:spacing w:after="240"/>
    </w:pPr>
    <w:rPr>
      <w:b/>
      <w:bCs/>
    </w:rPr>
    <w:tblPr>
      <w:tblInd w:w="0" w:type="dxa"/>
      <w:tblBorders>
        <w:top w:val="single" w:sz="12" w:space="0" w:color="000000"/>
        <w:left w:val="single" w:sz="12" w:space="0" w:color="000000"/>
        <w:bottom w:val="single" w:sz="12" w:space="0" w:color="000000"/>
        <w:right w:val="single" w:sz="12" w:space="0" w:color="000000"/>
        <w:insideH w:val="single" w:sz="6" w:space="0" w:color="000000"/>
        <w:insideV w:val="single" w:sz="6" w:space="0" w:color="000000"/>
      </w:tblBorders>
      <w:tblCellMar>
        <w:top w:w="0" w:type="dxa"/>
        <w:left w:w="108" w:type="dxa"/>
        <w:bottom w:w="0" w:type="dxa"/>
        <w:right w:w="108" w:type="dxa"/>
      </w:tblCellMar>
    </w:tblPr>
    <w:tcPr>
      <w:shd w:val="clear" w:color="auto" w:fill="auto"/>
    </w:tcPr>
    <w:tblStylePr w:type="firstRow">
      <w:rPr>
        <w:b w:val="0"/>
        <w:bCs w:val="0"/>
      </w:rPr>
      <w:tblPr/>
      <w:tcPr>
        <w:tcBorders>
          <w:bottom w:val="single" w:sz="12" w:space="0" w:color="000000"/>
          <w:tl2br w:val="none" w:sz="0" w:space="0" w:color="auto"/>
          <w:tr2bl w:val="none" w:sz="0" w:space="0" w:color="auto"/>
        </w:tcBorders>
      </w:tcPr>
    </w:tblStylePr>
    <w:tblStylePr w:type="lastRow">
      <w:rPr>
        <w:b w:val="0"/>
        <w:bCs w:val="0"/>
      </w:rPr>
      <w:tblPr/>
      <w:tcPr>
        <w:tcBorders>
          <w:top w:val="single" w:sz="6" w:space="0" w:color="000000"/>
          <w:tl2br w:val="none" w:sz="0" w:space="0" w:color="auto"/>
          <w:tr2bl w:val="none" w:sz="0" w:space="0" w:color="auto"/>
        </w:tcBorders>
      </w:tcPr>
    </w:tblStylePr>
    <w:tblStylePr w:type="firstCol">
      <w:rPr>
        <w:b w:val="0"/>
        <w:bCs w:val="0"/>
      </w:rPr>
      <w:tblPr/>
      <w:tcPr>
        <w:tcBorders>
          <w:tl2br w:val="none" w:sz="0" w:space="0" w:color="auto"/>
          <w:tr2bl w:val="none" w:sz="0" w:space="0" w:color="auto"/>
        </w:tcBorders>
      </w:tcPr>
    </w:tblStylePr>
    <w:tblStylePr w:type="lastCol">
      <w:rPr>
        <w:b w:val="0"/>
        <w:bCs w:val="0"/>
      </w:rPr>
      <w:tblPr/>
      <w:tcPr>
        <w:tcBorders>
          <w:tl2br w:val="none" w:sz="0" w:space="0" w:color="auto"/>
          <w:tr2bl w:val="none" w:sz="0" w:space="0" w:color="auto"/>
        </w:tcBorders>
      </w:tcPr>
    </w:tblStylePr>
    <w:tblStylePr w:type="nwCell">
      <w:tblPr/>
      <w:tcPr>
        <w:tcBorders>
          <w:tl2br w:val="single" w:sz="6" w:space="0" w:color="000000"/>
          <w:tr2bl w:val="none" w:sz="0" w:space="0" w:color="auto"/>
        </w:tcBorders>
      </w:tcPr>
    </w:tblStylePr>
  </w:style>
  <w:style w:type="table" w:styleId="TableGrid8">
    <w:name w:val="Table Grid 8"/>
    <w:basedOn w:val="TableNormal"/>
    <w:semiHidden/>
    <w:locked/>
    <w:rsid w:val="00E45954"/>
    <w:pPr>
      <w:spacing w:after="240"/>
    </w:pPr>
    <w:tblPr>
      <w:tblInd w:w="0" w:type="dxa"/>
      <w:tblBorders>
        <w:top w:val="single" w:sz="6" w:space="0" w:color="000080"/>
        <w:left w:val="single" w:sz="6" w:space="0" w:color="000080"/>
        <w:bottom w:val="single" w:sz="6" w:space="0" w:color="000080"/>
        <w:right w:val="single" w:sz="6" w:space="0" w:color="000080"/>
        <w:insideH w:val="single" w:sz="6" w:space="0" w:color="000080"/>
        <w:insideV w:val="single" w:sz="6" w:space="0" w:color="000080"/>
      </w:tblBorders>
      <w:tblCellMar>
        <w:top w:w="0" w:type="dxa"/>
        <w:left w:w="108" w:type="dxa"/>
        <w:bottom w:w="0" w:type="dxa"/>
        <w:right w:w="108" w:type="dxa"/>
      </w:tblCellMar>
    </w:tblPr>
    <w:tcPr>
      <w:shd w:val="clear" w:color="auto" w:fill="auto"/>
    </w:tcPr>
    <w:tblStylePr w:type="firstRow">
      <w:rPr>
        <w:b/>
        <w:bCs/>
        <w:color w:val="FFFFFF"/>
      </w:rPr>
      <w:tblPr/>
      <w:tcPr>
        <w:tcBorders>
          <w:tl2br w:val="none" w:sz="0" w:space="0" w:color="auto"/>
          <w:tr2bl w:val="none" w:sz="0" w:space="0" w:color="auto"/>
        </w:tcBorders>
        <w:shd w:val="solid" w:color="000080" w:fill="FFFFFF"/>
      </w:tcPr>
    </w:tblStylePr>
    <w:tblStylePr w:type="lastRow">
      <w:rPr>
        <w:b/>
        <w:bCs/>
        <w:color w:val="auto"/>
      </w:rPr>
      <w:tblPr/>
      <w:tcPr>
        <w:tcBorders>
          <w:tl2br w:val="none" w:sz="0" w:space="0" w:color="auto"/>
          <w:tr2bl w:val="none" w:sz="0" w:space="0" w:color="auto"/>
        </w:tcBorders>
      </w:tcPr>
    </w:tblStylePr>
    <w:tblStylePr w:type="lastCol">
      <w:rPr>
        <w:b/>
        <w:bCs/>
        <w:color w:val="auto"/>
      </w:rPr>
      <w:tblPr/>
      <w:tcPr>
        <w:tcBorders>
          <w:tl2br w:val="none" w:sz="0" w:space="0" w:color="auto"/>
          <w:tr2bl w:val="none" w:sz="0" w:space="0" w:color="auto"/>
        </w:tcBorders>
      </w:tcPr>
    </w:tblStylePr>
  </w:style>
  <w:style w:type="table" w:styleId="TableList1">
    <w:name w:val="Table List 1"/>
    <w:basedOn w:val="TableNormal"/>
    <w:semiHidden/>
    <w:locked/>
    <w:rsid w:val="00E45954"/>
    <w:pPr>
      <w:spacing w:after="240"/>
    </w:pPr>
    <w:tblPr>
      <w:tblStyleRowBandSize w:val="1"/>
      <w:tblInd w:w="0" w:type="dxa"/>
      <w:tblBorders>
        <w:top w:val="single" w:sz="12" w:space="0" w:color="008080"/>
        <w:left w:val="single" w:sz="6" w:space="0" w:color="008080"/>
        <w:bottom w:val="single" w:sz="12" w:space="0" w:color="008080"/>
        <w:right w:val="single" w:sz="6" w:space="0" w:color="008080"/>
      </w:tblBorders>
      <w:tblCellMar>
        <w:top w:w="0" w:type="dxa"/>
        <w:left w:w="108" w:type="dxa"/>
        <w:bottom w:w="0" w:type="dxa"/>
        <w:right w:w="108" w:type="dxa"/>
      </w:tblCellMar>
    </w:tblPr>
    <w:tblStylePr w:type="firstRow">
      <w:rPr>
        <w:b/>
        <w:bCs/>
        <w:i/>
        <w:iCs/>
        <w:color w:val="800000"/>
      </w:rPr>
      <w:tblPr/>
      <w:tcPr>
        <w:tcBorders>
          <w:bottom w:val="single" w:sz="6" w:space="0" w:color="000000"/>
          <w:tl2br w:val="none" w:sz="0" w:space="0" w:color="auto"/>
          <w:tr2bl w:val="none" w:sz="0" w:space="0" w:color="auto"/>
        </w:tcBorders>
        <w:shd w:val="solid" w:color="C0C0C0" w:fill="FFFFFF"/>
      </w:tcPr>
    </w:tblStylePr>
    <w:tblStylePr w:type="lastRow">
      <w:tblPr/>
      <w:tcPr>
        <w:tcBorders>
          <w:top w:val="single" w:sz="6" w:space="0" w:color="000000"/>
          <w:tl2br w:val="none" w:sz="0" w:space="0" w:color="auto"/>
          <w:tr2bl w:val="none" w:sz="0" w:space="0" w:color="auto"/>
        </w:tcBorders>
      </w:tcPr>
    </w:tblStylePr>
    <w:tblStylePr w:type="band1Horz">
      <w:rPr>
        <w:color w:val="auto"/>
      </w:rPr>
      <w:tblPr/>
      <w:tcPr>
        <w:tcBorders>
          <w:tl2br w:val="none" w:sz="0" w:space="0" w:color="auto"/>
          <w:tr2bl w:val="none" w:sz="0" w:space="0" w:color="auto"/>
        </w:tcBorders>
        <w:shd w:val="solid" w:color="C0C0C0" w:fill="FFFFFF"/>
      </w:tcPr>
    </w:tblStylePr>
    <w:tblStylePr w:type="band2Horz">
      <w:rPr>
        <w:color w:val="auto"/>
      </w:rPr>
      <w:tblPr/>
      <w:tcPr>
        <w:tcBorders>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styleId="TableList2">
    <w:name w:val="Table List 2"/>
    <w:basedOn w:val="TableNormal"/>
    <w:semiHidden/>
    <w:locked/>
    <w:rsid w:val="00E45954"/>
    <w:pPr>
      <w:spacing w:after="240"/>
    </w:pPr>
    <w:tblPr>
      <w:tblStyleRowBandSize w:val="2"/>
      <w:tblInd w:w="0" w:type="dxa"/>
      <w:tblBorders>
        <w:bottom w:val="single" w:sz="12" w:space="0" w:color="808080"/>
      </w:tblBorders>
      <w:tblCellMar>
        <w:top w:w="0" w:type="dxa"/>
        <w:left w:w="108" w:type="dxa"/>
        <w:bottom w:w="0" w:type="dxa"/>
        <w:right w:w="108" w:type="dxa"/>
      </w:tblCellMar>
    </w:tblPr>
    <w:tblStylePr w:type="firstRow">
      <w:rPr>
        <w:b/>
        <w:bCs/>
        <w:color w:val="FFFFFF"/>
      </w:rPr>
      <w:tblPr/>
      <w:tcPr>
        <w:tcBorders>
          <w:bottom w:val="single" w:sz="6" w:space="0" w:color="000000"/>
          <w:tl2br w:val="none" w:sz="0" w:space="0" w:color="auto"/>
          <w:tr2bl w:val="none" w:sz="0" w:space="0" w:color="auto"/>
        </w:tcBorders>
        <w:shd w:val="pct75" w:color="008080" w:fill="008000"/>
      </w:tcPr>
    </w:tblStylePr>
    <w:tblStylePr w:type="lastRow">
      <w:tblPr/>
      <w:tcPr>
        <w:tcBorders>
          <w:top w:val="single" w:sz="6" w:space="0" w:color="000000"/>
          <w:tl2br w:val="none" w:sz="0" w:space="0" w:color="auto"/>
          <w:tr2bl w:val="none" w:sz="0" w:space="0" w:color="auto"/>
        </w:tcBorders>
      </w:tcPr>
    </w:tblStylePr>
    <w:tblStylePr w:type="band1Horz">
      <w:rPr>
        <w:color w:val="auto"/>
      </w:rPr>
      <w:tblPr/>
      <w:tcPr>
        <w:tcBorders>
          <w:tl2br w:val="none" w:sz="0" w:space="0" w:color="auto"/>
          <w:tr2bl w:val="none" w:sz="0" w:space="0" w:color="auto"/>
        </w:tcBorders>
        <w:shd w:val="pct20" w:color="00FF00" w:fill="FFFFFF"/>
      </w:tcPr>
    </w:tblStylePr>
    <w:tblStylePr w:type="band2Horz">
      <w:rPr>
        <w:color w:val="auto"/>
      </w:rPr>
      <w:tblPr/>
      <w:tcPr>
        <w:tcBorders>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styleId="TableList3">
    <w:name w:val="Table List 3"/>
    <w:basedOn w:val="TableNormal"/>
    <w:semiHidden/>
    <w:locked/>
    <w:rsid w:val="00E45954"/>
    <w:pPr>
      <w:spacing w:after="240"/>
    </w:pPr>
    <w:tblPr>
      <w:tblInd w:w="0" w:type="dxa"/>
      <w:tblBorders>
        <w:top w:val="single" w:sz="12" w:space="0" w:color="000000"/>
        <w:bottom w:val="single" w:sz="12" w:space="0" w:color="000000"/>
        <w:insideH w:val="single" w:sz="6" w:space="0" w:color="000000"/>
      </w:tblBorders>
      <w:tblCellMar>
        <w:top w:w="0" w:type="dxa"/>
        <w:left w:w="108" w:type="dxa"/>
        <w:bottom w:w="0" w:type="dxa"/>
        <w:right w:w="108" w:type="dxa"/>
      </w:tblCellMar>
    </w:tblPr>
    <w:tcPr>
      <w:shd w:val="clear" w:color="auto" w:fill="auto"/>
    </w:tcPr>
    <w:tblStylePr w:type="firstRow">
      <w:rPr>
        <w:b/>
        <w:bCs/>
        <w:color w:val="000080"/>
      </w:rPr>
      <w:tblPr/>
      <w:tcPr>
        <w:tcBorders>
          <w:bottom w:val="single" w:sz="12" w:space="0" w:color="000000"/>
          <w:tl2br w:val="none" w:sz="0" w:space="0" w:color="auto"/>
          <w:tr2bl w:val="none" w:sz="0" w:space="0" w:color="auto"/>
        </w:tcBorders>
      </w:tcPr>
    </w:tblStylePr>
    <w:tblStylePr w:type="lastRow">
      <w:tblPr/>
      <w:tcPr>
        <w:tcBorders>
          <w:top w:val="single" w:sz="12" w:space="0" w:color="000000"/>
          <w:tl2br w:val="none" w:sz="0" w:space="0" w:color="auto"/>
          <w:tr2bl w:val="none" w:sz="0" w:space="0" w:color="auto"/>
        </w:tcBorders>
      </w:tcPr>
    </w:tblStylePr>
    <w:tblStylePr w:type="swCell">
      <w:rPr>
        <w:i/>
        <w:iCs/>
        <w:color w:val="000080"/>
      </w:rPr>
      <w:tblPr/>
      <w:tcPr>
        <w:tcBorders>
          <w:tl2br w:val="none" w:sz="0" w:space="0" w:color="auto"/>
          <w:tr2bl w:val="none" w:sz="0" w:space="0" w:color="auto"/>
        </w:tcBorders>
      </w:tcPr>
    </w:tblStylePr>
  </w:style>
  <w:style w:type="table" w:styleId="TableList4">
    <w:name w:val="Table List 4"/>
    <w:basedOn w:val="TableNormal"/>
    <w:semiHidden/>
    <w:locked/>
    <w:rsid w:val="00E45954"/>
    <w:pPr>
      <w:spacing w:after="240"/>
    </w:pPr>
    <w:tblPr>
      <w:tblInd w:w="0" w:type="dxa"/>
      <w:tblBorders>
        <w:top w:val="single" w:sz="12" w:space="0" w:color="000000"/>
        <w:left w:val="single" w:sz="12" w:space="0" w:color="000000"/>
        <w:bottom w:val="single" w:sz="12" w:space="0" w:color="000000"/>
        <w:right w:val="single" w:sz="12" w:space="0" w:color="000000"/>
        <w:insideH w:val="single" w:sz="6" w:space="0" w:color="000000"/>
      </w:tblBorders>
      <w:tblCellMar>
        <w:top w:w="0" w:type="dxa"/>
        <w:left w:w="108" w:type="dxa"/>
        <w:bottom w:w="0" w:type="dxa"/>
        <w:right w:w="108" w:type="dxa"/>
      </w:tblCellMar>
    </w:tblPr>
    <w:tcPr>
      <w:shd w:val="clear" w:color="auto" w:fill="auto"/>
    </w:tcPr>
    <w:tblStylePr w:type="firstRow">
      <w:rPr>
        <w:b/>
        <w:bCs/>
        <w:color w:val="FFFFFF"/>
      </w:rPr>
      <w:tblPr/>
      <w:tcPr>
        <w:tcBorders>
          <w:bottom w:val="single" w:sz="12" w:space="0" w:color="000000"/>
          <w:tl2br w:val="none" w:sz="0" w:space="0" w:color="auto"/>
          <w:tr2bl w:val="none" w:sz="0" w:space="0" w:color="auto"/>
        </w:tcBorders>
        <w:shd w:val="solid" w:color="808080" w:fill="FFFFFF"/>
      </w:tcPr>
    </w:tblStylePr>
  </w:style>
  <w:style w:type="table" w:styleId="TableList5">
    <w:name w:val="Table List 5"/>
    <w:basedOn w:val="TableNormal"/>
    <w:semiHidden/>
    <w:locked/>
    <w:rsid w:val="00E45954"/>
    <w:pPr>
      <w:spacing w:after="240"/>
    </w:pPr>
    <w:tblPr>
      <w:tblInd w:w="0" w:type="dxa"/>
      <w:tblBorders>
        <w:top w:val="single" w:sz="6" w:space="0" w:color="000000"/>
        <w:left w:val="single" w:sz="6" w:space="0" w:color="000000"/>
        <w:bottom w:val="single" w:sz="6" w:space="0" w:color="000000"/>
        <w:right w:val="single" w:sz="6" w:space="0" w:color="000000"/>
        <w:insideH w:val="single" w:sz="6" w:space="0" w:color="000000"/>
      </w:tblBorders>
      <w:tblCellMar>
        <w:top w:w="0" w:type="dxa"/>
        <w:left w:w="108" w:type="dxa"/>
        <w:bottom w:w="0" w:type="dxa"/>
        <w:right w:w="108" w:type="dxa"/>
      </w:tblCellMar>
    </w:tblPr>
    <w:tcPr>
      <w:shd w:val="clear" w:color="auto" w:fill="auto"/>
    </w:tcPr>
    <w:tblStylePr w:type="firstRow">
      <w:rPr>
        <w:b/>
        <w:bCs/>
      </w:rPr>
      <w:tblPr/>
      <w:tcPr>
        <w:tcBorders>
          <w:bottom w:val="single" w:sz="12" w:space="0" w:color="000000"/>
          <w:tl2br w:val="none" w:sz="0" w:space="0" w:color="auto"/>
          <w:tr2bl w:val="none" w:sz="0" w:space="0" w:color="auto"/>
        </w:tcBorders>
      </w:tcPr>
    </w:tblStylePr>
    <w:tblStylePr w:type="firstCol">
      <w:rPr>
        <w:b/>
        <w:bCs/>
      </w:rPr>
      <w:tblPr/>
      <w:tcPr>
        <w:tcBorders>
          <w:tl2br w:val="none" w:sz="0" w:space="0" w:color="auto"/>
          <w:tr2bl w:val="none" w:sz="0" w:space="0" w:color="auto"/>
        </w:tcBorders>
      </w:tcPr>
    </w:tblStylePr>
  </w:style>
  <w:style w:type="table" w:styleId="TableList6">
    <w:name w:val="Table List 6"/>
    <w:basedOn w:val="TableNormal"/>
    <w:semiHidden/>
    <w:locked/>
    <w:rsid w:val="00E45954"/>
    <w:pPr>
      <w:spacing w:after="240"/>
    </w:pPr>
    <w:tblPr>
      <w:tblStyleRowBandSize w:val="1"/>
      <w:tblInd w:w="0" w:type="dxa"/>
      <w:tblBorders>
        <w:top w:val="single" w:sz="6" w:space="0" w:color="000000"/>
        <w:left w:val="single" w:sz="6" w:space="0" w:color="000000"/>
        <w:bottom w:val="single" w:sz="6" w:space="0" w:color="000000"/>
        <w:right w:val="single" w:sz="6" w:space="0" w:color="000000"/>
      </w:tblBorders>
      <w:tblCellMar>
        <w:top w:w="0" w:type="dxa"/>
        <w:left w:w="108" w:type="dxa"/>
        <w:bottom w:w="0" w:type="dxa"/>
        <w:right w:w="108" w:type="dxa"/>
      </w:tblCellMar>
    </w:tblPr>
    <w:tcPr>
      <w:shd w:val="pct50" w:color="000000" w:fill="FFFFFF"/>
    </w:tcPr>
    <w:tblStylePr w:type="firstRow">
      <w:rPr>
        <w:b/>
        <w:bCs/>
      </w:rPr>
      <w:tblPr/>
      <w:tcPr>
        <w:tcBorders>
          <w:bottom w:val="single" w:sz="12" w:space="0" w:color="000000"/>
          <w:tl2br w:val="none" w:sz="0" w:space="0" w:color="auto"/>
          <w:tr2bl w:val="none" w:sz="0" w:space="0" w:color="auto"/>
        </w:tcBorders>
      </w:tcPr>
    </w:tblStylePr>
    <w:tblStylePr w:type="firstCol">
      <w:rPr>
        <w:b/>
        <w:bCs/>
      </w:rPr>
      <w:tblPr/>
      <w:tcPr>
        <w:tcBorders>
          <w:right w:val="single" w:sz="12" w:space="0" w:color="000000"/>
          <w:tl2br w:val="none" w:sz="0" w:space="0" w:color="auto"/>
          <w:tr2bl w:val="none" w:sz="0" w:space="0" w:color="auto"/>
        </w:tcBorders>
      </w:tcPr>
    </w:tblStylePr>
    <w:tblStylePr w:type="band1Horz">
      <w:tblPr/>
      <w:tcPr>
        <w:tcBorders>
          <w:tl2br w:val="none" w:sz="0" w:space="0" w:color="auto"/>
          <w:tr2bl w:val="none" w:sz="0" w:space="0" w:color="auto"/>
        </w:tcBorders>
        <w:shd w:val="pct25" w:color="000000" w:fill="FFFFFF"/>
      </w:tcPr>
    </w:tblStylePr>
  </w:style>
  <w:style w:type="table" w:styleId="TableList7">
    <w:name w:val="Table List 7"/>
    <w:basedOn w:val="TableNormal"/>
    <w:semiHidden/>
    <w:locked/>
    <w:rsid w:val="00E45954"/>
    <w:pPr>
      <w:spacing w:after="240"/>
    </w:pPr>
    <w:tblPr>
      <w:tblStyleRowBandSize w:val="1"/>
      <w:tblInd w:w="0" w:type="dxa"/>
      <w:tblBorders>
        <w:top w:val="single" w:sz="12" w:space="0" w:color="008000"/>
        <w:left w:val="single" w:sz="6" w:space="0" w:color="008000"/>
        <w:bottom w:val="single" w:sz="12" w:space="0" w:color="008000"/>
        <w:right w:val="single" w:sz="6" w:space="0" w:color="008000"/>
        <w:insideH w:val="single" w:sz="6" w:space="0" w:color="000000"/>
      </w:tblBorders>
      <w:tblCellMar>
        <w:top w:w="0" w:type="dxa"/>
        <w:left w:w="108" w:type="dxa"/>
        <w:bottom w:w="0" w:type="dxa"/>
        <w:right w:w="108" w:type="dxa"/>
      </w:tblCellMar>
    </w:tblPr>
    <w:tblStylePr w:type="firstRow">
      <w:rPr>
        <w:b/>
        <w:bCs/>
      </w:rPr>
      <w:tblPr/>
      <w:tcPr>
        <w:tcBorders>
          <w:bottom w:val="single" w:sz="12" w:space="0" w:color="008000"/>
          <w:tl2br w:val="none" w:sz="0" w:space="0" w:color="auto"/>
          <w:tr2bl w:val="none" w:sz="0" w:space="0" w:color="auto"/>
        </w:tcBorders>
        <w:shd w:val="solid" w:color="C0C0C0" w:fill="FFFFFF"/>
      </w:tcPr>
    </w:tblStylePr>
    <w:tblStylePr w:type="lastRow">
      <w:rPr>
        <w:b/>
        <w:bCs/>
      </w:rPr>
      <w:tblPr/>
      <w:tcPr>
        <w:tcBorders>
          <w:top w:val="single" w:sz="12" w:space="0" w:color="008000"/>
          <w:tl2br w:val="none" w:sz="0" w:space="0" w:color="auto"/>
          <w:tr2bl w:val="none" w:sz="0" w:space="0" w:color="auto"/>
        </w:tcBorders>
      </w:tcPr>
    </w:tblStylePr>
    <w:tblStylePr w:type="firstCol">
      <w:rPr>
        <w:b/>
        <w:bCs/>
      </w:rPr>
      <w:tblPr/>
      <w:tcPr>
        <w:tcBorders>
          <w:tl2br w:val="none" w:sz="0" w:space="0" w:color="auto"/>
          <w:tr2bl w:val="none" w:sz="0" w:space="0" w:color="auto"/>
        </w:tcBorders>
      </w:tcPr>
    </w:tblStylePr>
    <w:tblStylePr w:type="lastCol">
      <w:rPr>
        <w:b/>
        <w:bCs/>
      </w:rPr>
      <w:tblPr/>
      <w:tcPr>
        <w:tcBorders>
          <w:tl2br w:val="none" w:sz="0" w:space="0" w:color="auto"/>
          <w:tr2bl w:val="none" w:sz="0" w:space="0" w:color="auto"/>
        </w:tcBorders>
      </w:tcPr>
    </w:tblStylePr>
    <w:tblStylePr w:type="band1Horz">
      <w:rPr>
        <w:color w:val="auto"/>
      </w:rPr>
      <w:tblPr/>
      <w:tcPr>
        <w:tcBorders>
          <w:tl2br w:val="none" w:sz="0" w:space="0" w:color="auto"/>
          <w:tr2bl w:val="none" w:sz="0" w:space="0" w:color="auto"/>
        </w:tcBorders>
        <w:shd w:val="pct20" w:color="000000" w:fill="FFFFFF"/>
      </w:tcPr>
    </w:tblStylePr>
    <w:tblStylePr w:type="band2Horz">
      <w:tblPr/>
      <w:tcPr>
        <w:tcBorders>
          <w:tl2br w:val="none" w:sz="0" w:space="0" w:color="auto"/>
          <w:tr2bl w:val="none" w:sz="0" w:space="0" w:color="auto"/>
        </w:tcBorders>
        <w:shd w:val="pct25" w:color="FFFF00" w:fill="FFFFFF"/>
      </w:tcPr>
    </w:tblStylePr>
  </w:style>
  <w:style w:type="table" w:styleId="TableList8">
    <w:name w:val="Table List 8"/>
    <w:basedOn w:val="TableNormal"/>
    <w:semiHidden/>
    <w:locked/>
    <w:rsid w:val="00E45954"/>
    <w:pPr>
      <w:spacing w:after="240"/>
    </w:pPr>
    <w:tblPr>
      <w:tblStyleRowBandSize w:val="1"/>
      <w:tblInd w:w="0" w:type="dxa"/>
      <w:tblBorders>
        <w:top w:val="single" w:sz="6" w:space="0" w:color="000000"/>
        <w:left w:val="single" w:sz="6" w:space="0" w:color="000000"/>
        <w:bottom w:val="single" w:sz="6" w:space="0" w:color="000000"/>
        <w:right w:val="single" w:sz="6" w:space="0" w:color="000000"/>
        <w:insideV w:val="single" w:sz="6" w:space="0" w:color="000000"/>
      </w:tblBorders>
      <w:tblCellMar>
        <w:top w:w="0" w:type="dxa"/>
        <w:left w:w="108" w:type="dxa"/>
        <w:bottom w:w="0" w:type="dxa"/>
        <w:right w:w="108" w:type="dxa"/>
      </w:tblCellMar>
    </w:tblPr>
    <w:tblStylePr w:type="firstRow">
      <w:rPr>
        <w:b/>
        <w:bCs/>
        <w:i/>
        <w:iCs/>
      </w:rPr>
      <w:tblPr/>
      <w:tcPr>
        <w:tcBorders>
          <w:bottom w:val="single" w:sz="6" w:space="0" w:color="000000"/>
          <w:tl2br w:val="none" w:sz="0" w:space="0" w:color="auto"/>
          <w:tr2bl w:val="none" w:sz="0" w:space="0" w:color="auto"/>
        </w:tcBorders>
        <w:shd w:val="solid" w:color="FFFF00" w:fill="FFFFFF"/>
      </w:tcPr>
    </w:tblStylePr>
    <w:tblStylePr w:type="lastRow">
      <w:rPr>
        <w:b/>
        <w:bCs/>
      </w:rPr>
      <w:tblPr/>
      <w:tcPr>
        <w:tcBorders>
          <w:top w:val="single" w:sz="6" w:space="0" w:color="000000"/>
          <w:tl2br w:val="none" w:sz="0" w:space="0" w:color="auto"/>
          <w:tr2bl w:val="none" w:sz="0" w:space="0" w:color="auto"/>
        </w:tcBorders>
      </w:tcPr>
    </w:tblStylePr>
    <w:tblStylePr w:type="firstCol">
      <w:rPr>
        <w:b/>
        <w:bCs/>
      </w:rPr>
      <w:tblPr/>
      <w:tcPr>
        <w:tcBorders>
          <w:tl2br w:val="none" w:sz="0" w:space="0" w:color="auto"/>
          <w:tr2bl w:val="none" w:sz="0" w:space="0" w:color="auto"/>
        </w:tcBorders>
      </w:tcPr>
    </w:tblStylePr>
    <w:tblStylePr w:type="lastCol">
      <w:rPr>
        <w:b/>
        <w:bCs/>
      </w:rPr>
      <w:tblPr/>
      <w:tcPr>
        <w:tcBorders>
          <w:tl2br w:val="none" w:sz="0" w:space="0" w:color="auto"/>
          <w:tr2bl w:val="none" w:sz="0" w:space="0" w:color="auto"/>
        </w:tcBorders>
      </w:tcPr>
    </w:tblStylePr>
    <w:tblStylePr w:type="band1Horz">
      <w:rPr>
        <w:color w:val="auto"/>
      </w:rPr>
      <w:tblPr/>
      <w:tcPr>
        <w:tcBorders>
          <w:tl2br w:val="none" w:sz="0" w:space="0" w:color="auto"/>
          <w:tr2bl w:val="none" w:sz="0" w:space="0" w:color="auto"/>
        </w:tcBorders>
        <w:shd w:val="pct25" w:color="FFFF00" w:fill="FFFFFF"/>
      </w:tcPr>
    </w:tblStylePr>
    <w:tblStylePr w:type="band2Horz">
      <w:tblPr/>
      <w:tcPr>
        <w:tcBorders>
          <w:tl2br w:val="none" w:sz="0" w:space="0" w:color="auto"/>
          <w:tr2bl w:val="none" w:sz="0" w:space="0" w:color="auto"/>
        </w:tcBorders>
        <w:shd w:val="pct50" w:color="FF0000" w:fill="FFFFFF"/>
      </w:tcPr>
    </w:tblStylePr>
  </w:style>
  <w:style w:type="table" w:styleId="TableProfessional">
    <w:name w:val="Table Professional"/>
    <w:basedOn w:val="TableNormal"/>
    <w:semiHidden/>
    <w:locked/>
    <w:rsid w:val="00E45954"/>
    <w:pPr>
      <w:spacing w:after="240"/>
    </w:pPr>
    <w:tblPr>
      <w:tblInd w:w="0" w:type="dxa"/>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CellMar>
        <w:top w:w="0" w:type="dxa"/>
        <w:left w:w="108" w:type="dxa"/>
        <w:bottom w:w="0" w:type="dxa"/>
        <w:right w:w="108" w:type="dxa"/>
      </w:tblCellMar>
    </w:tblPr>
    <w:tcPr>
      <w:shd w:val="clear" w:color="auto" w:fill="auto"/>
    </w:tcPr>
    <w:tblStylePr w:type="firstRow">
      <w:rPr>
        <w:b/>
        <w:bCs/>
        <w:color w:val="auto"/>
      </w:rPr>
      <w:tblPr/>
      <w:tcPr>
        <w:tcBorders>
          <w:tl2br w:val="none" w:sz="0" w:space="0" w:color="auto"/>
          <w:tr2bl w:val="none" w:sz="0" w:space="0" w:color="auto"/>
        </w:tcBorders>
        <w:shd w:val="solid" w:color="000000" w:fill="FFFFFF"/>
      </w:tcPr>
    </w:tblStylePr>
  </w:style>
  <w:style w:type="table" w:styleId="TableSimple1">
    <w:name w:val="Table Simple 1"/>
    <w:basedOn w:val="TableNormal"/>
    <w:semiHidden/>
    <w:locked/>
    <w:rsid w:val="00E45954"/>
    <w:pPr>
      <w:spacing w:after="240"/>
    </w:pPr>
    <w:tblPr>
      <w:tblInd w:w="0" w:type="dxa"/>
      <w:tblBorders>
        <w:top w:val="single" w:sz="12" w:space="0" w:color="008000"/>
        <w:bottom w:val="single" w:sz="12" w:space="0" w:color="008000"/>
      </w:tblBorders>
      <w:tblCellMar>
        <w:top w:w="0" w:type="dxa"/>
        <w:left w:w="108" w:type="dxa"/>
        <w:bottom w:w="0" w:type="dxa"/>
        <w:right w:w="108" w:type="dxa"/>
      </w:tblCellMar>
    </w:tblPr>
    <w:tcPr>
      <w:shd w:val="clear" w:color="auto" w:fill="auto"/>
    </w:tcPr>
    <w:tblStylePr w:type="firstRow">
      <w:tblPr/>
      <w:tcPr>
        <w:tcBorders>
          <w:bottom w:val="single" w:sz="6" w:space="0" w:color="008000"/>
          <w:tl2br w:val="none" w:sz="0" w:space="0" w:color="auto"/>
          <w:tr2bl w:val="none" w:sz="0" w:space="0" w:color="auto"/>
        </w:tcBorders>
      </w:tcPr>
    </w:tblStylePr>
    <w:tblStylePr w:type="lastRow">
      <w:tblPr/>
      <w:tcPr>
        <w:tcBorders>
          <w:top w:val="single" w:sz="6" w:space="0" w:color="008000"/>
          <w:tl2br w:val="none" w:sz="0" w:space="0" w:color="auto"/>
          <w:tr2bl w:val="none" w:sz="0" w:space="0" w:color="auto"/>
        </w:tcBorders>
      </w:tcPr>
    </w:tblStylePr>
  </w:style>
  <w:style w:type="table" w:styleId="TableSimple2">
    <w:name w:val="Table Simple 2"/>
    <w:basedOn w:val="TableNormal"/>
    <w:semiHidden/>
    <w:locked/>
    <w:rsid w:val="00E45954"/>
    <w:pPr>
      <w:spacing w:after="240"/>
    </w:pPr>
    <w:tblPr>
      <w:tblInd w:w="0" w:type="dxa"/>
      <w:tblCellMar>
        <w:top w:w="0" w:type="dxa"/>
        <w:left w:w="108" w:type="dxa"/>
        <w:bottom w:w="0" w:type="dxa"/>
        <w:right w:w="108" w:type="dxa"/>
      </w:tblCellMar>
    </w:tblPr>
    <w:tblStylePr w:type="firstRow">
      <w:rPr>
        <w:b/>
        <w:bCs/>
      </w:rPr>
      <w:tblPr/>
      <w:tcPr>
        <w:tcBorders>
          <w:bottom w:val="single" w:sz="12" w:space="0" w:color="000000"/>
          <w:tl2br w:val="none" w:sz="0" w:space="0" w:color="auto"/>
          <w:tr2bl w:val="none" w:sz="0" w:space="0" w:color="auto"/>
        </w:tcBorders>
      </w:tcPr>
    </w:tblStylePr>
    <w:tblStylePr w:type="lastRow">
      <w:rPr>
        <w:b/>
        <w:bCs/>
        <w:color w:val="auto"/>
      </w:rPr>
      <w:tblPr/>
      <w:tcPr>
        <w:tcBorders>
          <w:top w:val="single" w:sz="6" w:space="0" w:color="000000"/>
          <w:tl2br w:val="none" w:sz="0" w:space="0" w:color="auto"/>
          <w:tr2bl w:val="none" w:sz="0" w:space="0" w:color="auto"/>
        </w:tcBorders>
      </w:tcPr>
    </w:tblStylePr>
    <w:tblStylePr w:type="firstCol">
      <w:rPr>
        <w:b/>
        <w:bCs/>
      </w:rPr>
      <w:tblPr/>
      <w:tcPr>
        <w:tcBorders>
          <w:right w:val="single" w:sz="12" w:space="0" w:color="000000"/>
          <w:tl2br w:val="none" w:sz="0" w:space="0" w:color="auto"/>
          <w:tr2bl w:val="none" w:sz="0" w:space="0" w:color="auto"/>
        </w:tcBorders>
      </w:tcPr>
    </w:tblStylePr>
    <w:tblStylePr w:type="lastCol">
      <w:rPr>
        <w:b/>
        <w:bCs/>
      </w:rPr>
      <w:tblPr/>
      <w:tcPr>
        <w:tcBorders>
          <w:left w:val="single" w:sz="6" w:space="0" w:color="000000"/>
          <w:tl2br w:val="none" w:sz="0" w:space="0" w:color="auto"/>
          <w:tr2bl w:val="none" w:sz="0" w:space="0" w:color="auto"/>
        </w:tcBorders>
      </w:tcPr>
    </w:tblStylePr>
    <w:tblStylePr w:type="neCell">
      <w:rPr>
        <w:b/>
        <w:bCs/>
      </w:rPr>
      <w:tblPr/>
      <w:tcPr>
        <w:tcBorders>
          <w:left w:val="none" w:sz="0" w:space="0" w:color="auto"/>
          <w:tl2br w:val="none" w:sz="0" w:space="0" w:color="auto"/>
          <w:tr2bl w:val="none" w:sz="0" w:space="0" w:color="auto"/>
        </w:tcBorders>
      </w:tcPr>
    </w:tblStylePr>
    <w:tblStylePr w:type="swCell">
      <w:rPr>
        <w:b/>
        <w:bCs/>
      </w:rPr>
      <w:tblPr/>
      <w:tcPr>
        <w:tcBorders>
          <w:top w:val="none" w:sz="0" w:space="0" w:color="auto"/>
          <w:tl2br w:val="none" w:sz="0" w:space="0" w:color="auto"/>
          <w:tr2bl w:val="none" w:sz="0" w:space="0" w:color="auto"/>
        </w:tcBorders>
      </w:tcPr>
    </w:tblStylePr>
  </w:style>
  <w:style w:type="table" w:styleId="TableSimple3">
    <w:name w:val="Table Simple 3"/>
    <w:basedOn w:val="TableNormal"/>
    <w:semiHidden/>
    <w:locked/>
    <w:rsid w:val="00E45954"/>
    <w:pPr>
      <w:spacing w:after="240"/>
    </w:pPr>
    <w:tblPr>
      <w:tblInd w:w="0" w:type="dxa"/>
      <w:tblBorders>
        <w:top w:val="single" w:sz="12" w:space="0" w:color="000000"/>
        <w:left w:val="single" w:sz="12" w:space="0" w:color="000000"/>
        <w:bottom w:val="single" w:sz="12" w:space="0" w:color="000000"/>
        <w:right w:val="single" w:sz="12" w:space="0" w:color="000000"/>
      </w:tblBorders>
      <w:tblCellMar>
        <w:top w:w="0" w:type="dxa"/>
        <w:left w:w="108" w:type="dxa"/>
        <w:bottom w:w="0" w:type="dxa"/>
        <w:right w:w="108" w:type="dxa"/>
      </w:tblCellMar>
    </w:tblPr>
    <w:tcPr>
      <w:shd w:val="clear" w:color="auto" w:fill="auto"/>
    </w:tcPr>
    <w:tblStylePr w:type="firstRow">
      <w:rPr>
        <w:b/>
        <w:bCs/>
        <w:color w:val="FFFFFF"/>
      </w:rPr>
      <w:tblPr/>
      <w:tcPr>
        <w:tcBorders>
          <w:tl2br w:val="none" w:sz="0" w:space="0" w:color="auto"/>
          <w:tr2bl w:val="none" w:sz="0" w:space="0" w:color="auto"/>
        </w:tcBorders>
        <w:shd w:val="solid" w:color="000000" w:fill="FFFFFF"/>
      </w:tcPr>
    </w:tblStylePr>
  </w:style>
  <w:style w:type="table" w:styleId="TableSubtle1">
    <w:name w:val="Table Subtle 1"/>
    <w:basedOn w:val="TableNormal"/>
    <w:semiHidden/>
    <w:locked/>
    <w:rsid w:val="00E45954"/>
    <w:pPr>
      <w:spacing w:after="240"/>
    </w:pPr>
    <w:tblPr>
      <w:tblStyleRowBandSize w:val="1"/>
      <w:tblInd w:w="0" w:type="dxa"/>
      <w:tblCellMar>
        <w:top w:w="0" w:type="dxa"/>
        <w:left w:w="108" w:type="dxa"/>
        <w:bottom w:w="0" w:type="dxa"/>
        <w:right w:w="108" w:type="dxa"/>
      </w:tblCellMar>
    </w:tblPr>
    <w:tblStylePr w:type="firstRow">
      <w:tblPr/>
      <w:tcPr>
        <w:tcBorders>
          <w:top w:val="single" w:sz="6" w:space="0" w:color="000000"/>
          <w:bottom w:val="single" w:sz="12" w:space="0" w:color="000000"/>
          <w:tl2br w:val="none" w:sz="0" w:space="0" w:color="auto"/>
          <w:tr2bl w:val="none" w:sz="0" w:space="0" w:color="auto"/>
        </w:tcBorders>
      </w:tcPr>
    </w:tblStylePr>
    <w:tblStylePr w:type="lastRow">
      <w:tblPr/>
      <w:tcPr>
        <w:tcBorders>
          <w:top w:val="single" w:sz="12" w:space="0" w:color="000000"/>
          <w:tl2br w:val="none" w:sz="0" w:space="0" w:color="auto"/>
          <w:tr2bl w:val="none" w:sz="0" w:space="0" w:color="auto"/>
        </w:tcBorders>
        <w:shd w:val="pct25" w:color="800080" w:fill="FFFFFF"/>
      </w:tcPr>
    </w:tblStylePr>
    <w:tblStylePr w:type="firstCol">
      <w:tblPr/>
      <w:tcPr>
        <w:tcBorders>
          <w:right w:val="single" w:sz="12" w:space="0" w:color="000000"/>
          <w:tl2br w:val="none" w:sz="0" w:space="0" w:color="auto"/>
          <w:tr2bl w:val="none" w:sz="0" w:space="0" w:color="auto"/>
        </w:tcBorders>
      </w:tcPr>
    </w:tblStylePr>
    <w:tblStylePr w:type="lastCol">
      <w:tblPr/>
      <w:tcPr>
        <w:tcBorders>
          <w:left w:val="single" w:sz="12" w:space="0" w:color="000000"/>
          <w:tl2br w:val="none" w:sz="0" w:space="0" w:color="auto"/>
          <w:tr2bl w:val="none" w:sz="0" w:space="0" w:color="auto"/>
        </w:tcBorders>
      </w:tcPr>
    </w:tblStylePr>
    <w:tblStylePr w:type="band1Horz">
      <w:tblPr/>
      <w:tcPr>
        <w:tcBorders>
          <w:bottom w:val="single" w:sz="6" w:space="0" w:color="000000"/>
          <w:tl2br w:val="none" w:sz="0" w:space="0" w:color="auto"/>
          <w:tr2bl w:val="none" w:sz="0" w:space="0" w:color="auto"/>
        </w:tcBorders>
        <w:shd w:val="pct25" w:color="808000" w:fill="FFFFFF"/>
      </w:tcPr>
    </w:tblStylePr>
    <w:tblStylePr w:type="neCell">
      <w:rPr>
        <w:b/>
        <w:bCs/>
      </w:rPr>
      <w:tblPr/>
      <w:tcPr>
        <w:tcBorders>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styleId="TableSubtle2">
    <w:name w:val="Table Subtle 2"/>
    <w:basedOn w:val="TableNormal"/>
    <w:semiHidden/>
    <w:locked/>
    <w:rsid w:val="00E45954"/>
    <w:pPr>
      <w:spacing w:after="240"/>
    </w:pPr>
    <w:tblPr>
      <w:tblInd w:w="0" w:type="dxa"/>
      <w:tblBorders>
        <w:left w:val="single" w:sz="6" w:space="0" w:color="000000"/>
        <w:right w:val="single" w:sz="6" w:space="0" w:color="000000"/>
      </w:tblBorders>
      <w:tblCellMar>
        <w:top w:w="0" w:type="dxa"/>
        <w:left w:w="108" w:type="dxa"/>
        <w:bottom w:w="0" w:type="dxa"/>
        <w:right w:w="108" w:type="dxa"/>
      </w:tblCellMar>
    </w:tblPr>
    <w:tblStylePr w:type="firstRow">
      <w:tblPr/>
      <w:tcPr>
        <w:tcBorders>
          <w:bottom w:val="single" w:sz="12" w:space="0" w:color="000000"/>
          <w:tl2br w:val="none" w:sz="0" w:space="0" w:color="auto"/>
          <w:tr2bl w:val="none" w:sz="0" w:space="0" w:color="auto"/>
        </w:tcBorders>
      </w:tcPr>
    </w:tblStylePr>
    <w:tblStylePr w:type="lastRow">
      <w:tblPr/>
      <w:tcPr>
        <w:tcBorders>
          <w:top w:val="single" w:sz="12" w:space="0" w:color="000000"/>
          <w:tl2br w:val="none" w:sz="0" w:space="0" w:color="auto"/>
          <w:tr2bl w:val="none" w:sz="0" w:space="0" w:color="auto"/>
        </w:tcBorders>
      </w:tcPr>
    </w:tblStylePr>
    <w:tblStylePr w:type="firstCol">
      <w:tblPr/>
      <w:tcPr>
        <w:tcBorders>
          <w:right w:val="single" w:sz="12" w:space="0" w:color="000000"/>
          <w:tl2br w:val="none" w:sz="0" w:space="0" w:color="auto"/>
          <w:tr2bl w:val="none" w:sz="0" w:space="0" w:color="auto"/>
        </w:tcBorders>
        <w:shd w:val="pct25" w:color="008000" w:fill="FFFFFF"/>
      </w:tcPr>
    </w:tblStylePr>
    <w:tblStylePr w:type="lastCol">
      <w:tblPr/>
      <w:tcPr>
        <w:tcBorders>
          <w:left w:val="single" w:sz="12" w:space="0" w:color="000000"/>
          <w:tl2br w:val="none" w:sz="0" w:space="0" w:color="auto"/>
          <w:tr2bl w:val="none" w:sz="0" w:space="0" w:color="auto"/>
        </w:tcBorders>
        <w:shd w:val="pct25" w:color="808000" w:fill="FFFFFF"/>
      </w:tcPr>
    </w:tblStylePr>
    <w:tblStylePr w:type="neCell">
      <w:rPr>
        <w:b/>
        <w:bCs/>
      </w:rPr>
      <w:tblPr/>
      <w:tcPr>
        <w:tcBorders>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styleId="TableTheme">
    <w:name w:val="Table Theme"/>
    <w:basedOn w:val="TableNormal"/>
    <w:semiHidden/>
    <w:locked/>
    <w:rsid w:val="00E45954"/>
    <w:pPr>
      <w:spacing w:after="240"/>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styleId="TableWeb1">
    <w:name w:val="Table Web 1"/>
    <w:basedOn w:val="TableNormal"/>
    <w:semiHidden/>
    <w:locked/>
    <w:rsid w:val="00E45954"/>
    <w:pPr>
      <w:spacing w:after="240"/>
    </w:pPr>
    <w:tblPr>
      <w:tblCellSpacing w:w="20" w:type="dxa"/>
      <w:tblInd w:w="0" w:type="dxa"/>
      <w:tblBorders>
        <w:top w:val="outset" w:sz="6" w:space="0" w:color="auto"/>
        <w:left w:val="outset" w:sz="6" w:space="0" w:color="auto"/>
        <w:bottom w:val="outset" w:sz="6" w:space="0" w:color="auto"/>
        <w:right w:val="outset" w:sz="6" w:space="0" w:color="auto"/>
        <w:insideH w:val="outset" w:sz="6" w:space="0" w:color="auto"/>
        <w:insideV w:val="outset" w:sz="6" w:space="0" w:color="auto"/>
      </w:tblBorders>
      <w:tblCellMar>
        <w:top w:w="0" w:type="dxa"/>
        <w:left w:w="108" w:type="dxa"/>
        <w:bottom w:w="0" w:type="dxa"/>
        <w:right w:w="108" w:type="dxa"/>
      </w:tblCellMar>
    </w:tblPr>
    <w:trPr>
      <w:tblCellSpacing w:w="20" w:type="dxa"/>
    </w:trPr>
    <w:tcPr>
      <w:shd w:val="clear" w:color="auto" w:fill="auto"/>
    </w:tcPr>
    <w:tblStylePr w:type="firstRow">
      <w:rPr>
        <w:color w:val="auto"/>
      </w:rPr>
      <w:tblPr/>
      <w:tcPr>
        <w:tcBorders>
          <w:tl2br w:val="none" w:sz="0" w:space="0" w:color="auto"/>
          <w:tr2bl w:val="none" w:sz="0" w:space="0" w:color="auto"/>
        </w:tcBorders>
      </w:tcPr>
    </w:tblStylePr>
  </w:style>
  <w:style w:type="table" w:styleId="TableWeb2">
    <w:name w:val="Table Web 2"/>
    <w:basedOn w:val="TableNormal"/>
    <w:semiHidden/>
    <w:locked/>
    <w:rsid w:val="00E45954"/>
    <w:pPr>
      <w:spacing w:after="240"/>
    </w:pPr>
    <w:tblPr>
      <w:tblCellSpacing w:w="20" w:type="dxa"/>
      <w:tblInd w:w="0" w:type="dxa"/>
      <w:tblBorders>
        <w:top w:val="inset" w:sz="6" w:space="0" w:color="auto"/>
        <w:left w:val="inset" w:sz="6" w:space="0" w:color="auto"/>
        <w:bottom w:val="inset" w:sz="6" w:space="0" w:color="auto"/>
        <w:right w:val="inset" w:sz="6" w:space="0" w:color="auto"/>
        <w:insideH w:val="inset" w:sz="6" w:space="0" w:color="auto"/>
        <w:insideV w:val="inset" w:sz="6" w:space="0" w:color="auto"/>
      </w:tblBorders>
      <w:tblCellMar>
        <w:top w:w="0" w:type="dxa"/>
        <w:left w:w="108" w:type="dxa"/>
        <w:bottom w:w="0" w:type="dxa"/>
        <w:right w:w="108" w:type="dxa"/>
      </w:tblCellMar>
    </w:tblPr>
    <w:trPr>
      <w:tblCellSpacing w:w="20" w:type="dxa"/>
    </w:trPr>
    <w:tcPr>
      <w:shd w:val="clear" w:color="auto" w:fill="auto"/>
    </w:tcPr>
    <w:tblStylePr w:type="firstRow">
      <w:rPr>
        <w:color w:val="auto"/>
      </w:rPr>
      <w:tblPr/>
      <w:tcPr>
        <w:tcBorders>
          <w:tl2br w:val="none" w:sz="0" w:space="0" w:color="auto"/>
          <w:tr2bl w:val="none" w:sz="0" w:space="0" w:color="auto"/>
        </w:tcBorders>
      </w:tcPr>
    </w:tblStylePr>
  </w:style>
  <w:style w:type="table" w:styleId="TableWeb3">
    <w:name w:val="Table Web 3"/>
    <w:basedOn w:val="TableNormal"/>
    <w:semiHidden/>
    <w:locked/>
    <w:rsid w:val="00E45954"/>
    <w:pPr>
      <w:spacing w:after="240"/>
    </w:pPr>
    <w:tblPr>
      <w:tblCellSpacing w:w="20" w:type="dxa"/>
      <w:tblInd w:w="0" w:type="dxa"/>
      <w:tblBorders>
        <w:top w:val="outset" w:sz="24" w:space="0" w:color="auto"/>
        <w:left w:val="outset" w:sz="24" w:space="0" w:color="auto"/>
        <w:bottom w:val="outset" w:sz="24" w:space="0" w:color="auto"/>
        <w:right w:val="outset" w:sz="24" w:space="0" w:color="auto"/>
        <w:insideH w:val="outset" w:sz="6" w:space="0" w:color="auto"/>
        <w:insideV w:val="outset" w:sz="6" w:space="0" w:color="auto"/>
      </w:tblBorders>
      <w:tblCellMar>
        <w:top w:w="0" w:type="dxa"/>
        <w:left w:w="108" w:type="dxa"/>
        <w:bottom w:w="0" w:type="dxa"/>
        <w:right w:w="108" w:type="dxa"/>
      </w:tblCellMar>
    </w:tblPr>
    <w:trPr>
      <w:tblCellSpacing w:w="20" w:type="dxa"/>
    </w:trPr>
    <w:tcPr>
      <w:shd w:val="clear" w:color="auto" w:fill="auto"/>
    </w:tcPr>
    <w:tblStylePr w:type="firstRow">
      <w:rPr>
        <w:color w:val="auto"/>
      </w:rPr>
      <w:tblPr/>
      <w:tcPr>
        <w:tcBorders>
          <w:tl2br w:val="none" w:sz="0" w:space="0" w:color="auto"/>
          <w:tr2bl w:val="none" w:sz="0" w:space="0" w:color="auto"/>
        </w:tcBorders>
      </w:tcPr>
    </w:tblStylePr>
  </w:style>
  <w:style w:type="paragraph" w:styleId="Title">
    <w:name w:val="Title"/>
    <w:basedOn w:val="Normal"/>
    <w:qFormat/>
    <w:locked/>
    <w:rsid w:val="00E45954"/>
    <w:pPr>
      <w:spacing w:after="60"/>
      <w:jc w:val="center"/>
      <w:outlineLvl w:val="0"/>
    </w:pPr>
    <w:rPr>
      <w:rFonts w:cs="Arial"/>
      <w:b/>
      <w:bCs/>
      <w:kern w:val="28"/>
      <w:sz w:val="32"/>
      <w:szCs w:val="32"/>
    </w:rPr>
  </w:style>
  <w:style w:type="character" w:styleId="FollowedHyperlink">
    <w:name w:val="FollowedHyperlink"/>
    <w:basedOn w:val="DefaultParagraphFont"/>
    <w:semiHidden/>
    <w:locked/>
    <w:rsid w:val="00E45954"/>
    <w:rPr>
      <w:color w:val="800080"/>
      <w:u w:val="single"/>
    </w:rPr>
  </w:style>
  <w:style w:type="paragraph" w:styleId="ListBullet">
    <w:name w:val="List Bullet"/>
    <w:basedOn w:val="Normal"/>
    <w:semiHidden/>
    <w:locked/>
    <w:rsid w:val="00950E88"/>
    <w:pPr>
      <w:numPr>
        <w:numId w:val="1"/>
      </w:numPr>
    </w:pPr>
  </w:style>
  <w:style w:type="paragraph" w:customStyle="1" w:styleId="Contactdetails">
    <w:name w:val="Contact details"/>
    <w:basedOn w:val="Normal"/>
    <w:semiHidden/>
    <w:rsid w:val="002702D9"/>
    <w:pPr>
      <w:keepNext/>
      <w:keepLines/>
      <w:widowControl w:val="0"/>
      <w:tabs>
        <w:tab w:val="left" w:pos="566"/>
        <w:tab w:val="left" w:pos="1133"/>
        <w:tab w:val="left" w:pos="1700"/>
        <w:tab w:val="left" w:pos="2267"/>
        <w:tab w:val="left" w:pos="2834"/>
        <w:tab w:val="left" w:pos="3401"/>
        <w:tab w:val="left" w:pos="3968"/>
        <w:tab w:val="left" w:pos="4535"/>
        <w:tab w:val="left" w:pos="5102"/>
        <w:tab w:val="left" w:pos="5669"/>
        <w:tab w:val="left" w:pos="6236"/>
        <w:tab w:val="left" w:pos="6803"/>
      </w:tabs>
      <w:autoSpaceDE w:val="0"/>
      <w:autoSpaceDN w:val="0"/>
      <w:adjustRightInd w:val="0"/>
      <w:spacing w:line="210" w:lineRule="exact"/>
    </w:pPr>
    <w:rPr>
      <w:rFonts w:ascii="ArialMT" w:hAnsi="ArialMT" w:cs="ArialMT"/>
      <w:sz w:val="20"/>
      <w:lang w:val="en-US" w:bidi="en-US"/>
    </w:rPr>
  </w:style>
  <w:style w:type="character" w:customStyle="1" w:styleId="CharChar9">
    <w:name w:val="Char Char9"/>
    <w:basedOn w:val="DefaultParagraphFont"/>
    <w:semiHidden/>
    <w:locked/>
    <w:rsid w:val="001C451B"/>
    <w:rPr>
      <w:rFonts w:ascii="Arial" w:hAnsi="Arial"/>
      <w:bCs/>
      <w:i/>
      <w:sz w:val="24"/>
      <w:szCs w:val="26"/>
      <w:lang w:val="en-AU" w:eastAsia="en-AU" w:bidi="ar-SA"/>
    </w:rPr>
  </w:style>
  <w:style w:type="character" w:customStyle="1" w:styleId="CharChar8">
    <w:name w:val="Char Char8"/>
    <w:basedOn w:val="DefaultParagraphFont"/>
    <w:semiHidden/>
    <w:locked/>
    <w:rsid w:val="001C451B"/>
    <w:rPr>
      <w:rFonts w:ascii="Arial" w:hAnsi="Arial"/>
      <w:iCs/>
      <w:sz w:val="24"/>
      <w:szCs w:val="26"/>
      <w:lang w:val="en-AU" w:eastAsia="en-AU" w:bidi="ar-SA"/>
    </w:rPr>
  </w:style>
  <w:style w:type="character" w:customStyle="1" w:styleId="CharChar">
    <w:name w:val="Char Char"/>
    <w:basedOn w:val="DefaultParagraphFont"/>
    <w:semiHidden/>
    <w:locked/>
    <w:rsid w:val="001C451B"/>
    <w:rPr>
      <w:rFonts w:ascii="Arial" w:hAnsi="Arial" w:cs="Arial"/>
      <w:lang w:val="en-AU" w:eastAsia="en-AU" w:bidi="ar-SA"/>
    </w:rPr>
  </w:style>
  <w:style w:type="character" w:customStyle="1" w:styleId="FootnoteTextChar">
    <w:name w:val="Footnote Text Char"/>
    <w:basedOn w:val="DefaultParagraphFont"/>
    <w:link w:val="FootnoteText"/>
    <w:semiHidden/>
    <w:locked/>
    <w:rsid w:val="00706FAB"/>
    <w:rPr>
      <w:rFonts w:ascii="Arial" w:hAnsi="Arial"/>
      <w:lang w:val="en-AU" w:eastAsia="en-AU" w:bidi="ar-SA"/>
    </w:rPr>
  </w:style>
  <w:style w:type="paragraph" w:styleId="ListParagraph">
    <w:name w:val="List Paragraph"/>
    <w:basedOn w:val="Normal"/>
    <w:uiPriority w:val="34"/>
    <w:qFormat/>
    <w:rsid w:val="000B18C2"/>
    <w:pPr>
      <w:ind w:left="720"/>
      <w:contextualSpacing/>
    </w:pPr>
  </w:style>
  <w:style w:type="paragraph" w:styleId="BalloonText">
    <w:name w:val="Balloon Text"/>
    <w:basedOn w:val="Normal"/>
    <w:link w:val="BalloonTextChar"/>
    <w:locked/>
    <w:rsid w:val="005A60D7"/>
    <w:pPr>
      <w:spacing w:before="0" w:after="0"/>
    </w:pPr>
    <w:rPr>
      <w:rFonts w:ascii="Tahoma" w:hAnsi="Tahoma" w:cs="Tahoma"/>
      <w:sz w:val="16"/>
      <w:szCs w:val="16"/>
    </w:rPr>
  </w:style>
  <w:style w:type="character" w:customStyle="1" w:styleId="BalloonTextChar">
    <w:name w:val="Balloon Text Char"/>
    <w:basedOn w:val="DefaultParagraphFont"/>
    <w:link w:val="BalloonText"/>
    <w:rsid w:val="005A60D7"/>
    <w:rPr>
      <w:rFonts w:ascii="Tahoma" w:hAnsi="Tahoma" w:cs="Tahoma"/>
      <w:sz w:val="16"/>
      <w:szCs w:val="16"/>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en-AU" w:eastAsia="en-AU" w:bidi="ar-SA"/>
      </w:rPr>
    </w:rPrDefault>
    <w:pPrDefault/>
  </w:docDefaults>
  <w:latentStyles w:defLockedState="0" w:defUIPriority="0" w:defSemiHidden="0" w:defUnhideWhenUsed="0" w:defQFormat="0" w:count="267">
    <w:lsdException w:name="Normal" w:qFormat="1"/>
    <w:lsdException w:name="heading 1" w:qFormat="1"/>
    <w:lsdException w:name="heading 2" w:qFormat="1"/>
    <w:lsdException w:name="heading 3" w:qFormat="1"/>
    <w:lsdException w:name="heading 4" w:qFormat="1"/>
    <w:lsdException w:name="heading 5" w:qFormat="1"/>
    <w:lsdException w:name="heading 6" w:qFormat="1"/>
    <w:lsdException w:name="heading 7" w:qFormat="1"/>
    <w:lsdException w:name="heading 8" w:qFormat="1"/>
    <w:lsdException w:name="heading 9" w:qFormat="1"/>
    <w:lsdException w:name="index 1" w:locked="1"/>
    <w:lsdException w:name="index 2" w:locked="1"/>
    <w:lsdException w:name="index 3" w:locked="1"/>
    <w:lsdException w:name="index 4" w:locked="1"/>
    <w:lsdException w:name="index 5" w:locked="1"/>
    <w:lsdException w:name="index 6" w:locked="1"/>
    <w:lsdException w:name="index 7" w:locked="1"/>
    <w:lsdException w:name="index 8" w:locked="1"/>
    <w:lsdException w:name="index 9" w:locked="1"/>
    <w:lsdException w:name="toc 1" w:uiPriority="39" w:qFormat="1"/>
    <w:lsdException w:name="toc 2" w:uiPriority="39" w:qFormat="1"/>
    <w:lsdException w:name="toc 3" w:uiPriority="39" w:qFormat="1"/>
    <w:lsdException w:name="toc 4" w:uiPriority="39"/>
    <w:lsdException w:name="toc 5" w:locked="1"/>
    <w:lsdException w:name="toc 6" w:locked="1"/>
    <w:lsdException w:name="toc 7" w:locked="1"/>
    <w:lsdException w:name="toc 8" w:locked="1"/>
    <w:lsdException w:name="toc 9" w:locked="1"/>
    <w:lsdException w:name="Normal Indent" w:locked="1"/>
    <w:lsdException w:name="annotation text" w:locked="1"/>
    <w:lsdException w:name="footer" w:uiPriority="99"/>
    <w:lsdException w:name="index heading" w:locked="1"/>
    <w:lsdException w:name="caption" w:locked="1" w:semiHidden="1" w:unhideWhenUsed="1" w:qFormat="1"/>
    <w:lsdException w:name="table of figures" w:locked="1"/>
    <w:lsdException w:name="envelope address" w:locked="1"/>
    <w:lsdException w:name="envelope return" w:locked="1"/>
    <w:lsdException w:name="annotation reference" w:locked="1"/>
    <w:lsdException w:name="line number" w:locked="1"/>
    <w:lsdException w:name="page number" w:locked="1"/>
    <w:lsdException w:name="table of authorities" w:locked="1"/>
    <w:lsdException w:name="macro" w:locked="1"/>
    <w:lsdException w:name="toa heading" w:locked="1"/>
    <w:lsdException w:name="List" w:locked="1"/>
    <w:lsdException w:name="List Bullet" w:locked="1"/>
    <w:lsdException w:name="List Number" w:locked="1"/>
    <w:lsdException w:name="List 2" w:locked="1"/>
    <w:lsdException w:name="List 3" w:locked="1"/>
    <w:lsdException w:name="List 4" w:locked="1"/>
    <w:lsdException w:name="List 5" w:locked="1"/>
    <w:lsdException w:name="List Bullet 2" w:locked="1"/>
    <w:lsdException w:name="List Bullet 3" w:locked="1"/>
    <w:lsdException w:name="List Bullet 4" w:locked="1"/>
    <w:lsdException w:name="List Bullet 5" w:locked="1"/>
    <w:lsdException w:name="List Number 2" w:locked="1"/>
    <w:lsdException w:name="List Number 3" w:locked="1"/>
    <w:lsdException w:name="List Number 4" w:locked="1"/>
    <w:lsdException w:name="List Number 5" w:locked="1"/>
    <w:lsdException w:name="Title" w:locked="1" w:qFormat="1"/>
    <w:lsdException w:name="Closing" w:locked="1"/>
    <w:lsdException w:name="Signature" w:locked="1"/>
    <w:lsdException w:name="Body Text" w:locked="1"/>
    <w:lsdException w:name="Body Text Indent" w:locked="1"/>
    <w:lsdException w:name="List Continue" w:locked="1"/>
    <w:lsdException w:name="List Continue 2" w:locked="1"/>
    <w:lsdException w:name="List Continue 3" w:locked="1"/>
    <w:lsdException w:name="List Continue 5" w:locked="1"/>
    <w:lsdException w:name="Message Header" w:locked="1"/>
    <w:lsdException w:name="Subtitle" w:locked="1" w:qFormat="1"/>
    <w:lsdException w:name="Salutation" w:locked="1"/>
    <w:lsdException w:name="Date" w:locked="1"/>
    <w:lsdException w:name="Body Text First Indent" w:locked="1"/>
    <w:lsdException w:name="Body Text First Indent 2" w:locked="1"/>
    <w:lsdException w:name="Note Heading" w:locked="1"/>
    <w:lsdException w:name="Body Text 2" w:locked="1"/>
    <w:lsdException w:name="Body Text 3" w:locked="1"/>
    <w:lsdException w:name="Body Text Indent 2" w:locked="1"/>
    <w:lsdException w:name="Body Text Indent 3" w:locked="1"/>
    <w:lsdException w:name="Block Text" w:locked="1"/>
    <w:lsdException w:name="Hyperlink" w:uiPriority="99"/>
    <w:lsdException w:name="FollowedHyperlink" w:locked="1"/>
    <w:lsdException w:name="Strong" w:qFormat="1"/>
    <w:lsdException w:name="Emphasis" w:locked="1" w:qFormat="1"/>
    <w:lsdException w:name="Document Map" w:locked="1"/>
    <w:lsdException w:name="Plain Text" w:locked="1"/>
    <w:lsdException w:name="E-mail Signature" w:locked="1"/>
    <w:lsdException w:name="Normal (Web)" w:locked="1"/>
    <w:lsdException w:name="HTML Acronym" w:locked="1"/>
    <w:lsdException w:name="HTML Address" w:locked="1"/>
    <w:lsdException w:name="HTML Cite" w:locked="1"/>
    <w:lsdException w:name="HTML Code" w:locked="1"/>
    <w:lsdException w:name="HTML Definition" w:locked="1"/>
    <w:lsdException w:name="HTML Keyboard" w:locked="1"/>
    <w:lsdException w:name="HTML Preformatted" w:locked="1"/>
    <w:lsdException w:name="HTML Sample" w:locked="1"/>
    <w:lsdException w:name="HTML Typewriter" w:locked="1"/>
    <w:lsdException w:name="HTML Variable" w:locked="1"/>
    <w:lsdException w:name="annotation subject" w:locked="1"/>
    <w:lsdException w:name="Outline List 1" w:locked="1"/>
    <w:lsdException w:name="Outline List 2" w:locked="1"/>
    <w:lsdException w:name="Outline List 3" w:locked="1"/>
    <w:lsdException w:name="Table Simple 1" w:locked="1"/>
    <w:lsdException w:name="Table Simple 2" w:locked="1"/>
    <w:lsdException w:name="Table Simple 3" w:locked="1"/>
    <w:lsdException w:name="Table Classic 1" w:locked="1"/>
    <w:lsdException w:name="Table Classic 2" w:locked="1"/>
    <w:lsdException w:name="Table Classic 3" w:locked="1"/>
    <w:lsdException w:name="Table Classic 4" w:locked="1"/>
    <w:lsdException w:name="Table Colorful 1" w:locked="1"/>
    <w:lsdException w:name="Table Colorful 2" w:locked="1"/>
    <w:lsdException w:name="Table Colorful 3" w:locked="1"/>
    <w:lsdException w:name="Table Columns 1" w:locked="1"/>
    <w:lsdException w:name="Table Columns 2" w:locked="1"/>
    <w:lsdException w:name="Table Columns 3" w:locked="1"/>
    <w:lsdException w:name="Table Columns 4" w:locked="1"/>
    <w:lsdException w:name="Table Columns 5" w:locked="1"/>
    <w:lsdException w:name="Table Grid 1" w:locked="1"/>
    <w:lsdException w:name="Table Grid 2" w:locked="1"/>
    <w:lsdException w:name="Table Grid 3" w:locked="1"/>
    <w:lsdException w:name="Table Grid 4" w:locked="1"/>
    <w:lsdException w:name="Table Grid 5" w:locked="1"/>
    <w:lsdException w:name="Table Grid 6" w:locked="1"/>
    <w:lsdException w:name="Table Grid 7" w:locked="1"/>
    <w:lsdException w:name="Table Grid 8" w:locked="1"/>
    <w:lsdException w:name="Table List 1" w:locked="1"/>
    <w:lsdException w:name="Table List 2" w:locked="1"/>
    <w:lsdException w:name="Table List 3" w:locked="1"/>
    <w:lsdException w:name="Table List 4" w:locked="1"/>
    <w:lsdException w:name="Table List 5" w:locked="1"/>
    <w:lsdException w:name="Table List 6" w:locked="1"/>
    <w:lsdException w:name="Table List 7" w:locked="1"/>
    <w:lsdException w:name="Table List 8" w:locked="1"/>
    <w:lsdException w:name="Table 3D effects 1" w:locked="1"/>
    <w:lsdException w:name="Table 3D effects 2" w:locked="1"/>
    <w:lsdException w:name="Table 3D effects 3" w:locked="1"/>
    <w:lsdException w:name="Table Contemporary" w:locked="1"/>
    <w:lsdException w:name="Table Elegant" w:locked="1"/>
    <w:lsdException w:name="Table Professional" w:locked="1"/>
    <w:lsdException w:name="Table Subtle 1" w:locked="1"/>
    <w:lsdException w:name="Table Subtle 2" w:locked="1"/>
    <w:lsdException w:name="Table Web 1" w:locked="1"/>
    <w:lsdException w:name="Table Web 2" w:locked="1"/>
    <w:lsdException w:name="Table Web 3" w:locked="1"/>
    <w:lsdException w:name="Balloon Text" w:locked="1"/>
    <w:lsdException w:name="Table Grid" w:locked="1"/>
    <w:lsdException w:name="Table Theme" w:lock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uiPriority="39" w:qFormat="1"/>
  </w:latentStyles>
  <w:style w:type="paragraph" w:default="1" w:styleId="Normal">
    <w:name w:val="Normal"/>
    <w:qFormat/>
    <w:rsid w:val="008A2AF7"/>
    <w:pPr>
      <w:spacing w:before="240" w:after="240"/>
    </w:pPr>
    <w:rPr>
      <w:rFonts w:ascii="Arial" w:hAnsi="Arial"/>
      <w:sz w:val="24"/>
      <w:szCs w:val="24"/>
    </w:rPr>
  </w:style>
  <w:style w:type="paragraph" w:styleId="Heading1">
    <w:name w:val="heading 1"/>
    <w:basedOn w:val="Normal"/>
    <w:next w:val="Normal"/>
    <w:link w:val="Heading1Char"/>
    <w:qFormat/>
    <w:rsid w:val="00AC27AB"/>
    <w:pPr>
      <w:keepNext/>
      <w:keepLines/>
      <w:numPr>
        <w:numId w:val="15"/>
      </w:numPr>
      <w:spacing w:before="360"/>
      <w:outlineLvl w:val="0"/>
    </w:pPr>
    <w:rPr>
      <w:b/>
      <w:bCs/>
      <w:sz w:val="28"/>
      <w:szCs w:val="28"/>
    </w:rPr>
  </w:style>
  <w:style w:type="paragraph" w:styleId="Heading2">
    <w:name w:val="heading 2"/>
    <w:basedOn w:val="Heading1"/>
    <w:next w:val="Normal"/>
    <w:link w:val="Heading2Char"/>
    <w:qFormat/>
    <w:rsid w:val="00AC27AB"/>
    <w:pPr>
      <w:numPr>
        <w:ilvl w:val="1"/>
      </w:numPr>
      <w:outlineLvl w:val="1"/>
    </w:pPr>
    <w:rPr>
      <w:bCs w:val="0"/>
      <w:i/>
      <w:color w:val="000000"/>
      <w:szCs w:val="26"/>
    </w:rPr>
  </w:style>
  <w:style w:type="paragraph" w:styleId="Heading3">
    <w:name w:val="heading 3"/>
    <w:basedOn w:val="Heading2"/>
    <w:next w:val="Normal"/>
    <w:link w:val="Heading3Char"/>
    <w:qFormat/>
    <w:rsid w:val="00AC27AB"/>
    <w:pPr>
      <w:numPr>
        <w:ilvl w:val="2"/>
      </w:numPr>
      <w:outlineLvl w:val="2"/>
    </w:pPr>
    <w:rPr>
      <w:b w:val="0"/>
      <w:bCs/>
      <w:color w:val="auto"/>
      <w:sz w:val="24"/>
    </w:rPr>
  </w:style>
  <w:style w:type="paragraph" w:styleId="Heading4">
    <w:name w:val="heading 4"/>
    <w:basedOn w:val="Heading3"/>
    <w:next w:val="Normal"/>
    <w:link w:val="Heading4Char"/>
    <w:qFormat/>
    <w:rsid w:val="00AC27AB"/>
    <w:pPr>
      <w:numPr>
        <w:ilvl w:val="3"/>
      </w:numPr>
      <w:outlineLvl w:val="3"/>
    </w:pPr>
    <w:rPr>
      <w:bCs w:val="0"/>
      <w:i w:val="0"/>
      <w:iCs/>
    </w:rPr>
  </w:style>
  <w:style w:type="paragraph" w:styleId="Heading5">
    <w:name w:val="heading 5"/>
    <w:basedOn w:val="Normal"/>
    <w:next w:val="Normal"/>
    <w:link w:val="Heading5Char"/>
    <w:qFormat/>
    <w:locked/>
    <w:rsid w:val="00F14C6D"/>
    <w:pPr>
      <w:keepNext/>
      <w:keepLines/>
      <w:spacing w:before="200"/>
      <w:outlineLvl w:val="4"/>
    </w:pPr>
    <w:rPr>
      <w:rFonts w:ascii="Cambria" w:hAnsi="Cambria"/>
      <w:color w:val="243F60"/>
    </w:rPr>
  </w:style>
  <w:style w:type="paragraph" w:styleId="Heading6">
    <w:name w:val="heading 6"/>
    <w:basedOn w:val="Normal"/>
    <w:next w:val="Normal"/>
    <w:link w:val="Heading6Char"/>
    <w:qFormat/>
    <w:locked/>
    <w:rsid w:val="00F14C6D"/>
    <w:pPr>
      <w:keepNext/>
      <w:keepLines/>
      <w:spacing w:before="200"/>
      <w:outlineLvl w:val="5"/>
    </w:pPr>
    <w:rPr>
      <w:rFonts w:ascii="Cambria" w:hAnsi="Cambria"/>
      <w:i/>
      <w:iCs/>
      <w:color w:val="243F60"/>
    </w:rPr>
  </w:style>
  <w:style w:type="paragraph" w:styleId="Heading7">
    <w:name w:val="heading 7"/>
    <w:basedOn w:val="Normal"/>
    <w:next w:val="Normal"/>
    <w:link w:val="Heading7Char"/>
    <w:qFormat/>
    <w:locked/>
    <w:rsid w:val="00F14C6D"/>
    <w:pPr>
      <w:keepNext/>
      <w:keepLines/>
      <w:spacing w:before="200"/>
      <w:outlineLvl w:val="6"/>
    </w:pPr>
    <w:rPr>
      <w:rFonts w:ascii="Cambria" w:hAnsi="Cambria"/>
      <w:i/>
      <w:iCs/>
      <w:color w:val="404040"/>
    </w:rPr>
  </w:style>
  <w:style w:type="paragraph" w:styleId="Heading8">
    <w:name w:val="heading 8"/>
    <w:basedOn w:val="Normal"/>
    <w:next w:val="Normal"/>
    <w:link w:val="Heading8Char"/>
    <w:qFormat/>
    <w:locked/>
    <w:rsid w:val="00F14C6D"/>
    <w:pPr>
      <w:keepNext/>
      <w:keepLines/>
      <w:spacing w:before="200"/>
      <w:outlineLvl w:val="7"/>
    </w:pPr>
    <w:rPr>
      <w:rFonts w:ascii="Cambria" w:hAnsi="Cambria"/>
      <w:color w:val="404040"/>
      <w:sz w:val="20"/>
      <w:szCs w:val="20"/>
    </w:rPr>
  </w:style>
  <w:style w:type="paragraph" w:styleId="Heading9">
    <w:name w:val="heading 9"/>
    <w:basedOn w:val="Normal"/>
    <w:next w:val="Normal"/>
    <w:link w:val="Heading9Char"/>
    <w:qFormat/>
    <w:locked/>
    <w:rsid w:val="00F14C6D"/>
    <w:pPr>
      <w:keepNext/>
      <w:keepLines/>
      <w:spacing w:before="200"/>
      <w:outlineLvl w:val="8"/>
    </w:pPr>
    <w:rPr>
      <w:rFonts w:ascii="Cambria" w:hAnsi="Cambria"/>
      <w:i/>
      <w:iCs/>
      <w:color w:val="404040"/>
      <w:sz w:val="20"/>
      <w:szCs w:val="2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rsid w:val="00AC27AB"/>
    <w:rPr>
      <w:rFonts w:ascii="Arial" w:hAnsi="Arial"/>
      <w:b/>
      <w:bCs/>
      <w:sz w:val="28"/>
      <w:szCs w:val="28"/>
      <w:lang w:val="en-AU" w:eastAsia="en-AU" w:bidi="ar-SA"/>
    </w:rPr>
  </w:style>
  <w:style w:type="character" w:customStyle="1" w:styleId="Heading2Char">
    <w:name w:val="Heading 2 Char"/>
    <w:basedOn w:val="DefaultParagraphFont"/>
    <w:link w:val="Heading2"/>
    <w:rsid w:val="00AC27AB"/>
    <w:rPr>
      <w:rFonts w:ascii="Arial" w:hAnsi="Arial"/>
      <w:b/>
      <w:i/>
      <w:color w:val="000000"/>
      <w:sz w:val="28"/>
      <w:szCs w:val="26"/>
      <w:lang w:val="en-AU" w:eastAsia="en-AU" w:bidi="ar-SA"/>
    </w:rPr>
  </w:style>
  <w:style w:type="character" w:customStyle="1" w:styleId="Heading3Char">
    <w:name w:val="Heading 3 Char"/>
    <w:basedOn w:val="DefaultParagraphFont"/>
    <w:link w:val="Heading3"/>
    <w:rsid w:val="00AC27AB"/>
    <w:rPr>
      <w:rFonts w:ascii="Arial" w:hAnsi="Arial"/>
      <w:bCs/>
      <w:i/>
      <w:sz w:val="24"/>
      <w:szCs w:val="26"/>
      <w:lang w:val="en-AU" w:eastAsia="en-AU" w:bidi="ar-SA"/>
    </w:rPr>
  </w:style>
  <w:style w:type="character" w:customStyle="1" w:styleId="Heading4Char">
    <w:name w:val="Heading 4 Char"/>
    <w:basedOn w:val="DefaultParagraphFont"/>
    <w:link w:val="Heading4"/>
    <w:rsid w:val="00AC27AB"/>
    <w:rPr>
      <w:rFonts w:ascii="Arial" w:hAnsi="Arial"/>
      <w:iCs/>
      <w:sz w:val="24"/>
      <w:szCs w:val="26"/>
      <w:lang w:val="en-AU" w:eastAsia="en-AU" w:bidi="ar-SA"/>
    </w:rPr>
  </w:style>
  <w:style w:type="character" w:styleId="Strong">
    <w:name w:val="Strong"/>
    <w:basedOn w:val="DefaultParagraphFont"/>
    <w:qFormat/>
    <w:locked/>
    <w:rsid w:val="000B0A5D"/>
    <w:rPr>
      <w:b/>
      <w:bCs/>
    </w:rPr>
  </w:style>
  <w:style w:type="character" w:customStyle="1" w:styleId="Heading5Char">
    <w:name w:val="Heading 5 Char"/>
    <w:basedOn w:val="DefaultParagraphFont"/>
    <w:link w:val="Heading5"/>
    <w:semiHidden/>
    <w:rsid w:val="00F14C6D"/>
    <w:rPr>
      <w:rFonts w:ascii="Cambria" w:hAnsi="Cambria"/>
      <w:color w:val="243F60"/>
      <w:sz w:val="24"/>
      <w:szCs w:val="24"/>
      <w:lang w:val="en-AU" w:eastAsia="en-AU" w:bidi="ar-SA"/>
    </w:rPr>
  </w:style>
  <w:style w:type="character" w:customStyle="1" w:styleId="Heading6Char">
    <w:name w:val="Heading 6 Char"/>
    <w:basedOn w:val="DefaultParagraphFont"/>
    <w:link w:val="Heading6"/>
    <w:semiHidden/>
    <w:rsid w:val="00F14C6D"/>
    <w:rPr>
      <w:rFonts w:ascii="Cambria" w:hAnsi="Cambria"/>
      <w:i/>
      <w:iCs/>
      <w:color w:val="243F60"/>
      <w:sz w:val="24"/>
      <w:szCs w:val="24"/>
      <w:lang w:val="en-AU" w:eastAsia="en-AU" w:bidi="ar-SA"/>
    </w:rPr>
  </w:style>
  <w:style w:type="character" w:customStyle="1" w:styleId="Heading7Char">
    <w:name w:val="Heading 7 Char"/>
    <w:basedOn w:val="DefaultParagraphFont"/>
    <w:link w:val="Heading7"/>
    <w:semiHidden/>
    <w:rsid w:val="00F14C6D"/>
    <w:rPr>
      <w:rFonts w:ascii="Cambria" w:hAnsi="Cambria"/>
      <w:i/>
      <w:iCs/>
      <w:color w:val="404040"/>
      <w:sz w:val="24"/>
      <w:szCs w:val="24"/>
      <w:lang w:val="en-AU" w:eastAsia="en-AU" w:bidi="ar-SA"/>
    </w:rPr>
  </w:style>
  <w:style w:type="character" w:customStyle="1" w:styleId="Heading8Char">
    <w:name w:val="Heading 8 Char"/>
    <w:basedOn w:val="DefaultParagraphFont"/>
    <w:link w:val="Heading8"/>
    <w:semiHidden/>
    <w:rsid w:val="00F14C6D"/>
    <w:rPr>
      <w:rFonts w:ascii="Cambria" w:hAnsi="Cambria"/>
      <w:color w:val="404040"/>
      <w:lang w:val="en-AU" w:eastAsia="en-AU" w:bidi="ar-SA"/>
    </w:rPr>
  </w:style>
  <w:style w:type="character" w:customStyle="1" w:styleId="Heading9Char">
    <w:name w:val="Heading 9 Char"/>
    <w:basedOn w:val="DefaultParagraphFont"/>
    <w:link w:val="Heading9"/>
    <w:semiHidden/>
    <w:rsid w:val="00F14C6D"/>
    <w:rPr>
      <w:rFonts w:ascii="Cambria" w:hAnsi="Cambria"/>
      <w:i/>
      <w:iCs/>
      <w:color w:val="404040"/>
      <w:lang w:val="en-AU" w:eastAsia="en-AU" w:bidi="ar-SA"/>
    </w:rPr>
  </w:style>
  <w:style w:type="paragraph" w:styleId="Header">
    <w:name w:val="header"/>
    <w:basedOn w:val="Normal"/>
    <w:link w:val="HeaderChar"/>
    <w:semiHidden/>
    <w:rsid w:val="00E75D90"/>
    <w:pPr>
      <w:tabs>
        <w:tab w:val="center" w:pos="4513"/>
        <w:tab w:val="right" w:pos="9026"/>
      </w:tabs>
      <w:spacing w:before="0" w:after="0"/>
      <w:jc w:val="right"/>
    </w:pPr>
    <w:rPr>
      <w:sz w:val="22"/>
    </w:rPr>
  </w:style>
  <w:style w:type="character" w:customStyle="1" w:styleId="HeaderChar">
    <w:name w:val="Header Char"/>
    <w:basedOn w:val="DefaultParagraphFont"/>
    <w:link w:val="Header"/>
    <w:semiHidden/>
    <w:rsid w:val="00E75D90"/>
    <w:rPr>
      <w:rFonts w:ascii="Arial" w:hAnsi="Arial"/>
      <w:sz w:val="22"/>
      <w:szCs w:val="24"/>
    </w:rPr>
  </w:style>
  <w:style w:type="paragraph" w:styleId="Footer">
    <w:name w:val="footer"/>
    <w:basedOn w:val="Normal"/>
    <w:link w:val="FooterChar"/>
    <w:uiPriority w:val="99"/>
    <w:semiHidden/>
    <w:rsid w:val="00E75D90"/>
    <w:pPr>
      <w:tabs>
        <w:tab w:val="center" w:pos="4513"/>
        <w:tab w:val="right" w:pos="9026"/>
      </w:tabs>
      <w:spacing w:after="0"/>
      <w:jc w:val="right"/>
    </w:pPr>
    <w:rPr>
      <w:sz w:val="22"/>
    </w:rPr>
  </w:style>
  <w:style w:type="character" w:customStyle="1" w:styleId="FooterChar">
    <w:name w:val="Footer Char"/>
    <w:basedOn w:val="DefaultParagraphFont"/>
    <w:link w:val="Footer"/>
    <w:uiPriority w:val="99"/>
    <w:semiHidden/>
    <w:rsid w:val="00E75D90"/>
    <w:rPr>
      <w:rFonts w:ascii="Arial" w:hAnsi="Arial"/>
      <w:sz w:val="22"/>
      <w:szCs w:val="24"/>
    </w:rPr>
  </w:style>
  <w:style w:type="paragraph" w:styleId="TOC3">
    <w:name w:val="toc 3"/>
    <w:basedOn w:val="Normal"/>
    <w:next w:val="Normal"/>
    <w:autoRedefine/>
    <w:uiPriority w:val="39"/>
    <w:semiHidden/>
    <w:qFormat/>
    <w:locked/>
    <w:rsid w:val="002702D9"/>
    <w:pPr>
      <w:spacing w:before="0" w:after="0"/>
      <w:ind w:left="1202" w:hanging="720"/>
    </w:pPr>
    <w:rPr>
      <w:rFonts w:eastAsia="MS Mincho" w:cs="Arial"/>
      <w:i/>
      <w:noProof/>
    </w:rPr>
  </w:style>
  <w:style w:type="character" w:styleId="PlaceholderText">
    <w:name w:val="Placeholder Text"/>
    <w:basedOn w:val="DefaultParagraphFont"/>
    <w:uiPriority w:val="99"/>
    <w:semiHidden/>
    <w:locked/>
    <w:rsid w:val="005D1F34"/>
    <w:rPr>
      <w:color w:val="808080"/>
    </w:rPr>
  </w:style>
  <w:style w:type="paragraph" w:styleId="ListContinue4">
    <w:name w:val="List Continue 4"/>
    <w:basedOn w:val="Normal"/>
    <w:semiHidden/>
    <w:locked/>
    <w:rsid w:val="0090165F"/>
    <w:pPr>
      <w:spacing w:after="120"/>
      <w:ind w:left="1132"/>
    </w:pPr>
  </w:style>
  <w:style w:type="numbering" w:styleId="111111">
    <w:name w:val="Outline List 2"/>
    <w:basedOn w:val="NoList"/>
    <w:semiHidden/>
    <w:locked/>
    <w:rsid w:val="00E45954"/>
    <w:pPr>
      <w:numPr>
        <w:numId w:val="11"/>
      </w:numPr>
    </w:pPr>
  </w:style>
  <w:style w:type="paragraph" w:styleId="TOC1">
    <w:name w:val="toc 1"/>
    <w:basedOn w:val="Normal"/>
    <w:next w:val="Normal"/>
    <w:autoRedefine/>
    <w:uiPriority w:val="39"/>
    <w:semiHidden/>
    <w:qFormat/>
    <w:locked/>
    <w:rsid w:val="002702D9"/>
    <w:pPr>
      <w:tabs>
        <w:tab w:val="right" w:leader="dot" w:pos="9060"/>
      </w:tabs>
      <w:spacing w:after="0"/>
      <w:ind w:left="720" w:hanging="720"/>
    </w:pPr>
    <w:rPr>
      <w:b/>
    </w:rPr>
  </w:style>
  <w:style w:type="paragraph" w:styleId="TOC2">
    <w:name w:val="toc 2"/>
    <w:basedOn w:val="Normal"/>
    <w:next w:val="Normal"/>
    <w:autoRedefine/>
    <w:uiPriority w:val="39"/>
    <w:semiHidden/>
    <w:qFormat/>
    <w:locked/>
    <w:rsid w:val="002702D9"/>
    <w:pPr>
      <w:spacing w:before="0" w:after="0"/>
      <w:ind w:left="958" w:hanging="720"/>
    </w:pPr>
    <w:rPr>
      <w:b/>
      <w:i/>
    </w:rPr>
  </w:style>
  <w:style w:type="paragraph" w:styleId="TOC4">
    <w:name w:val="toc 4"/>
    <w:basedOn w:val="Normal"/>
    <w:next w:val="Normal"/>
    <w:autoRedefine/>
    <w:uiPriority w:val="39"/>
    <w:semiHidden/>
    <w:locked/>
    <w:rsid w:val="008A2AF7"/>
    <w:pPr>
      <w:tabs>
        <w:tab w:val="left" w:pos="1440"/>
        <w:tab w:val="right" w:leader="dot" w:pos="9060"/>
      </w:tabs>
      <w:spacing w:before="0" w:after="0"/>
      <w:ind w:left="1440" w:hanging="720"/>
    </w:pPr>
    <w:rPr>
      <w:noProof/>
    </w:rPr>
  </w:style>
  <w:style w:type="character" w:styleId="Hyperlink">
    <w:name w:val="Hyperlink"/>
    <w:basedOn w:val="DefaultParagraphFont"/>
    <w:uiPriority w:val="99"/>
    <w:unhideWhenUsed/>
    <w:locked/>
    <w:rsid w:val="0024557E"/>
    <w:rPr>
      <w:color w:val="0000FF"/>
      <w:u w:val="single"/>
    </w:rPr>
  </w:style>
  <w:style w:type="paragraph" w:styleId="TOCHeading">
    <w:name w:val="TOC Heading"/>
    <w:basedOn w:val="Normal"/>
    <w:next w:val="Normal"/>
    <w:uiPriority w:val="39"/>
    <w:qFormat/>
    <w:locked/>
    <w:rsid w:val="00725D5E"/>
    <w:pPr>
      <w:spacing w:before="0"/>
    </w:pPr>
    <w:rPr>
      <w:b/>
      <w:sz w:val="28"/>
      <w:lang w:val="en-US" w:eastAsia="en-US"/>
    </w:rPr>
  </w:style>
  <w:style w:type="paragraph" w:styleId="EndnoteText">
    <w:name w:val="endnote text"/>
    <w:basedOn w:val="Normal"/>
    <w:link w:val="EndnoteTextChar"/>
    <w:semiHidden/>
    <w:rsid w:val="00706FAB"/>
    <w:pPr>
      <w:spacing w:before="0" w:after="0"/>
    </w:pPr>
    <w:rPr>
      <w:sz w:val="20"/>
      <w:szCs w:val="20"/>
    </w:rPr>
  </w:style>
  <w:style w:type="character" w:customStyle="1" w:styleId="EndnoteTextChar">
    <w:name w:val="Endnote Text Char"/>
    <w:basedOn w:val="DefaultParagraphFont"/>
    <w:link w:val="EndnoteText"/>
    <w:rsid w:val="00706FAB"/>
    <w:rPr>
      <w:rFonts w:ascii="Arial" w:hAnsi="Arial"/>
      <w:lang w:val="en-AU" w:eastAsia="en-AU" w:bidi="ar-SA"/>
    </w:rPr>
  </w:style>
  <w:style w:type="character" w:styleId="EndnoteReference">
    <w:name w:val="endnote reference"/>
    <w:basedOn w:val="DefaultParagraphFont"/>
    <w:semiHidden/>
    <w:rsid w:val="00074CD6"/>
    <w:rPr>
      <w:rFonts w:ascii="Arial" w:hAnsi="Arial"/>
      <w:sz w:val="20"/>
      <w:vertAlign w:val="superscript"/>
    </w:rPr>
  </w:style>
  <w:style w:type="numbering" w:styleId="1ai">
    <w:name w:val="Outline List 1"/>
    <w:basedOn w:val="NoList"/>
    <w:semiHidden/>
    <w:locked/>
    <w:rsid w:val="00E45954"/>
    <w:pPr>
      <w:numPr>
        <w:numId w:val="12"/>
      </w:numPr>
    </w:pPr>
  </w:style>
  <w:style w:type="numbering" w:styleId="ArticleSection">
    <w:name w:val="Outline List 3"/>
    <w:basedOn w:val="NoList"/>
    <w:semiHidden/>
    <w:locked/>
    <w:rsid w:val="00E45954"/>
    <w:pPr>
      <w:numPr>
        <w:numId w:val="13"/>
      </w:numPr>
    </w:pPr>
  </w:style>
  <w:style w:type="paragraph" w:styleId="BlockText">
    <w:name w:val="Block Text"/>
    <w:basedOn w:val="Normal"/>
    <w:semiHidden/>
    <w:locked/>
    <w:rsid w:val="00E45954"/>
    <w:pPr>
      <w:spacing w:after="120"/>
      <w:ind w:left="1440" w:right="1440"/>
    </w:pPr>
  </w:style>
  <w:style w:type="paragraph" w:styleId="BodyText">
    <w:name w:val="Body Text"/>
    <w:basedOn w:val="Normal"/>
    <w:semiHidden/>
    <w:locked/>
    <w:rsid w:val="00E45954"/>
    <w:pPr>
      <w:spacing w:after="120"/>
    </w:pPr>
  </w:style>
  <w:style w:type="paragraph" w:styleId="BodyText2">
    <w:name w:val="Body Text 2"/>
    <w:basedOn w:val="Normal"/>
    <w:semiHidden/>
    <w:locked/>
    <w:rsid w:val="00E45954"/>
    <w:pPr>
      <w:spacing w:after="120" w:line="480" w:lineRule="auto"/>
    </w:pPr>
  </w:style>
  <w:style w:type="paragraph" w:styleId="BodyText3">
    <w:name w:val="Body Text 3"/>
    <w:basedOn w:val="Normal"/>
    <w:semiHidden/>
    <w:locked/>
    <w:rsid w:val="00E45954"/>
    <w:pPr>
      <w:spacing w:after="120"/>
    </w:pPr>
    <w:rPr>
      <w:sz w:val="16"/>
      <w:szCs w:val="16"/>
    </w:rPr>
  </w:style>
  <w:style w:type="paragraph" w:styleId="BodyTextFirstIndent">
    <w:name w:val="Body Text First Indent"/>
    <w:basedOn w:val="BodyText"/>
    <w:semiHidden/>
    <w:locked/>
    <w:rsid w:val="00E45954"/>
    <w:pPr>
      <w:ind w:firstLine="210"/>
    </w:pPr>
  </w:style>
  <w:style w:type="paragraph" w:styleId="BodyTextIndent">
    <w:name w:val="Body Text Indent"/>
    <w:basedOn w:val="Normal"/>
    <w:semiHidden/>
    <w:locked/>
    <w:rsid w:val="00E45954"/>
    <w:pPr>
      <w:spacing w:after="120"/>
      <w:ind w:left="283"/>
    </w:pPr>
  </w:style>
  <w:style w:type="paragraph" w:styleId="BodyTextFirstIndent2">
    <w:name w:val="Body Text First Indent 2"/>
    <w:basedOn w:val="BodyTextIndent"/>
    <w:semiHidden/>
    <w:locked/>
    <w:rsid w:val="00E45954"/>
    <w:pPr>
      <w:ind w:firstLine="210"/>
    </w:pPr>
  </w:style>
  <w:style w:type="paragraph" w:styleId="BodyTextIndent2">
    <w:name w:val="Body Text Indent 2"/>
    <w:basedOn w:val="Normal"/>
    <w:semiHidden/>
    <w:locked/>
    <w:rsid w:val="00E45954"/>
    <w:pPr>
      <w:spacing w:after="120" w:line="480" w:lineRule="auto"/>
      <w:ind w:left="283"/>
    </w:pPr>
  </w:style>
  <w:style w:type="paragraph" w:styleId="BodyTextIndent3">
    <w:name w:val="Body Text Indent 3"/>
    <w:basedOn w:val="Normal"/>
    <w:semiHidden/>
    <w:locked/>
    <w:rsid w:val="00E45954"/>
    <w:pPr>
      <w:spacing w:after="120"/>
      <w:ind w:left="283"/>
    </w:pPr>
    <w:rPr>
      <w:sz w:val="16"/>
      <w:szCs w:val="16"/>
    </w:rPr>
  </w:style>
  <w:style w:type="paragraph" w:styleId="Closing">
    <w:name w:val="Closing"/>
    <w:basedOn w:val="Normal"/>
    <w:semiHidden/>
    <w:locked/>
    <w:rsid w:val="00E45954"/>
    <w:pPr>
      <w:ind w:left="4252"/>
    </w:pPr>
  </w:style>
  <w:style w:type="paragraph" w:styleId="Date">
    <w:name w:val="Date"/>
    <w:basedOn w:val="Normal"/>
    <w:next w:val="Normal"/>
    <w:semiHidden/>
    <w:locked/>
    <w:rsid w:val="00E45954"/>
  </w:style>
  <w:style w:type="paragraph" w:styleId="E-mailSignature">
    <w:name w:val="E-mail Signature"/>
    <w:basedOn w:val="Normal"/>
    <w:semiHidden/>
    <w:locked/>
    <w:rsid w:val="00E45954"/>
  </w:style>
  <w:style w:type="character" w:styleId="Emphasis">
    <w:name w:val="Emphasis"/>
    <w:basedOn w:val="DefaultParagraphFont"/>
    <w:qFormat/>
    <w:locked/>
    <w:rsid w:val="00E45954"/>
    <w:rPr>
      <w:i/>
      <w:iCs/>
    </w:rPr>
  </w:style>
  <w:style w:type="paragraph" w:styleId="EnvelopeAddress">
    <w:name w:val="envelope address"/>
    <w:basedOn w:val="Normal"/>
    <w:semiHidden/>
    <w:locked/>
    <w:rsid w:val="001C139C"/>
    <w:pPr>
      <w:framePr w:w="7920" w:h="1980" w:hRule="exact" w:hSpace="180" w:wrap="auto" w:hAnchor="page" w:xAlign="center" w:yAlign="bottom"/>
      <w:spacing w:before="0" w:after="0"/>
      <w:ind w:left="2880"/>
    </w:pPr>
    <w:rPr>
      <w:rFonts w:cs="Arial"/>
    </w:rPr>
  </w:style>
  <w:style w:type="paragraph" w:styleId="EnvelopeReturn">
    <w:name w:val="envelope return"/>
    <w:basedOn w:val="Normal"/>
    <w:semiHidden/>
    <w:locked/>
    <w:rsid w:val="00E45954"/>
    <w:rPr>
      <w:rFonts w:cs="Arial"/>
      <w:sz w:val="20"/>
      <w:szCs w:val="20"/>
    </w:rPr>
  </w:style>
  <w:style w:type="character" w:styleId="FootnoteReference">
    <w:name w:val="footnote reference"/>
    <w:basedOn w:val="DefaultParagraphFont"/>
    <w:semiHidden/>
    <w:rsid w:val="00074CD6"/>
    <w:rPr>
      <w:rFonts w:ascii="Arial" w:hAnsi="Arial"/>
      <w:sz w:val="20"/>
      <w:vertAlign w:val="superscript"/>
    </w:rPr>
  </w:style>
  <w:style w:type="paragraph" w:styleId="FootnoteText">
    <w:name w:val="footnote text"/>
    <w:basedOn w:val="Normal"/>
    <w:link w:val="FootnoteTextChar"/>
    <w:semiHidden/>
    <w:rsid w:val="00706FAB"/>
    <w:pPr>
      <w:spacing w:before="0" w:after="0"/>
    </w:pPr>
    <w:rPr>
      <w:sz w:val="20"/>
      <w:szCs w:val="20"/>
    </w:rPr>
  </w:style>
  <w:style w:type="character" w:styleId="HTMLAcronym">
    <w:name w:val="HTML Acronym"/>
    <w:basedOn w:val="DefaultParagraphFont"/>
    <w:semiHidden/>
    <w:locked/>
    <w:rsid w:val="00E45954"/>
  </w:style>
  <w:style w:type="paragraph" w:styleId="HTMLAddress">
    <w:name w:val="HTML Address"/>
    <w:basedOn w:val="Normal"/>
    <w:semiHidden/>
    <w:locked/>
    <w:rsid w:val="00E45954"/>
    <w:rPr>
      <w:i/>
      <w:iCs/>
    </w:rPr>
  </w:style>
  <w:style w:type="character" w:styleId="HTMLCite">
    <w:name w:val="HTML Cite"/>
    <w:basedOn w:val="DefaultParagraphFont"/>
    <w:semiHidden/>
    <w:locked/>
    <w:rsid w:val="00E45954"/>
    <w:rPr>
      <w:i/>
      <w:iCs/>
    </w:rPr>
  </w:style>
  <w:style w:type="character" w:styleId="HTMLCode">
    <w:name w:val="HTML Code"/>
    <w:basedOn w:val="DefaultParagraphFont"/>
    <w:semiHidden/>
    <w:locked/>
    <w:rsid w:val="00E45954"/>
    <w:rPr>
      <w:rFonts w:ascii="Courier New" w:hAnsi="Courier New" w:cs="Courier New"/>
      <w:sz w:val="20"/>
      <w:szCs w:val="20"/>
    </w:rPr>
  </w:style>
  <w:style w:type="character" w:styleId="HTMLDefinition">
    <w:name w:val="HTML Definition"/>
    <w:basedOn w:val="DefaultParagraphFont"/>
    <w:semiHidden/>
    <w:locked/>
    <w:rsid w:val="00E45954"/>
    <w:rPr>
      <w:i/>
      <w:iCs/>
    </w:rPr>
  </w:style>
  <w:style w:type="character" w:styleId="HTMLKeyboard">
    <w:name w:val="HTML Keyboard"/>
    <w:basedOn w:val="DefaultParagraphFont"/>
    <w:semiHidden/>
    <w:locked/>
    <w:rsid w:val="00E45954"/>
    <w:rPr>
      <w:rFonts w:ascii="Courier New" w:hAnsi="Courier New" w:cs="Courier New"/>
      <w:sz w:val="20"/>
      <w:szCs w:val="20"/>
    </w:rPr>
  </w:style>
  <w:style w:type="paragraph" w:styleId="HTMLPreformatted">
    <w:name w:val="HTML Preformatted"/>
    <w:basedOn w:val="Normal"/>
    <w:semiHidden/>
    <w:locked/>
    <w:rsid w:val="00E45954"/>
    <w:rPr>
      <w:rFonts w:ascii="Courier New" w:hAnsi="Courier New" w:cs="Courier New"/>
      <w:sz w:val="20"/>
      <w:szCs w:val="20"/>
    </w:rPr>
  </w:style>
  <w:style w:type="character" w:styleId="HTMLSample">
    <w:name w:val="HTML Sample"/>
    <w:basedOn w:val="DefaultParagraphFont"/>
    <w:semiHidden/>
    <w:locked/>
    <w:rsid w:val="00E45954"/>
    <w:rPr>
      <w:rFonts w:ascii="Courier New" w:hAnsi="Courier New" w:cs="Courier New"/>
    </w:rPr>
  </w:style>
  <w:style w:type="character" w:styleId="HTMLTypewriter">
    <w:name w:val="HTML Typewriter"/>
    <w:basedOn w:val="DefaultParagraphFont"/>
    <w:semiHidden/>
    <w:locked/>
    <w:rsid w:val="00E45954"/>
    <w:rPr>
      <w:rFonts w:ascii="Courier New" w:hAnsi="Courier New" w:cs="Courier New"/>
      <w:sz w:val="20"/>
      <w:szCs w:val="20"/>
    </w:rPr>
  </w:style>
  <w:style w:type="character" w:styleId="HTMLVariable">
    <w:name w:val="HTML Variable"/>
    <w:basedOn w:val="DefaultParagraphFont"/>
    <w:semiHidden/>
    <w:locked/>
    <w:rsid w:val="00E45954"/>
    <w:rPr>
      <w:i/>
      <w:iCs/>
    </w:rPr>
  </w:style>
  <w:style w:type="character" w:styleId="LineNumber">
    <w:name w:val="line number"/>
    <w:basedOn w:val="DefaultParagraphFont"/>
    <w:semiHidden/>
    <w:locked/>
    <w:rsid w:val="00E45954"/>
  </w:style>
  <w:style w:type="paragraph" w:styleId="List">
    <w:name w:val="List"/>
    <w:basedOn w:val="Normal"/>
    <w:semiHidden/>
    <w:locked/>
    <w:rsid w:val="00E45954"/>
    <w:pPr>
      <w:ind w:left="283" w:hanging="283"/>
    </w:pPr>
  </w:style>
  <w:style w:type="paragraph" w:styleId="List2">
    <w:name w:val="List 2"/>
    <w:basedOn w:val="Normal"/>
    <w:semiHidden/>
    <w:locked/>
    <w:rsid w:val="00E45954"/>
    <w:pPr>
      <w:ind w:left="566" w:hanging="283"/>
    </w:pPr>
  </w:style>
  <w:style w:type="paragraph" w:styleId="List3">
    <w:name w:val="List 3"/>
    <w:basedOn w:val="Normal"/>
    <w:semiHidden/>
    <w:locked/>
    <w:rsid w:val="00E45954"/>
    <w:pPr>
      <w:ind w:left="849" w:hanging="283"/>
    </w:pPr>
  </w:style>
  <w:style w:type="paragraph" w:styleId="List4">
    <w:name w:val="List 4"/>
    <w:basedOn w:val="Normal"/>
    <w:semiHidden/>
    <w:locked/>
    <w:rsid w:val="00E45954"/>
    <w:pPr>
      <w:ind w:left="1132" w:hanging="283"/>
    </w:pPr>
  </w:style>
  <w:style w:type="paragraph" w:styleId="List5">
    <w:name w:val="List 5"/>
    <w:basedOn w:val="Normal"/>
    <w:semiHidden/>
    <w:locked/>
    <w:rsid w:val="00E45954"/>
    <w:pPr>
      <w:ind w:left="1415" w:hanging="283"/>
    </w:pPr>
  </w:style>
  <w:style w:type="numbering" w:customStyle="1" w:styleId="StyleNumbered">
    <w:name w:val="Style Numbered"/>
    <w:basedOn w:val="NoList"/>
    <w:semiHidden/>
    <w:rsid w:val="00074CD6"/>
    <w:pPr>
      <w:numPr>
        <w:numId w:val="14"/>
      </w:numPr>
    </w:pPr>
  </w:style>
  <w:style w:type="paragraph" w:styleId="ListBullet2">
    <w:name w:val="List Bullet 2"/>
    <w:basedOn w:val="Normal"/>
    <w:semiHidden/>
    <w:locked/>
    <w:rsid w:val="00E45954"/>
    <w:pPr>
      <w:numPr>
        <w:numId w:val="2"/>
      </w:numPr>
    </w:pPr>
  </w:style>
  <w:style w:type="paragraph" w:styleId="ListBullet3">
    <w:name w:val="List Bullet 3"/>
    <w:basedOn w:val="Normal"/>
    <w:semiHidden/>
    <w:locked/>
    <w:rsid w:val="00E45954"/>
    <w:pPr>
      <w:numPr>
        <w:numId w:val="3"/>
      </w:numPr>
    </w:pPr>
  </w:style>
  <w:style w:type="paragraph" w:styleId="ListBullet4">
    <w:name w:val="List Bullet 4"/>
    <w:basedOn w:val="Normal"/>
    <w:semiHidden/>
    <w:locked/>
    <w:rsid w:val="00E45954"/>
    <w:pPr>
      <w:numPr>
        <w:numId w:val="4"/>
      </w:numPr>
    </w:pPr>
  </w:style>
  <w:style w:type="paragraph" w:styleId="ListBullet5">
    <w:name w:val="List Bullet 5"/>
    <w:basedOn w:val="Normal"/>
    <w:semiHidden/>
    <w:locked/>
    <w:rsid w:val="00E45954"/>
    <w:pPr>
      <w:numPr>
        <w:numId w:val="5"/>
      </w:numPr>
    </w:pPr>
  </w:style>
  <w:style w:type="paragraph" w:styleId="ListContinue">
    <w:name w:val="List Continue"/>
    <w:basedOn w:val="Normal"/>
    <w:semiHidden/>
    <w:locked/>
    <w:rsid w:val="00E45954"/>
    <w:pPr>
      <w:spacing w:after="120"/>
      <w:ind w:left="283"/>
    </w:pPr>
  </w:style>
  <w:style w:type="paragraph" w:styleId="ListContinue2">
    <w:name w:val="List Continue 2"/>
    <w:basedOn w:val="Normal"/>
    <w:semiHidden/>
    <w:locked/>
    <w:rsid w:val="00E45954"/>
    <w:pPr>
      <w:spacing w:after="120"/>
      <w:ind w:left="566"/>
    </w:pPr>
  </w:style>
  <w:style w:type="paragraph" w:styleId="ListContinue3">
    <w:name w:val="List Continue 3"/>
    <w:basedOn w:val="Normal"/>
    <w:semiHidden/>
    <w:locked/>
    <w:rsid w:val="00E45954"/>
    <w:pPr>
      <w:spacing w:after="120"/>
      <w:ind w:left="849"/>
    </w:pPr>
  </w:style>
  <w:style w:type="paragraph" w:styleId="ListContinue5">
    <w:name w:val="List Continue 5"/>
    <w:basedOn w:val="Normal"/>
    <w:semiHidden/>
    <w:locked/>
    <w:rsid w:val="00E45954"/>
    <w:pPr>
      <w:spacing w:after="120"/>
      <w:ind w:left="1415"/>
    </w:pPr>
  </w:style>
  <w:style w:type="paragraph" w:styleId="ListNumber">
    <w:name w:val="List Number"/>
    <w:basedOn w:val="Normal"/>
    <w:semiHidden/>
    <w:locked/>
    <w:rsid w:val="00E45954"/>
    <w:pPr>
      <w:numPr>
        <w:numId w:val="6"/>
      </w:numPr>
    </w:pPr>
  </w:style>
  <w:style w:type="paragraph" w:styleId="ListNumber2">
    <w:name w:val="List Number 2"/>
    <w:basedOn w:val="Normal"/>
    <w:semiHidden/>
    <w:locked/>
    <w:rsid w:val="00E45954"/>
    <w:pPr>
      <w:numPr>
        <w:numId w:val="9"/>
      </w:numPr>
    </w:pPr>
  </w:style>
  <w:style w:type="paragraph" w:styleId="ListNumber3">
    <w:name w:val="List Number 3"/>
    <w:basedOn w:val="Normal"/>
    <w:semiHidden/>
    <w:locked/>
    <w:rsid w:val="00E45954"/>
    <w:pPr>
      <w:numPr>
        <w:numId w:val="10"/>
      </w:numPr>
    </w:pPr>
  </w:style>
  <w:style w:type="paragraph" w:styleId="ListNumber4">
    <w:name w:val="List Number 4"/>
    <w:basedOn w:val="Normal"/>
    <w:semiHidden/>
    <w:locked/>
    <w:rsid w:val="00E45954"/>
    <w:pPr>
      <w:numPr>
        <w:numId w:val="7"/>
      </w:numPr>
    </w:pPr>
  </w:style>
  <w:style w:type="paragraph" w:styleId="ListNumber5">
    <w:name w:val="List Number 5"/>
    <w:basedOn w:val="Normal"/>
    <w:semiHidden/>
    <w:locked/>
    <w:rsid w:val="00E45954"/>
    <w:pPr>
      <w:numPr>
        <w:numId w:val="8"/>
      </w:numPr>
    </w:pPr>
  </w:style>
  <w:style w:type="paragraph" w:styleId="MessageHeader">
    <w:name w:val="Message Header"/>
    <w:basedOn w:val="Normal"/>
    <w:semiHidden/>
    <w:locked/>
    <w:rsid w:val="00E45954"/>
    <w:pPr>
      <w:pBdr>
        <w:top w:val="single" w:sz="6" w:space="1" w:color="auto"/>
        <w:left w:val="single" w:sz="6" w:space="1" w:color="auto"/>
        <w:bottom w:val="single" w:sz="6" w:space="1" w:color="auto"/>
        <w:right w:val="single" w:sz="6" w:space="1" w:color="auto"/>
      </w:pBdr>
      <w:shd w:val="pct20" w:color="auto" w:fill="auto"/>
      <w:ind w:left="1134" w:hanging="1134"/>
    </w:pPr>
    <w:rPr>
      <w:rFonts w:cs="Arial"/>
    </w:rPr>
  </w:style>
  <w:style w:type="paragraph" w:styleId="NormalWeb">
    <w:name w:val="Normal (Web)"/>
    <w:basedOn w:val="Normal"/>
    <w:semiHidden/>
    <w:locked/>
    <w:rsid w:val="00E45954"/>
    <w:rPr>
      <w:rFonts w:ascii="Times New Roman" w:hAnsi="Times New Roman"/>
    </w:rPr>
  </w:style>
  <w:style w:type="paragraph" w:styleId="NormalIndent">
    <w:name w:val="Normal Indent"/>
    <w:basedOn w:val="Normal"/>
    <w:semiHidden/>
    <w:locked/>
    <w:rsid w:val="00E45954"/>
    <w:pPr>
      <w:ind w:left="720"/>
    </w:pPr>
  </w:style>
  <w:style w:type="paragraph" w:styleId="NoteHeading">
    <w:name w:val="Note Heading"/>
    <w:basedOn w:val="Normal"/>
    <w:next w:val="Normal"/>
    <w:semiHidden/>
    <w:locked/>
    <w:rsid w:val="00E45954"/>
  </w:style>
  <w:style w:type="character" w:styleId="PageNumber">
    <w:name w:val="page number"/>
    <w:basedOn w:val="DefaultParagraphFont"/>
    <w:semiHidden/>
    <w:locked/>
    <w:rsid w:val="00E45954"/>
  </w:style>
  <w:style w:type="paragraph" w:styleId="PlainText">
    <w:name w:val="Plain Text"/>
    <w:basedOn w:val="Normal"/>
    <w:semiHidden/>
    <w:locked/>
    <w:rsid w:val="00E45954"/>
    <w:rPr>
      <w:rFonts w:ascii="Courier New" w:hAnsi="Courier New" w:cs="Courier New"/>
      <w:sz w:val="20"/>
      <w:szCs w:val="20"/>
    </w:rPr>
  </w:style>
  <w:style w:type="paragraph" w:styleId="Salutation">
    <w:name w:val="Salutation"/>
    <w:basedOn w:val="Normal"/>
    <w:next w:val="Normal"/>
    <w:semiHidden/>
    <w:locked/>
    <w:rsid w:val="00E45954"/>
  </w:style>
  <w:style w:type="paragraph" w:styleId="Signature">
    <w:name w:val="Signature"/>
    <w:basedOn w:val="Normal"/>
    <w:semiHidden/>
    <w:locked/>
    <w:rsid w:val="00E45954"/>
    <w:pPr>
      <w:ind w:left="4252"/>
    </w:pPr>
  </w:style>
  <w:style w:type="paragraph" w:styleId="Subtitle">
    <w:name w:val="Subtitle"/>
    <w:basedOn w:val="Normal"/>
    <w:qFormat/>
    <w:locked/>
    <w:rsid w:val="00E45954"/>
    <w:pPr>
      <w:spacing w:after="60"/>
      <w:jc w:val="center"/>
      <w:outlineLvl w:val="1"/>
    </w:pPr>
    <w:rPr>
      <w:rFonts w:cs="Arial"/>
    </w:rPr>
  </w:style>
  <w:style w:type="table" w:styleId="Table3Deffects1">
    <w:name w:val="Table 3D effects 1"/>
    <w:basedOn w:val="TableNormal"/>
    <w:semiHidden/>
    <w:locked/>
    <w:rsid w:val="00E45954"/>
    <w:pPr>
      <w:spacing w:after="240"/>
    </w:pPr>
    <w:tblPr>
      <w:tblInd w:w="0" w:type="dxa"/>
      <w:tblCellMar>
        <w:top w:w="0" w:type="dxa"/>
        <w:left w:w="108" w:type="dxa"/>
        <w:bottom w:w="0" w:type="dxa"/>
        <w:right w:w="108" w:type="dxa"/>
      </w:tblCellMar>
    </w:tblPr>
    <w:tcPr>
      <w:shd w:val="solid" w:color="C0C0C0" w:fill="FFFFFF"/>
    </w:tcPr>
    <w:tblStylePr w:type="firstRow">
      <w:rPr>
        <w:b/>
        <w:bCs/>
        <w:color w:val="800080"/>
      </w:rPr>
      <w:tblPr/>
      <w:tcPr>
        <w:tcBorders>
          <w:bottom w:val="single" w:sz="6" w:space="0" w:color="808080"/>
          <w:tl2br w:val="none" w:sz="0" w:space="0" w:color="auto"/>
          <w:tr2bl w:val="none" w:sz="0" w:space="0" w:color="auto"/>
        </w:tcBorders>
      </w:tcPr>
    </w:tblStylePr>
    <w:tblStylePr w:type="lastRow">
      <w:tblPr/>
      <w:tcPr>
        <w:tcBorders>
          <w:top w:val="single" w:sz="6" w:space="0" w:color="FFFFFF"/>
          <w:tl2br w:val="none" w:sz="0" w:space="0" w:color="auto"/>
          <w:tr2bl w:val="none" w:sz="0" w:space="0" w:color="auto"/>
        </w:tcBorders>
      </w:tcPr>
    </w:tblStylePr>
    <w:tblStylePr w:type="firstCol">
      <w:rPr>
        <w:b/>
        <w:bCs/>
      </w:rPr>
      <w:tblPr/>
      <w:tcPr>
        <w:tcBorders>
          <w:right w:val="single" w:sz="6" w:space="0" w:color="808080"/>
          <w:tl2br w:val="none" w:sz="0" w:space="0" w:color="auto"/>
          <w:tr2bl w:val="none" w:sz="0" w:space="0" w:color="auto"/>
        </w:tcBorders>
      </w:tcPr>
    </w:tblStylePr>
    <w:tblStylePr w:type="lastCol">
      <w:tblPr/>
      <w:tcPr>
        <w:tcBorders>
          <w:left w:val="single" w:sz="6" w:space="0" w:color="FFFFFF"/>
          <w:tl2br w:val="none" w:sz="0" w:space="0" w:color="auto"/>
          <w:tr2bl w:val="none" w:sz="0" w:space="0" w:color="auto"/>
        </w:tcBorders>
      </w:tcPr>
    </w:tblStylePr>
    <w:tblStylePr w:type="neCell">
      <w:tblPr/>
      <w:tcPr>
        <w:tcBorders>
          <w:left w:val="none" w:sz="0" w:space="0" w:color="auto"/>
          <w:bottom w:val="none" w:sz="0" w:space="0" w:color="auto"/>
          <w:tl2br w:val="none" w:sz="0" w:space="0" w:color="auto"/>
          <w:tr2bl w:val="none" w:sz="0" w:space="0" w:color="auto"/>
        </w:tcBorders>
      </w:tcPr>
    </w:tblStylePr>
    <w:tblStylePr w:type="nwCell">
      <w:tblPr/>
      <w:tcPr>
        <w:tcBorders>
          <w:bottom w:val="none" w:sz="0" w:space="0" w:color="auto"/>
          <w:right w:val="none" w:sz="0" w:space="0" w:color="auto"/>
          <w:tl2br w:val="none" w:sz="0" w:space="0" w:color="auto"/>
          <w:tr2bl w:val="none" w:sz="0" w:space="0" w:color="auto"/>
        </w:tcBorders>
      </w:tcPr>
    </w:tblStylePr>
    <w:tblStylePr w:type="seCell">
      <w:tblPr/>
      <w:tcPr>
        <w:tcBorders>
          <w:top w:val="none" w:sz="0" w:space="0" w:color="auto"/>
          <w:left w:val="none" w:sz="0" w:space="0" w:color="auto"/>
          <w:tl2br w:val="none" w:sz="0" w:space="0" w:color="auto"/>
          <w:tr2bl w:val="none" w:sz="0" w:space="0" w:color="auto"/>
        </w:tcBorders>
      </w:tcPr>
    </w:tblStylePr>
    <w:tblStylePr w:type="swCell">
      <w:rPr>
        <w:color w:val="000080"/>
      </w:rPr>
      <w:tblPr/>
      <w:tcPr>
        <w:tcBorders>
          <w:top w:val="none" w:sz="0" w:space="0" w:color="auto"/>
          <w:right w:val="none" w:sz="0" w:space="0" w:color="auto"/>
          <w:tl2br w:val="none" w:sz="0" w:space="0" w:color="auto"/>
          <w:tr2bl w:val="none" w:sz="0" w:space="0" w:color="auto"/>
        </w:tcBorders>
      </w:tcPr>
    </w:tblStylePr>
  </w:style>
  <w:style w:type="table" w:styleId="Table3Deffects2">
    <w:name w:val="Table 3D effects 2"/>
    <w:basedOn w:val="TableNormal"/>
    <w:semiHidden/>
    <w:locked/>
    <w:rsid w:val="00E45954"/>
    <w:pPr>
      <w:spacing w:after="240"/>
    </w:pPr>
    <w:tblPr>
      <w:tblStyleRowBandSize w:val="1"/>
      <w:tblInd w:w="0" w:type="dxa"/>
      <w:tblCellMar>
        <w:top w:w="0" w:type="dxa"/>
        <w:left w:w="108" w:type="dxa"/>
        <w:bottom w:w="0" w:type="dxa"/>
        <w:right w:w="108" w:type="dxa"/>
      </w:tblCellMar>
    </w:tblPr>
    <w:tcPr>
      <w:shd w:val="solid" w:color="C0C0C0" w:fill="FFFFFF"/>
    </w:tcPr>
    <w:tblStylePr w:type="firstRow">
      <w:rPr>
        <w:b/>
        <w:bCs/>
      </w:rPr>
      <w:tblPr/>
      <w:tcPr>
        <w:tcBorders>
          <w:tl2br w:val="none" w:sz="0" w:space="0" w:color="auto"/>
          <w:tr2bl w:val="none" w:sz="0" w:space="0" w:color="auto"/>
        </w:tcBorders>
      </w:tcPr>
    </w:tblStylePr>
    <w:tblStylePr w:type="firstCol">
      <w:tblPr/>
      <w:tcPr>
        <w:tcBorders>
          <w:top w:val="none" w:sz="0" w:space="0" w:color="auto"/>
          <w:bottom w:val="none" w:sz="0" w:space="0" w:color="auto"/>
          <w:right w:val="single" w:sz="6" w:space="0" w:color="808080"/>
          <w:tl2br w:val="none" w:sz="0" w:space="0" w:color="auto"/>
          <w:tr2bl w:val="none" w:sz="0" w:space="0" w:color="auto"/>
        </w:tcBorders>
      </w:tcPr>
    </w:tblStylePr>
    <w:tblStylePr w:type="lastCol">
      <w:tblPr/>
      <w:tcPr>
        <w:tcBorders>
          <w:right w:val="single" w:sz="6" w:space="0" w:color="FFFFFF"/>
          <w:tl2br w:val="none" w:sz="0" w:space="0" w:color="auto"/>
          <w:tr2bl w:val="none" w:sz="0" w:space="0" w:color="auto"/>
        </w:tcBorders>
      </w:tcPr>
    </w:tblStylePr>
    <w:tblStylePr w:type="band1Horz">
      <w:tblPr/>
      <w:tcPr>
        <w:tcBorders>
          <w:top w:val="single" w:sz="6" w:space="0" w:color="808080"/>
          <w:bottom w:val="single" w:sz="6" w:space="0" w:color="FFFFFF"/>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styleId="Table3Deffects3">
    <w:name w:val="Table 3D effects 3"/>
    <w:basedOn w:val="TableNormal"/>
    <w:semiHidden/>
    <w:locked/>
    <w:rsid w:val="00E45954"/>
    <w:pPr>
      <w:spacing w:after="240"/>
    </w:pPr>
    <w:tblPr>
      <w:tblStyleRowBandSize w:val="1"/>
      <w:tblStyleColBandSize w:val="1"/>
      <w:tblInd w:w="0" w:type="dxa"/>
      <w:tblCellMar>
        <w:top w:w="0" w:type="dxa"/>
        <w:left w:w="108" w:type="dxa"/>
        <w:bottom w:w="0" w:type="dxa"/>
        <w:right w:w="108" w:type="dxa"/>
      </w:tblCellMar>
    </w:tblPr>
    <w:tblStylePr w:type="firstRow">
      <w:rPr>
        <w:b/>
        <w:bCs/>
      </w:rPr>
      <w:tblPr/>
      <w:tcPr>
        <w:tcBorders>
          <w:tl2br w:val="none" w:sz="0" w:space="0" w:color="auto"/>
          <w:tr2bl w:val="none" w:sz="0" w:space="0" w:color="auto"/>
        </w:tcBorders>
      </w:tcPr>
    </w:tblStylePr>
    <w:tblStylePr w:type="firstCol">
      <w:tblPr/>
      <w:tcPr>
        <w:tcBorders>
          <w:top w:val="none" w:sz="0" w:space="0" w:color="auto"/>
          <w:bottom w:val="none" w:sz="0" w:space="0" w:color="auto"/>
          <w:right w:val="single" w:sz="6" w:space="0" w:color="808080"/>
          <w:tl2br w:val="none" w:sz="0" w:space="0" w:color="auto"/>
          <w:tr2bl w:val="none" w:sz="0" w:space="0" w:color="auto"/>
        </w:tcBorders>
      </w:tcPr>
    </w:tblStylePr>
    <w:tblStylePr w:type="lastCol">
      <w:tblPr/>
      <w:tcPr>
        <w:tcBorders>
          <w:right w:val="single" w:sz="6" w:space="0" w:color="FFFFFF"/>
          <w:tl2br w:val="none" w:sz="0" w:space="0" w:color="auto"/>
          <w:tr2bl w:val="none" w:sz="0" w:space="0" w:color="auto"/>
        </w:tcBorders>
      </w:tcPr>
    </w:tblStylePr>
    <w:tblStylePr w:type="band1Vert">
      <w:rPr>
        <w:color w:val="auto"/>
      </w:rPr>
      <w:tblPr/>
      <w:tcPr>
        <w:shd w:val="solid" w:color="C0C0C0" w:fill="FFFFFF"/>
      </w:tcPr>
    </w:tblStylePr>
    <w:tblStylePr w:type="band2Vert">
      <w:rPr>
        <w:color w:val="auto"/>
      </w:rPr>
      <w:tblPr/>
      <w:tcPr>
        <w:shd w:val="pct50" w:color="C0C0C0" w:fill="FFFFFF"/>
      </w:tcPr>
    </w:tblStylePr>
    <w:tblStylePr w:type="band1Horz">
      <w:tblPr/>
      <w:tcPr>
        <w:tcBorders>
          <w:top w:val="single" w:sz="6" w:space="0" w:color="808080"/>
          <w:bottom w:val="single" w:sz="6" w:space="0" w:color="FFFFFF"/>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styleId="TableClassic1">
    <w:name w:val="Table Classic 1"/>
    <w:basedOn w:val="TableNormal"/>
    <w:semiHidden/>
    <w:locked/>
    <w:rsid w:val="00E45954"/>
    <w:pPr>
      <w:spacing w:after="240"/>
    </w:pPr>
    <w:tblPr>
      <w:tblInd w:w="0" w:type="dxa"/>
      <w:tblBorders>
        <w:top w:val="single" w:sz="12" w:space="0" w:color="000000"/>
        <w:bottom w:val="single" w:sz="12" w:space="0" w:color="000000"/>
      </w:tblBorders>
      <w:tblCellMar>
        <w:top w:w="0" w:type="dxa"/>
        <w:left w:w="108" w:type="dxa"/>
        <w:bottom w:w="0" w:type="dxa"/>
        <w:right w:w="108" w:type="dxa"/>
      </w:tblCellMar>
    </w:tblPr>
    <w:tcPr>
      <w:shd w:val="clear" w:color="auto" w:fill="auto"/>
    </w:tcPr>
    <w:tblStylePr w:type="firstRow">
      <w:rPr>
        <w:i/>
        <w:iCs/>
      </w:rPr>
      <w:tblPr/>
      <w:tcPr>
        <w:tcBorders>
          <w:bottom w:val="single" w:sz="6" w:space="0" w:color="000000"/>
          <w:tl2br w:val="none" w:sz="0" w:space="0" w:color="auto"/>
          <w:tr2bl w:val="none" w:sz="0" w:space="0" w:color="auto"/>
        </w:tcBorders>
      </w:tcPr>
    </w:tblStylePr>
    <w:tblStylePr w:type="lastRow">
      <w:rPr>
        <w:color w:val="auto"/>
      </w:rPr>
      <w:tblPr/>
      <w:tcPr>
        <w:tcBorders>
          <w:top w:val="single" w:sz="6" w:space="0" w:color="000000"/>
          <w:tl2br w:val="none" w:sz="0" w:space="0" w:color="auto"/>
          <w:tr2bl w:val="none" w:sz="0" w:space="0" w:color="auto"/>
        </w:tcBorders>
      </w:tcPr>
    </w:tblStylePr>
    <w:tblStylePr w:type="firstCol">
      <w:tblPr/>
      <w:tcPr>
        <w:tcBorders>
          <w:right w:val="single" w:sz="6" w:space="0" w:color="000000"/>
          <w:tl2br w:val="none" w:sz="0" w:space="0" w:color="auto"/>
          <w:tr2bl w:val="none" w:sz="0" w:space="0" w:color="auto"/>
        </w:tcBorders>
      </w:tcPr>
    </w:tblStylePr>
    <w:tblStylePr w:type="neCell">
      <w:rPr>
        <w:b/>
        <w:bCs/>
        <w:i w:val="0"/>
        <w:iCs w:val="0"/>
      </w:rPr>
      <w:tblPr/>
      <w:tcPr>
        <w:tcBorders>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styleId="TableClassic2">
    <w:name w:val="Table Classic 2"/>
    <w:basedOn w:val="TableNormal"/>
    <w:semiHidden/>
    <w:locked/>
    <w:rsid w:val="00E45954"/>
    <w:pPr>
      <w:spacing w:after="240"/>
    </w:pPr>
    <w:tblPr>
      <w:tblInd w:w="0" w:type="dxa"/>
      <w:tblBorders>
        <w:top w:val="single" w:sz="12" w:space="0" w:color="000000"/>
        <w:bottom w:val="single" w:sz="12" w:space="0" w:color="000000"/>
      </w:tblBorders>
      <w:tblCellMar>
        <w:top w:w="0" w:type="dxa"/>
        <w:left w:w="108" w:type="dxa"/>
        <w:bottom w:w="0" w:type="dxa"/>
        <w:right w:w="108" w:type="dxa"/>
      </w:tblCellMar>
    </w:tblPr>
    <w:tcPr>
      <w:shd w:val="clear" w:color="auto" w:fill="auto"/>
    </w:tcPr>
    <w:tblStylePr w:type="firstRow">
      <w:rPr>
        <w:color w:val="FFFFFF"/>
      </w:rPr>
      <w:tblPr/>
      <w:tcPr>
        <w:tcBorders>
          <w:bottom w:val="single" w:sz="6" w:space="0" w:color="000000"/>
          <w:tl2br w:val="none" w:sz="0" w:space="0" w:color="auto"/>
          <w:tr2bl w:val="none" w:sz="0" w:space="0" w:color="auto"/>
        </w:tcBorders>
        <w:shd w:val="solid" w:color="800080" w:fill="FFFFFF"/>
      </w:tcPr>
    </w:tblStylePr>
    <w:tblStylePr w:type="lastRow">
      <w:tblPr/>
      <w:tcPr>
        <w:tcBorders>
          <w:top w:val="single" w:sz="6" w:space="0" w:color="000000"/>
          <w:tl2br w:val="none" w:sz="0" w:space="0" w:color="auto"/>
          <w:tr2bl w:val="none" w:sz="0" w:space="0" w:color="auto"/>
        </w:tcBorders>
      </w:tcPr>
    </w:tblStylePr>
    <w:tblStylePr w:type="firstCol">
      <w:rPr>
        <w:b/>
        <w:bCs/>
      </w:rPr>
      <w:tblPr/>
      <w:tcPr>
        <w:tcBorders>
          <w:tl2br w:val="none" w:sz="0" w:space="0" w:color="auto"/>
          <w:tr2bl w:val="none" w:sz="0" w:space="0" w:color="auto"/>
        </w:tcBorders>
        <w:shd w:val="solid" w:color="C0C0C0" w:fill="FFFFFF"/>
      </w:tcPr>
    </w:tblStylePr>
    <w:tblStylePr w:type="neCell">
      <w:rPr>
        <w:b/>
        <w:bCs/>
      </w:rPr>
      <w:tblPr/>
      <w:tcPr>
        <w:tcBorders>
          <w:tl2br w:val="none" w:sz="0" w:space="0" w:color="auto"/>
          <w:tr2bl w:val="none" w:sz="0" w:space="0" w:color="auto"/>
        </w:tcBorders>
      </w:tcPr>
    </w:tblStylePr>
    <w:tblStylePr w:type="nwCell">
      <w:tblPr/>
      <w:tcPr>
        <w:tcBorders>
          <w:tl2br w:val="none" w:sz="0" w:space="0" w:color="auto"/>
          <w:tr2bl w:val="none" w:sz="0" w:space="0" w:color="auto"/>
        </w:tcBorders>
        <w:shd w:val="solid" w:color="800080" w:fill="FFFFFF"/>
      </w:tcPr>
    </w:tblStylePr>
    <w:tblStylePr w:type="swCell">
      <w:rPr>
        <w:color w:val="000080"/>
      </w:rPr>
      <w:tblPr/>
      <w:tcPr>
        <w:tcBorders>
          <w:tl2br w:val="none" w:sz="0" w:space="0" w:color="auto"/>
          <w:tr2bl w:val="none" w:sz="0" w:space="0" w:color="auto"/>
        </w:tcBorders>
      </w:tcPr>
    </w:tblStylePr>
  </w:style>
  <w:style w:type="table" w:styleId="TableClassic3">
    <w:name w:val="Table Classic 3"/>
    <w:basedOn w:val="TableNormal"/>
    <w:semiHidden/>
    <w:locked/>
    <w:rsid w:val="00E45954"/>
    <w:pPr>
      <w:spacing w:after="240"/>
    </w:pPr>
    <w:rPr>
      <w:color w:val="000080"/>
    </w:rPr>
    <w:tblPr>
      <w:tblInd w:w="0" w:type="dxa"/>
      <w:tblBorders>
        <w:top w:val="single" w:sz="12" w:space="0" w:color="000000"/>
        <w:left w:val="single" w:sz="12" w:space="0" w:color="000000"/>
        <w:bottom w:val="single" w:sz="12" w:space="0" w:color="000000"/>
        <w:right w:val="single" w:sz="12" w:space="0" w:color="000000"/>
      </w:tblBorders>
      <w:tblCellMar>
        <w:top w:w="0" w:type="dxa"/>
        <w:left w:w="108" w:type="dxa"/>
        <w:bottom w:w="0" w:type="dxa"/>
        <w:right w:w="108" w:type="dxa"/>
      </w:tblCellMar>
    </w:tblPr>
    <w:tcPr>
      <w:shd w:val="solid" w:color="C0C0C0" w:fill="FFFFFF"/>
    </w:tcPr>
    <w:tblStylePr w:type="firstRow">
      <w:rPr>
        <w:b/>
        <w:bCs/>
        <w:i/>
        <w:iCs/>
        <w:color w:val="FFFFFF"/>
      </w:rPr>
      <w:tblPr/>
      <w:tcPr>
        <w:tcBorders>
          <w:bottom w:val="single" w:sz="6" w:space="0" w:color="000000"/>
          <w:tl2br w:val="none" w:sz="0" w:space="0" w:color="auto"/>
          <w:tr2bl w:val="none" w:sz="0" w:space="0" w:color="auto"/>
        </w:tcBorders>
        <w:shd w:val="solid" w:color="000080" w:fill="FFFFFF"/>
      </w:tcPr>
    </w:tblStylePr>
    <w:tblStylePr w:type="lastRow">
      <w:rPr>
        <w:color w:val="000080"/>
      </w:rPr>
      <w:tblPr/>
      <w:tcPr>
        <w:tcBorders>
          <w:top w:val="single" w:sz="12" w:space="0" w:color="000000"/>
          <w:tl2br w:val="none" w:sz="0" w:space="0" w:color="auto"/>
          <w:tr2bl w:val="none" w:sz="0" w:space="0" w:color="auto"/>
        </w:tcBorders>
        <w:shd w:val="solid" w:color="FFFFFF" w:fill="FFFFFF"/>
      </w:tcPr>
    </w:tblStylePr>
    <w:tblStylePr w:type="firstCol">
      <w:rPr>
        <w:b/>
        <w:bCs/>
        <w:color w:val="000000"/>
      </w:rPr>
      <w:tblPr/>
      <w:tcPr>
        <w:tcBorders>
          <w:tl2br w:val="none" w:sz="0" w:space="0" w:color="auto"/>
          <w:tr2bl w:val="none" w:sz="0" w:space="0" w:color="auto"/>
        </w:tcBorders>
      </w:tcPr>
    </w:tblStylePr>
  </w:style>
  <w:style w:type="table" w:styleId="TableClassic4">
    <w:name w:val="Table Classic 4"/>
    <w:basedOn w:val="TableNormal"/>
    <w:semiHidden/>
    <w:locked/>
    <w:rsid w:val="00E45954"/>
    <w:pPr>
      <w:spacing w:after="240"/>
    </w:pPr>
    <w:tblPr>
      <w:tblInd w:w="0" w:type="dxa"/>
      <w:tblBorders>
        <w:top w:val="single" w:sz="12" w:space="0" w:color="000000"/>
        <w:left w:val="single" w:sz="6" w:space="0" w:color="000000"/>
        <w:bottom w:val="single" w:sz="12" w:space="0" w:color="000000"/>
        <w:right w:val="single" w:sz="6" w:space="0" w:color="000000"/>
      </w:tblBorders>
      <w:tblCellMar>
        <w:top w:w="0" w:type="dxa"/>
        <w:left w:w="108" w:type="dxa"/>
        <w:bottom w:w="0" w:type="dxa"/>
        <w:right w:w="108" w:type="dxa"/>
      </w:tblCellMar>
    </w:tblPr>
    <w:tcPr>
      <w:shd w:val="clear" w:color="auto" w:fill="auto"/>
    </w:tcPr>
    <w:tblStylePr w:type="firstRow">
      <w:rPr>
        <w:b/>
        <w:bCs/>
        <w:i/>
        <w:iCs/>
        <w:color w:val="FFFFFF"/>
      </w:rPr>
      <w:tblPr/>
      <w:tcPr>
        <w:tcBorders>
          <w:bottom w:val="single" w:sz="6" w:space="0" w:color="000000"/>
          <w:tl2br w:val="none" w:sz="0" w:space="0" w:color="auto"/>
          <w:tr2bl w:val="none" w:sz="0" w:space="0" w:color="auto"/>
        </w:tcBorders>
        <w:shd w:val="pct50" w:color="000080" w:fill="FFFFFF"/>
      </w:tcPr>
    </w:tblStylePr>
    <w:tblStylePr w:type="lastRow">
      <w:rPr>
        <w:color w:val="000080"/>
      </w:rPr>
      <w:tblPr/>
      <w:tcPr>
        <w:tcBorders>
          <w:bottom w:val="single" w:sz="6" w:space="0" w:color="000000"/>
          <w:tl2br w:val="none" w:sz="0" w:space="0" w:color="auto"/>
          <w:tr2bl w:val="none" w:sz="0" w:space="0" w:color="auto"/>
        </w:tcBorders>
        <w:shd w:val="pct50" w:color="000000" w:fill="FFFFFF"/>
      </w:tcPr>
    </w:tblStylePr>
    <w:tblStylePr w:type="firstCol">
      <w:rPr>
        <w:b/>
        <w:bCs/>
      </w:rPr>
      <w:tblPr/>
      <w:tcPr>
        <w:tcBorders>
          <w:tl2br w:val="none" w:sz="0" w:space="0" w:color="auto"/>
          <w:tr2bl w:val="none" w:sz="0" w:space="0" w:color="auto"/>
        </w:tcBorders>
      </w:tcPr>
    </w:tblStylePr>
    <w:tblStylePr w:type="nwCell">
      <w:rPr>
        <w:b/>
        <w:bCs/>
      </w:rPr>
      <w:tblPr/>
      <w:tcPr>
        <w:tcBorders>
          <w:tl2br w:val="none" w:sz="0" w:space="0" w:color="auto"/>
          <w:tr2bl w:val="none" w:sz="0" w:space="0" w:color="auto"/>
        </w:tcBorders>
      </w:tcPr>
    </w:tblStylePr>
    <w:tblStylePr w:type="swCell">
      <w:rPr>
        <w:color w:val="000080"/>
      </w:rPr>
      <w:tblPr/>
      <w:tcPr>
        <w:tcBorders>
          <w:tl2br w:val="none" w:sz="0" w:space="0" w:color="auto"/>
          <w:tr2bl w:val="none" w:sz="0" w:space="0" w:color="auto"/>
        </w:tcBorders>
      </w:tcPr>
    </w:tblStylePr>
  </w:style>
  <w:style w:type="table" w:styleId="TableColorful1">
    <w:name w:val="Table Colorful 1"/>
    <w:basedOn w:val="TableNormal"/>
    <w:semiHidden/>
    <w:locked/>
    <w:rsid w:val="00E45954"/>
    <w:pPr>
      <w:spacing w:after="240"/>
    </w:pPr>
    <w:rPr>
      <w:color w:val="FFFFFF"/>
    </w:rPr>
    <w:tblPr>
      <w:tblInd w:w="0" w:type="dxa"/>
      <w:tblBorders>
        <w:top w:val="single" w:sz="12" w:space="0" w:color="008080"/>
        <w:left w:val="single" w:sz="12" w:space="0" w:color="008080"/>
        <w:bottom w:val="single" w:sz="12" w:space="0" w:color="008080"/>
        <w:right w:val="single" w:sz="12" w:space="0" w:color="008080"/>
        <w:insideH w:val="single" w:sz="6" w:space="0" w:color="00FFFF"/>
      </w:tblBorders>
      <w:tblCellMar>
        <w:top w:w="0" w:type="dxa"/>
        <w:left w:w="108" w:type="dxa"/>
        <w:bottom w:w="0" w:type="dxa"/>
        <w:right w:w="108" w:type="dxa"/>
      </w:tblCellMar>
    </w:tblPr>
    <w:tcPr>
      <w:shd w:val="solid" w:color="008080" w:fill="FFFFFF"/>
    </w:tcPr>
    <w:tblStylePr w:type="firstRow">
      <w:rPr>
        <w:b/>
        <w:bCs/>
        <w:i/>
        <w:iCs/>
      </w:rPr>
      <w:tblPr/>
      <w:tcPr>
        <w:tcBorders>
          <w:tl2br w:val="none" w:sz="0" w:space="0" w:color="auto"/>
          <w:tr2bl w:val="none" w:sz="0" w:space="0" w:color="auto"/>
        </w:tcBorders>
        <w:shd w:val="solid" w:color="000000" w:fill="FFFFFF"/>
      </w:tcPr>
    </w:tblStylePr>
    <w:tblStylePr w:type="firstCol">
      <w:rPr>
        <w:b/>
        <w:bCs/>
        <w:i/>
        <w:iCs/>
      </w:rPr>
      <w:tblPr/>
      <w:tcPr>
        <w:tcBorders>
          <w:tl2br w:val="none" w:sz="0" w:space="0" w:color="auto"/>
          <w:tr2bl w:val="none" w:sz="0" w:space="0" w:color="auto"/>
        </w:tcBorders>
        <w:shd w:val="solid" w:color="000080" w:fill="FFFFFF"/>
      </w:tcPr>
    </w:tblStylePr>
    <w:tblStylePr w:type="nwCell">
      <w:tblPr/>
      <w:tcPr>
        <w:tcBorders>
          <w:tl2br w:val="none" w:sz="0" w:space="0" w:color="auto"/>
          <w:tr2bl w:val="none" w:sz="0" w:space="0" w:color="auto"/>
        </w:tcBorders>
        <w:shd w:val="solid" w:color="000000" w:fill="FFFFFF"/>
      </w:tcPr>
    </w:tblStylePr>
    <w:tblStylePr w:type="swCell">
      <w:rPr>
        <w:b/>
        <w:bCs/>
        <w:i w:val="0"/>
        <w:iCs w:val="0"/>
      </w:rPr>
      <w:tblPr/>
      <w:tcPr>
        <w:tcBorders>
          <w:tl2br w:val="none" w:sz="0" w:space="0" w:color="auto"/>
          <w:tr2bl w:val="none" w:sz="0" w:space="0" w:color="auto"/>
        </w:tcBorders>
      </w:tcPr>
    </w:tblStylePr>
  </w:style>
  <w:style w:type="table" w:styleId="TableColorful2">
    <w:name w:val="Table Colorful 2"/>
    <w:basedOn w:val="TableNormal"/>
    <w:semiHidden/>
    <w:locked/>
    <w:rsid w:val="00E45954"/>
    <w:pPr>
      <w:spacing w:after="240"/>
    </w:pPr>
    <w:tblPr>
      <w:tblInd w:w="0" w:type="dxa"/>
      <w:tblBorders>
        <w:bottom w:val="single" w:sz="12" w:space="0" w:color="000000"/>
      </w:tblBorders>
      <w:tblCellMar>
        <w:top w:w="0" w:type="dxa"/>
        <w:left w:w="108" w:type="dxa"/>
        <w:bottom w:w="0" w:type="dxa"/>
        <w:right w:w="108" w:type="dxa"/>
      </w:tblCellMar>
    </w:tblPr>
    <w:tcPr>
      <w:shd w:val="pct20" w:color="FFFF00" w:fill="FFFFFF"/>
    </w:tcPr>
    <w:tblStylePr w:type="firstRow">
      <w:rPr>
        <w:b/>
        <w:bCs/>
        <w:i/>
        <w:iCs/>
        <w:color w:val="FFFFFF"/>
      </w:rPr>
      <w:tblPr/>
      <w:tcPr>
        <w:tcBorders>
          <w:bottom w:val="single" w:sz="12" w:space="0" w:color="000000"/>
          <w:tl2br w:val="none" w:sz="0" w:space="0" w:color="auto"/>
          <w:tr2bl w:val="none" w:sz="0" w:space="0" w:color="auto"/>
        </w:tcBorders>
        <w:shd w:val="solid" w:color="800000" w:fill="FFFFFF"/>
      </w:tcPr>
    </w:tblStylePr>
    <w:tblStylePr w:type="firstCol">
      <w:rPr>
        <w:b/>
        <w:bCs/>
        <w:i/>
        <w:iCs/>
      </w:rPr>
      <w:tblPr/>
      <w:tcPr>
        <w:tcBorders>
          <w:tl2br w:val="none" w:sz="0" w:space="0" w:color="auto"/>
          <w:tr2bl w:val="none" w:sz="0" w:space="0" w:color="auto"/>
        </w:tcBorders>
      </w:tcPr>
    </w:tblStylePr>
    <w:tblStylePr w:type="lastCol">
      <w:tblPr/>
      <w:tcPr>
        <w:tcBorders>
          <w:tl2br w:val="none" w:sz="0" w:space="0" w:color="auto"/>
          <w:tr2bl w:val="none" w:sz="0" w:space="0" w:color="auto"/>
        </w:tcBorders>
        <w:shd w:val="solid" w:color="C0C0C0" w:fill="FFFFFF"/>
      </w:tcPr>
    </w:tblStylePr>
    <w:tblStylePr w:type="swCell">
      <w:rPr>
        <w:b/>
        <w:bCs/>
        <w:i w:val="0"/>
        <w:iCs w:val="0"/>
      </w:rPr>
      <w:tblPr/>
      <w:tcPr>
        <w:tcBorders>
          <w:tl2br w:val="none" w:sz="0" w:space="0" w:color="auto"/>
          <w:tr2bl w:val="none" w:sz="0" w:space="0" w:color="auto"/>
        </w:tcBorders>
      </w:tcPr>
    </w:tblStylePr>
  </w:style>
  <w:style w:type="table" w:styleId="TableColorful3">
    <w:name w:val="Table Colorful 3"/>
    <w:basedOn w:val="TableNormal"/>
    <w:semiHidden/>
    <w:locked/>
    <w:rsid w:val="00E45954"/>
    <w:pPr>
      <w:spacing w:after="240"/>
    </w:pPr>
    <w:tblPr>
      <w:tblInd w:w="0" w:type="dxa"/>
      <w:tblBorders>
        <w:top w:val="single" w:sz="18" w:space="0" w:color="000000"/>
        <w:left w:val="single" w:sz="18" w:space="0" w:color="000000"/>
        <w:bottom w:val="single" w:sz="18" w:space="0" w:color="000000"/>
        <w:right w:val="single" w:sz="18" w:space="0" w:color="000000"/>
        <w:insideH w:val="single" w:sz="6" w:space="0" w:color="C0C0C0"/>
      </w:tblBorders>
      <w:tblCellMar>
        <w:top w:w="0" w:type="dxa"/>
        <w:left w:w="108" w:type="dxa"/>
        <w:bottom w:w="0" w:type="dxa"/>
        <w:right w:w="108" w:type="dxa"/>
      </w:tblCellMar>
    </w:tblPr>
    <w:tcPr>
      <w:shd w:val="pct25" w:color="008080" w:fill="FFFFFF"/>
    </w:tcPr>
    <w:tblStylePr w:type="firstRow">
      <w:tblPr/>
      <w:tcPr>
        <w:tcBorders>
          <w:bottom w:val="single" w:sz="6" w:space="0" w:color="000000"/>
          <w:tl2br w:val="none" w:sz="0" w:space="0" w:color="auto"/>
          <w:tr2bl w:val="none" w:sz="0" w:space="0" w:color="auto"/>
        </w:tcBorders>
        <w:shd w:val="solid" w:color="008080" w:fill="FFFFFF"/>
      </w:tcPr>
    </w:tblStylePr>
    <w:tblStylePr w:type="firstCol">
      <w:tblPr/>
      <w:tcPr>
        <w:tcBorders>
          <w:left w:val="single" w:sz="36" w:space="0" w:color="000000"/>
          <w:right w:val="single" w:sz="6" w:space="0" w:color="000000"/>
          <w:tl2br w:val="none" w:sz="0" w:space="0" w:color="auto"/>
          <w:tr2bl w:val="none" w:sz="0" w:space="0" w:color="auto"/>
        </w:tcBorders>
        <w:shd w:val="solid" w:color="008080" w:fill="FFFFFF"/>
      </w:tcPr>
    </w:tblStylePr>
    <w:tblStylePr w:type="nwCell">
      <w:rPr>
        <w:b/>
        <w:bCs/>
        <w:color w:val="FFFFFF"/>
      </w:rPr>
      <w:tblPr/>
      <w:tcPr>
        <w:tcBorders>
          <w:tl2br w:val="none" w:sz="0" w:space="0" w:color="auto"/>
          <w:tr2bl w:val="none" w:sz="0" w:space="0" w:color="auto"/>
        </w:tcBorders>
        <w:shd w:val="solid" w:color="000000" w:fill="FFFFFF"/>
      </w:tcPr>
    </w:tblStylePr>
  </w:style>
  <w:style w:type="table" w:styleId="TableColumns1">
    <w:name w:val="Table Columns 1"/>
    <w:basedOn w:val="TableNormal"/>
    <w:semiHidden/>
    <w:locked/>
    <w:rsid w:val="00E45954"/>
    <w:pPr>
      <w:spacing w:after="240"/>
    </w:pPr>
    <w:rPr>
      <w:b/>
      <w:bCs/>
    </w:rPr>
    <w:tblPr>
      <w:tblStyleColBandSize w:val="1"/>
      <w:tblInd w:w="0" w:type="dxa"/>
      <w:tblBorders>
        <w:top w:val="single" w:sz="12" w:space="0" w:color="000000"/>
        <w:left w:val="single" w:sz="12" w:space="0" w:color="000000"/>
        <w:bottom w:val="single" w:sz="12" w:space="0" w:color="000000"/>
        <w:right w:val="single" w:sz="12" w:space="0" w:color="000000"/>
      </w:tblBorders>
      <w:tblCellMar>
        <w:top w:w="0" w:type="dxa"/>
        <w:left w:w="108" w:type="dxa"/>
        <w:bottom w:w="0" w:type="dxa"/>
        <w:right w:w="108" w:type="dxa"/>
      </w:tblCellMar>
    </w:tblPr>
    <w:tblStylePr w:type="firstRow">
      <w:rPr>
        <w:b w:val="0"/>
        <w:bCs w:val="0"/>
      </w:rPr>
      <w:tblPr/>
      <w:tcPr>
        <w:tcBorders>
          <w:bottom w:val="double" w:sz="6" w:space="0" w:color="000000"/>
          <w:tl2br w:val="none" w:sz="0" w:space="0" w:color="auto"/>
          <w:tr2bl w:val="none" w:sz="0" w:space="0" w:color="auto"/>
        </w:tcBorders>
      </w:tcPr>
    </w:tblStylePr>
    <w:tblStylePr w:type="lastRow">
      <w:rPr>
        <w:b w:val="0"/>
        <w:bCs w:val="0"/>
      </w:rPr>
      <w:tblPr/>
      <w:tcPr>
        <w:tcBorders>
          <w:tl2br w:val="none" w:sz="0" w:space="0" w:color="auto"/>
          <w:tr2bl w:val="none" w:sz="0" w:space="0" w:color="auto"/>
        </w:tcBorders>
      </w:tcPr>
    </w:tblStylePr>
    <w:tblStylePr w:type="firstCol">
      <w:rPr>
        <w:b w:val="0"/>
        <w:bCs w:val="0"/>
      </w:rPr>
      <w:tblPr/>
      <w:tcPr>
        <w:tcBorders>
          <w:tl2br w:val="none" w:sz="0" w:space="0" w:color="auto"/>
          <w:tr2bl w:val="none" w:sz="0" w:space="0" w:color="auto"/>
        </w:tcBorders>
      </w:tcPr>
    </w:tblStylePr>
    <w:tblStylePr w:type="lastCol">
      <w:rPr>
        <w:b w:val="0"/>
        <w:bCs w:val="0"/>
      </w:rPr>
      <w:tblPr/>
      <w:tcPr>
        <w:tcBorders>
          <w:tl2br w:val="none" w:sz="0" w:space="0" w:color="auto"/>
          <w:tr2bl w:val="none" w:sz="0" w:space="0" w:color="auto"/>
        </w:tcBorders>
      </w:tcPr>
    </w:tblStylePr>
    <w:tblStylePr w:type="band1Vert">
      <w:rPr>
        <w:color w:val="auto"/>
      </w:rPr>
      <w:tblPr/>
      <w:tcPr>
        <w:shd w:val="pct25" w:color="000000" w:fill="FFFFFF"/>
      </w:tcPr>
    </w:tblStylePr>
    <w:tblStylePr w:type="band2Vert">
      <w:rPr>
        <w:color w:val="auto"/>
      </w:rPr>
      <w:tblPr/>
      <w:tcPr>
        <w:shd w:val="pct25" w:color="FFFF00" w:fill="FFFFFF"/>
      </w:tcPr>
    </w:tblStylePr>
    <w:tblStylePr w:type="neCell">
      <w:rPr>
        <w:b/>
        <w:bCs/>
      </w:rPr>
      <w:tblPr/>
      <w:tcPr>
        <w:tcBorders>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styleId="TableColumns2">
    <w:name w:val="Table Columns 2"/>
    <w:basedOn w:val="TableNormal"/>
    <w:semiHidden/>
    <w:locked/>
    <w:rsid w:val="00E45954"/>
    <w:pPr>
      <w:spacing w:after="240"/>
    </w:pPr>
    <w:rPr>
      <w:b/>
      <w:bCs/>
    </w:rPr>
    <w:tblPr>
      <w:tblStyleColBandSize w:val="1"/>
      <w:tblInd w:w="0" w:type="dxa"/>
      <w:tblCellMar>
        <w:top w:w="0" w:type="dxa"/>
        <w:left w:w="108" w:type="dxa"/>
        <w:bottom w:w="0" w:type="dxa"/>
        <w:right w:w="108" w:type="dxa"/>
      </w:tblCellMar>
    </w:tblPr>
    <w:tblStylePr w:type="firstRow">
      <w:rPr>
        <w:color w:val="FFFFFF"/>
      </w:rPr>
      <w:tblPr/>
      <w:tcPr>
        <w:tcBorders>
          <w:tl2br w:val="none" w:sz="0" w:space="0" w:color="auto"/>
          <w:tr2bl w:val="none" w:sz="0" w:space="0" w:color="auto"/>
        </w:tcBorders>
        <w:shd w:val="solid" w:color="000080" w:fill="FFFFFF"/>
      </w:tcPr>
    </w:tblStylePr>
    <w:tblStylePr w:type="lastRow">
      <w:rPr>
        <w:b w:val="0"/>
        <w:bCs w:val="0"/>
      </w:rPr>
      <w:tblPr/>
      <w:tcPr>
        <w:tcBorders>
          <w:tl2br w:val="none" w:sz="0" w:space="0" w:color="auto"/>
          <w:tr2bl w:val="none" w:sz="0" w:space="0" w:color="auto"/>
        </w:tcBorders>
      </w:tcPr>
    </w:tblStylePr>
    <w:tblStylePr w:type="firstCol">
      <w:rPr>
        <w:b w:val="0"/>
        <w:bCs w:val="0"/>
        <w:color w:val="000000"/>
      </w:rPr>
      <w:tblPr/>
      <w:tcPr>
        <w:tcBorders>
          <w:tl2br w:val="none" w:sz="0" w:space="0" w:color="auto"/>
          <w:tr2bl w:val="none" w:sz="0" w:space="0" w:color="auto"/>
        </w:tcBorders>
      </w:tcPr>
    </w:tblStylePr>
    <w:tblStylePr w:type="lastCol">
      <w:rPr>
        <w:b w:val="0"/>
        <w:bCs w:val="0"/>
      </w:rPr>
      <w:tblPr/>
      <w:tcPr>
        <w:tcBorders>
          <w:tl2br w:val="none" w:sz="0" w:space="0" w:color="auto"/>
          <w:tr2bl w:val="none" w:sz="0" w:space="0" w:color="auto"/>
        </w:tcBorders>
      </w:tcPr>
    </w:tblStylePr>
    <w:tblStylePr w:type="band1Vert">
      <w:rPr>
        <w:color w:val="auto"/>
      </w:rPr>
      <w:tblPr/>
      <w:tcPr>
        <w:shd w:val="pct30" w:color="000000" w:fill="FFFFFF"/>
      </w:tcPr>
    </w:tblStylePr>
    <w:tblStylePr w:type="band2Vert">
      <w:rPr>
        <w:color w:val="auto"/>
      </w:rPr>
      <w:tblPr/>
      <w:tcPr>
        <w:shd w:val="pct25" w:color="00FF00" w:fill="FFFFFF"/>
      </w:tcPr>
    </w:tblStylePr>
    <w:tblStylePr w:type="neCell">
      <w:rPr>
        <w:b/>
        <w:bCs/>
      </w:rPr>
      <w:tblPr/>
      <w:tcPr>
        <w:tcBorders>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styleId="TableColumns3">
    <w:name w:val="Table Columns 3"/>
    <w:basedOn w:val="TableNormal"/>
    <w:semiHidden/>
    <w:locked/>
    <w:rsid w:val="00E45954"/>
    <w:pPr>
      <w:spacing w:after="240"/>
    </w:pPr>
    <w:rPr>
      <w:b/>
      <w:bCs/>
    </w:rPr>
    <w:tblPr>
      <w:tblStyleColBandSize w:val="1"/>
      <w:tblInd w:w="0" w:type="dxa"/>
      <w:tblBorders>
        <w:top w:val="single" w:sz="6" w:space="0" w:color="000080"/>
        <w:left w:val="single" w:sz="6" w:space="0" w:color="000080"/>
        <w:bottom w:val="single" w:sz="6" w:space="0" w:color="000080"/>
        <w:right w:val="single" w:sz="6" w:space="0" w:color="000080"/>
        <w:insideV w:val="single" w:sz="6" w:space="0" w:color="000080"/>
      </w:tblBorders>
      <w:tblCellMar>
        <w:top w:w="0" w:type="dxa"/>
        <w:left w:w="108" w:type="dxa"/>
        <w:bottom w:w="0" w:type="dxa"/>
        <w:right w:w="108" w:type="dxa"/>
      </w:tblCellMar>
    </w:tblPr>
    <w:tblStylePr w:type="firstRow">
      <w:rPr>
        <w:color w:val="FFFFFF"/>
      </w:rPr>
      <w:tblPr/>
      <w:tcPr>
        <w:tcBorders>
          <w:tl2br w:val="none" w:sz="0" w:space="0" w:color="auto"/>
          <w:tr2bl w:val="none" w:sz="0" w:space="0" w:color="auto"/>
        </w:tcBorders>
        <w:shd w:val="solid" w:color="000080" w:fill="FFFFFF"/>
      </w:tcPr>
    </w:tblStylePr>
    <w:tblStylePr w:type="lastRow">
      <w:rPr>
        <w:b w:val="0"/>
        <w:bCs w:val="0"/>
      </w:rPr>
      <w:tblPr/>
      <w:tcPr>
        <w:tcBorders>
          <w:top w:val="single" w:sz="6" w:space="0" w:color="000080"/>
          <w:tl2br w:val="none" w:sz="0" w:space="0" w:color="auto"/>
          <w:tr2bl w:val="none" w:sz="0" w:space="0" w:color="auto"/>
        </w:tcBorders>
      </w:tcPr>
    </w:tblStylePr>
    <w:tblStylePr w:type="firstCol">
      <w:rPr>
        <w:b w:val="0"/>
        <w:bCs w:val="0"/>
      </w:rPr>
      <w:tblPr/>
      <w:tcPr>
        <w:tcBorders>
          <w:tl2br w:val="none" w:sz="0" w:space="0" w:color="auto"/>
          <w:tr2bl w:val="none" w:sz="0" w:space="0" w:color="auto"/>
        </w:tcBorders>
      </w:tcPr>
    </w:tblStylePr>
    <w:tblStylePr w:type="lastCol">
      <w:rPr>
        <w:b w:val="0"/>
        <w:bCs w:val="0"/>
      </w:rPr>
      <w:tblPr/>
      <w:tcPr>
        <w:tcBorders>
          <w:tl2br w:val="none" w:sz="0" w:space="0" w:color="auto"/>
          <w:tr2bl w:val="none" w:sz="0" w:space="0" w:color="auto"/>
        </w:tcBorders>
      </w:tcPr>
    </w:tblStylePr>
    <w:tblStylePr w:type="band1Vert">
      <w:rPr>
        <w:color w:val="auto"/>
      </w:rPr>
      <w:tblPr/>
      <w:tcPr>
        <w:shd w:val="solid" w:color="C0C0C0" w:fill="FFFFFF"/>
      </w:tcPr>
    </w:tblStylePr>
    <w:tblStylePr w:type="band2Vert">
      <w:rPr>
        <w:color w:val="auto"/>
      </w:rPr>
      <w:tblPr/>
      <w:tcPr>
        <w:shd w:val="pct10" w:color="000000" w:fill="FFFFFF"/>
      </w:tcPr>
    </w:tblStylePr>
    <w:tblStylePr w:type="neCell">
      <w:rPr>
        <w:b/>
        <w:bCs/>
      </w:rPr>
      <w:tblPr/>
      <w:tcPr>
        <w:tcBorders>
          <w:tl2br w:val="none" w:sz="0" w:space="0" w:color="auto"/>
          <w:tr2bl w:val="none" w:sz="0" w:space="0" w:color="auto"/>
        </w:tcBorders>
      </w:tcPr>
    </w:tblStylePr>
  </w:style>
  <w:style w:type="table" w:styleId="TableColumns4">
    <w:name w:val="Table Columns 4"/>
    <w:basedOn w:val="TableNormal"/>
    <w:semiHidden/>
    <w:locked/>
    <w:rsid w:val="00E45954"/>
    <w:pPr>
      <w:spacing w:after="240"/>
    </w:pPr>
    <w:tblPr>
      <w:tblStyleColBandSize w:val="1"/>
      <w:tblInd w:w="0" w:type="dxa"/>
      <w:tblCellMar>
        <w:top w:w="0" w:type="dxa"/>
        <w:left w:w="108" w:type="dxa"/>
        <w:bottom w:w="0" w:type="dxa"/>
        <w:right w:w="108" w:type="dxa"/>
      </w:tblCellMar>
    </w:tblPr>
    <w:tblStylePr w:type="firstRow">
      <w:rPr>
        <w:color w:val="FFFFFF"/>
      </w:rPr>
      <w:tblPr/>
      <w:tcPr>
        <w:tcBorders>
          <w:tl2br w:val="none" w:sz="0" w:space="0" w:color="auto"/>
          <w:tr2bl w:val="none" w:sz="0" w:space="0" w:color="auto"/>
        </w:tcBorders>
        <w:shd w:val="solid" w:color="000000" w:fill="FFFFFF"/>
      </w:tcPr>
    </w:tblStylePr>
    <w:tblStylePr w:type="lastRow">
      <w:rPr>
        <w:b/>
        <w:bCs/>
      </w:rPr>
      <w:tblPr/>
      <w:tcPr>
        <w:tcBorders>
          <w:tl2br w:val="none" w:sz="0" w:space="0" w:color="auto"/>
          <w:tr2bl w:val="none" w:sz="0" w:space="0" w:color="auto"/>
        </w:tcBorders>
      </w:tcPr>
    </w:tblStylePr>
    <w:tblStylePr w:type="lastCol">
      <w:rPr>
        <w:b/>
        <w:bCs/>
      </w:rPr>
      <w:tblPr/>
      <w:tcPr>
        <w:tcBorders>
          <w:tl2br w:val="none" w:sz="0" w:space="0" w:color="auto"/>
          <w:tr2bl w:val="none" w:sz="0" w:space="0" w:color="auto"/>
        </w:tcBorders>
      </w:tcPr>
    </w:tblStylePr>
    <w:tblStylePr w:type="band1Vert">
      <w:rPr>
        <w:color w:val="auto"/>
      </w:rPr>
      <w:tblPr/>
      <w:tcPr>
        <w:shd w:val="pct50" w:color="008080" w:fill="FFFFFF"/>
      </w:tcPr>
    </w:tblStylePr>
    <w:tblStylePr w:type="band2Vert">
      <w:rPr>
        <w:color w:val="auto"/>
      </w:rPr>
      <w:tblPr/>
      <w:tcPr>
        <w:shd w:val="pct10" w:color="000000" w:fill="FFFFFF"/>
      </w:tcPr>
    </w:tblStylePr>
  </w:style>
  <w:style w:type="table" w:styleId="TableColumns5">
    <w:name w:val="Table Columns 5"/>
    <w:basedOn w:val="TableNormal"/>
    <w:semiHidden/>
    <w:locked/>
    <w:rsid w:val="00E45954"/>
    <w:pPr>
      <w:spacing w:after="240"/>
    </w:pPr>
    <w:tblPr>
      <w:tblStyleColBandSize w:val="1"/>
      <w:tblInd w:w="0" w:type="dxa"/>
      <w:tblBorders>
        <w:top w:val="single" w:sz="12" w:space="0" w:color="808080"/>
        <w:left w:val="single" w:sz="12" w:space="0" w:color="808080"/>
        <w:bottom w:val="single" w:sz="12" w:space="0" w:color="808080"/>
        <w:right w:val="single" w:sz="12" w:space="0" w:color="808080"/>
        <w:insideV w:val="single" w:sz="6" w:space="0" w:color="C0C0C0"/>
      </w:tblBorders>
      <w:tblCellMar>
        <w:top w:w="0" w:type="dxa"/>
        <w:left w:w="108" w:type="dxa"/>
        <w:bottom w:w="0" w:type="dxa"/>
        <w:right w:w="108" w:type="dxa"/>
      </w:tblCellMar>
    </w:tblPr>
    <w:tblStylePr w:type="firstRow">
      <w:rPr>
        <w:b/>
        <w:bCs/>
        <w:i/>
        <w:iCs/>
      </w:rPr>
      <w:tblPr/>
      <w:tcPr>
        <w:tcBorders>
          <w:bottom w:val="single" w:sz="6" w:space="0" w:color="808080"/>
          <w:tl2br w:val="none" w:sz="0" w:space="0" w:color="auto"/>
          <w:tr2bl w:val="none" w:sz="0" w:space="0" w:color="auto"/>
        </w:tcBorders>
      </w:tcPr>
    </w:tblStylePr>
    <w:tblStylePr w:type="lastRow">
      <w:rPr>
        <w:b/>
        <w:bCs/>
      </w:rPr>
      <w:tblPr/>
      <w:tcPr>
        <w:tcBorders>
          <w:top w:val="single" w:sz="6" w:space="0" w:color="808080"/>
          <w:tl2br w:val="none" w:sz="0" w:space="0" w:color="auto"/>
          <w:tr2bl w:val="none" w:sz="0" w:space="0" w:color="auto"/>
        </w:tcBorders>
      </w:tcPr>
    </w:tblStylePr>
    <w:tblStylePr w:type="firstCol">
      <w:rPr>
        <w:b/>
        <w:bCs/>
      </w:rPr>
      <w:tblPr/>
      <w:tcPr>
        <w:tcBorders>
          <w:tl2br w:val="none" w:sz="0" w:space="0" w:color="auto"/>
          <w:tr2bl w:val="none" w:sz="0" w:space="0" w:color="auto"/>
        </w:tcBorders>
      </w:tcPr>
    </w:tblStylePr>
    <w:tblStylePr w:type="lastCol">
      <w:rPr>
        <w:b/>
        <w:bCs/>
      </w:rPr>
      <w:tblPr/>
      <w:tcPr>
        <w:tcBorders>
          <w:tl2br w:val="none" w:sz="0" w:space="0" w:color="auto"/>
          <w:tr2bl w:val="none" w:sz="0" w:space="0" w:color="auto"/>
        </w:tcBorders>
      </w:tcPr>
    </w:tblStylePr>
    <w:tblStylePr w:type="band1Vert">
      <w:rPr>
        <w:color w:val="auto"/>
      </w:rPr>
      <w:tblPr/>
      <w:tcPr>
        <w:shd w:val="solid" w:color="C0C0C0" w:fill="FFFFFF"/>
      </w:tcPr>
    </w:tblStylePr>
    <w:tblStylePr w:type="band2Vert">
      <w:rPr>
        <w:color w:val="auto"/>
      </w:rPr>
    </w:tblStylePr>
  </w:style>
  <w:style w:type="table" w:styleId="TableContemporary">
    <w:name w:val="Table Contemporary"/>
    <w:basedOn w:val="TableNormal"/>
    <w:semiHidden/>
    <w:locked/>
    <w:rsid w:val="00E45954"/>
    <w:pPr>
      <w:spacing w:after="240"/>
    </w:pPr>
    <w:tblPr>
      <w:tblStyleRowBandSize w:val="1"/>
      <w:tblInd w:w="0" w:type="dxa"/>
      <w:tblBorders>
        <w:insideH w:val="single" w:sz="18" w:space="0" w:color="FFFFFF"/>
        <w:insideV w:val="single" w:sz="18" w:space="0" w:color="FFFFFF"/>
      </w:tblBorders>
      <w:tblCellMar>
        <w:top w:w="0" w:type="dxa"/>
        <w:left w:w="108" w:type="dxa"/>
        <w:bottom w:w="0" w:type="dxa"/>
        <w:right w:w="108" w:type="dxa"/>
      </w:tblCellMar>
    </w:tblPr>
    <w:tblStylePr w:type="firstRow">
      <w:rPr>
        <w:b/>
        <w:bCs/>
        <w:color w:val="auto"/>
      </w:rPr>
      <w:tblPr/>
      <w:tcPr>
        <w:tcBorders>
          <w:tl2br w:val="none" w:sz="0" w:space="0" w:color="auto"/>
          <w:tr2bl w:val="none" w:sz="0" w:space="0" w:color="auto"/>
        </w:tcBorders>
        <w:shd w:val="pct20" w:color="000000" w:fill="FFFFFF"/>
      </w:tcPr>
    </w:tblStylePr>
    <w:tblStylePr w:type="band1Horz">
      <w:rPr>
        <w:color w:val="auto"/>
      </w:rPr>
      <w:tblPr/>
      <w:tcPr>
        <w:tcBorders>
          <w:tl2br w:val="none" w:sz="0" w:space="0" w:color="auto"/>
          <w:tr2bl w:val="none" w:sz="0" w:space="0" w:color="auto"/>
        </w:tcBorders>
        <w:shd w:val="pct5" w:color="000000" w:fill="FFFFFF"/>
      </w:tcPr>
    </w:tblStylePr>
    <w:tblStylePr w:type="band2Horz">
      <w:rPr>
        <w:color w:val="auto"/>
      </w:rPr>
      <w:tblPr/>
      <w:tcPr>
        <w:tcBorders>
          <w:tl2br w:val="none" w:sz="0" w:space="0" w:color="auto"/>
          <w:tr2bl w:val="none" w:sz="0" w:space="0" w:color="auto"/>
        </w:tcBorders>
        <w:shd w:val="pct20" w:color="000000" w:fill="FFFFFF"/>
      </w:tcPr>
    </w:tblStylePr>
  </w:style>
  <w:style w:type="table" w:styleId="TableElegant">
    <w:name w:val="Table Elegant"/>
    <w:basedOn w:val="TableNormal"/>
    <w:semiHidden/>
    <w:locked/>
    <w:rsid w:val="00E45954"/>
    <w:pPr>
      <w:spacing w:after="240"/>
    </w:pPr>
    <w:tblPr>
      <w:tblInd w:w="0" w:type="dxa"/>
      <w:tblBorders>
        <w:top w:val="double" w:sz="6" w:space="0" w:color="000000"/>
        <w:left w:val="double" w:sz="6" w:space="0" w:color="000000"/>
        <w:bottom w:val="double" w:sz="6" w:space="0" w:color="000000"/>
        <w:right w:val="double" w:sz="6" w:space="0" w:color="000000"/>
        <w:insideH w:val="single" w:sz="6" w:space="0" w:color="000000"/>
        <w:insideV w:val="single" w:sz="6" w:space="0" w:color="000000"/>
      </w:tblBorders>
      <w:tblCellMar>
        <w:top w:w="0" w:type="dxa"/>
        <w:left w:w="108" w:type="dxa"/>
        <w:bottom w:w="0" w:type="dxa"/>
        <w:right w:w="108" w:type="dxa"/>
      </w:tblCellMar>
    </w:tblPr>
    <w:tcPr>
      <w:shd w:val="clear" w:color="auto" w:fill="auto"/>
    </w:tcPr>
    <w:tblStylePr w:type="firstRow">
      <w:rPr>
        <w:caps/>
        <w:color w:val="auto"/>
      </w:rPr>
      <w:tblPr/>
      <w:tcPr>
        <w:tcBorders>
          <w:tl2br w:val="none" w:sz="0" w:space="0" w:color="auto"/>
          <w:tr2bl w:val="none" w:sz="0" w:space="0" w:color="auto"/>
        </w:tcBorders>
      </w:tcPr>
    </w:tblStylePr>
  </w:style>
  <w:style w:type="table" w:styleId="TableGrid">
    <w:name w:val="Table Grid"/>
    <w:basedOn w:val="TableNormal"/>
    <w:semiHidden/>
    <w:locked/>
    <w:rsid w:val="00E45954"/>
    <w:pPr>
      <w:spacing w:after="240"/>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styleId="TableGrid1">
    <w:name w:val="Table Grid 1"/>
    <w:basedOn w:val="TableNormal"/>
    <w:semiHidden/>
    <w:locked/>
    <w:rsid w:val="00E45954"/>
    <w:pPr>
      <w:spacing w:after="240"/>
    </w:pPr>
    <w:tblPr>
      <w:tblInd w:w="0" w:type="dxa"/>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CellMar>
        <w:top w:w="0" w:type="dxa"/>
        <w:left w:w="108" w:type="dxa"/>
        <w:bottom w:w="0" w:type="dxa"/>
        <w:right w:w="108" w:type="dxa"/>
      </w:tblCellMar>
    </w:tblPr>
    <w:tcPr>
      <w:shd w:val="clear" w:color="auto" w:fill="auto"/>
    </w:tcPr>
    <w:tblStylePr w:type="lastRow">
      <w:rPr>
        <w:i/>
        <w:iCs/>
      </w:rPr>
      <w:tblPr/>
      <w:tcPr>
        <w:tcBorders>
          <w:tl2br w:val="none" w:sz="0" w:space="0" w:color="auto"/>
          <w:tr2bl w:val="none" w:sz="0" w:space="0" w:color="auto"/>
        </w:tcBorders>
      </w:tcPr>
    </w:tblStylePr>
    <w:tblStylePr w:type="lastCol">
      <w:rPr>
        <w:i/>
        <w:iCs/>
      </w:rPr>
      <w:tblPr/>
      <w:tcPr>
        <w:tcBorders>
          <w:tl2br w:val="none" w:sz="0" w:space="0" w:color="auto"/>
          <w:tr2bl w:val="none" w:sz="0" w:space="0" w:color="auto"/>
        </w:tcBorders>
      </w:tcPr>
    </w:tblStylePr>
  </w:style>
  <w:style w:type="table" w:styleId="TableGrid2">
    <w:name w:val="Table Grid 2"/>
    <w:basedOn w:val="TableNormal"/>
    <w:semiHidden/>
    <w:locked/>
    <w:rsid w:val="00E45954"/>
    <w:pPr>
      <w:spacing w:after="240"/>
    </w:pPr>
    <w:tblPr>
      <w:tblInd w:w="0" w:type="dxa"/>
      <w:tblBorders>
        <w:insideH w:val="single" w:sz="6" w:space="0" w:color="000000"/>
        <w:insideV w:val="single" w:sz="6" w:space="0" w:color="000000"/>
      </w:tblBorders>
      <w:tblCellMar>
        <w:top w:w="0" w:type="dxa"/>
        <w:left w:w="108" w:type="dxa"/>
        <w:bottom w:w="0" w:type="dxa"/>
        <w:right w:w="108" w:type="dxa"/>
      </w:tblCellMar>
    </w:tblPr>
    <w:tcPr>
      <w:shd w:val="clear" w:color="auto" w:fill="auto"/>
    </w:tcPr>
    <w:tblStylePr w:type="firstRow">
      <w:rPr>
        <w:b/>
        <w:bCs/>
      </w:rPr>
      <w:tblPr/>
      <w:tcPr>
        <w:tcBorders>
          <w:tl2br w:val="none" w:sz="0" w:space="0" w:color="auto"/>
          <w:tr2bl w:val="none" w:sz="0" w:space="0" w:color="auto"/>
        </w:tcBorders>
      </w:tcPr>
    </w:tblStylePr>
    <w:tblStylePr w:type="lastRow">
      <w:rPr>
        <w:b/>
        <w:bCs/>
      </w:rPr>
      <w:tblPr/>
      <w:tcPr>
        <w:tcBorders>
          <w:top w:val="single" w:sz="6" w:space="0" w:color="000000"/>
          <w:tl2br w:val="none" w:sz="0" w:space="0" w:color="auto"/>
          <w:tr2bl w:val="none" w:sz="0" w:space="0" w:color="auto"/>
        </w:tcBorders>
      </w:tcPr>
    </w:tblStylePr>
    <w:tblStylePr w:type="firstCol">
      <w:rPr>
        <w:b/>
        <w:bCs/>
      </w:rPr>
      <w:tblPr/>
      <w:tcPr>
        <w:tcBorders>
          <w:tl2br w:val="none" w:sz="0" w:space="0" w:color="auto"/>
          <w:tr2bl w:val="none" w:sz="0" w:space="0" w:color="auto"/>
        </w:tcBorders>
      </w:tcPr>
    </w:tblStylePr>
    <w:tblStylePr w:type="lastCol">
      <w:rPr>
        <w:b/>
        <w:bCs/>
      </w:rPr>
      <w:tblPr/>
      <w:tcPr>
        <w:tcBorders>
          <w:tl2br w:val="none" w:sz="0" w:space="0" w:color="auto"/>
          <w:tr2bl w:val="none" w:sz="0" w:space="0" w:color="auto"/>
        </w:tcBorders>
      </w:tcPr>
    </w:tblStylePr>
  </w:style>
  <w:style w:type="table" w:styleId="TableGrid3">
    <w:name w:val="Table Grid 3"/>
    <w:basedOn w:val="TableNormal"/>
    <w:semiHidden/>
    <w:locked/>
    <w:rsid w:val="00E45954"/>
    <w:pPr>
      <w:spacing w:after="240"/>
    </w:pPr>
    <w:tblPr>
      <w:tblInd w:w="0" w:type="dxa"/>
      <w:tblBorders>
        <w:top w:val="single" w:sz="6" w:space="0" w:color="000000"/>
        <w:left w:val="single" w:sz="12" w:space="0" w:color="000000"/>
        <w:bottom w:val="single" w:sz="6" w:space="0" w:color="000000"/>
        <w:right w:val="single" w:sz="12" w:space="0" w:color="000000"/>
        <w:insideV w:val="single" w:sz="6" w:space="0" w:color="000000"/>
      </w:tblBorders>
      <w:tblCellMar>
        <w:top w:w="0" w:type="dxa"/>
        <w:left w:w="108" w:type="dxa"/>
        <w:bottom w:w="0" w:type="dxa"/>
        <w:right w:w="108" w:type="dxa"/>
      </w:tblCellMar>
    </w:tblPr>
    <w:tcPr>
      <w:shd w:val="clear" w:color="auto" w:fill="auto"/>
    </w:tcPr>
    <w:tblStylePr w:type="firstRow">
      <w:tblPr/>
      <w:tcPr>
        <w:tcBorders>
          <w:bottom w:val="single" w:sz="6" w:space="0" w:color="000000"/>
          <w:tl2br w:val="none" w:sz="0" w:space="0" w:color="auto"/>
          <w:tr2bl w:val="none" w:sz="0" w:space="0" w:color="auto"/>
        </w:tcBorders>
        <w:shd w:val="pct30" w:color="FFFF00" w:fill="FFFFFF"/>
      </w:tcPr>
    </w:tblStylePr>
    <w:tblStylePr w:type="lastRow">
      <w:rPr>
        <w:b/>
        <w:bCs/>
      </w:rPr>
      <w:tblPr/>
      <w:tcPr>
        <w:tcBorders>
          <w:tl2br w:val="none" w:sz="0" w:space="0" w:color="auto"/>
          <w:tr2bl w:val="none" w:sz="0" w:space="0" w:color="auto"/>
        </w:tcBorders>
      </w:tcPr>
    </w:tblStylePr>
    <w:tblStylePr w:type="lastCol">
      <w:rPr>
        <w:b/>
        <w:bCs/>
      </w:rPr>
      <w:tblPr/>
      <w:tcPr>
        <w:tcBorders>
          <w:tl2br w:val="none" w:sz="0" w:space="0" w:color="auto"/>
          <w:tr2bl w:val="none" w:sz="0" w:space="0" w:color="auto"/>
        </w:tcBorders>
      </w:tcPr>
    </w:tblStylePr>
  </w:style>
  <w:style w:type="table" w:styleId="TableGrid4">
    <w:name w:val="Table Grid 4"/>
    <w:basedOn w:val="TableNormal"/>
    <w:semiHidden/>
    <w:locked/>
    <w:rsid w:val="00E45954"/>
    <w:pPr>
      <w:spacing w:after="240"/>
    </w:pPr>
    <w:tblPr>
      <w:tblInd w:w="0" w:type="dxa"/>
      <w:tblBorders>
        <w:left w:val="single" w:sz="12" w:space="0" w:color="000000"/>
        <w:right w:val="single" w:sz="12" w:space="0" w:color="000000"/>
        <w:insideH w:val="single" w:sz="6" w:space="0" w:color="000000"/>
        <w:insideV w:val="single" w:sz="6" w:space="0" w:color="000000"/>
      </w:tblBorders>
      <w:tblCellMar>
        <w:top w:w="0" w:type="dxa"/>
        <w:left w:w="108" w:type="dxa"/>
        <w:bottom w:w="0" w:type="dxa"/>
        <w:right w:w="108" w:type="dxa"/>
      </w:tblCellMar>
    </w:tblPr>
    <w:tcPr>
      <w:shd w:val="clear" w:color="auto" w:fill="auto"/>
    </w:tcPr>
    <w:tblStylePr w:type="firstRow">
      <w:rPr>
        <w:color w:val="auto"/>
      </w:rPr>
      <w:tblPr/>
      <w:tcPr>
        <w:tcBorders>
          <w:bottom w:val="single" w:sz="6" w:space="0" w:color="000000"/>
          <w:tl2br w:val="none" w:sz="0" w:space="0" w:color="auto"/>
          <w:tr2bl w:val="none" w:sz="0" w:space="0" w:color="auto"/>
        </w:tcBorders>
        <w:shd w:val="pct30" w:color="FFFF00" w:fill="FFFFFF"/>
      </w:tcPr>
    </w:tblStylePr>
    <w:tblStylePr w:type="lastRow">
      <w:rPr>
        <w:b/>
        <w:bCs/>
        <w:color w:val="auto"/>
      </w:rPr>
      <w:tblPr/>
      <w:tcPr>
        <w:tcBorders>
          <w:top w:val="single" w:sz="6" w:space="0" w:color="000000"/>
          <w:tl2br w:val="none" w:sz="0" w:space="0" w:color="auto"/>
          <w:tr2bl w:val="none" w:sz="0" w:space="0" w:color="auto"/>
        </w:tcBorders>
        <w:shd w:val="pct30" w:color="FFFF00" w:fill="FFFFFF"/>
      </w:tcPr>
    </w:tblStylePr>
    <w:tblStylePr w:type="lastCol">
      <w:rPr>
        <w:b/>
        <w:bCs/>
        <w:color w:val="auto"/>
      </w:rPr>
      <w:tblPr/>
      <w:tcPr>
        <w:tcBorders>
          <w:tl2br w:val="none" w:sz="0" w:space="0" w:color="auto"/>
          <w:tr2bl w:val="none" w:sz="0" w:space="0" w:color="auto"/>
        </w:tcBorders>
      </w:tcPr>
    </w:tblStylePr>
  </w:style>
  <w:style w:type="table" w:styleId="TableGrid5">
    <w:name w:val="Table Grid 5"/>
    <w:basedOn w:val="TableNormal"/>
    <w:semiHidden/>
    <w:locked/>
    <w:rsid w:val="00E45954"/>
    <w:pPr>
      <w:spacing w:after="240"/>
    </w:pPr>
    <w:tblPr>
      <w:tblInd w:w="0" w:type="dxa"/>
      <w:tblBorders>
        <w:top w:val="single" w:sz="12" w:space="0" w:color="000000"/>
        <w:left w:val="single" w:sz="12" w:space="0" w:color="000000"/>
        <w:bottom w:val="single" w:sz="12" w:space="0" w:color="000000"/>
        <w:right w:val="single" w:sz="12" w:space="0" w:color="000000"/>
        <w:insideH w:val="single" w:sz="6" w:space="0" w:color="000000"/>
        <w:insideV w:val="single" w:sz="6" w:space="0" w:color="000000"/>
      </w:tblBorders>
      <w:tblCellMar>
        <w:top w:w="0" w:type="dxa"/>
        <w:left w:w="108" w:type="dxa"/>
        <w:bottom w:w="0" w:type="dxa"/>
        <w:right w:w="108" w:type="dxa"/>
      </w:tblCellMar>
    </w:tblPr>
    <w:tcPr>
      <w:shd w:val="clear" w:color="auto" w:fill="auto"/>
    </w:tcPr>
    <w:tblStylePr w:type="firstRow">
      <w:tblPr/>
      <w:tcPr>
        <w:tcBorders>
          <w:bottom w:val="single" w:sz="12" w:space="0" w:color="000000"/>
          <w:tl2br w:val="none" w:sz="0" w:space="0" w:color="auto"/>
          <w:tr2bl w:val="none" w:sz="0" w:space="0" w:color="auto"/>
        </w:tcBorders>
      </w:tcPr>
    </w:tblStylePr>
    <w:tblStylePr w:type="lastRow">
      <w:rPr>
        <w:b/>
        <w:bCs/>
      </w:rPr>
      <w:tblPr/>
      <w:tcPr>
        <w:tcBorders>
          <w:tl2br w:val="none" w:sz="0" w:space="0" w:color="auto"/>
          <w:tr2bl w:val="none" w:sz="0" w:space="0" w:color="auto"/>
        </w:tcBorders>
      </w:tcPr>
    </w:tblStylePr>
    <w:tblStylePr w:type="lastCol">
      <w:rPr>
        <w:b/>
        <w:bCs/>
      </w:rPr>
      <w:tblPr/>
      <w:tcPr>
        <w:tcBorders>
          <w:tl2br w:val="none" w:sz="0" w:space="0" w:color="auto"/>
          <w:tr2bl w:val="none" w:sz="0" w:space="0" w:color="auto"/>
        </w:tcBorders>
      </w:tcPr>
    </w:tblStylePr>
    <w:tblStylePr w:type="nwCell">
      <w:tblPr/>
      <w:tcPr>
        <w:tcBorders>
          <w:tl2br w:val="single" w:sz="6" w:space="0" w:color="000000"/>
          <w:tr2bl w:val="none" w:sz="0" w:space="0" w:color="auto"/>
        </w:tcBorders>
      </w:tcPr>
    </w:tblStylePr>
  </w:style>
  <w:style w:type="table" w:styleId="TableGrid6">
    <w:name w:val="Table Grid 6"/>
    <w:basedOn w:val="TableNormal"/>
    <w:semiHidden/>
    <w:locked/>
    <w:rsid w:val="00E45954"/>
    <w:pPr>
      <w:spacing w:after="240"/>
    </w:pPr>
    <w:tblPr>
      <w:tblInd w:w="0" w:type="dxa"/>
      <w:tblBorders>
        <w:top w:val="single" w:sz="12" w:space="0" w:color="000000"/>
        <w:left w:val="single" w:sz="12" w:space="0" w:color="000000"/>
        <w:bottom w:val="single" w:sz="12" w:space="0" w:color="000000"/>
        <w:right w:val="single" w:sz="12" w:space="0" w:color="000000"/>
        <w:insideV w:val="single" w:sz="6" w:space="0" w:color="000000"/>
      </w:tblBorders>
      <w:tblCellMar>
        <w:top w:w="0" w:type="dxa"/>
        <w:left w:w="108" w:type="dxa"/>
        <w:bottom w:w="0" w:type="dxa"/>
        <w:right w:w="108" w:type="dxa"/>
      </w:tblCellMar>
    </w:tblPr>
    <w:tcPr>
      <w:shd w:val="clear" w:color="auto" w:fill="auto"/>
    </w:tcPr>
    <w:tblStylePr w:type="firstRow">
      <w:rPr>
        <w:b/>
        <w:bCs/>
      </w:rPr>
      <w:tblPr/>
      <w:tcPr>
        <w:tcBorders>
          <w:bottom w:val="single" w:sz="6" w:space="0" w:color="000000"/>
          <w:tl2br w:val="none" w:sz="0" w:space="0" w:color="auto"/>
          <w:tr2bl w:val="none" w:sz="0" w:space="0" w:color="auto"/>
        </w:tcBorders>
      </w:tcPr>
    </w:tblStylePr>
    <w:tblStylePr w:type="lastRow">
      <w:rPr>
        <w:color w:val="auto"/>
      </w:rPr>
      <w:tblPr/>
      <w:tcPr>
        <w:tcBorders>
          <w:top w:val="single" w:sz="6" w:space="0" w:color="000000"/>
          <w:tl2br w:val="none" w:sz="0" w:space="0" w:color="auto"/>
          <w:tr2bl w:val="none" w:sz="0" w:space="0" w:color="auto"/>
        </w:tcBorders>
      </w:tcPr>
    </w:tblStylePr>
    <w:tblStylePr w:type="firstCol">
      <w:rPr>
        <w:b/>
        <w:bCs/>
      </w:rPr>
      <w:tblPr/>
      <w:tcPr>
        <w:tcBorders>
          <w:tl2br w:val="none" w:sz="0" w:space="0" w:color="auto"/>
          <w:tr2bl w:val="none" w:sz="0" w:space="0" w:color="auto"/>
        </w:tcBorders>
      </w:tcPr>
    </w:tblStylePr>
    <w:tblStylePr w:type="nwCell">
      <w:tblPr/>
      <w:tcPr>
        <w:tcBorders>
          <w:tl2br w:val="single" w:sz="6" w:space="0" w:color="000000"/>
          <w:tr2bl w:val="none" w:sz="0" w:space="0" w:color="auto"/>
        </w:tcBorders>
      </w:tcPr>
    </w:tblStylePr>
  </w:style>
  <w:style w:type="table" w:styleId="TableGrid7">
    <w:name w:val="Table Grid 7"/>
    <w:basedOn w:val="TableNormal"/>
    <w:semiHidden/>
    <w:locked/>
    <w:rsid w:val="00E45954"/>
    <w:pPr>
      <w:spacing w:after="240"/>
    </w:pPr>
    <w:rPr>
      <w:b/>
      <w:bCs/>
    </w:rPr>
    <w:tblPr>
      <w:tblInd w:w="0" w:type="dxa"/>
      <w:tblBorders>
        <w:top w:val="single" w:sz="12" w:space="0" w:color="000000"/>
        <w:left w:val="single" w:sz="12" w:space="0" w:color="000000"/>
        <w:bottom w:val="single" w:sz="12" w:space="0" w:color="000000"/>
        <w:right w:val="single" w:sz="12" w:space="0" w:color="000000"/>
        <w:insideH w:val="single" w:sz="6" w:space="0" w:color="000000"/>
        <w:insideV w:val="single" w:sz="6" w:space="0" w:color="000000"/>
      </w:tblBorders>
      <w:tblCellMar>
        <w:top w:w="0" w:type="dxa"/>
        <w:left w:w="108" w:type="dxa"/>
        <w:bottom w:w="0" w:type="dxa"/>
        <w:right w:w="108" w:type="dxa"/>
      </w:tblCellMar>
    </w:tblPr>
    <w:tcPr>
      <w:shd w:val="clear" w:color="auto" w:fill="auto"/>
    </w:tcPr>
    <w:tblStylePr w:type="firstRow">
      <w:rPr>
        <w:b w:val="0"/>
        <w:bCs w:val="0"/>
      </w:rPr>
      <w:tblPr/>
      <w:tcPr>
        <w:tcBorders>
          <w:bottom w:val="single" w:sz="12" w:space="0" w:color="000000"/>
          <w:tl2br w:val="none" w:sz="0" w:space="0" w:color="auto"/>
          <w:tr2bl w:val="none" w:sz="0" w:space="0" w:color="auto"/>
        </w:tcBorders>
      </w:tcPr>
    </w:tblStylePr>
    <w:tblStylePr w:type="lastRow">
      <w:rPr>
        <w:b w:val="0"/>
        <w:bCs w:val="0"/>
      </w:rPr>
      <w:tblPr/>
      <w:tcPr>
        <w:tcBorders>
          <w:top w:val="single" w:sz="6" w:space="0" w:color="000000"/>
          <w:tl2br w:val="none" w:sz="0" w:space="0" w:color="auto"/>
          <w:tr2bl w:val="none" w:sz="0" w:space="0" w:color="auto"/>
        </w:tcBorders>
      </w:tcPr>
    </w:tblStylePr>
    <w:tblStylePr w:type="firstCol">
      <w:rPr>
        <w:b w:val="0"/>
        <w:bCs w:val="0"/>
      </w:rPr>
      <w:tblPr/>
      <w:tcPr>
        <w:tcBorders>
          <w:tl2br w:val="none" w:sz="0" w:space="0" w:color="auto"/>
          <w:tr2bl w:val="none" w:sz="0" w:space="0" w:color="auto"/>
        </w:tcBorders>
      </w:tcPr>
    </w:tblStylePr>
    <w:tblStylePr w:type="lastCol">
      <w:rPr>
        <w:b w:val="0"/>
        <w:bCs w:val="0"/>
      </w:rPr>
      <w:tblPr/>
      <w:tcPr>
        <w:tcBorders>
          <w:tl2br w:val="none" w:sz="0" w:space="0" w:color="auto"/>
          <w:tr2bl w:val="none" w:sz="0" w:space="0" w:color="auto"/>
        </w:tcBorders>
      </w:tcPr>
    </w:tblStylePr>
    <w:tblStylePr w:type="nwCell">
      <w:tblPr/>
      <w:tcPr>
        <w:tcBorders>
          <w:tl2br w:val="single" w:sz="6" w:space="0" w:color="000000"/>
          <w:tr2bl w:val="none" w:sz="0" w:space="0" w:color="auto"/>
        </w:tcBorders>
      </w:tcPr>
    </w:tblStylePr>
  </w:style>
  <w:style w:type="table" w:styleId="TableGrid8">
    <w:name w:val="Table Grid 8"/>
    <w:basedOn w:val="TableNormal"/>
    <w:semiHidden/>
    <w:locked/>
    <w:rsid w:val="00E45954"/>
    <w:pPr>
      <w:spacing w:after="240"/>
    </w:pPr>
    <w:tblPr>
      <w:tblInd w:w="0" w:type="dxa"/>
      <w:tblBorders>
        <w:top w:val="single" w:sz="6" w:space="0" w:color="000080"/>
        <w:left w:val="single" w:sz="6" w:space="0" w:color="000080"/>
        <w:bottom w:val="single" w:sz="6" w:space="0" w:color="000080"/>
        <w:right w:val="single" w:sz="6" w:space="0" w:color="000080"/>
        <w:insideH w:val="single" w:sz="6" w:space="0" w:color="000080"/>
        <w:insideV w:val="single" w:sz="6" w:space="0" w:color="000080"/>
      </w:tblBorders>
      <w:tblCellMar>
        <w:top w:w="0" w:type="dxa"/>
        <w:left w:w="108" w:type="dxa"/>
        <w:bottom w:w="0" w:type="dxa"/>
        <w:right w:w="108" w:type="dxa"/>
      </w:tblCellMar>
    </w:tblPr>
    <w:tcPr>
      <w:shd w:val="clear" w:color="auto" w:fill="auto"/>
    </w:tcPr>
    <w:tblStylePr w:type="firstRow">
      <w:rPr>
        <w:b/>
        <w:bCs/>
        <w:color w:val="FFFFFF"/>
      </w:rPr>
      <w:tblPr/>
      <w:tcPr>
        <w:tcBorders>
          <w:tl2br w:val="none" w:sz="0" w:space="0" w:color="auto"/>
          <w:tr2bl w:val="none" w:sz="0" w:space="0" w:color="auto"/>
        </w:tcBorders>
        <w:shd w:val="solid" w:color="000080" w:fill="FFFFFF"/>
      </w:tcPr>
    </w:tblStylePr>
    <w:tblStylePr w:type="lastRow">
      <w:rPr>
        <w:b/>
        <w:bCs/>
        <w:color w:val="auto"/>
      </w:rPr>
      <w:tblPr/>
      <w:tcPr>
        <w:tcBorders>
          <w:tl2br w:val="none" w:sz="0" w:space="0" w:color="auto"/>
          <w:tr2bl w:val="none" w:sz="0" w:space="0" w:color="auto"/>
        </w:tcBorders>
      </w:tcPr>
    </w:tblStylePr>
    <w:tblStylePr w:type="lastCol">
      <w:rPr>
        <w:b/>
        <w:bCs/>
        <w:color w:val="auto"/>
      </w:rPr>
      <w:tblPr/>
      <w:tcPr>
        <w:tcBorders>
          <w:tl2br w:val="none" w:sz="0" w:space="0" w:color="auto"/>
          <w:tr2bl w:val="none" w:sz="0" w:space="0" w:color="auto"/>
        </w:tcBorders>
      </w:tcPr>
    </w:tblStylePr>
  </w:style>
  <w:style w:type="table" w:styleId="TableList1">
    <w:name w:val="Table List 1"/>
    <w:basedOn w:val="TableNormal"/>
    <w:semiHidden/>
    <w:locked/>
    <w:rsid w:val="00E45954"/>
    <w:pPr>
      <w:spacing w:after="240"/>
    </w:pPr>
    <w:tblPr>
      <w:tblStyleRowBandSize w:val="1"/>
      <w:tblInd w:w="0" w:type="dxa"/>
      <w:tblBorders>
        <w:top w:val="single" w:sz="12" w:space="0" w:color="008080"/>
        <w:left w:val="single" w:sz="6" w:space="0" w:color="008080"/>
        <w:bottom w:val="single" w:sz="12" w:space="0" w:color="008080"/>
        <w:right w:val="single" w:sz="6" w:space="0" w:color="008080"/>
      </w:tblBorders>
      <w:tblCellMar>
        <w:top w:w="0" w:type="dxa"/>
        <w:left w:w="108" w:type="dxa"/>
        <w:bottom w:w="0" w:type="dxa"/>
        <w:right w:w="108" w:type="dxa"/>
      </w:tblCellMar>
    </w:tblPr>
    <w:tblStylePr w:type="firstRow">
      <w:rPr>
        <w:b/>
        <w:bCs/>
        <w:i/>
        <w:iCs/>
        <w:color w:val="800000"/>
      </w:rPr>
      <w:tblPr/>
      <w:tcPr>
        <w:tcBorders>
          <w:bottom w:val="single" w:sz="6" w:space="0" w:color="000000"/>
          <w:tl2br w:val="none" w:sz="0" w:space="0" w:color="auto"/>
          <w:tr2bl w:val="none" w:sz="0" w:space="0" w:color="auto"/>
        </w:tcBorders>
        <w:shd w:val="solid" w:color="C0C0C0" w:fill="FFFFFF"/>
      </w:tcPr>
    </w:tblStylePr>
    <w:tblStylePr w:type="lastRow">
      <w:tblPr/>
      <w:tcPr>
        <w:tcBorders>
          <w:top w:val="single" w:sz="6" w:space="0" w:color="000000"/>
          <w:tl2br w:val="none" w:sz="0" w:space="0" w:color="auto"/>
          <w:tr2bl w:val="none" w:sz="0" w:space="0" w:color="auto"/>
        </w:tcBorders>
      </w:tcPr>
    </w:tblStylePr>
    <w:tblStylePr w:type="band1Horz">
      <w:rPr>
        <w:color w:val="auto"/>
      </w:rPr>
      <w:tblPr/>
      <w:tcPr>
        <w:tcBorders>
          <w:tl2br w:val="none" w:sz="0" w:space="0" w:color="auto"/>
          <w:tr2bl w:val="none" w:sz="0" w:space="0" w:color="auto"/>
        </w:tcBorders>
        <w:shd w:val="solid" w:color="C0C0C0" w:fill="FFFFFF"/>
      </w:tcPr>
    </w:tblStylePr>
    <w:tblStylePr w:type="band2Horz">
      <w:rPr>
        <w:color w:val="auto"/>
      </w:rPr>
      <w:tblPr/>
      <w:tcPr>
        <w:tcBorders>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styleId="TableList2">
    <w:name w:val="Table List 2"/>
    <w:basedOn w:val="TableNormal"/>
    <w:semiHidden/>
    <w:locked/>
    <w:rsid w:val="00E45954"/>
    <w:pPr>
      <w:spacing w:after="240"/>
    </w:pPr>
    <w:tblPr>
      <w:tblStyleRowBandSize w:val="2"/>
      <w:tblInd w:w="0" w:type="dxa"/>
      <w:tblBorders>
        <w:bottom w:val="single" w:sz="12" w:space="0" w:color="808080"/>
      </w:tblBorders>
      <w:tblCellMar>
        <w:top w:w="0" w:type="dxa"/>
        <w:left w:w="108" w:type="dxa"/>
        <w:bottom w:w="0" w:type="dxa"/>
        <w:right w:w="108" w:type="dxa"/>
      </w:tblCellMar>
    </w:tblPr>
    <w:tblStylePr w:type="firstRow">
      <w:rPr>
        <w:b/>
        <w:bCs/>
        <w:color w:val="FFFFFF"/>
      </w:rPr>
      <w:tblPr/>
      <w:tcPr>
        <w:tcBorders>
          <w:bottom w:val="single" w:sz="6" w:space="0" w:color="000000"/>
          <w:tl2br w:val="none" w:sz="0" w:space="0" w:color="auto"/>
          <w:tr2bl w:val="none" w:sz="0" w:space="0" w:color="auto"/>
        </w:tcBorders>
        <w:shd w:val="pct75" w:color="008080" w:fill="008000"/>
      </w:tcPr>
    </w:tblStylePr>
    <w:tblStylePr w:type="lastRow">
      <w:tblPr/>
      <w:tcPr>
        <w:tcBorders>
          <w:top w:val="single" w:sz="6" w:space="0" w:color="000000"/>
          <w:tl2br w:val="none" w:sz="0" w:space="0" w:color="auto"/>
          <w:tr2bl w:val="none" w:sz="0" w:space="0" w:color="auto"/>
        </w:tcBorders>
      </w:tcPr>
    </w:tblStylePr>
    <w:tblStylePr w:type="band1Horz">
      <w:rPr>
        <w:color w:val="auto"/>
      </w:rPr>
      <w:tblPr/>
      <w:tcPr>
        <w:tcBorders>
          <w:tl2br w:val="none" w:sz="0" w:space="0" w:color="auto"/>
          <w:tr2bl w:val="none" w:sz="0" w:space="0" w:color="auto"/>
        </w:tcBorders>
        <w:shd w:val="pct20" w:color="00FF00" w:fill="FFFFFF"/>
      </w:tcPr>
    </w:tblStylePr>
    <w:tblStylePr w:type="band2Horz">
      <w:rPr>
        <w:color w:val="auto"/>
      </w:rPr>
      <w:tblPr/>
      <w:tcPr>
        <w:tcBorders>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styleId="TableList3">
    <w:name w:val="Table List 3"/>
    <w:basedOn w:val="TableNormal"/>
    <w:semiHidden/>
    <w:locked/>
    <w:rsid w:val="00E45954"/>
    <w:pPr>
      <w:spacing w:after="240"/>
    </w:pPr>
    <w:tblPr>
      <w:tblInd w:w="0" w:type="dxa"/>
      <w:tblBorders>
        <w:top w:val="single" w:sz="12" w:space="0" w:color="000000"/>
        <w:bottom w:val="single" w:sz="12" w:space="0" w:color="000000"/>
        <w:insideH w:val="single" w:sz="6" w:space="0" w:color="000000"/>
      </w:tblBorders>
      <w:tblCellMar>
        <w:top w:w="0" w:type="dxa"/>
        <w:left w:w="108" w:type="dxa"/>
        <w:bottom w:w="0" w:type="dxa"/>
        <w:right w:w="108" w:type="dxa"/>
      </w:tblCellMar>
    </w:tblPr>
    <w:tcPr>
      <w:shd w:val="clear" w:color="auto" w:fill="auto"/>
    </w:tcPr>
    <w:tblStylePr w:type="firstRow">
      <w:rPr>
        <w:b/>
        <w:bCs/>
        <w:color w:val="000080"/>
      </w:rPr>
      <w:tblPr/>
      <w:tcPr>
        <w:tcBorders>
          <w:bottom w:val="single" w:sz="12" w:space="0" w:color="000000"/>
          <w:tl2br w:val="none" w:sz="0" w:space="0" w:color="auto"/>
          <w:tr2bl w:val="none" w:sz="0" w:space="0" w:color="auto"/>
        </w:tcBorders>
      </w:tcPr>
    </w:tblStylePr>
    <w:tblStylePr w:type="lastRow">
      <w:tblPr/>
      <w:tcPr>
        <w:tcBorders>
          <w:top w:val="single" w:sz="12" w:space="0" w:color="000000"/>
          <w:tl2br w:val="none" w:sz="0" w:space="0" w:color="auto"/>
          <w:tr2bl w:val="none" w:sz="0" w:space="0" w:color="auto"/>
        </w:tcBorders>
      </w:tcPr>
    </w:tblStylePr>
    <w:tblStylePr w:type="swCell">
      <w:rPr>
        <w:i/>
        <w:iCs/>
        <w:color w:val="000080"/>
      </w:rPr>
      <w:tblPr/>
      <w:tcPr>
        <w:tcBorders>
          <w:tl2br w:val="none" w:sz="0" w:space="0" w:color="auto"/>
          <w:tr2bl w:val="none" w:sz="0" w:space="0" w:color="auto"/>
        </w:tcBorders>
      </w:tcPr>
    </w:tblStylePr>
  </w:style>
  <w:style w:type="table" w:styleId="TableList4">
    <w:name w:val="Table List 4"/>
    <w:basedOn w:val="TableNormal"/>
    <w:semiHidden/>
    <w:locked/>
    <w:rsid w:val="00E45954"/>
    <w:pPr>
      <w:spacing w:after="240"/>
    </w:pPr>
    <w:tblPr>
      <w:tblInd w:w="0" w:type="dxa"/>
      <w:tblBorders>
        <w:top w:val="single" w:sz="12" w:space="0" w:color="000000"/>
        <w:left w:val="single" w:sz="12" w:space="0" w:color="000000"/>
        <w:bottom w:val="single" w:sz="12" w:space="0" w:color="000000"/>
        <w:right w:val="single" w:sz="12" w:space="0" w:color="000000"/>
        <w:insideH w:val="single" w:sz="6" w:space="0" w:color="000000"/>
      </w:tblBorders>
      <w:tblCellMar>
        <w:top w:w="0" w:type="dxa"/>
        <w:left w:w="108" w:type="dxa"/>
        <w:bottom w:w="0" w:type="dxa"/>
        <w:right w:w="108" w:type="dxa"/>
      </w:tblCellMar>
    </w:tblPr>
    <w:tcPr>
      <w:shd w:val="clear" w:color="auto" w:fill="auto"/>
    </w:tcPr>
    <w:tblStylePr w:type="firstRow">
      <w:rPr>
        <w:b/>
        <w:bCs/>
        <w:color w:val="FFFFFF"/>
      </w:rPr>
      <w:tblPr/>
      <w:tcPr>
        <w:tcBorders>
          <w:bottom w:val="single" w:sz="12" w:space="0" w:color="000000"/>
          <w:tl2br w:val="none" w:sz="0" w:space="0" w:color="auto"/>
          <w:tr2bl w:val="none" w:sz="0" w:space="0" w:color="auto"/>
        </w:tcBorders>
        <w:shd w:val="solid" w:color="808080" w:fill="FFFFFF"/>
      </w:tcPr>
    </w:tblStylePr>
  </w:style>
  <w:style w:type="table" w:styleId="TableList5">
    <w:name w:val="Table List 5"/>
    <w:basedOn w:val="TableNormal"/>
    <w:semiHidden/>
    <w:locked/>
    <w:rsid w:val="00E45954"/>
    <w:pPr>
      <w:spacing w:after="240"/>
    </w:pPr>
    <w:tblPr>
      <w:tblInd w:w="0" w:type="dxa"/>
      <w:tblBorders>
        <w:top w:val="single" w:sz="6" w:space="0" w:color="000000"/>
        <w:left w:val="single" w:sz="6" w:space="0" w:color="000000"/>
        <w:bottom w:val="single" w:sz="6" w:space="0" w:color="000000"/>
        <w:right w:val="single" w:sz="6" w:space="0" w:color="000000"/>
        <w:insideH w:val="single" w:sz="6" w:space="0" w:color="000000"/>
      </w:tblBorders>
      <w:tblCellMar>
        <w:top w:w="0" w:type="dxa"/>
        <w:left w:w="108" w:type="dxa"/>
        <w:bottom w:w="0" w:type="dxa"/>
        <w:right w:w="108" w:type="dxa"/>
      </w:tblCellMar>
    </w:tblPr>
    <w:tcPr>
      <w:shd w:val="clear" w:color="auto" w:fill="auto"/>
    </w:tcPr>
    <w:tblStylePr w:type="firstRow">
      <w:rPr>
        <w:b/>
        <w:bCs/>
      </w:rPr>
      <w:tblPr/>
      <w:tcPr>
        <w:tcBorders>
          <w:bottom w:val="single" w:sz="12" w:space="0" w:color="000000"/>
          <w:tl2br w:val="none" w:sz="0" w:space="0" w:color="auto"/>
          <w:tr2bl w:val="none" w:sz="0" w:space="0" w:color="auto"/>
        </w:tcBorders>
      </w:tcPr>
    </w:tblStylePr>
    <w:tblStylePr w:type="firstCol">
      <w:rPr>
        <w:b/>
        <w:bCs/>
      </w:rPr>
      <w:tblPr/>
      <w:tcPr>
        <w:tcBorders>
          <w:tl2br w:val="none" w:sz="0" w:space="0" w:color="auto"/>
          <w:tr2bl w:val="none" w:sz="0" w:space="0" w:color="auto"/>
        </w:tcBorders>
      </w:tcPr>
    </w:tblStylePr>
  </w:style>
  <w:style w:type="table" w:styleId="TableList6">
    <w:name w:val="Table List 6"/>
    <w:basedOn w:val="TableNormal"/>
    <w:semiHidden/>
    <w:locked/>
    <w:rsid w:val="00E45954"/>
    <w:pPr>
      <w:spacing w:after="240"/>
    </w:pPr>
    <w:tblPr>
      <w:tblStyleRowBandSize w:val="1"/>
      <w:tblInd w:w="0" w:type="dxa"/>
      <w:tblBorders>
        <w:top w:val="single" w:sz="6" w:space="0" w:color="000000"/>
        <w:left w:val="single" w:sz="6" w:space="0" w:color="000000"/>
        <w:bottom w:val="single" w:sz="6" w:space="0" w:color="000000"/>
        <w:right w:val="single" w:sz="6" w:space="0" w:color="000000"/>
      </w:tblBorders>
      <w:tblCellMar>
        <w:top w:w="0" w:type="dxa"/>
        <w:left w:w="108" w:type="dxa"/>
        <w:bottom w:w="0" w:type="dxa"/>
        <w:right w:w="108" w:type="dxa"/>
      </w:tblCellMar>
    </w:tblPr>
    <w:tcPr>
      <w:shd w:val="pct50" w:color="000000" w:fill="FFFFFF"/>
    </w:tcPr>
    <w:tblStylePr w:type="firstRow">
      <w:rPr>
        <w:b/>
        <w:bCs/>
      </w:rPr>
      <w:tblPr/>
      <w:tcPr>
        <w:tcBorders>
          <w:bottom w:val="single" w:sz="12" w:space="0" w:color="000000"/>
          <w:tl2br w:val="none" w:sz="0" w:space="0" w:color="auto"/>
          <w:tr2bl w:val="none" w:sz="0" w:space="0" w:color="auto"/>
        </w:tcBorders>
      </w:tcPr>
    </w:tblStylePr>
    <w:tblStylePr w:type="firstCol">
      <w:rPr>
        <w:b/>
        <w:bCs/>
      </w:rPr>
      <w:tblPr/>
      <w:tcPr>
        <w:tcBorders>
          <w:right w:val="single" w:sz="12" w:space="0" w:color="000000"/>
          <w:tl2br w:val="none" w:sz="0" w:space="0" w:color="auto"/>
          <w:tr2bl w:val="none" w:sz="0" w:space="0" w:color="auto"/>
        </w:tcBorders>
      </w:tcPr>
    </w:tblStylePr>
    <w:tblStylePr w:type="band1Horz">
      <w:tblPr/>
      <w:tcPr>
        <w:tcBorders>
          <w:tl2br w:val="none" w:sz="0" w:space="0" w:color="auto"/>
          <w:tr2bl w:val="none" w:sz="0" w:space="0" w:color="auto"/>
        </w:tcBorders>
        <w:shd w:val="pct25" w:color="000000" w:fill="FFFFFF"/>
      </w:tcPr>
    </w:tblStylePr>
  </w:style>
  <w:style w:type="table" w:styleId="TableList7">
    <w:name w:val="Table List 7"/>
    <w:basedOn w:val="TableNormal"/>
    <w:semiHidden/>
    <w:locked/>
    <w:rsid w:val="00E45954"/>
    <w:pPr>
      <w:spacing w:after="240"/>
    </w:pPr>
    <w:tblPr>
      <w:tblStyleRowBandSize w:val="1"/>
      <w:tblInd w:w="0" w:type="dxa"/>
      <w:tblBorders>
        <w:top w:val="single" w:sz="12" w:space="0" w:color="008000"/>
        <w:left w:val="single" w:sz="6" w:space="0" w:color="008000"/>
        <w:bottom w:val="single" w:sz="12" w:space="0" w:color="008000"/>
        <w:right w:val="single" w:sz="6" w:space="0" w:color="008000"/>
        <w:insideH w:val="single" w:sz="6" w:space="0" w:color="000000"/>
      </w:tblBorders>
      <w:tblCellMar>
        <w:top w:w="0" w:type="dxa"/>
        <w:left w:w="108" w:type="dxa"/>
        <w:bottom w:w="0" w:type="dxa"/>
        <w:right w:w="108" w:type="dxa"/>
      </w:tblCellMar>
    </w:tblPr>
    <w:tblStylePr w:type="firstRow">
      <w:rPr>
        <w:b/>
        <w:bCs/>
      </w:rPr>
      <w:tblPr/>
      <w:tcPr>
        <w:tcBorders>
          <w:bottom w:val="single" w:sz="12" w:space="0" w:color="008000"/>
          <w:tl2br w:val="none" w:sz="0" w:space="0" w:color="auto"/>
          <w:tr2bl w:val="none" w:sz="0" w:space="0" w:color="auto"/>
        </w:tcBorders>
        <w:shd w:val="solid" w:color="C0C0C0" w:fill="FFFFFF"/>
      </w:tcPr>
    </w:tblStylePr>
    <w:tblStylePr w:type="lastRow">
      <w:rPr>
        <w:b/>
        <w:bCs/>
      </w:rPr>
      <w:tblPr/>
      <w:tcPr>
        <w:tcBorders>
          <w:top w:val="single" w:sz="12" w:space="0" w:color="008000"/>
          <w:tl2br w:val="none" w:sz="0" w:space="0" w:color="auto"/>
          <w:tr2bl w:val="none" w:sz="0" w:space="0" w:color="auto"/>
        </w:tcBorders>
      </w:tcPr>
    </w:tblStylePr>
    <w:tblStylePr w:type="firstCol">
      <w:rPr>
        <w:b/>
        <w:bCs/>
      </w:rPr>
      <w:tblPr/>
      <w:tcPr>
        <w:tcBorders>
          <w:tl2br w:val="none" w:sz="0" w:space="0" w:color="auto"/>
          <w:tr2bl w:val="none" w:sz="0" w:space="0" w:color="auto"/>
        </w:tcBorders>
      </w:tcPr>
    </w:tblStylePr>
    <w:tblStylePr w:type="lastCol">
      <w:rPr>
        <w:b/>
        <w:bCs/>
      </w:rPr>
      <w:tblPr/>
      <w:tcPr>
        <w:tcBorders>
          <w:tl2br w:val="none" w:sz="0" w:space="0" w:color="auto"/>
          <w:tr2bl w:val="none" w:sz="0" w:space="0" w:color="auto"/>
        </w:tcBorders>
      </w:tcPr>
    </w:tblStylePr>
    <w:tblStylePr w:type="band1Horz">
      <w:rPr>
        <w:color w:val="auto"/>
      </w:rPr>
      <w:tblPr/>
      <w:tcPr>
        <w:tcBorders>
          <w:tl2br w:val="none" w:sz="0" w:space="0" w:color="auto"/>
          <w:tr2bl w:val="none" w:sz="0" w:space="0" w:color="auto"/>
        </w:tcBorders>
        <w:shd w:val="pct20" w:color="000000" w:fill="FFFFFF"/>
      </w:tcPr>
    </w:tblStylePr>
    <w:tblStylePr w:type="band2Horz">
      <w:tblPr/>
      <w:tcPr>
        <w:tcBorders>
          <w:tl2br w:val="none" w:sz="0" w:space="0" w:color="auto"/>
          <w:tr2bl w:val="none" w:sz="0" w:space="0" w:color="auto"/>
        </w:tcBorders>
        <w:shd w:val="pct25" w:color="FFFF00" w:fill="FFFFFF"/>
      </w:tcPr>
    </w:tblStylePr>
  </w:style>
  <w:style w:type="table" w:styleId="TableList8">
    <w:name w:val="Table List 8"/>
    <w:basedOn w:val="TableNormal"/>
    <w:semiHidden/>
    <w:locked/>
    <w:rsid w:val="00E45954"/>
    <w:pPr>
      <w:spacing w:after="240"/>
    </w:pPr>
    <w:tblPr>
      <w:tblStyleRowBandSize w:val="1"/>
      <w:tblInd w:w="0" w:type="dxa"/>
      <w:tblBorders>
        <w:top w:val="single" w:sz="6" w:space="0" w:color="000000"/>
        <w:left w:val="single" w:sz="6" w:space="0" w:color="000000"/>
        <w:bottom w:val="single" w:sz="6" w:space="0" w:color="000000"/>
        <w:right w:val="single" w:sz="6" w:space="0" w:color="000000"/>
        <w:insideV w:val="single" w:sz="6" w:space="0" w:color="000000"/>
      </w:tblBorders>
      <w:tblCellMar>
        <w:top w:w="0" w:type="dxa"/>
        <w:left w:w="108" w:type="dxa"/>
        <w:bottom w:w="0" w:type="dxa"/>
        <w:right w:w="108" w:type="dxa"/>
      </w:tblCellMar>
    </w:tblPr>
    <w:tblStylePr w:type="firstRow">
      <w:rPr>
        <w:b/>
        <w:bCs/>
        <w:i/>
        <w:iCs/>
      </w:rPr>
      <w:tblPr/>
      <w:tcPr>
        <w:tcBorders>
          <w:bottom w:val="single" w:sz="6" w:space="0" w:color="000000"/>
          <w:tl2br w:val="none" w:sz="0" w:space="0" w:color="auto"/>
          <w:tr2bl w:val="none" w:sz="0" w:space="0" w:color="auto"/>
        </w:tcBorders>
        <w:shd w:val="solid" w:color="FFFF00" w:fill="FFFFFF"/>
      </w:tcPr>
    </w:tblStylePr>
    <w:tblStylePr w:type="lastRow">
      <w:rPr>
        <w:b/>
        <w:bCs/>
      </w:rPr>
      <w:tblPr/>
      <w:tcPr>
        <w:tcBorders>
          <w:top w:val="single" w:sz="6" w:space="0" w:color="000000"/>
          <w:tl2br w:val="none" w:sz="0" w:space="0" w:color="auto"/>
          <w:tr2bl w:val="none" w:sz="0" w:space="0" w:color="auto"/>
        </w:tcBorders>
      </w:tcPr>
    </w:tblStylePr>
    <w:tblStylePr w:type="firstCol">
      <w:rPr>
        <w:b/>
        <w:bCs/>
      </w:rPr>
      <w:tblPr/>
      <w:tcPr>
        <w:tcBorders>
          <w:tl2br w:val="none" w:sz="0" w:space="0" w:color="auto"/>
          <w:tr2bl w:val="none" w:sz="0" w:space="0" w:color="auto"/>
        </w:tcBorders>
      </w:tcPr>
    </w:tblStylePr>
    <w:tblStylePr w:type="lastCol">
      <w:rPr>
        <w:b/>
        <w:bCs/>
      </w:rPr>
      <w:tblPr/>
      <w:tcPr>
        <w:tcBorders>
          <w:tl2br w:val="none" w:sz="0" w:space="0" w:color="auto"/>
          <w:tr2bl w:val="none" w:sz="0" w:space="0" w:color="auto"/>
        </w:tcBorders>
      </w:tcPr>
    </w:tblStylePr>
    <w:tblStylePr w:type="band1Horz">
      <w:rPr>
        <w:color w:val="auto"/>
      </w:rPr>
      <w:tblPr/>
      <w:tcPr>
        <w:tcBorders>
          <w:tl2br w:val="none" w:sz="0" w:space="0" w:color="auto"/>
          <w:tr2bl w:val="none" w:sz="0" w:space="0" w:color="auto"/>
        </w:tcBorders>
        <w:shd w:val="pct25" w:color="FFFF00" w:fill="FFFFFF"/>
      </w:tcPr>
    </w:tblStylePr>
    <w:tblStylePr w:type="band2Horz">
      <w:tblPr/>
      <w:tcPr>
        <w:tcBorders>
          <w:tl2br w:val="none" w:sz="0" w:space="0" w:color="auto"/>
          <w:tr2bl w:val="none" w:sz="0" w:space="0" w:color="auto"/>
        </w:tcBorders>
        <w:shd w:val="pct50" w:color="FF0000" w:fill="FFFFFF"/>
      </w:tcPr>
    </w:tblStylePr>
  </w:style>
  <w:style w:type="table" w:styleId="TableProfessional">
    <w:name w:val="Table Professional"/>
    <w:basedOn w:val="TableNormal"/>
    <w:semiHidden/>
    <w:locked/>
    <w:rsid w:val="00E45954"/>
    <w:pPr>
      <w:spacing w:after="240"/>
    </w:pPr>
    <w:tblPr>
      <w:tblInd w:w="0" w:type="dxa"/>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CellMar>
        <w:top w:w="0" w:type="dxa"/>
        <w:left w:w="108" w:type="dxa"/>
        <w:bottom w:w="0" w:type="dxa"/>
        <w:right w:w="108" w:type="dxa"/>
      </w:tblCellMar>
    </w:tblPr>
    <w:tcPr>
      <w:shd w:val="clear" w:color="auto" w:fill="auto"/>
    </w:tcPr>
    <w:tblStylePr w:type="firstRow">
      <w:rPr>
        <w:b/>
        <w:bCs/>
        <w:color w:val="auto"/>
      </w:rPr>
      <w:tblPr/>
      <w:tcPr>
        <w:tcBorders>
          <w:tl2br w:val="none" w:sz="0" w:space="0" w:color="auto"/>
          <w:tr2bl w:val="none" w:sz="0" w:space="0" w:color="auto"/>
        </w:tcBorders>
        <w:shd w:val="solid" w:color="000000" w:fill="FFFFFF"/>
      </w:tcPr>
    </w:tblStylePr>
  </w:style>
  <w:style w:type="table" w:styleId="TableSimple1">
    <w:name w:val="Table Simple 1"/>
    <w:basedOn w:val="TableNormal"/>
    <w:semiHidden/>
    <w:locked/>
    <w:rsid w:val="00E45954"/>
    <w:pPr>
      <w:spacing w:after="240"/>
    </w:pPr>
    <w:tblPr>
      <w:tblInd w:w="0" w:type="dxa"/>
      <w:tblBorders>
        <w:top w:val="single" w:sz="12" w:space="0" w:color="008000"/>
        <w:bottom w:val="single" w:sz="12" w:space="0" w:color="008000"/>
      </w:tblBorders>
      <w:tblCellMar>
        <w:top w:w="0" w:type="dxa"/>
        <w:left w:w="108" w:type="dxa"/>
        <w:bottom w:w="0" w:type="dxa"/>
        <w:right w:w="108" w:type="dxa"/>
      </w:tblCellMar>
    </w:tblPr>
    <w:tcPr>
      <w:shd w:val="clear" w:color="auto" w:fill="auto"/>
    </w:tcPr>
    <w:tblStylePr w:type="firstRow">
      <w:tblPr/>
      <w:tcPr>
        <w:tcBorders>
          <w:bottom w:val="single" w:sz="6" w:space="0" w:color="008000"/>
          <w:tl2br w:val="none" w:sz="0" w:space="0" w:color="auto"/>
          <w:tr2bl w:val="none" w:sz="0" w:space="0" w:color="auto"/>
        </w:tcBorders>
      </w:tcPr>
    </w:tblStylePr>
    <w:tblStylePr w:type="lastRow">
      <w:tblPr/>
      <w:tcPr>
        <w:tcBorders>
          <w:top w:val="single" w:sz="6" w:space="0" w:color="008000"/>
          <w:tl2br w:val="none" w:sz="0" w:space="0" w:color="auto"/>
          <w:tr2bl w:val="none" w:sz="0" w:space="0" w:color="auto"/>
        </w:tcBorders>
      </w:tcPr>
    </w:tblStylePr>
  </w:style>
  <w:style w:type="table" w:styleId="TableSimple2">
    <w:name w:val="Table Simple 2"/>
    <w:basedOn w:val="TableNormal"/>
    <w:semiHidden/>
    <w:locked/>
    <w:rsid w:val="00E45954"/>
    <w:pPr>
      <w:spacing w:after="240"/>
    </w:pPr>
    <w:tblPr>
      <w:tblInd w:w="0" w:type="dxa"/>
      <w:tblCellMar>
        <w:top w:w="0" w:type="dxa"/>
        <w:left w:w="108" w:type="dxa"/>
        <w:bottom w:w="0" w:type="dxa"/>
        <w:right w:w="108" w:type="dxa"/>
      </w:tblCellMar>
    </w:tblPr>
    <w:tblStylePr w:type="firstRow">
      <w:rPr>
        <w:b/>
        <w:bCs/>
      </w:rPr>
      <w:tblPr/>
      <w:tcPr>
        <w:tcBorders>
          <w:bottom w:val="single" w:sz="12" w:space="0" w:color="000000"/>
          <w:tl2br w:val="none" w:sz="0" w:space="0" w:color="auto"/>
          <w:tr2bl w:val="none" w:sz="0" w:space="0" w:color="auto"/>
        </w:tcBorders>
      </w:tcPr>
    </w:tblStylePr>
    <w:tblStylePr w:type="lastRow">
      <w:rPr>
        <w:b/>
        <w:bCs/>
        <w:color w:val="auto"/>
      </w:rPr>
      <w:tblPr/>
      <w:tcPr>
        <w:tcBorders>
          <w:top w:val="single" w:sz="6" w:space="0" w:color="000000"/>
          <w:tl2br w:val="none" w:sz="0" w:space="0" w:color="auto"/>
          <w:tr2bl w:val="none" w:sz="0" w:space="0" w:color="auto"/>
        </w:tcBorders>
      </w:tcPr>
    </w:tblStylePr>
    <w:tblStylePr w:type="firstCol">
      <w:rPr>
        <w:b/>
        <w:bCs/>
      </w:rPr>
      <w:tblPr/>
      <w:tcPr>
        <w:tcBorders>
          <w:right w:val="single" w:sz="12" w:space="0" w:color="000000"/>
          <w:tl2br w:val="none" w:sz="0" w:space="0" w:color="auto"/>
          <w:tr2bl w:val="none" w:sz="0" w:space="0" w:color="auto"/>
        </w:tcBorders>
      </w:tcPr>
    </w:tblStylePr>
    <w:tblStylePr w:type="lastCol">
      <w:rPr>
        <w:b/>
        <w:bCs/>
      </w:rPr>
      <w:tblPr/>
      <w:tcPr>
        <w:tcBorders>
          <w:left w:val="single" w:sz="6" w:space="0" w:color="000000"/>
          <w:tl2br w:val="none" w:sz="0" w:space="0" w:color="auto"/>
          <w:tr2bl w:val="none" w:sz="0" w:space="0" w:color="auto"/>
        </w:tcBorders>
      </w:tcPr>
    </w:tblStylePr>
    <w:tblStylePr w:type="neCell">
      <w:rPr>
        <w:b/>
        <w:bCs/>
      </w:rPr>
      <w:tblPr/>
      <w:tcPr>
        <w:tcBorders>
          <w:left w:val="none" w:sz="0" w:space="0" w:color="auto"/>
          <w:tl2br w:val="none" w:sz="0" w:space="0" w:color="auto"/>
          <w:tr2bl w:val="none" w:sz="0" w:space="0" w:color="auto"/>
        </w:tcBorders>
      </w:tcPr>
    </w:tblStylePr>
    <w:tblStylePr w:type="swCell">
      <w:rPr>
        <w:b/>
        <w:bCs/>
      </w:rPr>
      <w:tblPr/>
      <w:tcPr>
        <w:tcBorders>
          <w:top w:val="none" w:sz="0" w:space="0" w:color="auto"/>
          <w:tl2br w:val="none" w:sz="0" w:space="0" w:color="auto"/>
          <w:tr2bl w:val="none" w:sz="0" w:space="0" w:color="auto"/>
        </w:tcBorders>
      </w:tcPr>
    </w:tblStylePr>
  </w:style>
  <w:style w:type="table" w:styleId="TableSimple3">
    <w:name w:val="Table Simple 3"/>
    <w:basedOn w:val="TableNormal"/>
    <w:semiHidden/>
    <w:locked/>
    <w:rsid w:val="00E45954"/>
    <w:pPr>
      <w:spacing w:after="240"/>
    </w:pPr>
    <w:tblPr>
      <w:tblInd w:w="0" w:type="dxa"/>
      <w:tblBorders>
        <w:top w:val="single" w:sz="12" w:space="0" w:color="000000"/>
        <w:left w:val="single" w:sz="12" w:space="0" w:color="000000"/>
        <w:bottom w:val="single" w:sz="12" w:space="0" w:color="000000"/>
        <w:right w:val="single" w:sz="12" w:space="0" w:color="000000"/>
      </w:tblBorders>
      <w:tblCellMar>
        <w:top w:w="0" w:type="dxa"/>
        <w:left w:w="108" w:type="dxa"/>
        <w:bottom w:w="0" w:type="dxa"/>
        <w:right w:w="108" w:type="dxa"/>
      </w:tblCellMar>
    </w:tblPr>
    <w:tcPr>
      <w:shd w:val="clear" w:color="auto" w:fill="auto"/>
    </w:tcPr>
    <w:tblStylePr w:type="firstRow">
      <w:rPr>
        <w:b/>
        <w:bCs/>
        <w:color w:val="FFFFFF"/>
      </w:rPr>
      <w:tblPr/>
      <w:tcPr>
        <w:tcBorders>
          <w:tl2br w:val="none" w:sz="0" w:space="0" w:color="auto"/>
          <w:tr2bl w:val="none" w:sz="0" w:space="0" w:color="auto"/>
        </w:tcBorders>
        <w:shd w:val="solid" w:color="000000" w:fill="FFFFFF"/>
      </w:tcPr>
    </w:tblStylePr>
  </w:style>
  <w:style w:type="table" w:styleId="TableSubtle1">
    <w:name w:val="Table Subtle 1"/>
    <w:basedOn w:val="TableNormal"/>
    <w:semiHidden/>
    <w:locked/>
    <w:rsid w:val="00E45954"/>
    <w:pPr>
      <w:spacing w:after="240"/>
    </w:pPr>
    <w:tblPr>
      <w:tblStyleRowBandSize w:val="1"/>
      <w:tblInd w:w="0" w:type="dxa"/>
      <w:tblCellMar>
        <w:top w:w="0" w:type="dxa"/>
        <w:left w:w="108" w:type="dxa"/>
        <w:bottom w:w="0" w:type="dxa"/>
        <w:right w:w="108" w:type="dxa"/>
      </w:tblCellMar>
    </w:tblPr>
    <w:tblStylePr w:type="firstRow">
      <w:tblPr/>
      <w:tcPr>
        <w:tcBorders>
          <w:top w:val="single" w:sz="6" w:space="0" w:color="000000"/>
          <w:bottom w:val="single" w:sz="12" w:space="0" w:color="000000"/>
          <w:tl2br w:val="none" w:sz="0" w:space="0" w:color="auto"/>
          <w:tr2bl w:val="none" w:sz="0" w:space="0" w:color="auto"/>
        </w:tcBorders>
      </w:tcPr>
    </w:tblStylePr>
    <w:tblStylePr w:type="lastRow">
      <w:tblPr/>
      <w:tcPr>
        <w:tcBorders>
          <w:top w:val="single" w:sz="12" w:space="0" w:color="000000"/>
          <w:tl2br w:val="none" w:sz="0" w:space="0" w:color="auto"/>
          <w:tr2bl w:val="none" w:sz="0" w:space="0" w:color="auto"/>
        </w:tcBorders>
        <w:shd w:val="pct25" w:color="800080" w:fill="FFFFFF"/>
      </w:tcPr>
    </w:tblStylePr>
    <w:tblStylePr w:type="firstCol">
      <w:tblPr/>
      <w:tcPr>
        <w:tcBorders>
          <w:right w:val="single" w:sz="12" w:space="0" w:color="000000"/>
          <w:tl2br w:val="none" w:sz="0" w:space="0" w:color="auto"/>
          <w:tr2bl w:val="none" w:sz="0" w:space="0" w:color="auto"/>
        </w:tcBorders>
      </w:tcPr>
    </w:tblStylePr>
    <w:tblStylePr w:type="lastCol">
      <w:tblPr/>
      <w:tcPr>
        <w:tcBorders>
          <w:left w:val="single" w:sz="12" w:space="0" w:color="000000"/>
          <w:tl2br w:val="none" w:sz="0" w:space="0" w:color="auto"/>
          <w:tr2bl w:val="none" w:sz="0" w:space="0" w:color="auto"/>
        </w:tcBorders>
      </w:tcPr>
    </w:tblStylePr>
    <w:tblStylePr w:type="band1Horz">
      <w:tblPr/>
      <w:tcPr>
        <w:tcBorders>
          <w:bottom w:val="single" w:sz="6" w:space="0" w:color="000000"/>
          <w:tl2br w:val="none" w:sz="0" w:space="0" w:color="auto"/>
          <w:tr2bl w:val="none" w:sz="0" w:space="0" w:color="auto"/>
        </w:tcBorders>
        <w:shd w:val="pct25" w:color="808000" w:fill="FFFFFF"/>
      </w:tcPr>
    </w:tblStylePr>
    <w:tblStylePr w:type="neCell">
      <w:rPr>
        <w:b/>
        <w:bCs/>
      </w:rPr>
      <w:tblPr/>
      <w:tcPr>
        <w:tcBorders>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styleId="TableSubtle2">
    <w:name w:val="Table Subtle 2"/>
    <w:basedOn w:val="TableNormal"/>
    <w:semiHidden/>
    <w:locked/>
    <w:rsid w:val="00E45954"/>
    <w:pPr>
      <w:spacing w:after="240"/>
    </w:pPr>
    <w:tblPr>
      <w:tblInd w:w="0" w:type="dxa"/>
      <w:tblBorders>
        <w:left w:val="single" w:sz="6" w:space="0" w:color="000000"/>
        <w:right w:val="single" w:sz="6" w:space="0" w:color="000000"/>
      </w:tblBorders>
      <w:tblCellMar>
        <w:top w:w="0" w:type="dxa"/>
        <w:left w:w="108" w:type="dxa"/>
        <w:bottom w:w="0" w:type="dxa"/>
        <w:right w:w="108" w:type="dxa"/>
      </w:tblCellMar>
    </w:tblPr>
    <w:tblStylePr w:type="firstRow">
      <w:tblPr/>
      <w:tcPr>
        <w:tcBorders>
          <w:bottom w:val="single" w:sz="12" w:space="0" w:color="000000"/>
          <w:tl2br w:val="none" w:sz="0" w:space="0" w:color="auto"/>
          <w:tr2bl w:val="none" w:sz="0" w:space="0" w:color="auto"/>
        </w:tcBorders>
      </w:tcPr>
    </w:tblStylePr>
    <w:tblStylePr w:type="lastRow">
      <w:tblPr/>
      <w:tcPr>
        <w:tcBorders>
          <w:top w:val="single" w:sz="12" w:space="0" w:color="000000"/>
          <w:tl2br w:val="none" w:sz="0" w:space="0" w:color="auto"/>
          <w:tr2bl w:val="none" w:sz="0" w:space="0" w:color="auto"/>
        </w:tcBorders>
      </w:tcPr>
    </w:tblStylePr>
    <w:tblStylePr w:type="firstCol">
      <w:tblPr/>
      <w:tcPr>
        <w:tcBorders>
          <w:right w:val="single" w:sz="12" w:space="0" w:color="000000"/>
          <w:tl2br w:val="none" w:sz="0" w:space="0" w:color="auto"/>
          <w:tr2bl w:val="none" w:sz="0" w:space="0" w:color="auto"/>
        </w:tcBorders>
        <w:shd w:val="pct25" w:color="008000" w:fill="FFFFFF"/>
      </w:tcPr>
    </w:tblStylePr>
    <w:tblStylePr w:type="lastCol">
      <w:tblPr/>
      <w:tcPr>
        <w:tcBorders>
          <w:left w:val="single" w:sz="12" w:space="0" w:color="000000"/>
          <w:tl2br w:val="none" w:sz="0" w:space="0" w:color="auto"/>
          <w:tr2bl w:val="none" w:sz="0" w:space="0" w:color="auto"/>
        </w:tcBorders>
        <w:shd w:val="pct25" w:color="808000" w:fill="FFFFFF"/>
      </w:tcPr>
    </w:tblStylePr>
    <w:tblStylePr w:type="neCell">
      <w:rPr>
        <w:b/>
        <w:bCs/>
      </w:rPr>
      <w:tblPr/>
      <w:tcPr>
        <w:tcBorders>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styleId="TableTheme">
    <w:name w:val="Table Theme"/>
    <w:basedOn w:val="TableNormal"/>
    <w:semiHidden/>
    <w:locked/>
    <w:rsid w:val="00E45954"/>
    <w:pPr>
      <w:spacing w:after="240"/>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styleId="TableWeb1">
    <w:name w:val="Table Web 1"/>
    <w:basedOn w:val="TableNormal"/>
    <w:semiHidden/>
    <w:locked/>
    <w:rsid w:val="00E45954"/>
    <w:pPr>
      <w:spacing w:after="240"/>
    </w:pPr>
    <w:tblPr>
      <w:tblCellSpacing w:w="20" w:type="dxa"/>
      <w:tblInd w:w="0" w:type="dxa"/>
      <w:tblBorders>
        <w:top w:val="outset" w:sz="6" w:space="0" w:color="auto"/>
        <w:left w:val="outset" w:sz="6" w:space="0" w:color="auto"/>
        <w:bottom w:val="outset" w:sz="6" w:space="0" w:color="auto"/>
        <w:right w:val="outset" w:sz="6" w:space="0" w:color="auto"/>
        <w:insideH w:val="outset" w:sz="6" w:space="0" w:color="auto"/>
        <w:insideV w:val="outset" w:sz="6" w:space="0" w:color="auto"/>
      </w:tblBorders>
      <w:tblCellMar>
        <w:top w:w="0" w:type="dxa"/>
        <w:left w:w="108" w:type="dxa"/>
        <w:bottom w:w="0" w:type="dxa"/>
        <w:right w:w="108" w:type="dxa"/>
      </w:tblCellMar>
    </w:tblPr>
    <w:trPr>
      <w:tblCellSpacing w:w="20" w:type="dxa"/>
    </w:trPr>
    <w:tcPr>
      <w:shd w:val="clear" w:color="auto" w:fill="auto"/>
    </w:tcPr>
    <w:tblStylePr w:type="firstRow">
      <w:rPr>
        <w:color w:val="auto"/>
      </w:rPr>
      <w:tblPr/>
      <w:tcPr>
        <w:tcBorders>
          <w:tl2br w:val="none" w:sz="0" w:space="0" w:color="auto"/>
          <w:tr2bl w:val="none" w:sz="0" w:space="0" w:color="auto"/>
        </w:tcBorders>
      </w:tcPr>
    </w:tblStylePr>
  </w:style>
  <w:style w:type="table" w:styleId="TableWeb2">
    <w:name w:val="Table Web 2"/>
    <w:basedOn w:val="TableNormal"/>
    <w:semiHidden/>
    <w:locked/>
    <w:rsid w:val="00E45954"/>
    <w:pPr>
      <w:spacing w:after="240"/>
    </w:pPr>
    <w:tblPr>
      <w:tblCellSpacing w:w="20" w:type="dxa"/>
      <w:tblInd w:w="0" w:type="dxa"/>
      <w:tblBorders>
        <w:top w:val="inset" w:sz="6" w:space="0" w:color="auto"/>
        <w:left w:val="inset" w:sz="6" w:space="0" w:color="auto"/>
        <w:bottom w:val="inset" w:sz="6" w:space="0" w:color="auto"/>
        <w:right w:val="inset" w:sz="6" w:space="0" w:color="auto"/>
        <w:insideH w:val="inset" w:sz="6" w:space="0" w:color="auto"/>
        <w:insideV w:val="inset" w:sz="6" w:space="0" w:color="auto"/>
      </w:tblBorders>
      <w:tblCellMar>
        <w:top w:w="0" w:type="dxa"/>
        <w:left w:w="108" w:type="dxa"/>
        <w:bottom w:w="0" w:type="dxa"/>
        <w:right w:w="108" w:type="dxa"/>
      </w:tblCellMar>
    </w:tblPr>
    <w:trPr>
      <w:tblCellSpacing w:w="20" w:type="dxa"/>
    </w:trPr>
    <w:tcPr>
      <w:shd w:val="clear" w:color="auto" w:fill="auto"/>
    </w:tcPr>
    <w:tblStylePr w:type="firstRow">
      <w:rPr>
        <w:color w:val="auto"/>
      </w:rPr>
      <w:tblPr/>
      <w:tcPr>
        <w:tcBorders>
          <w:tl2br w:val="none" w:sz="0" w:space="0" w:color="auto"/>
          <w:tr2bl w:val="none" w:sz="0" w:space="0" w:color="auto"/>
        </w:tcBorders>
      </w:tcPr>
    </w:tblStylePr>
  </w:style>
  <w:style w:type="table" w:styleId="TableWeb3">
    <w:name w:val="Table Web 3"/>
    <w:basedOn w:val="TableNormal"/>
    <w:semiHidden/>
    <w:locked/>
    <w:rsid w:val="00E45954"/>
    <w:pPr>
      <w:spacing w:after="240"/>
    </w:pPr>
    <w:tblPr>
      <w:tblCellSpacing w:w="20" w:type="dxa"/>
      <w:tblInd w:w="0" w:type="dxa"/>
      <w:tblBorders>
        <w:top w:val="outset" w:sz="24" w:space="0" w:color="auto"/>
        <w:left w:val="outset" w:sz="24" w:space="0" w:color="auto"/>
        <w:bottom w:val="outset" w:sz="24" w:space="0" w:color="auto"/>
        <w:right w:val="outset" w:sz="24" w:space="0" w:color="auto"/>
        <w:insideH w:val="outset" w:sz="6" w:space="0" w:color="auto"/>
        <w:insideV w:val="outset" w:sz="6" w:space="0" w:color="auto"/>
      </w:tblBorders>
      <w:tblCellMar>
        <w:top w:w="0" w:type="dxa"/>
        <w:left w:w="108" w:type="dxa"/>
        <w:bottom w:w="0" w:type="dxa"/>
        <w:right w:w="108" w:type="dxa"/>
      </w:tblCellMar>
    </w:tblPr>
    <w:trPr>
      <w:tblCellSpacing w:w="20" w:type="dxa"/>
    </w:trPr>
    <w:tcPr>
      <w:shd w:val="clear" w:color="auto" w:fill="auto"/>
    </w:tcPr>
    <w:tblStylePr w:type="firstRow">
      <w:rPr>
        <w:color w:val="auto"/>
      </w:rPr>
      <w:tblPr/>
      <w:tcPr>
        <w:tcBorders>
          <w:tl2br w:val="none" w:sz="0" w:space="0" w:color="auto"/>
          <w:tr2bl w:val="none" w:sz="0" w:space="0" w:color="auto"/>
        </w:tcBorders>
      </w:tcPr>
    </w:tblStylePr>
  </w:style>
  <w:style w:type="paragraph" w:styleId="Title">
    <w:name w:val="Title"/>
    <w:basedOn w:val="Normal"/>
    <w:qFormat/>
    <w:locked/>
    <w:rsid w:val="00E45954"/>
    <w:pPr>
      <w:spacing w:after="60"/>
      <w:jc w:val="center"/>
      <w:outlineLvl w:val="0"/>
    </w:pPr>
    <w:rPr>
      <w:rFonts w:cs="Arial"/>
      <w:b/>
      <w:bCs/>
      <w:kern w:val="28"/>
      <w:sz w:val="32"/>
      <w:szCs w:val="32"/>
    </w:rPr>
  </w:style>
  <w:style w:type="character" w:styleId="FollowedHyperlink">
    <w:name w:val="FollowedHyperlink"/>
    <w:basedOn w:val="DefaultParagraphFont"/>
    <w:semiHidden/>
    <w:locked/>
    <w:rsid w:val="00E45954"/>
    <w:rPr>
      <w:color w:val="800080"/>
      <w:u w:val="single"/>
    </w:rPr>
  </w:style>
  <w:style w:type="paragraph" w:styleId="ListBullet">
    <w:name w:val="List Bullet"/>
    <w:basedOn w:val="Normal"/>
    <w:semiHidden/>
    <w:locked/>
    <w:rsid w:val="00950E88"/>
    <w:pPr>
      <w:numPr>
        <w:numId w:val="1"/>
      </w:numPr>
    </w:pPr>
  </w:style>
  <w:style w:type="paragraph" w:customStyle="1" w:styleId="Contactdetails">
    <w:name w:val="Contact details"/>
    <w:basedOn w:val="Normal"/>
    <w:semiHidden/>
    <w:rsid w:val="002702D9"/>
    <w:pPr>
      <w:keepNext/>
      <w:keepLines/>
      <w:widowControl w:val="0"/>
      <w:tabs>
        <w:tab w:val="left" w:pos="566"/>
        <w:tab w:val="left" w:pos="1133"/>
        <w:tab w:val="left" w:pos="1700"/>
        <w:tab w:val="left" w:pos="2267"/>
        <w:tab w:val="left" w:pos="2834"/>
        <w:tab w:val="left" w:pos="3401"/>
        <w:tab w:val="left" w:pos="3968"/>
        <w:tab w:val="left" w:pos="4535"/>
        <w:tab w:val="left" w:pos="5102"/>
        <w:tab w:val="left" w:pos="5669"/>
        <w:tab w:val="left" w:pos="6236"/>
        <w:tab w:val="left" w:pos="6803"/>
      </w:tabs>
      <w:autoSpaceDE w:val="0"/>
      <w:autoSpaceDN w:val="0"/>
      <w:adjustRightInd w:val="0"/>
      <w:spacing w:line="210" w:lineRule="exact"/>
    </w:pPr>
    <w:rPr>
      <w:rFonts w:ascii="ArialMT" w:hAnsi="ArialMT" w:cs="ArialMT"/>
      <w:sz w:val="20"/>
      <w:lang w:val="en-US" w:bidi="en-US"/>
    </w:rPr>
  </w:style>
  <w:style w:type="character" w:customStyle="1" w:styleId="CharChar9">
    <w:name w:val="Char Char9"/>
    <w:basedOn w:val="DefaultParagraphFont"/>
    <w:semiHidden/>
    <w:locked/>
    <w:rsid w:val="001C451B"/>
    <w:rPr>
      <w:rFonts w:ascii="Arial" w:hAnsi="Arial"/>
      <w:bCs/>
      <w:i/>
      <w:sz w:val="24"/>
      <w:szCs w:val="26"/>
      <w:lang w:val="en-AU" w:eastAsia="en-AU" w:bidi="ar-SA"/>
    </w:rPr>
  </w:style>
  <w:style w:type="character" w:customStyle="1" w:styleId="CharChar8">
    <w:name w:val="Char Char8"/>
    <w:basedOn w:val="DefaultParagraphFont"/>
    <w:semiHidden/>
    <w:locked/>
    <w:rsid w:val="001C451B"/>
    <w:rPr>
      <w:rFonts w:ascii="Arial" w:hAnsi="Arial"/>
      <w:iCs/>
      <w:sz w:val="24"/>
      <w:szCs w:val="26"/>
      <w:lang w:val="en-AU" w:eastAsia="en-AU" w:bidi="ar-SA"/>
    </w:rPr>
  </w:style>
  <w:style w:type="character" w:customStyle="1" w:styleId="CharChar">
    <w:name w:val="Char Char"/>
    <w:basedOn w:val="DefaultParagraphFont"/>
    <w:semiHidden/>
    <w:locked/>
    <w:rsid w:val="001C451B"/>
    <w:rPr>
      <w:rFonts w:ascii="Arial" w:hAnsi="Arial" w:cs="Arial"/>
      <w:lang w:val="en-AU" w:eastAsia="en-AU" w:bidi="ar-SA"/>
    </w:rPr>
  </w:style>
  <w:style w:type="character" w:customStyle="1" w:styleId="FootnoteTextChar">
    <w:name w:val="Footnote Text Char"/>
    <w:basedOn w:val="DefaultParagraphFont"/>
    <w:link w:val="FootnoteText"/>
    <w:semiHidden/>
    <w:locked/>
    <w:rsid w:val="00706FAB"/>
    <w:rPr>
      <w:rFonts w:ascii="Arial" w:hAnsi="Arial"/>
      <w:lang w:val="en-AU" w:eastAsia="en-AU" w:bidi="ar-SA"/>
    </w:rPr>
  </w:style>
  <w:style w:type="paragraph" w:styleId="ListParagraph">
    <w:name w:val="List Paragraph"/>
    <w:basedOn w:val="Normal"/>
    <w:uiPriority w:val="34"/>
    <w:qFormat/>
    <w:rsid w:val="000B18C2"/>
    <w:pPr>
      <w:ind w:left="720"/>
      <w:contextualSpacing/>
    </w:pPr>
  </w:style>
  <w:style w:type="paragraph" w:styleId="BalloonText">
    <w:name w:val="Balloon Text"/>
    <w:basedOn w:val="Normal"/>
    <w:link w:val="BalloonTextChar"/>
    <w:locked/>
    <w:rsid w:val="005A60D7"/>
    <w:pPr>
      <w:spacing w:before="0" w:after="0"/>
    </w:pPr>
    <w:rPr>
      <w:rFonts w:ascii="Tahoma" w:hAnsi="Tahoma" w:cs="Tahoma"/>
      <w:sz w:val="16"/>
      <w:szCs w:val="16"/>
    </w:rPr>
  </w:style>
  <w:style w:type="character" w:customStyle="1" w:styleId="BalloonTextChar">
    <w:name w:val="Balloon Text Char"/>
    <w:basedOn w:val="DefaultParagraphFont"/>
    <w:link w:val="BalloonText"/>
    <w:rsid w:val="005A60D7"/>
    <w:rPr>
      <w:rFonts w:ascii="Tahoma" w:hAnsi="Tahoma" w:cs="Tahoma"/>
      <w:sz w:val="16"/>
      <w:szCs w:val="16"/>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579095071">
      <w:bodyDiv w:val="1"/>
      <w:marLeft w:val="0"/>
      <w:marRight w:val="0"/>
      <w:marTop w:val="0"/>
      <w:marBottom w:val="0"/>
      <w:divBdr>
        <w:top w:val="none" w:sz="0" w:space="0" w:color="auto"/>
        <w:left w:val="none" w:sz="0" w:space="0" w:color="auto"/>
        <w:bottom w:val="none" w:sz="0" w:space="0" w:color="auto"/>
        <w:right w:val="none" w:sz="0" w:space="0" w:color="auto"/>
      </w:divBdr>
    </w:div>
    <w:div w:id="761681325">
      <w:bodyDiv w:val="1"/>
      <w:marLeft w:val="0"/>
      <w:marRight w:val="0"/>
      <w:marTop w:val="0"/>
      <w:marBottom w:val="0"/>
      <w:divBdr>
        <w:top w:val="none" w:sz="0" w:space="0" w:color="auto"/>
        <w:left w:val="none" w:sz="0" w:space="0" w:color="auto"/>
        <w:bottom w:val="none" w:sz="0" w:space="0" w:color="auto"/>
        <w:right w:val="none" w:sz="0" w:space="0" w:color="auto"/>
      </w:divBdr>
    </w:div>
    <w:div w:id="993947347">
      <w:bodyDiv w:val="1"/>
      <w:marLeft w:val="0"/>
      <w:marRight w:val="0"/>
      <w:marTop w:val="0"/>
      <w:marBottom w:val="0"/>
      <w:divBdr>
        <w:top w:val="none" w:sz="0" w:space="0" w:color="auto"/>
        <w:left w:val="none" w:sz="0" w:space="0" w:color="auto"/>
        <w:bottom w:val="none" w:sz="0" w:space="0" w:color="auto"/>
        <w:right w:val="none" w:sz="0" w:space="0" w:color="auto"/>
      </w:divBdr>
    </w:div>
    <w:div w:id="1218316087">
      <w:bodyDiv w:val="1"/>
      <w:marLeft w:val="0"/>
      <w:marRight w:val="0"/>
      <w:marTop w:val="0"/>
      <w:marBottom w:val="0"/>
      <w:divBdr>
        <w:top w:val="none" w:sz="0" w:space="0" w:color="auto"/>
        <w:left w:val="none" w:sz="0" w:space="0" w:color="auto"/>
        <w:bottom w:val="none" w:sz="0" w:space="0" w:color="auto"/>
        <w:right w:val="none" w:sz="0" w:space="0" w:color="auto"/>
      </w:divBdr>
      <w:divsChild>
        <w:div w:id="1807771644">
          <w:marLeft w:val="0"/>
          <w:marRight w:val="0"/>
          <w:marTop w:val="100"/>
          <w:marBottom w:val="100"/>
          <w:divBdr>
            <w:top w:val="none" w:sz="0" w:space="0" w:color="auto"/>
            <w:left w:val="none" w:sz="0" w:space="0" w:color="auto"/>
            <w:bottom w:val="none" w:sz="0" w:space="0" w:color="auto"/>
            <w:right w:val="none" w:sz="0" w:space="0" w:color="auto"/>
          </w:divBdr>
          <w:divsChild>
            <w:div w:id="705448491">
              <w:marLeft w:val="0"/>
              <w:marRight w:val="0"/>
              <w:marTop w:val="0"/>
              <w:marBottom w:val="0"/>
              <w:divBdr>
                <w:top w:val="none" w:sz="0" w:space="0" w:color="auto"/>
                <w:left w:val="none" w:sz="0" w:space="0" w:color="auto"/>
                <w:bottom w:val="none" w:sz="0" w:space="0" w:color="auto"/>
                <w:right w:val="none" w:sz="0" w:space="0" w:color="auto"/>
              </w:divBdr>
              <w:divsChild>
                <w:div w:id="539247832">
                  <w:marLeft w:val="0"/>
                  <w:marRight w:val="0"/>
                  <w:marTop w:val="0"/>
                  <w:marBottom w:val="0"/>
                  <w:divBdr>
                    <w:top w:val="none" w:sz="0" w:space="0" w:color="auto"/>
                    <w:left w:val="none" w:sz="0" w:space="0" w:color="auto"/>
                    <w:bottom w:val="none" w:sz="0" w:space="0" w:color="auto"/>
                    <w:right w:val="none" w:sz="0" w:space="0" w:color="auto"/>
                  </w:divBdr>
                  <w:divsChild>
                    <w:div w:id="1211957772">
                      <w:marLeft w:val="0"/>
                      <w:marRight w:val="0"/>
                      <w:marTop w:val="0"/>
                      <w:marBottom w:val="0"/>
                      <w:divBdr>
                        <w:top w:val="none" w:sz="0" w:space="0" w:color="auto"/>
                        <w:left w:val="none" w:sz="0" w:space="0" w:color="auto"/>
                        <w:bottom w:val="none" w:sz="0" w:space="0" w:color="auto"/>
                        <w:right w:val="none" w:sz="0" w:space="0" w:color="auto"/>
                      </w:divBdr>
                      <w:divsChild>
                        <w:div w:id="1714427914">
                          <w:marLeft w:val="0"/>
                          <w:marRight w:val="0"/>
                          <w:marTop w:val="0"/>
                          <w:marBottom w:val="100"/>
                          <w:divBdr>
                            <w:top w:val="none" w:sz="0" w:space="0" w:color="auto"/>
                            <w:left w:val="none" w:sz="0" w:space="0" w:color="auto"/>
                            <w:bottom w:val="none" w:sz="0" w:space="0" w:color="auto"/>
                            <w:right w:val="none" w:sz="0" w:space="0" w:color="auto"/>
                          </w:divBdr>
                          <w:divsChild>
                            <w:div w:id="2036536234">
                              <w:marLeft w:val="0"/>
                              <w:marRight w:val="0"/>
                              <w:marTop w:val="100"/>
                              <w:marBottom w:val="100"/>
                              <w:divBdr>
                                <w:top w:val="none" w:sz="0" w:space="0" w:color="auto"/>
                                <w:left w:val="none" w:sz="0" w:space="0" w:color="auto"/>
                                <w:bottom w:val="none" w:sz="0" w:space="0" w:color="auto"/>
                                <w:right w:val="none" w:sz="0" w:space="0" w:color="auto"/>
                              </w:divBdr>
                              <w:divsChild>
                                <w:div w:id="2045671138">
                                  <w:marLeft w:val="0"/>
                                  <w:marRight w:val="0"/>
                                  <w:marTop w:val="0"/>
                                  <w:marBottom w:val="0"/>
                                  <w:divBdr>
                                    <w:top w:val="none" w:sz="0" w:space="0" w:color="auto"/>
                                    <w:left w:val="none" w:sz="0" w:space="0" w:color="auto"/>
                                    <w:bottom w:val="none" w:sz="0" w:space="0" w:color="auto"/>
                                    <w:right w:val="none" w:sz="0" w:space="0" w:color="auto"/>
                                  </w:divBdr>
                                  <w:divsChild>
                                    <w:div w:id="1410271175">
                                      <w:marLeft w:val="0"/>
                                      <w:marRight w:val="0"/>
                                      <w:marTop w:val="0"/>
                                      <w:marBottom w:val="0"/>
                                      <w:divBdr>
                                        <w:top w:val="none" w:sz="0" w:space="0" w:color="auto"/>
                                        <w:left w:val="none" w:sz="0" w:space="0" w:color="auto"/>
                                        <w:bottom w:val="none" w:sz="0" w:space="0" w:color="auto"/>
                                        <w:right w:val="none" w:sz="0" w:space="0" w:color="auto"/>
                                      </w:divBdr>
                                      <w:divsChild>
                                        <w:div w:id="253638508">
                                          <w:marLeft w:val="0"/>
                                          <w:marRight w:val="0"/>
                                          <w:marTop w:val="0"/>
                                          <w:marBottom w:val="0"/>
                                          <w:divBdr>
                                            <w:top w:val="none" w:sz="0" w:space="0" w:color="auto"/>
                                            <w:left w:val="none" w:sz="0" w:space="0" w:color="auto"/>
                                            <w:bottom w:val="none" w:sz="0" w:space="0" w:color="auto"/>
                                            <w:right w:val="none" w:sz="0" w:space="0" w:color="auto"/>
                                          </w:divBdr>
                                          <w:divsChild>
                                            <w:div w:id="153959892">
                                              <w:marLeft w:val="0"/>
                                              <w:marRight w:val="0"/>
                                              <w:marTop w:val="150"/>
                                              <w:marBottom w:val="0"/>
                                              <w:divBdr>
                                                <w:top w:val="none" w:sz="0" w:space="0" w:color="auto"/>
                                                <w:left w:val="none" w:sz="0" w:space="0" w:color="auto"/>
                                                <w:bottom w:val="none" w:sz="0" w:space="0" w:color="auto"/>
                                                <w:right w:val="none" w:sz="0" w:space="0" w:color="auto"/>
                                              </w:divBdr>
                                              <w:divsChild>
                                                <w:div w:id="1889410347">
                                                  <w:marLeft w:val="0"/>
                                                  <w:marRight w:val="0"/>
                                                  <w:marTop w:val="0"/>
                                                  <w:marBottom w:val="0"/>
                                                  <w:divBdr>
                                                    <w:top w:val="none" w:sz="0" w:space="0" w:color="auto"/>
                                                    <w:left w:val="none" w:sz="0" w:space="0" w:color="auto"/>
                                                    <w:bottom w:val="none" w:sz="0" w:space="0" w:color="auto"/>
                                                    <w:right w:val="none" w:sz="0" w:space="0" w:color="auto"/>
                                                  </w:divBdr>
                                                  <w:divsChild>
                                                    <w:div w:id="973751270">
                                                      <w:marLeft w:val="0"/>
                                                      <w:marRight w:val="0"/>
                                                      <w:marTop w:val="0"/>
                                                      <w:marBottom w:val="0"/>
                                                      <w:divBdr>
                                                        <w:top w:val="none" w:sz="0" w:space="0" w:color="auto"/>
                                                        <w:left w:val="none" w:sz="0" w:space="0" w:color="auto"/>
                                                        <w:bottom w:val="none" w:sz="0" w:space="0" w:color="auto"/>
                                                        <w:right w:val="none" w:sz="0" w:space="0" w:color="auto"/>
                                                      </w:divBdr>
                                                      <w:divsChild>
                                                        <w:div w:id="1664504145">
                                                          <w:marLeft w:val="0"/>
                                                          <w:marRight w:val="0"/>
                                                          <w:marTop w:val="0"/>
                                                          <w:marBottom w:val="0"/>
                                                          <w:divBdr>
                                                            <w:top w:val="none" w:sz="0" w:space="0" w:color="auto"/>
                                                            <w:left w:val="none" w:sz="0" w:space="0" w:color="auto"/>
                                                            <w:bottom w:val="none" w:sz="0" w:space="0" w:color="auto"/>
                                                            <w:right w:val="none" w:sz="0" w:space="0" w:color="auto"/>
                                                          </w:divBdr>
                                                          <w:divsChild>
                                                            <w:div w:id="126969729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 w:id="1536312969">
      <w:bodyDiv w:val="1"/>
      <w:marLeft w:val="0"/>
      <w:marRight w:val="0"/>
      <w:marTop w:val="0"/>
      <w:marBottom w:val="0"/>
      <w:divBdr>
        <w:top w:val="none" w:sz="0" w:space="0" w:color="auto"/>
        <w:left w:val="none" w:sz="0" w:space="0" w:color="auto"/>
        <w:bottom w:val="none" w:sz="0" w:space="0" w:color="auto"/>
        <w:right w:val="none" w:sz="0" w:space="0" w:color="auto"/>
      </w:divBdr>
    </w:div>
    <w:div w:id="1991982776">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13" Type="http://schemas.openxmlformats.org/officeDocument/2006/relationships/fontTable" Target="fontTable.xml"/><Relationship Id="rId3" Type="http://schemas.openxmlformats.org/officeDocument/2006/relationships/styles" Target="styles.xml"/><Relationship Id="rId7" Type="http://schemas.openxmlformats.org/officeDocument/2006/relationships/footnotes" Target="footnotes.xml"/><Relationship Id="rId12" Type="http://schemas.openxmlformats.org/officeDocument/2006/relationships/footer" Target="footer1.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header" Target="header1.xml"/><Relationship Id="rId5" Type="http://schemas.openxmlformats.org/officeDocument/2006/relationships/settings" Target="settings.xml"/><Relationship Id="rId10" Type="http://schemas.openxmlformats.org/officeDocument/2006/relationships/hyperlink" Target="http://www.amazon.com/gp/browse.html/?node=5856180011" TargetMode="External"/><Relationship Id="rId4" Type="http://schemas.microsoft.com/office/2007/relationships/stylesWithEffects" Target="stylesWithEffects.xml"/><Relationship Id="rId9" Type="http://schemas.openxmlformats.org/officeDocument/2006/relationships/image" Target="media/image1.png"/><Relationship Id="rId14" Type="http://schemas.openxmlformats.org/officeDocument/2006/relationships/theme" Target="theme/theme1.xml"/></Relationships>
</file>

<file path=word/_rels/endnotes.xml.rels><?xml version="1.0" encoding="UTF-8" standalone="yes"?>
<Relationships xmlns="http://schemas.openxmlformats.org/package/2006/relationships"><Relationship Id="rId26" Type="http://schemas.openxmlformats.org/officeDocument/2006/relationships/hyperlink" Target="http://www.atkearney.com/paper/-/asset_publisher/dVxv4Hz2h8bS/content/understanding-the-needs-and-consequences-of-the-ageing-consumer/10192" TargetMode="External"/><Relationship Id="rId117" Type="http://schemas.openxmlformats.org/officeDocument/2006/relationships/hyperlink" Target="http://www.atkearney.com/paper/-/asset_publisher/dVxv4Hz2h8bS/content/understanding-the-needs-and-consequences-of-the-ageing-consumer/10192" TargetMode="External"/><Relationship Id="rId21" Type="http://schemas.openxmlformats.org/officeDocument/2006/relationships/hyperlink" Target="http://www.hospitalitynet.org/news/4051202.html" TargetMode="External"/><Relationship Id="rId42" Type="http://schemas.openxmlformats.org/officeDocument/2006/relationships/hyperlink" Target="http://www.bloomberg.com/infographics/2013-09-17/preparing-for-the-mature-consumer-boom.html" TargetMode="External"/><Relationship Id="rId47" Type="http://schemas.openxmlformats.org/officeDocument/2006/relationships/hyperlink" Target="http://www.retailleader.com/article-coming_of_age-6646-part3.html" TargetMode="External"/><Relationship Id="rId63" Type="http://schemas.openxmlformats.org/officeDocument/2006/relationships/hyperlink" Target="http://www.bloomberg.com/news/2013-09-17/aging-boomers-befuddle-marketers-eying-15-trillion-prize.html?cmpid" TargetMode="External"/><Relationship Id="rId68" Type="http://schemas.openxmlformats.org/officeDocument/2006/relationships/hyperlink" Target="http://www.iqpc.com/GetDownload.aspx?EventID=20634.001&amp;content_url=%2fuploadedFiles%2fEventRedesign%2fAustralia%2f2011%2fOctober%2f20634001%2fAssets%2fBaby_Boomer_Analytics_Paper.pdf" TargetMode="External"/><Relationship Id="rId84" Type="http://schemas.openxmlformats.org/officeDocument/2006/relationships/hyperlink" Target="http://www.iqpc.com/GetDownload.aspx?EventID=20634.001&amp;content_url=%2fuploadedFiles%2fEventRedesign%2fAustralia%2f2011%2fOctober%2f20634001%2fAssets%2fArticle_How_to_Market_to_an_Aging_Boomer.pdf" TargetMode="External"/><Relationship Id="rId89" Type="http://schemas.openxmlformats.org/officeDocument/2006/relationships/hyperlink" Target="http://www.iqpc.com/GetDownload.aspx?EventID=20634.001&amp;content_url=%2fuploadedFiles%2fEventRedesign%2fAustralia%2f2011%2fOctober%2f20634001%2fAssets%2fBaby_Boomer_Analytics_Paper.pdf" TargetMode="External"/><Relationship Id="rId112" Type="http://schemas.openxmlformats.org/officeDocument/2006/relationships/hyperlink" Target="http://www.retailleader.com/article-coming_of_age-6646-part2.html" TargetMode="External"/><Relationship Id="rId16" Type="http://schemas.openxmlformats.org/officeDocument/2006/relationships/hyperlink" Target="http://www.bloomberg.com/news/2013-09-17/aging-boomers-befuddle-marketers-eying-15-trillion-prize.html?cmpid" TargetMode="External"/><Relationship Id="rId107" Type="http://schemas.openxmlformats.org/officeDocument/2006/relationships/hyperlink" Target="http://www.iqpc.com/GetDownload.aspx?EventID=20634.001&amp;content_url=%2fuploadedFiles%2fEventRedesign%2fAustralia%2f2011%2fOctober%2f20634001%2fAssets%2fArticle_How_to_Market_to_an_Aging_Boomer.pdf" TargetMode="External"/><Relationship Id="rId11" Type="http://schemas.openxmlformats.org/officeDocument/2006/relationships/hyperlink" Target="http://www.atkearney.com/paper/-/asset_publisher/dVxv4Hz2h8bS/content/understanding-the-needs-and-consequences-of-the-ageing-consumer/10192" TargetMode="External"/><Relationship Id="rId24" Type="http://schemas.openxmlformats.org/officeDocument/2006/relationships/hyperlink" Target="http://mi9.com.au/blog.aspx?blogentryid=1101760&amp;showcomments=true" TargetMode="External"/><Relationship Id="rId32" Type="http://schemas.openxmlformats.org/officeDocument/2006/relationships/hyperlink" Target="http://www.atkearney.com/paper/-/asset_publisher/dVxv4Hz2h8bS/content/understanding-the-needs-and-consequences-of-the-ageing-consumer/10192" TargetMode="External"/><Relationship Id="rId37" Type="http://schemas.openxmlformats.org/officeDocument/2006/relationships/hyperlink" Target="http://mi9.com.au/blog.aspx?blogentryid=1101760&amp;showcomments=true" TargetMode="External"/><Relationship Id="rId40" Type="http://schemas.openxmlformats.org/officeDocument/2006/relationships/hyperlink" Target="http://www.retailleader.com/article-coming_of_age-6646-part3.html" TargetMode="External"/><Relationship Id="rId45" Type="http://schemas.openxmlformats.org/officeDocument/2006/relationships/hyperlink" Target="http://www.retailleader.com/article-coming_of_age-6646-part1.html" TargetMode="External"/><Relationship Id="rId53" Type="http://schemas.openxmlformats.org/officeDocument/2006/relationships/hyperlink" Target="http://goo.gl/V0q8Pt" TargetMode="External"/><Relationship Id="rId58" Type="http://schemas.openxmlformats.org/officeDocument/2006/relationships/hyperlink" Target="http://www.atkearney.com/paper/-/asset_publisher/dVxv4Hz2h8bS/content/understanding-the-needs-and-consequences-of-the-ageing-consumer/10192" TargetMode="External"/><Relationship Id="rId66" Type="http://schemas.openxmlformats.org/officeDocument/2006/relationships/hyperlink" Target="http://www.bloomberg.com/news/2013-09-17/aging-boomers-befuddle-marketers-eying-15-trillion-prize.html?cmpid" TargetMode="External"/><Relationship Id="rId74" Type="http://schemas.openxmlformats.org/officeDocument/2006/relationships/hyperlink" Target="http://www.iqpc.com/GetDownload.aspx?EventID=20634.001&amp;content_url=%2fuploadedFiles%2fEventRedesign%2fAustralia%2f2011%2fOctober%2f20634001%2fAssets%2fArticle_How_to_Market_to_an_Aging_Boomer.pdf" TargetMode="External"/><Relationship Id="rId79" Type="http://schemas.openxmlformats.org/officeDocument/2006/relationships/hyperlink" Target="http://www.bloomberg.com/news/2013-09-17/aging-boomers-befuddle-marketers-eying-15-trillion-prize.html?cmpid" TargetMode="External"/><Relationship Id="rId87" Type="http://schemas.openxmlformats.org/officeDocument/2006/relationships/hyperlink" Target="http://www.bloomberg.com/news/2013-09-17/aging-boomers-befuddle-marketers-eying-15-trillion-prize.html?cmpid" TargetMode="External"/><Relationship Id="rId102" Type="http://schemas.openxmlformats.org/officeDocument/2006/relationships/hyperlink" Target="http://www.iqpc.com/GetDownload.aspx?EventID=20634.001&amp;content_url=%2fuploadedFiles%2fEventRedesign%2fAustralia%2f2011%2fOctober%2f20634001%2fAssets%2fArticle_How_to_Market_to_an_Aging_Boomer.pdf" TargetMode="External"/><Relationship Id="rId110" Type="http://schemas.openxmlformats.org/officeDocument/2006/relationships/hyperlink" Target="http://www.iqpc.com/GetDownload.aspx?EventID=20634.001&amp;content_url=%2fuploadedFiles%2fEventRedesign%2fAustralia%2f2011%2fOctober%2f20634001%2fAssets%2fArticle_How_to_Market_to_an_Aging_Boomer.pdf" TargetMode="External"/><Relationship Id="rId115" Type="http://schemas.openxmlformats.org/officeDocument/2006/relationships/hyperlink" Target="http://www.iqpc.com/GetDownload.aspx?EventID=20634.001&amp;content_url=%2fuploadedFiles%2fEventRedesign%2fAustralia%2f2011%2fOctober%2f20634001%2fAssets%2fArticle_How_to_Market_to_an_Aging_Boomer.pdf" TargetMode="External"/><Relationship Id="rId5" Type="http://schemas.openxmlformats.org/officeDocument/2006/relationships/hyperlink" Target="http://www.iqpc.com/GetDownload.aspx?EventID=20634.001&amp;content_url=%2fuploadedFiles%2fEventRedesign%2fAustralia%2f2011%2fOctober%2f20634001%2fAssets%2fBaby-Boomers-Infographic_v1(1).pdf" TargetMode="External"/><Relationship Id="rId61" Type="http://schemas.openxmlformats.org/officeDocument/2006/relationships/hyperlink" Target="http://www.iqpc.com/GetDownload.aspx?EventID=20634.001&amp;content_url=%2fuploadedFiles%2fEventRedesign%2fAustralia%2f2011%2fOctober%2f20634001%2fAssets%2fBaby_Boomer_Analytics_Paper.pdf" TargetMode="External"/><Relationship Id="rId82" Type="http://schemas.openxmlformats.org/officeDocument/2006/relationships/hyperlink" Target="http://www.iqpc.com/GetDownload.aspx?EventID=20634.001&amp;content_url=%2fuploadedFiles%2fEventRedesign%2fAustralia%2f2011%2fOctober%2f20634001%2fAssets%2fArticle_How_to_Market_to_an_Aging_Boomer.pdf" TargetMode="External"/><Relationship Id="rId90" Type="http://schemas.openxmlformats.org/officeDocument/2006/relationships/hyperlink" Target="http://www.iqpc.com/GetDownload.aspx?EventID=20634.001&amp;content_url=%2fuploadedFiles%2fEventRedesign%2fAustralia%2f2011%2fOctober%2f20634001%2fAssets%2fArticle_How_to_Market_to_an_Aging_Boomer.pdf" TargetMode="External"/><Relationship Id="rId95" Type="http://schemas.openxmlformats.org/officeDocument/2006/relationships/hyperlink" Target="http://www.atkearney.com/paper/-/asset_publisher/dVxv4Hz2h8bS/content/understanding-the-needs-and-consequences-of-the-ageing-consumer/10192" TargetMode="External"/><Relationship Id="rId19" Type="http://schemas.openxmlformats.org/officeDocument/2006/relationships/hyperlink" Target="http://www.iqpc.com/GetDownload.aspx?EventID=20634.001&amp;content_url=%2fuploadedFiles%2fEventRedesign%2fAustralia%2f2011%2fOctober%2f20634001%2fAssets%2fArticle_How_to_Market_to_an_Aging_Boomer.pdf" TargetMode="External"/><Relationship Id="rId14" Type="http://schemas.openxmlformats.org/officeDocument/2006/relationships/hyperlink" Target="http://www.atkearney.com/paper/-/asset_publisher/dVxv4Hz2h8bS/content/understanding-the-needs-and-consequences-of-the-ageing-consumer/10192" TargetMode="External"/><Relationship Id="rId22" Type="http://schemas.openxmlformats.org/officeDocument/2006/relationships/hyperlink" Target="http://mi9.com.au/blog.aspx?blogentryid=1101760&amp;showcomments=true" TargetMode="External"/><Relationship Id="rId27" Type="http://schemas.openxmlformats.org/officeDocument/2006/relationships/hyperlink" Target="http://www.if.org.uk/wp-content/uploads/2013/01/Spending-Power-Across-the-Generations-Report.pdf" TargetMode="External"/><Relationship Id="rId30" Type="http://schemas.openxmlformats.org/officeDocument/2006/relationships/hyperlink" Target="http://www.atkearney.com/paper/-/asset_publisher/dVxv4Hz2h8bS/content/understanding-the-needs-and-consequences-of-the-ageing-consumer/10192" TargetMode="External"/><Relationship Id="rId35" Type="http://schemas.openxmlformats.org/officeDocument/2006/relationships/hyperlink" Target="http://mi9.com.au/blog.aspx?blogentryid=1101760&amp;showcomments=true" TargetMode="External"/><Relationship Id="rId43" Type="http://schemas.openxmlformats.org/officeDocument/2006/relationships/hyperlink" Target="http://www.atkearney.com/paper/-/asset_publisher/dVxv4Hz2h8bS/content/understanding-the-needs-and-consequences-of-the-ageing-consumer/10192" TargetMode="External"/><Relationship Id="rId48" Type="http://schemas.openxmlformats.org/officeDocument/2006/relationships/hyperlink" Target="http://www.iqpc.com/Event.aspx?id=587816" TargetMode="External"/><Relationship Id="rId56" Type="http://schemas.openxmlformats.org/officeDocument/2006/relationships/hyperlink" Target="http://www.atkearney.com/paper/-/asset_publisher/dVxv4Hz2h8bS/content/understanding-the-needs-and-consequences-of-the-ageing-consumer/10192" TargetMode="External"/><Relationship Id="rId64" Type="http://schemas.openxmlformats.org/officeDocument/2006/relationships/hyperlink" Target="http://www.bloomberg.com/news/2013-09-17/aging-boomers-befuddle-marketers-eying-15-trillion-prize.html?cmpid" TargetMode="External"/><Relationship Id="rId69" Type="http://schemas.openxmlformats.org/officeDocument/2006/relationships/hyperlink" Target="http://www.retailleader.com/article-coming_of_age-6646-part2.html" TargetMode="External"/><Relationship Id="rId77" Type="http://schemas.openxmlformats.org/officeDocument/2006/relationships/hyperlink" Target="http://worldofdtcmarketing.com/boomers-say-ads-not-very-appealing/focus-on-patients/" TargetMode="External"/><Relationship Id="rId100" Type="http://schemas.openxmlformats.org/officeDocument/2006/relationships/hyperlink" Target="http://www.retailleader.com/article-coming_of_age-6646-part2.html" TargetMode="External"/><Relationship Id="rId105" Type="http://schemas.openxmlformats.org/officeDocument/2006/relationships/hyperlink" Target="http://www.bloomberg.com/news/2013-09-17/aging-boomers-befuddle-marketers-eying-15-trillion-prize.html?cmpid" TargetMode="External"/><Relationship Id="rId113" Type="http://schemas.openxmlformats.org/officeDocument/2006/relationships/hyperlink" Target="http://www.retailleader.com/article-coming_of_age-6646-part2.html" TargetMode="External"/><Relationship Id="rId118" Type="http://schemas.openxmlformats.org/officeDocument/2006/relationships/hyperlink" Target="http://www.atkearney.com/paper/-/asset_publisher/dVxv4Hz2h8bS/content/understanding-the-needs-and-consequences-of-the-ageing-consumer/10192" TargetMode="External"/><Relationship Id="rId8" Type="http://schemas.openxmlformats.org/officeDocument/2006/relationships/hyperlink" Target="http://www.bloomberg.com/news/2013-09-17/aging-boomers-befuddle-marketers-eying-15-trillion-prize.html?cmpid" TargetMode="External"/><Relationship Id="rId51" Type="http://schemas.openxmlformats.org/officeDocument/2006/relationships/hyperlink" Target="http://goo.gl/V0q8Pt" TargetMode="External"/><Relationship Id="rId72" Type="http://schemas.openxmlformats.org/officeDocument/2006/relationships/hyperlink" Target="http://www.atkearney.com/paper/-/asset_publisher/dVxv4Hz2h8bS/content/understanding-the-needs-and-consequences-of-the-ageing-consumer/10192" TargetMode="External"/><Relationship Id="rId80" Type="http://schemas.openxmlformats.org/officeDocument/2006/relationships/hyperlink" Target="http://www.iqpc.com/GetDownload.aspx?EventID=20634.001&amp;content_url=%2fuploadedFiles%2fEventRedesign%2fAustralia%2f2011%2fOctober%2f20634001%2fAssets%2fBaby_Boomer_Analytics_Paper.pdf" TargetMode="External"/><Relationship Id="rId85" Type="http://schemas.openxmlformats.org/officeDocument/2006/relationships/hyperlink" Target="http://www.marketingdonut.co.uk/marketing/sales/marketing-to-older-customers" TargetMode="External"/><Relationship Id="rId93" Type="http://schemas.openxmlformats.org/officeDocument/2006/relationships/hyperlink" Target="http://www.iqpc.com/GetDownload.aspx?EventID=20634.001&amp;content_url=%2fuploadedFiles%2fEventRedesign%2fAustralia%2f2011%2fOctober%2f20634001%2fAssets%2fBaby_Boomer_Analytics_Paper.pdf" TargetMode="External"/><Relationship Id="rId98" Type="http://schemas.openxmlformats.org/officeDocument/2006/relationships/hyperlink" Target="http://www.iqpc.com/GetDownload.aspx?EventID=20634.001&amp;content_url=%2fuploadedFiles%2fEventRedesign%2fAustralia%2f2011%2fOctober%2f20634001%2fAssets%2fArticle_How_to_Market_to_an_Aging_Boomer.pdf" TargetMode="External"/><Relationship Id="rId3" Type="http://schemas.openxmlformats.org/officeDocument/2006/relationships/hyperlink" Target="http://www.yourlifechoices.com.au/news/why-marketers-get-it-wrong?utm_source=AgeWave%20Australia%20Newsletter&amp;utm_campaign=d77c01d9ae-AgeWave_Issue_6_15_08_2013&amp;utm_medium=email&amp;utm_term=0_967085f6a6-d77c01d9ae-415934905" TargetMode="External"/><Relationship Id="rId12" Type="http://schemas.openxmlformats.org/officeDocument/2006/relationships/hyperlink" Target="http://www.atkearney.com/paper/-/asset_publisher/dVxv4Hz2h8bS/content/understanding-the-needs-and-consequences-of-the-ageing-consumer/10192" TargetMode="External"/><Relationship Id="rId17" Type="http://schemas.openxmlformats.org/officeDocument/2006/relationships/hyperlink" Target="http://www.bloomberg.com/news/2013-09-17/aging-boomers-befuddle-marketers-eying-15-trillion-prize.html?cmpid" TargetMode="External"/><Relationship Id="rId25" Type="http://schemas.openxmlformats.org/officeDocument/2006/relationships/hyperlink" Target="http://www.if.org.uk/wp-content/uploads/2013/01/Spending-Power-Across-the-Generations-Report.pdf" TargetMode="External"/><Relationship Id="rId33" Type="http://schemas.openxmlformats.org/officeDocument/2006/relationships/hyperlink" Target="http://mi9.com.au/blog.aspx?blogentryid=1101760&amp;showcomments=true" TargetMode="External"/><Relationship Id="rId38" Type="http://schemas.openxmlformats.org/officeDocument/2006/relationships/hyperlink" Target="http://mi9.com.au/blog.aspx?blogentryid=1101760&amp;showcomments=true" TargetMode="External"/><Relationship Id="rId46" Type="http://schemas.openxmlformats.org/officeDocument/2006/relationships/hyperlink" Target="http://www.retailleader.com/article-coming_of_age-6646-part3.html" TargetMode="External"/><Relationship Id="rId59" Type="http://schemas.openxmlformats.org/officeDocument/2006/relationships/hyperlink" Target="http://www.iqpc.com/GetDownload.aspx?EventID=20634.001&amp;content_url=%2fuploadedFiles%2fEventRedesign%2fAustralia%2f2011%2fOctober%2f20634001%2fAssets%2fBaby_Boomer_Analytics_Paper.pdf" TargetMode="External"/><Relationship Id="rId67" Type="http://schemas.openxmlformats.org/officeDocument/2006/relationships/hyperlink" Target="http://www.bloomberg.com/news/2013-09-17/aging-boomers-befuddle-marketers-eying-15-trillion-prize.html?cmpid" TargetMode="External"/><Relationship Id="rId103" Type="http://schemas.openxmlformats.org/officeDocument/2006/relationships/hyperlink" Target="http://www.iqpc.com/GetDownload.aspx?EventID=20634.001&amp;content_url=%2fuploadedFiles%2fEventRedesign%2fAustralia%2f2011%2fOctober%2f20634001%2fAssets%2fArticle_How_to_Market_to_an_Aging_Boomer.pdf" TargetMode="External"/><Relationship Id="rId108" Type="http://schemas.openxmlformats.org/officeDocument/2006/relationships/hyperlink" Target="http://www.bloomberg.com/news/2013-09-17/aging-boomers-befuddle-marketers-eying-15-trillion-prize.html?cmpid" TargetMode="External"/><Relationship Id="rId116" Type="http://schemas.openxmlformats.org/officeDocument/2006/relationships/hyperlink" Target="http://www.atkearney.com/paper/-/asset_publisher/dVxv4Hz2h8bS/content/understanding-the-needs-and-consequences-of-the-ageing-consumer/10192" TargetMode="External"/><Relationship Id="rId20" Type="http://schemas.openxmlformats.org/officeDocument/2006/relationships/hyperlink" Target="http://www.iqpc.com/GetDownload.aspx?EventID=20634.001&amp;content_url=%2fuploadedFiles%2fEventRedesign%2fAustralia%2f2011%2fOctober%2f20634001%2fAssets%2fArticle_How_to_Market_to_an_Aging_Boomer.pdf" TargetMode="External"/><Relationship Id="rId41" Type="http://schemas.openxmlformats.org/officeDocument/2006/relationships/hyperlink" Target="http://www.iqpc.com/GetDownload.aspx?EventID=20634.001&amp;content_url=%2fuploadedFiles%2fEventRedesign%2fAustralia%2f2011%2fOctober%2f20634001%2fAssets%2fBaby_Boomer_Analytics_Paper.pdf" TargetMode="External"/><Relationship Id="rId54" Type="http://schemas.openxmlformats.org/officeDocument/2006/relationships/hyperlink" Target="http://goo.gl/V0q8Pt" TargetMode="External"/><Relationship Id="rId62" Type="http://schemas.openxmlformats.org/officeDocument/2006/relationships/hyperlink" Target="http://www.bloomberg.com/news/2013-09-17/aging-boomers-befuddle-marketers-eying-15-trillion-prize.html?cmpid" TargetMode="External"/><Relationship Id="rId70" Type="http://schemas.openxmlformats.org/officeDocument/2006/relationships/hyperlink" Target="http://www.abc.net.au/radionational/programs/lifematters/boomers-and-advertising/3803190" TargetMode="External"/><Relationship Id="rId75" Type="http://schemas.openxmlformats.org/officeDocument/2006/relationships/hyperlink" Target="http://www.iqpc.com/GetDownload.aspx?EventID=20634.001&amp;content_url=%2fuploadedFiles%2fEventRedesign%2fAustralia%2f2011%2fOctober%2f20634001%2fAssets%2fBaby_Boomer_Analytics_Paper.pdf" TargetMode="External"/><Relationship Id="rId83" Type="http://schemas.openxmlformats.org/officeDocument/2006/relationships/hyperlink" Target="http://www.iqpc.com/GetDownload.aspx?EventID=20634.001&amp;content_url=%2fuploadedFiles%2fEventRedesign%2fAustralia%2f2011%2fOctober%2f20634001%2fAssets%2fArticle_How_to_Market_to_an_Aging_Boomer.pdf" TargetMode="External"/><Relationship Id="rId88" Type="http://schemas.openxmlformats.org/officeDocument/2006/relationships/hyperlink" Target="http://www.iqpc.com/GetDownload.aspx?EventID=20634.001&amp;content_url=%2fuploadedFiles%2fEventRedesign%2fAustralia%2f2011%2fOctober%2f20634001%2fAssets%2fBaby_Boomer_Analytics_Paper.pdf" TargetMode="External"/><Relationship Id="rId91" Type="http://schemas.openxmlformats.org/officeDocument/2006/relationships/hyperlink" Target="http://www.iqpc.com/GetDownload.aspx?EventID=20634.001&amp;content_url=%2fuploadedFiles%2fEventRedesign%2fAustralia%2f2011%2fOctober%2f20634001%2fAssets%2fBaby_Boomer_Analytics_Paper.pdf" TargetMode="External"/><Relationship Id="rId96" Type="http://schemas.openxmlformats.org/officeDocument/2006/relationships/hyperlink" Target="http://www.abc.net.au/radionational/programs/lifematters/boomers-and-advertising/3803190" TargetMode="External"/><Relationship Id="rId111" Type="http://schemas.openxmlformats.org/officeDocument/2006/relationships/hyperlink" Target="http://www.iqpc.com/GetDownload.aspx?EventID=20634.001&amp;content_url=%2fuploadedFiles%2fEventRedesign%2fAustralia%2f2011%2fOctober%2f20634001%2fAssets%2fArticle_How_to_Market_to_an_Aging_Boomer.pdf" TargetMode="External"/><Relationship Id="rId1" Type="http://schemas.openxmlformats.org/officeDocument/2006/relationships/hyperlink" Target="http://mi9.com.au/blog.aspx?blogentryid=1101760&amp;showcomments=true" TargetMode="External"/><Relationship Id="rId6" Type="http://schemas.openxmlformats.org/officeDocument/2006/relationships/hyperlink" Target="http://www.atkearney.com/paper/-/asset_publisher/dVxv4Hz2h8bS/content/understanding-the-needs-and-consequences-of-the-ageing-consumer/10192" TargetMode="External"/><Relationship Id="rId15" Type="http://schemas.openxmlformats.org/officeDocument/2006/relationships/hyperlink" Target="http://www.iqpc.com/GetDownload.aspx?EventID=20634.001&amp;content_url=%2fuploadedFiles%2fEventRedesign%2fAustralia%2f2011%2fOctober%2f20634001%2fAssets%2fArticle_How_to_Market_to_an_Aging_Boomer.pdf" TargetMode="External"/><Relationship Id="rId23" Type="http://schemas.openxmlformats.org/officeDocument/2006/relationships/hyperlink" Target="http://www.ilcuk.org.uk/index.php/publications/publication_details/consumption_patterns_among_older_consumers_-_statistical_analysis" TargetMode="External"/><Relationship Id="rId28" Type="http://schemas.openxmlformats.org/officeDocument/2006/relationships/hyperlink" Target="http://www.bloomberg.com/infographics/2013-09-17/preparing-for-the-mature-consumer-boom.html" TargetMode="External"/><Relationship Id="rId36" Type="http://schemas.openxmlformats.org/officeDocument/2006/relationships/hyperlink" Target="http://www.iqpc.com/GetDownload.aspx?EventID=20634.001&amp;content_url=%2fuploadedFiles%2fEventRedesign%2fAustralia%2f2011%2fOctober%2f20634001%2fAssets%2fBaby-Boomers-Infographic_v1(1).pdf" TargetMode="External"/><Relationship Id="rId49" Type="http://schemas.openxmlformats.org/officeDocument/2006/relationships/hyperlink" Target="http://www.atkearney.com/paper/-/asset_publisher/dVxv4Hz2h8bS/content/understanding-the-needs-and-consequences-of-the-ageing-consumer/10192" TargetMode="External"/><Relationship Id="rId57" Type="http://schemas.openxmlformats.org/officeDocument/2006/relationships/hyperlink" Target="http://www.marketingdonut.co.uk/marketing/sales/marketing-to-older-customers" TargetMode="External"/><Relationship Id="rId106" Type="http://schemas.openxmlformats.org/officeDocument/2006/relationships/hyperlink" Target="http://www.bloomberg.com/news/2013-09-17/aging-boomers-befuddle-marketers-eying-15-trillion-prize.html?cmpid" TargetMode="External"/><Relationship Id="rId114" Type="http://schemas.openxmlformats.org/officeDocument/2006/relationships/hyperlink" Target="http://www.bloomberg.com/news/2013-09-17/aging-boomers-befuddle-marketers-eying-15-trillion-prize.html?cmpid" TargetMode="External"/><Relationship Id="rId10" Type="http://schemas.openxmlformats.org/officeDocument/2006/relationships/hyperlink" Target="http://www.iqpc.com/GetDownload.aspx?EventID=20634.001&amp;content_url=%2fuploadedFiles%2fEventRedesign%2fAustralia%2f2011%2fOctober%2f20634001%2fAssets%2fArticle_How_to_Market_to_an_Aging_Boomer.pdf" TargetMode="External"/><Relationship Id="rId31" Type="http://schemas.openxmlformats.org/officeDocument/2006/relationships/hyperlink" Target="http://www.atkearney.com/paper/-/asset_publisher/dVxv4Hz2h8bS/content/understanding-the-needs-and-consequences-of-the-ageing-consumer/10192" TargetMode="External"/><Relationship Id="rId44" Type="http://schemas.openxmlformats.org/officeDocument/2006/relationships/hyperlink" Target="http://www.retailleader.com/article-coming_of_age-6646-part1.html" TargetMode="External"/><Relationship Id="rId52" Type="http://schemas.openxmlformats.org/officeDocument/2006/relationships/hyperlink" Target="http://www.bloomberg.com/news/2013-09-17/aging-boomers-befuddle-marketers-eying-15-trillion-prize.html?cmpid" TargetMode="External"/><Relationship Id="rId60" Type="http://schemas.openxmlformats.org/officeDocument/2006/relationships/hyperlink" Target="http://www.retailleader.com/article-coming_of_age-6646-part2.html" TargetMode="External"/><Relationship Id="rId65" Type="http://schemas.openxmlformats.org/officeDocument/2006/relationships/hyperlink" Target="http://www.bloomberg.com/news/2013-09-17/aging-boomers-befuddle-marketers-eying-15-trillion-prize.html?cmpid" TargetMode="External"/><Relationship Id="rId73" Type="http://schemas.openxmlformats.org/officeDocument/2006/relationships/hyperlink" Target="http://www.iqpc.com/GetDownload.aspx?EventID=20634.001&amp;content_url=%2fuploadedFiles%2fEventRedesign%2fAustralia%2f2011%2fOctober%2f20634001%2fAssets%2fBaby_Boomer_Analytics_Paper.pdf" TargetMode="External"/><Relationship Id="rId78" Type="http://schemas.openxmlformats.org/officeDocument/2006/relationships/hyperlink" Target="http://www.atkearney.com/paper/-/asset_publisher/dVxv4Hz2h8bS/content/understanding-the-needs-and-consequences-of-the-ageing-consumer/10192" TargetMode="External"/><Relationship Id="rId81" Type="http://schemas.openxmlformats.org/officeDocument/2006/relationships/hyperlink" Target="http://www.iqpc.com/GetDownload.aspx?EventID=20634.001&amp;content_url=%2fuploadedFiles%2fEventRedesign%2fAustralia%2f2011%2fOctober%2f20634001%2fAssets%2fBaby_Boomer_Analytics_Paper.pdf" TargetMode="External"/><Relationship Id="rId86" Type="http://schemas.openxmlformats.org/officeDocument/2006/relationships/hyperlink" Target="http://www.marketingdonut.co.uk/marketing/sales/marketing-to-older-customers" TargetMode="External"/><Relationship Id="rId94" Type="http://schemas.openxmlformats.org/officeDocument/2006/relationships/hyperlink" Target="http://www.atkearney.com/paper/-/asset_publisher/dVxv4Hz2h8bS/content/understanding-the-needs-and-consequences-of-the-ageing-consumer/10192" TargetMode="External"/><Relationship Id="rId99" Type="http://schemas.openxmlformats.org/officeDocument/2006/relationships/hyperlink" Target="http://www.atkearney.com/paper/-/asset_publisher/dVxv4Hz2h8bS/content/understanding-the-needs-and-consequences-of-the-ageing-consumer/10192" TargetMode="External"/><Relationship Id="rId101" Type="http://schemas.openxmlformats.org/officeDocument/2006/relationships/hyperlink" Target="http://www.atkearney.com/paper/-/asset_publisher/dVxv4Hz2h8bS/content/understanding-the-needs-and-consequences-of-the-ageing-consumer/10192" TargetMode="External"/><Relationship Id="rId4" Type="http://schemas.openxmlformats.org/officeDocument/2006/relationships/hyperlink" Target="http://www.iqpc.com/GetDownload.aspx?EventID=20634.001&amp;content_url=%2fuploadedFiles%2fEventRedesign%2fAustralia%2f2011%2fOctober%2f20634001%2fAssets%2fBaby_Boomer_Analytics_Paper.pdf" TargetMode="External"/><Relationship Id="rId9" Type="http://schemas.openxmlformats.org/officeDocument/2006/relationships/hyperlink" Target="http://www.atkearney.com/paper/-/asset_publisher/dVxv4Hz2h8bS/content/understanding-the-needs-and-consequences-of-the-ageing-consumer/10192" TargetMode="External"/><Relationship Id="rId13" Type="http://schemas.openxmlformats.org/officeDocument/2006/relationships/hyperlink" Target="http://www.atkearney.com/paper/-/asset_publisher/dVxv4Hz2h8bS/content/understanding-the-needs-and-consequences-of-the-ageing-consumer/10192" TargetMode="External"/><Relationship Id="rId18" Type="http://schemas.openxmlformats.org/officeDocument/2006/relationships/hyperlink" Target="http://www.iqpc.com/GetDownload.aspx?EventID=20634.001&amp;content_url=%2fuploadedFiles%2fEventRedesign%2fAustralia%2f2011%2fOctober%2f20634001%2fAssets%2fBaby_Boomer_Analytics_Paper.pdf" TargetMode="External"/><Relationship Id="rId39" Type="http://schemas.openxmlformats.org/officeDocument/2006/relationships/hyperlink" Target="http://mi9.com.au/blog.aspx?blogentryid=1101760&amp;showcomments=true" TargetMode="External"/><Relationship Id="rId109" Type="http://schemas.openxmlformats.org/officeDocument/2006/relationships/hyperlink" Target="http://www.iqpc.com/GetDownload.aspx?EventID=20634.001&amp;content_url=%2fuploadedFiles%2fEventRedesign%2fAustralia%2f2011%2fOctober%2f20634001%2fAssets%2fArticle_How_to_Market_to_an_Aging_Boomer.pdf" TargetMode="External"/><Relationship Id="rId34" Type="http://schemas.openxmlformats.org/officeDocument/2006/relationships/hyperlink" Target="http://www.iqpc.com/GetDownload.aspx?EventID=20634.001&amp;content_url=%2fuploadedFiles%2fEventRedesign%2fAustralia%2f2011%2fOctober%2f20634001%2fAssets%2fBaby_Boomer_Analytics_Paper.pdf" TargetMode="External"/><Relationship Id="rId50" Type="http://schemas.openxmlformats.org/officeDocument/2006/relationships/hyperlink" Target="http://www.bloomberg.com/news/2013-09-17/aging-boomers-befuddle-marketers-eying-15-trillion-prize.html?cmpid" TargetMode="External"/><Relationship Id="rId55" Type="http://schemas.openxmlformats.org/officeDocument/2006/relationships/hyperlink" Target="http://www.bloomberg.com/news/2013-09-17/aging-boomers-befuddle-marketers-eying-15-trillion-prize.html?cmpid" TargetMode="External"/><Relationship Id="rId76" Type="http://schemas.openxmlformats.org/officeDocument/2006/relationships/hyperlink" Target="http://worldofdtcmarketing.com/boomers-say-ads-not-very-appealing/focus-on-patients/" TargetMode="External"/><Relationship Id="rId97" Type="http://schemas.openxmlformats.org/officeDocument/2006/relationships/hyperlink" Target="http://www.iqpc.com/GetDownload.aspx?EventID=20634.001&amp;content_url=%2fuploadedFiles%2fEventRedesign%2fAustralia%2f2011%2fOctober%2f20634001%2fAssets%2fArticle_How_to_Market_to_an_Aging_Boomer.pdf" TargetMode="External"/><Relationship Id="rId104" Type="http://schemas.openxmlformats.org/officeDocument/2006/relationships/hyperlink" Target="http://www.atkearney.com/paper/-/asset_publisher/dVxv4Hz2h8bS/content/understanding-the-needs-and-consequences-of-the-ageing-consumer/10192" TargetMode="External"/><Relationship Id="rId7" Type="http://schemas.openxmlformats.org/officeDocument/2006/relationships/hyperlink" Target="http://www.bloomberg.com/news/2013-09-17/aging-boomers-befuddle-marketers-eying-15-trillion-prize.html?cmpid" TargetMode="External"/><Relationship Id="rId71" Type="http://schemas.openxmlformats.org/officeDocument/2006/relationships/hyperlink" Target="http://www.abc.net.au/radionational/programs/lifematters/boomers-and-advertising/3803190" TargetMode="External"/><Relationship Id="rId92" Type="http://schemas.openxmlformats.org/officeDocument/2006/relationships/hyperlink" Target="http://www.iqpc.com/GetDownload.aspx?EventID=20634.001&amp;content_url=%2fuploadedFiles%2fEventRedesign%2fAustralia%2f2011%2fOctober%2f20634001%2fAssets%2fArticle_How_to_Market_to_an_Aging_Boomer.pdf" TargetMode="External"/><Relationship Id="rId2" Type="http://schemas.openxmlformats.org/officeDocument/2006/relationships/hyperlink" Target="http://mi9.com.au/blog.aspx?blogentryid=1101760&amp;showcomments=true" TargetMode="External"/><Relationship Id="rId29" Type="http://schemas.openxmlformats.org/officeDocument/2006/relationships/hyperlink" Target="http://www.atkearney.com/paper/-/asset_publisher/dVxv4Hz2h8bS/content/understanding-the-needs-and-consequences-of-the-ageing-consumer/10192"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95A6D889-510A-40A9-9A1D-B2432FD8B10E}">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3</TotalTime>
  <Pages>21</Pages>
  <Words>4619</Words>
  <Characters>24404</Characters>
  <Application>Microsoft Office Word</Application>
  <DocSecurity>0</DocSecurity>
  <Lines>203</Lines>
  <Paragraphs>57</Paragraphs>
  <ScaleCrop>false</ScaleCrop>
  <HeadingPairs>
    <vt:vector size="2" baseType="variant">
      <vt:variant>
        <vt:lpstr>Title</vt:lpstr>
      </vt:variant>
      <vt:variant>
        <vt:i4>1</vt:i4>
      </vt:variant>
    </vt:vector>
  </HeadingPairs>
  <TitlesOfParts>
    <vt:vector size="1" baseType="lpstr">
      <vt:lpstr>1</vt:lpstr>
    </vt:vector>
  </TitlesOfParts>
  <Company>Australian Human Rights Commission</Company>
  <LinksUpToDate>false</LinksUpToDate>
  <CharactersWithSpaces>28966</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1</dc:title>
  <dc:creator>Lucien Tan</dc:creator>
  <cp:lastModifiedBy>Dimity Hodge</cp:lastModifiedBy>
  <cp:revision>4</cp:revision>
  <dcterms:created xsi:type="dcterms:W3CDTF">2014-04-01T01:57:00Z</dcterms:created>
  <dcterms:modified xsi:type="dcterms:W3CDTF">2014-04-01T02:01:00Z</dcterms:modified>
</cp:coreProperties>
</file>