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5382"/>
        <w:gridCol w:w="5953"/>
        <w:gridCol w:w="3225"/>
      </w:tblGrid>
      <w:tr w:rsidR="0013252A" w:rsidTr="00E9424A">
        <w:trPr>
          <w:trHeight w:val="276"/>
        </w:trPr>
        <w:tc>
          <w:tcPr>
            <w:tcW w:w="14560" w:type="dxa"/>
            <w:gridSpan w:val="3"/>
            <w:shd w:val="clear" w:color="auto" w:fill="C6D9F1" w:themeFill="text2" w:themeFillTint="33"/>
          </w:tcPr>
          <w:p w:rsidR="0013252A" w:rsidRPr="0013252A" w:rsidRDefault="0013252A" w:rsidP="0013252A">
            <w:pPr>
              <w:spacing w:before="0" w:after="0"/>
              <w:rPr>
                <w:b/>
              </w:rPr>
            </w:pPr>
            <w:r>
              <w:rPr>
                <w:b/>
              </w:rPr>
              <w:t xml:space="preserve">University name: </w:t>
            </w:r>
            <w:r w:rsidR="00E7161C">
              <w:rPr>
                <w:b/>
              </w:rPr>
              <w:t>University of Technology Sydney</w:t>
            </w:r>
          </w:p>
        </w:tc>
      </w:tr>
      <w:tr w:rsidR="0013252A" w:rsidTr="00E9424A">
        <w:trPr>
          <w:trHeight w:val="276"/>
        </w:trPr>
        <w:tc>
          <w:tcPr>
            <w:tcW w:w="5382" w:type="dxa"/>
            <w:shd w:val="clear" w:color="auto" w:fill="D9D9D9" w:themeFill="background1" w:themeFillShade="D9"/>
          </w:tcPr>
          <w:p w:rsidR="0013252A" w:rsidRPr="0013252A" w:rsidRDefault="0013252A" w:rsidP="0013252A">
            <w:pPr>
              <w:spacing w:before="0" w:after="0"/>
              <w:jc w:val="center"/>
              <w:rPr>
                <w:b/>
              </w:rPr>
            </w:pPr>
            <w:r w:rsidRPr="0013252A">
              <w:rPr>
                <w:b/>
              </w:rPr>
              <w:t>Recommendation</w:t>
            </w:r>
            <w:r>
              <w:rPr>
                <w:b/>
              </w:rPr>
              <w:t xml:space="preserve"> no.</w:t>
            </w:r>
          </w:p>
        </w:tc>
        <w:tc>
          <w:tcPr>
            <w:tcW w:w="5953" w:type="dxa"/>
            <w:shd w:val="clear" w:color="auto" w:fill="D9D9D9" w:themeFill="background1" w:themeFillShade="D9"/>
          </w:tcPr>
          <w:p w:rsidR="0013252A" w:rsidRDefault="0013252A" w:rsidP="0013252A">
            <w:pPr>
              <w:spacing w:before="0" w:after="0"/>
              <w:jc w:val="center"/>
              <w:rPr>
                <w:b/>
              </w:rPr>
            </w:pPr>
            <w:r>
              <w:rPr>
                <w:b/>
              </w:rPr>
              <w:t>Action already taken</w:t>
            </w:r>
          </w:p>
        </w:tc>
        <w:tc>
          <w:tcPr>
            <w:tcW w:w="3225" w:type="dxa"/>
            <w:shd w:val="clear" w:color="auto" w:fill="D9D9D9" w:themeFill="background1" w:themeFillShade="D9"/>
          </w:tcPr>
          <w:p w:rsidR="0013252A" w:rsidRDefault="0013252A" w:rsidP="0013252A">
            <w:pPr>
              <w:spacing w:before="0" w:after="0"/>
              <w:jc w:val="center"/>
              <w:rPr>
                <w:b/>
              </w:rPr>
            </w:pPr>
            <w:r>
              <w:rPr>
                <w:b/>
              </w:rPr>
              <w:t>Planned/future action</w:t>
            </w:r>
          </w:p>
        </w:tc>
      </w:tr>
      <w:tr w:rsidR="0013252A" w:rsidTr="00E9424A">
        <w:trPr>
          <w:trHeight w:val="276"/>
        </w:trPr>
        <w:tc>
          <w:tcPr>
            <w:tcW w:w="5382" w:type="dxa"/>
          </w:tcPr>
          <w:p w:rsidR="004F6735" w:rsidRDefault="0013252A" w:rsidP="004F6735">
            <w:pPr>
              <w:spacing w:before="0" w:after="0"/>
              <w:jc w:val="center"/>
            </w:pPr>
            <w:r>
              <w:t>1</w:t>
            </w:r>
          </w:p>
          <w:p w:rsidR="00E7161C" w:rsidRDefault="00E7161C" w:rsidP="004F6735">
            <w:pPr>
              <w:spacing w:before="0" w:after="0"/>
            </w:pPr>
            <w:r>
              <w:rPr>
                <w:color w:val="231F20"/>
              </w:rPr>
              <w:t>Vice-Chancellors should take direct responsibility for the implementation of these recommendations, including decision-making and monitoring and evaluation of actions taken.</w:t>
            </w:r>
          </w:p>
          <w:p w:rsidR="00C2494B" w:rsidRDefault="004F6735" w:rsidP="00C2494B">
            <w:pPr>
              <w:spacing w:before="0" w:after="0"/>
              <w:rPr>
                <w:color w:val="231F20"/>
              </w:rPr>
            </w:pPr>
            <w:r>
              <w:rPr>
                <w:color w:val="231F20"/>
              </w:rPr>
              <w:br/>
            </w:r>
            <w:r w:rsidR="00E7161C">
              <w:rPr>
                <w:color w:val="231F20"/>
              </w:rPr>
              <w:t>To assist and advise them in this respect, Vice-Chancellors should have an advisory body within their institution which has responsibility for guiding the implementation of the recommendations made in this report.</w:t>
            </w:r>
          </w:p>
          <w:p w:rsidR="00C2494B" w:rsidRDefault="00C2494B" w:rsidP="00C2494B">
            <w:pPr>
              <w:spacing w:before="0" w:after="0"/>
              <w:rPr>
                <w:color w:val="231F20"/>
              </w:rPr>
            </w:pPr>
          </w:p>
          <w:p w:rsidR="007D006C" w:rsidRDefault="00E7161C" w:rsidP="00C2494B">
            <w:pPr>
              <w:spacing w:before="0" w:after="0"/>
              <w:rPr>
                <w:color w:val="231F20"/>
              </w:rPr>
            </w:pPr>
            <w:r>
              <w:rPr>
                <w:color w:val="231F20"/>
              </w:rPr>
              <w:t>The advisory body should report directly to the Vice-Chancellor of each university and include representatives from:</w:t>
            </w:r>
          </w:p>
          <w:p w:rsidR="007D006C" w:rsidRDefault="007D006C" w:rsidP="007D006C">
            <w:pPr>
              <w:pStyle w:val="TableParagraph"/>
              <w:tabs>
                <w:tab w:val="left" w:pos="903"/>
              </w:tabs>
              <w:spacing w:before="12"/>
              <w:rPr>
                <w:color w:val="231F20"/>
                <w:sz w:val="24"/>
              </w:rPr>
            </w:pPr>
          </w:p>
          <w:p w:rsidR="007D006C" w:rsidRDefault="00E7161C" w:rsidP="003816F7">
            <w:pPr>
              <w:pStyle w:val="TableParagraph"/>
              <w:numPr>
                <w:ilvl w:val="0"/>
                <w:numId w:val="20"/>
              </w:numPr>
              <w:tabs>
                <w:tab w:val="left" w:pos="903"/>
              </w:tabs>
              <w:spacing w:before="12"/>
              <w:rPr>
                <w:color w:val="231F20"/>
                <w:sz w:val="24"/>
              </w:rPr>
            </w:pPr>
            <w:r>
              <w:rPr>
                <w:color w:val="231F20"/>
                <w:sz w:val="24"/>
              </w:rPr>
              <w:t>the university’s senior</w:t>
            </w:r>
            <w:r w:rsidRPr="007D006C">
              <w:rPr>
                <w:color w:val="231F20"/>
                <w:sz w:val="24"/>
              </w:rPr>
              <w:t xml:space="preserve"> </w:t>
            </w:r>
            <w:r>
              <w:rPr>
                <w:color w:val="231F20"/>
                <w:sz w:val="24"/>
              </w:rPr>
              <w:t>leadership</w:t>
            </w:r>
          </w:p>
          <w:p w:rsidR="007D006C" w:rsidRDefault="00E7161C" w:rsidP="003816F7">
            <w:pPr>
              <w:pStyle w:val="TableParagraph"/>
              <w:numPr>
                <w:ilvl w:val="0"/>
                <w:numId w:val="20"/>
              </w:numPr>
              <w:tabs>
                <w:tab w:val="left" w:pos="903"/>
              </w:tabs>
              <w:spacing w:before="12"/>
              <w:rPr>
                <w:sz w:val="24"/>
              </w:rPr>
            </w:pPr>
            <w:r>
              <w:rPr>
                <w:color w:val="231F20"/>
                <w:sz w:val="24"/>
              </w:rPr>
              <w:t>the student</w:t>
            </w:r>
            <w:r>
              <w:rPr>
                <w:color w:val="231F20"/>
                <w:spacing w:val="-4"/>
                <w:sz w:val="24"/>
              </w:rPr>
              <w:t xml:space="preserve"> </w:t>
            </w:r>
            <w:r>
              <w:rPr>
                <w:color w:val="231F20"/>
                <w:sz w:val="24"/>
              </w:rPr>
              <w:t>body</w:t>
            </w:r>
          </w:p>
          <w:p w:rsidR="007D006C" w:rsidRDefault="00E7161C" w:rsidP="003816F7">
            <w:pPr>
              <w:pStyle w:val="TableParagraph"/>
              <w:numPr>
                <w:ilvl w:val="0"/>
                <w:numId w:val="20"/>
              </w:numPr>
              <w:tabs>
                <w:tab w:val="left" w:pos="903"/>
              </w:tabs>
              <w:spacing w:before="12"/>
              <w:rPr>
                <w:sz w:val="24"/>
              </w:rPr>
            </w:pPr>
            <w:r>
              <w:rPr>
                <w:color w:val="231F20"/>
                <w:sz w:val="24"/>
              </w:rPr>
              <w:t>academic</w:t>
            </w:r>
            <w:r>
              <w:rPr>
                <w:color w:val="231F20"/>
                <w:spacing w:val="-13"/>
                <w:sz w:val="24"/>
              </w:rPr>
              <w:t xml:space="preserve"> </w:t>
            </w:r>
            <w:r>
              <w:rPr>
                <w:color w:val="231F20"/>
                <w:sz w:val="24"/>
              </w:rPr>
              <w:t>staff</w:t>
            </w:r>
          </w:p>
          <w:p w:rsidR="007D006C" w:rsidRDefault="00E7161C" w:rsidP="003816F7">
            <w:pPr>
              <w:pStyle w:val="TableParagraph"/>
              <w:numPr>
                <w:ilvl w:val="0"/>
                <w:numId w:val="20"/>
              </w:numPr>
              <w:tabs>
                <w:tab w:val="left" w:pos="903"/>
              </w:tabs>
              <w:spacing w:before="12"/>
              <w:rPr>
                <w:sz w:val="24"/>
              </w:rPr>
            </w:pPr>
            <w:r>
              <w:rPr>
                <w:color w:val="231F20"/>
                <w:sz w:val="24"/>
              </w:rPr>
              <w:t>residential colleges affiliated with the</w:t>
            </w:r>
            <w:r>
              <w:rPr>
                <w:color w:val="231F20"/>
                <w:spacing w:val="-34"/>
                <w:sz w:val="24"/>
              </w:rPr>
              <w:t xml:space="preserve"> </w:t>
            </w:r>
            <w:r>
              <w:rPr>
                <w:color w:val="231F20"/>
                <w:sz w:val="24"/>
              </w:rPr>
              <w:t>university</w:t>
            </w:r>
          </w:p>
          <w:p w:rsidR="007D006C" w:rsidRDefault="00E7161C" w:rsidP="003816F7">
            <w:pPr>
              <w:pStyle w:val="TableParagraph"/>
              <w:numPr>
                <w:ilvl w:val="0"/>
                <w:numId w:val="20"/>
              </w:numPr>
              <w:tabs>
                <w:tab w:val="left" w:pos="903"/>
              </w:tabs>
              <w:spacing w:before="12"/>
              <w:rPr>
                <w:sz w:val="24"/>
              </w:rPr>
            </w:pPr>
            <w:r>
              <w:rPr>
                <w:color w:val="231F20"/>
                <w:sz w:val="24"/>
              </w:rPr>
              <w:t>student services, such as: counselling services, medical services and campus security,</w:t>
            </w:r>
            <w:r>
              <w:rPr>
                <w:color w:val="231F20"/>
                <w:spacing w:val="-21"/>
                <w:sz w:val="24"/>
              </w:rPr>
              <w:t xml:space="preserve"> </w:t>
            </w:r>
            <w:r>
              <w:rPr>
                <w:color w:val="231F20"/>
                <w:sz w:val="24"/>
              </w:rPr>
              <w:t>and</w:t>
            </w:r>
          </w:p>
          <w:p w:rsidR="007D006C" w:rsidRDefault="00E7161C" w:rsidP="003816F7">
            <w:pPr>
              <w:pStyle w:val="TableParagraph"/>
              <w:numPr>
                <w:ilvl w:val="0"/>
                <w:numId w:val="20"/>
              </w:numPr>
              <w:tabs>
                <w:tab w:val="left" w:pos="903"/>
              </w:tabs>
              <w:spacing w:before="12"/>
              <w:rPr>
                <w:color w:val="231F20"/>
                <w:sz w:val="24"/>
              </w:rPr>
            </w:pPr>
            <w:r>
              <w:rPr>
                <w:color w:val="231F20"/>
                <w:sz w:val="24"/>
              </w:rPr>
              <w:t>frontline sexual assault</w:t>
            </w:r>
            <w:r>
              <w:rPr>
                <w:color w:val="231F20"/>
                <w:spacing w:val="-7"/>
                <w:sz w:val="24"/>
              </w:rPr>
              <w:t xml:space="preserve"> </w:t>
            </w:r>
            <w:r>
              <w:rPr>
                <w:color w:val="231F20"/>
                <w:sz w:val="24"/>
              </w:rPr>
              <w:t>services.</w:t>
            </w:r>
          </w:p>
          <w:p w:rsidR="007D006C" w:rsidRDefault="007D006C" w:rsidP="007D006C">
            <w:pPr>
              <w:pStyle w:val="TableParagraph"/>
              <w:tabs>
                <w:tab w:val="left" w:pos="903"/>
              </w:tabs>
              <w:spacing w:before="12"/>
              <w:rPr>
                <w:color w:val="231F20"/>
                <w:sz w:val="24"/>
              </w:rPr>
            </w:pPr>
          </w:p>
          <w:p w:rsidR="007D006C" w:rsidRDefault="00E7161C" w:rsidP="007D006C">
            <w:pPr>
              <w:pStyle w:val="TableParagraph"/>
              <w:tabs>
                <w:tab w:val="left" w:pos="903"/>
              </w:tabs>
              <w:spacing w:before="12"/>
              <w:rPr>
                <w:color w:val="231F20"/>
                <w:sz w:val="24"/>
              </w:rPr>
            </w:pPr>
            <w:r>
              <w:rPr>
                <w:color w:val="231F20"/>
                <w:sz w:val="24"/>
              </w:rPr>
              <w:t xml:space="preserve">The advisory </w:t>
            </w:r>
            <w:r w:rsidR="007D006C">
              <w:rPr>
                <w:color w:val="231F20"/>
                <w:sz w:val="24"/>
              </w:rPr>
              <w:t>body s</w:t>
            </w:r>
            <w:r>
              <w:rPr>
                <w:color w:val="231F20"/>
                <w:sz w:val="24"/>
              </w:rPr>
              <w:t>hould be responsible for developing an action plan for the implementation of these recommendations.</w:t>
            </w:r>
          </w:p>
          <w:p w:rsidR="007D006C" w:rsidRDefault="007D006C" w:rsidP="007D006C">
            <w:pPr>
              <w:pStyle w:val="TableParagraph"/>
              <w:tabs>
                <w:tab w:val="left" w:pos="903"/>
              </w:tabs>
              <w:spacing w:before="12"/>
              <w:rPr>
                <w:color w:val="231F20"/>
                <w:sz w:val="24"/>
              </w:rPr>
            </w:pPr>
          </w:p>
          <w:p w:rsidR="00523E2F" w:rsidRDefault="00E7161C" w:rsidP="00523E2F">
            <w:pPr>
              <w:pStyle w:val="TableParagraph"/>
              <w:tabs>
                <w:tab w:val="left" w:pos="903"/>
              </w:tabs>
              <w:spacing w:before="12"/>
              <w:rPr>
                <w:color w:val="231F20"/>
                <w:sz w:val="24"/>
              </w:rPr>
            </w:pPr>
            <w:r>
              <w:rPr>
                <w:color w:val="231F20"/>
                <w:sz w:val="24"/>
              </w:rPr>
              <w:t>The development of an action plan should involve broad and extensive consultation with all relevant stakeholders from the university community and, where relevant, the wider community.</w:t>
            </w:r>
            <w:r w:rsidRPr="007D006C">
              <w:rPr>
                <w:color w:val="231F20"/>
                <w:sz w:val="24"/>
              </w:rPr>
              <w:t xml:space="preserve"> </w:t>
            </w:r>
            <w:r>
              <w:rPr>
                <w:color w:val="231F20"/>
                <w:sz w:val="24"/>
              </w:rPr>
              <w:t>The</w:t>
            </w:r>
            <w:r w:rsidRPr="007D006C">
              <w:rPr>
                <w:color w:val="231F20"/>
                <w:sz w:val="24"/>
              </w:rPr>
              <w:t xml:space="preserve"> </w:t>
            </w:r>
            <w:r>
              <w:rPr>
                <w:color w:val="231F20"/>
                <w:sz w:val="24"/>
              </w:rPr>
              <w:t>advisory</w:t>
            </w:r>
            <w:r w:rsidRPr="007D006C">
              <w:rPr>
                <w:color w:val="231F20"/>
                <w:sz w:val="24"/>
              </w:rPr>
              <w:t xml:space="preserve"> </w:t>
            </w:r>
            <w:r>
              <w:rPr>
                <w:color w:val="231F20"/>
                <w:sz w:val="24"/>
              </w:rPr>
              <w:t>body</w:t>
            </w:r>
            <w:r w:rsidRPr="007D006C">
              <w:rPr>
                <w:color w:val="231F20"/>
                <w:sz w:val="24"/>
              </w:rPr>
              <w:t xml:space="preserve"> </w:t>
            </w:r>
            <w:r>
              <w:rPr>
                <w:color w:val="231F20"/>
                <w:sz w:val="24"/>
              </w:rPr>
              <w:t>should</w:t>
            </w:r>
            <w:r w:rsidRPr="007D006C">
              <w:rPr>
                <w:color w:val="231F20"/>
                <w:sz w:val="24"/>
              </w:rPr>
              <w:t xml:space="preserve"> </w:t>
            </w:r>
            <w:r>
              <w:rPr>
                <w:color w:val="231F20"/>
                <w:sz w:val="24"/>
              </w:rPr>
              <w:t>also</w:t>
            </w:r>
            <w:r w:rsidRPr="007D006C">
              <w:rPr>
                <w:color w:val="231F20"/>
                <w:sz w:val="24"/>
              </w:rPr>
              <w:t xml:space="preserve"> </w:t>
            </w:r>
            <w:r>
              <w:rPr>
                <w:color w:val="231F20"/>
                <w:sz w:val="24"/>
              </w:rPr>
              <w:t>seek</w:t>
            </w:r>
            <w:r w:rsidRPr="007D006C">
              <w:rPr>
                <w:color w:val="231F20"/>
                <w:sz w:val="24"/>
              </w:rPr>
              <w:t xml:space="preserve"> </w:t>
            </w:r>
            <w:r>
              <w:rPr>
                <w:color w:val="231F20"/>
                <w:sz w:val="24"/>
              </w:rPr>
              <w:t>independent</w:t>
            </w:r>
            <w:r w:rsidRPr="007D006C">
              <w:rPr>
                <w:color w:val="231F20"/>
                <w:sz w:val="24"/>
              </w:rPr>
              <w:t xml:space="preserve"> </w:t>
            </w:r>
            <w:r>
              <w:rPr>
                <w:color w:val="231F20"/>
                <w:sz w:val="24"/>
              </w:rPr>
              <w:t>expertise</w:t>
            </w:r>
            <w:r w:rsidRPr="007D006C">
              <w:rPr>
                <w:color w:val="231F20"/>
                <w:sz w:val="24"/>
              </w:rPr>
              <w:t xml:space="preserve"> </w:t>
            </w:r>
            <w:r>
              <w:rPr>
                <w:color w:val="231F20"/>
                <w:sz w:val="24"/>
              </w:rPr>
              <w:t>where</w:t>
            </w:r>
            <w:r w:rsidRPr="007D006C">
              <w:rPr>
                <w:color w:val="231F20"/>
                <w:sz w:val="24"/>
              </w:rPr>
              <w:t xml:space="preserve"> </w:t>
            </w:r>
            <w:r>
              <w:rPr>
                <w:color w:val="231F20"/>
                <w:sz w:val="24"/>
              </w:rPr>
              <w:t>relevant</w:t>
            </w:r>
            <w:r w:rsidRPr="007D006C">
              <w:rPr>
                <w:color w:val="231F20"/>
                <w:sz w:val="24"/>
              </w:rPr>
              <w:t xml:space="preserve"> </w:t>
            </w:r>
            <w:r>
              <w:rPr>
                <w:color w:val="231F20"/>
                <w:sz w:val="24"/>
              </w:rPr>
              <w:t>and draw on existing research and best</w:t>
            </w:r>
            <w:r w:rsidRPr="007D006C">
              <w:rPr>
                <w:color w:val="231F20"/>
                <w:sz w:val="24"/>
              </w:rPr>
              <w:t xml:space="preserve"> </w:t>
            </w:r>
            <w:r>
              <w:rPr>
                <w:color w:val="231F20"/>
                <w:sz w:val="24"/>
              </w:rPr>
              <w:t>practice.</w:t>
            </w:r>
          </w:p>
          <w:p w:rsidR="00523E2F" w:rsidRDefault="00523E2F" w:rsidP="00523E2F">
            <w:pPr>
              <w:pStyle w:val="TableParagraph"/>
              <w:tabs>
                <w:tab w:val="left" w:pos="903"/>
              </w:tabs>
              <w:spacing w:before="12"/>
              <w:rPr>
                <w:color w:val="231F20"/>
                <w:sz w:val="24"/>
              </w:rPr>
            </w:pPr>
          </w:p>
          <w:p w:rsidR="00E7161C" w:rsidRPr="00523E2F" w:rsidRDefault="00E7161C" w:rsidP="00523E2F">
            <w:pPr>
              <w:pStyle w:val="TableParagraph"/>
              <w:tabs>
                <w:tab w:val="left" w:pos="903"/>
              </w:tabs>
              <w:spacing w:before="12"/>
              <w:rPr>
                <w:color w:val="231F20"/>
                <w:sz w:val="24"/>
                <w:szCs w:val="24"/>
              </w:rPr>
            </w:pPr>
            <w:r w:rsidRPr="00523E2F">
              <w:rPr>
                <w:color w:val="231F20"/>
                <w:sz w:val="24"/>
                <w:szCs w:val="24"/>
              </w:rPr>
              <w:t>The advisory body should assess and publicly report on the university’s progress towards implementation of these recommendations within 18 months of the release of this report. From then on, public reporting on progress should occur on an annual basis.</w:t>
            </w:r>
          </w:p>
          <w:p w:rsidR="007D006C" w:rsidRPr="0013252A" w:rsidRDefault="007D006C" w:rsidP="007D006C">
            <w:pPr>
              <w:spacing w:before="0" w:after="0"/>
            </w:pPr>
          </w:p>
        </w:tc>
        <w:tc>
          <w:tcPr>
            <w:tcW w:w="5953" w:type="dxa"/>
          </w:tcPr>
          <w:p w:rsidR="007D006C" w:rsidRDefault="004F6735" w:rsidP="004F6735">
            <w:pPr>
              <w:spacing w:after="0"/>
              <w:rPr>
                <w:rFonts w:eastAsia="Arial" w:cs="Arial"/>
                <w:color w:val="231F20"/>
                <w:szCs w:val="22"/>
                <w:lang w:val="en-US" w:eastAsia="en-US"/>
              </w:rPr>
            </w:pPr>
            <w:r>
              <w:rPr>
                <w:rFonts w:eastAsia="Arial" w:cs="Arial"/>
                <w:color w:val="231F20"/>
                <w:szCs w:val="22"/>
                <w:lang w:val="en-US" w:eastAsia="en-US"/>
              </w:rPr>
              <w:lastRenderedPageBreak/>
              <w:t xml:space="preserve">In early 2017, the </w:t>
            </w:r>
            <w:r w:rsidRPr="004F6735">
              <w:rPr>
                <w:rFonts w:eastAsia="Arial" w:cs="Arial"/>
                <w:color w:val="231F20"/>
                <w:szCs w:val="22"/>
                <w:lang w:val="en-US" w:eastAsia="en-US"/>
              </w:rPr>
              <w:t xml:space="preserve">UTS </w:t>
            </w:r>
            <w:r>
              <w:rPr>
                <w:rFonts w:eastAsia="Arial" w:cs="Arial"/>
                <w:color w:val="231F20"/>
                <w:szCs w:val="22"/>
                <w:lang w:val="en-US" w:eastAsia="en-US"/>
              </w:rPr>
              <w:t xml:space="preserve">Vice-Chancellor established </w:t>
            </w:r>
            <w:r w:rsidRPr="004F6735">
              <w:rPr>
                <w:rFonts w:eastAsia="Arial" w:cs="Arial"/>
                <w:color w:val="231F20"/>
                <w:szCs w:val="22"/>
                <w:lang w:val="en-US" w:eastAsia="en-US"/>
              </w:rPr>
              <w:t xml:space="preserve">a Prevention of Sexual Assault and Harassment Working Group. </w:t>
            </w:r>
          </w:p>
          <w:p w:rsidR="007D006C" w:rsidRPr="004F6735" w:rsidRDefault="004F6735" w:rsidP="007D006C">
            <w:pPr>
              <w:spacing w:after="0"/>
              <w:rPr>
                <w:rFonts w:eastAsia="Arial" w:cs="Arial"/>
                <w:color w:val="231F20"/>
                <w:szCs w:val="22"/>
                <w:lang w:val="en-US" w:eastAsia="en-US"/>
              </w:rPr>
            </w:pPr>
            <w:r w:rsidRPr="004F6735">
              <w:rPr>
                <w:rFonts w:eastAsia="Arial" w:cs="Arial"/>
                <w:color w:val="231F20"/>
                <w:szCs w:val="22"/>
                <w:lang w:val="en-US" w:eastAsia="en-US"/>
              </w:rPr>
              <w:t xml:space="preserve">This </w:t>
            </w:r>
            <w:r w:rsidR="008E06DB">
              <w:rPr>
                <w:rFonts w:eastAsia="Arial" w:cs="Arial"/>
                <w:color w:val="231F20"/>
                <w:szCs w:val="22"/>
                <w:lang w:val="en-US" w:eastAsia="en-US"/>
              </w:rPr>
              <w:t>senior group is led by the Provost,</w:t>
            </w:r>
            <w:r w:rsidRPr="004F6735">
              <w:rPr>
                <w:rFonts w:eastAsia="Arial" w:cs="Arial"/>
                <w:color w:val="231F20"/>
                <w:szCs w:val="22"/>
                <w:lang w:val="en-US" w:eastAsia="en-US"/>
              </w:rPr>
              <w:t xml:space="preserve"> supported by a dedicated </w:t>
            </w:r>
            <w:r w:rsidR="007D006C" w:rsidRPr="004F6735">
              <w:rPr>
                <w:rFonts w:eastAsia="Arial" w:cs="Arial"/>
                <w:color w:val="231F20"/>
                <w:szCs w:val="22"/>
                <w:lang w:val="en-US" w:eastAsia="en-US"/>
              </w:rPr>
              <w:t>Project Officer for the Prevention of Sexual Assault</w:t>
            </w:r>
            <w:r w:rsidR="008E06DB">
              <w:rPr>
                <w:rFonts w:eastAsia="Arial" w:cs="Arial"/>
                <w:color w:val="231F20"/>
                <w:szCs w:val="22"/>
                <w:lang w:val="en-US" w:eastAsia="en-US"/>
              </w:rPr>
              <w:t>,</w:t>
            </w:r>
            <w:r w:rsidR="007D006C">
              <w:rPr>
                <w:rFonts w:eastAsia="Arial" w:cs="Arial"/>
                <w:color w:val="231F20"/>
                <w:szCs w:val="22"/>
                <w:lang w:val="en-US" w:eastAsia="en-US"/>
              </w:rPr>
              <w:t xml:space="preserve"> and reports to the Vice-Chancellor</w:t>
            </w:r>
            <w:r w:rsidRPr="004F6735">
              <w:rPr>
                <w:rFonts w:eastAsia="Arial" w:cs="Arial"/>
                <w:color w:val="231F20"/>
                <w:szCs w:val="22"/>
                <w:lang w:val="en-US" w:eastAsia="en-US"/>
              </w:rPr>
              <w:t xml:space="preserve">. </w:t>
            </w:r>
            <w:r w:rsidR="007D006C">
              <w:rPr>
                <w:rFonts w:eastAsia="Arial" w:cs="Arial"/>
                <w:color w:val="231F20"/>
                <w:szCs w:val="22"/>
                <w:lang w:val="en-US" w:eastAsia="en-US"/>
              </w:rPr>
              <w:t>Its m</w:t>
            </w:r>
            <w:r w:rsidR="007D006C" w:rsidRPr="004F6735">
              <w:rPr>
                <w:rFonts w:eastAsia="Arial" w:cs="Arial"/>
                <w:color w:val="231F20"/>
                <w:szCs w:val="22"/>
                <w:lang w:val="en-US" w:eastAsia="en-US"/>
              </w:rPr>
              <w:t>embership includes</w:t>
            </w:r>
            <w:r w:rsidR="007D006C">
              <w:rPr>
                <w:rFonts w:eastAsia="Arial" w:cs="Arial"/>
                <w:color w:val="231F20"/>
                <w:szCs w:val="22"/>
                <w:lang w:val="en-US" w:eastAsia="en-US"/>
              </w:rPr>
              <w:t xml:space="preserve"> representatives of the university’s</w:t>
            </w:r>
            <w:r w:rsidR="007D006C" w:rsidRPr="004F6735">
              <w:rPr>
                <w:rFonts w:eastAsia="Arial" w:cs="Arial"/>
                <w:color w:val="231F20"/>
                <w:szCs w:val="22"/>
                <w:lang w:val="en-US" w:eastAsia="en-US"/>
              </w:rPr>
              <w:t>:</w:t>
            </w:r>
          </w:p>
          <w:p w:rsidR="007D006C" w:rsidRPr="004F6735" w:rsidRDefault="007D006C" w:rsidP="003816F7">
            <w:pPr>
              <w:pStyle w:val="TableParagraph"/>
              <w:numPr>
                <w:ilvl w:val="0"/>
                <w:numId w:val="18"/>
              </w:numPr>
              <w:tabs>
                <w:tab w:val="left" w:pos="903"/>
              </w:tabs>
              <w:spacing w:before="171"/>
              <w:ind w:hanging="170"/>
              <w:rPr>
                <w:color w:val="231F20"/>
                <w:sz w:val="24"/>
              </w:rPr>
            </w:pPr>
            <w:r>
              <w:rPr>
                <w:color w:val="231F20"/>
                <w:sz w:val="24"/>
              </w:rPr>
              <w:t xml:space="preserve">HR, </w:t>
            </w:r>
            <w:r w:rsidR="00C2494B">
              <w:rPr>
                <w:color w:val="231F20"/>
                <w:sz w:val="24"/>
              </w:rPr>
              <w:t xml:space="preserve">legal, </w:t>
            </w:r>
            <w:r>
              <w:rPr>
                <w:color w:val="231F20"/>
                <w:sz w:val="24"/>
              </w:rPr>
              <w:t>policy, communications</w:t>
            </w:r>
            <w:r w:rsidR="008E06DB">
              <w:rPr>
                <w:color w:val="231F20"/>
                <w:sz w:val="24"/>
              </w:rPr>
              <w:t xml:space="preserve"> functions</w:t>
            </w:r>
          </w:p>
          <w:p w:rsidR="007D006C" w:rsidRPr="004F6735" w:rsidRDefault="007D006C" w:rsidP="003816F7">
            <w:pPr>
              <w:pStyle w:val="TableParagraph"/>
              <w:numPr>
                <w:ilvl w:val="0"/>
                <w:numId w:val="18"/>
              </w:numPr>
              <w:tabs>
                <w:tab w:val="left" w:pos="903"/>
              </w:tabs>
              <w:spacing w:before="12"/>
              <w:ind w:hanging="170"/>
              <w:rPr>
                <w:color w:val="231F20"/>
                <w:sz w:val="24"/>
              </w:rPr>
            </w:pPr>
            <w:r>
              <w:rPr>
                <w:color w:val="231F20"/>
                <w:sz w:val="24"/>
              </w:rPr>
              <w:t>student</w:t>
            </w:r>
            <w:r w:rsidRPr="004F6735">
              <w:rPr>
                <w:color w:val="231F20"/>
                <w:sz w:val="24"/>
              </w:rPr>
              <w:t xml:space="preserve"> </w:t>
            </w:r>
            <w:r>
              <w:rPr>
                <w:color w:val="231F20"/>
                <w:sz w:val="24"/>
              </w:rPr>
              <w:t>body</w:t>
            </w:r>
          </w:p>
          <w:p w:rsidR="007D006C" w:rsidRPr="004F6735" w:rsidRDefault="00404DAD" w:rsidP="003816F7">
            <w:pPr>
              <w:pStyle w:val="TableParagraph"/>
              <w:numPr>
                <w:ilvl w:val="0"/>
                <w:numId w:val="18"/>
              </w:numPr>
              <w:tabs>
                <w:tab w:val="left" w:pos="903"/>
              </w:tabs>
              <w:spacing w:before="12"/>
              <w:ind w:hanging="170"/>
              <w:rPr>
                <w:color w:val="231F20"/>
                <w:sz w:val="24"/>
              </w:rPr>
            </w:pPr>
            <w:r>
              <w:rPr>
                <w:color w:val="231F20"/>
                <w:sz w:val="24"/>
              </w:rPr>
              <w:t>student accommodation</w:t>
            </w:r>
            <w:r w:rsidR="00072060">
              <w:rPr>
                <w:color w:val="231F20"/>
                <w:sz w:val="24"/>
              </w:rPr>
              <w:t xml:space="preserve"> management</w:t>
            </w:r>
          </w:p>
          <w:p w:rsidR="00072060" w:rsidRDefault="007D006C" w:rsidP="003816F7">
            <w:pPr>
              <w:pStyle w:val="TableParagraph"/>
              <w:numPr>
                <w:ilvl w:val="0"/>
                <w:numId w:val="18"/>
              </w:numPr>
              <w:tabs>
                <w:tab w:val="left" w:pos="903"/>
              </w:tabs>
              <w:spacing w:before="12" w:line="249" w:lineRule="auto"/>
              <w:ind w:right="910" w:hanging="170"/>
              <w:rPr>
                <w:color w:val="231F20"/>
                <w:sz w:val="24"/>
              </w:rPr>
            </w:pPr>
            <w:r>
              <w:rPr>
                <w:color w:val="231F20"/>
                <w:sz w:val="24"/>
              </w:rPr>
              <w:t xml:space="preserve">student services, </w:t>
            </w:r>
            <w:r w:rsidR="00C2494B">
              <w:rPr>
                <w:color w:val="231F20"/>
                <w:sz w:val="24"/>
              </w:rPr>
              <w:t>including counselling services</w:t>
            </w:r>
            <w:r w:rsidR="008E06DB">
              <w:rPr>
                <w:color w:val="231F20"/>
                <w:sz w:val="24"/>
              </w:rPr>
              <w:t>,</w:t>
            </w:r>
            <w:r w:rsidR="00072060">
              <w:rPr>
                <w:color w:val="231F20"/>
                <w:sz w:val="24"/>
              </w:rPr>
              <w:t xml:space="preserve"> and</w:t>
            </w:r>
          </w:p>
          <w:p w:rsidR="007D006C" w:rsidRPr="007D006C" w:rsidRDefault="007D006C" w:rsidP="003816F7">
            <w:pPr>
              <w:pStyle w:val="TableParagraph"/>
              <w:numPr>
                <w:ilvl w:val="0"/>
                <w:numId w:val="18"/>
              </w:numPr>
              <w:tabs>
                <w:tab w:val="left" w:pos="903"/>
              </w:tabs>
              <w:spacing w:before="12" w:line="249" w:lineRule="auto"/>
              <w:ind w:right="910" w:hanging="170"/>
              <w:rPr>
                <w:color w:val="231F20"/>
                <w:sz w:val="24"/>
              </w:rPr>
            </w:pPr>
            <w:r>
              <w:rPr>
                <w:color w:val="231F20"/>
                <w:sz w:val="24"/>
              </w:rPr>
              <w:t>campus security</w:t>
            </w:r>
            <w:r w:rsidRPr="007D006C">
              <w:rPr>
                <w:color w:val="231F20"/>
                <w:sz w:val="24"/>
              </w:rPr>
              <w:t>.</w:t>
            </w:r>
          </w:p>
          <w:p w:rsidR="008E06DB" w:rsidRDefault="008E06DB" w:rsidP="007D006C">
            <w:pPr>
              <w:spacing w:after="0"/>
              <w:rPr>
                <w:rFonts w:eastAsia="Arial" w:cs="Arial"/>
                <w:color w:val="231F20"/>
                <w:szCs w:val="22"/>
                <w:lang w:val="en-US" w:eastAsia="en-US"/>
              </w:rPr>
            </w:pPr>
            <w:r>
              <w:rPr>
                <w:rFonts w:eastAsia="Arial" w:cs="Arial"/>
                <w:color w:val="231F20"/>
                <w:szCs w:val="22"/>
                <w:lang w:val="en-US" w:eastAsia="en-US"/>
              </w:rPr>
              <w:t>Feeding into the Working Group are various cross-university networks, focusing on specific streams e.g. communications; education and awareness; student consultation; and governance and policy</w:t>
            </w:r>
            <w:r w:rsidR="00404DAD">
              <w:rPr>
                <w:rFonts w:eastAsia="Arial" w:cs="Arial"/>
                <w:color w:val="231F20"/>
                <w:szCs w:val="22"/>
                <w:lang w:val="en-US" w:eastAsia="en-US"/>
              </w:rPr>
              <w:t>, and a Student Consultative Group</w:t>
            </w:r>
            <w:r>
              <w:rPr>
                <w:rFonts w:eastAsia="Arial" w:cs="Arial"/>
                <w:color w:val="231F20"/>
                <w:szCs w:val="22"/>
                <w:lang w:val="en-US" w:eastAsia="en-US"/>
              </w:rPr>
              <w:t xml:space="preserve">. These ensure widespread consultation and input into the university’s actions and priorities. </w:t>
            </w:r>
          </w:p>
          <w:p w:rsidR="004F6735" w:rsidRDefault="008E06DB" w:rsidP="007D006C">
            <w:pPr>
              <w:spacing w:after="0"/>
              <w:rPr>
                <w:rFonts w:eastAsia="Arial" w:cs="Arial"/>
                <w:color w:val="231F20"/>
                <w:szCs w:val="22"/>
                <w:lang w:val="en-US" w:eastAsia="en-US"/>
              </w:rPr>
            </w:pPr>
            <w:r>
              <w:rPr>
                <w:rFonts w:eastAsia="Arial" w:cs="Arial"/>
                <w:color w:val="231F20"/>
                <w:szCs w:val="22"/>
                <w:lang w:val="en-US" w:eastAsia="en-US"/>
              </w:rPr>
              <w:lastRenderedPageBreak/>
              <w:t xml:space="preserve">In particular, the </w:t>
            </w:r>
            <w:r w:rsidR="004F6735" w:rsidRPr="004F6735">
              <w:rPr>
                <w:rFonts w:eastAsia="Arial" w:cs="Arial"/>
                <w:color w:val="231F20"/>
                <w:szCs w:val="22"/>
                <w:lang w:val="en-US" w:eastAsia="en-US"/>
              </w:rPr>
              <w:t xml:space="preserve">Student Consultative </w:t>
            </w:r>
            <w:r>
              <w:rPr>
                <w:rFonts w:eastAsia="Arial" w:cs="Arial"/>
                <w:color w:val="231F20"/>
                <w:szCs w:val="22"/>
                <w:lang w:val="en-US" w:eastAsia="en-US"/>
              </w:rPr>
              <w:t>Group has</w:t>
            </w:r>
            <w:r w:rsidR="004F6735" w:rsidRPr="004F6735">
              <w:rPr>
                <w:rFonts w:eastAsia="Arial" w:cs="Arial"/>
                <w:color w:val="231F20"/>
                <w:szCs w:val="22"/>
                <w:lang w:val="en-US" w:eastAsia="en-US"/>
              </w:rPr>
              <w:t xml:space="preserve"> diverse representation, to ensure ongoing dialogue with students relating to sexual assault and harassment initiatives.</w:t>
            </w:r>
          </w:p>
          <w:p w:rsidR="008C2581" w:rsidRDefault="008C2581" w:rsidP="007D006C">
            <w:pPr>
              <w:spacing w:after="0"/>
              <w:rPr>
                <w:rFonts w:eastAsia="Arial" w:cs="Arial"/>
                <w:color w:val="231F20"/>
                <w:szCs w:val="22"/>
                <w:lang w:val="en-US" w:eastAsia="en-US"/>
              </w:rPr>
            </w:pPr>
            <w:r>
              <w:rPr>
                <w:rFonts w:eastAsia="Arial" w:cs="Arial"/>
                <w:color w:val="231F20"/>
                <w:szCs w:val="22"/>
                <w:lang w:val="en-US" w:eastAsia="en-US"/>
              </w:rPr>
              <w:t xml:space="preserve">Each of these bodies have fed into the university’s </w:t>
            </w:r>
            <w:r w:rsidRPr="004F6735">
              <w:rPr>
                <w:rFonts w:eastAsia="Arial" w:cs="Arial"/>
                <w:color w:val="231F20"/>
                <w:szCs w:val="22"/>
                <w:lang w:val="en-US" w:eastAsia="en-US"/>
              </w:rPr>
              <w:t xml:space="preserve">Prevention of Sexual Assault and Harassment </w:t>
            </w:r>
            <w:r>
              <w:rPr>
                <w:rFonts w:eastAsia="Arial" w:cs="Arial"/>
                <w:color w:val="231F20"/>
                <w:szCs w:val="22"/>
                <w:lang w:val="en-US" w:eastAsia="en-US"/>
              </w:rPr>
              <w:t>Action Plan.</w:t>
            </w:r>
          </w:p>
          <w:p w:rsidR="00463DB3" w:rsidRDefault="00463DB3" w:rsidP="007D006C">
            <w:pPr>
              <w:spacing w:after="0"/>
              <w:rPr>
                <w:rFonts w:eastAsia="Arial" w:cs="Arial"/>
                <w:color w:val="231F20"/>
                <w:szCs w:val="22"/>
                <w:lang w:val="en-US" w:eastAsia="en-US"/>
              </w:rPr>
            </w:pPr>
            <w:r>
              <w:rPr>
                <w:rFonts w:eastAsia="Arial" w:cs="Arial"/>
                <w:color w:val="231F20"/>
                <w:szCs w:val="22"/>
                <w:lang w:val="en-US" w:eastAsia="en-US"/>
              </w:rPr>
              <w:t xml:space="preserve">External engagement and inputs to the Action Plan include </w:t>
            </w:r>
            <w:r w:rsidR="00404DAD">
              <w:rPr>
                <w:rFonts w:eastAsia="Arial" w:cs="Arial"/>
                <w:color w:val="231F20"/>
                <w:szCs w:val="22"/>
                <w:lang w:val="en-US" w:eastAsia="en-US"/>
              </w:rPr>
              <w:t xml:space="preserve">dialogue </w:t>
            </w:r>
            <w:r>
              <w:rPr>
                <w:rFonts w:eastAsia="Arial" w:cs="Arial"/>
                <w:color w:val="231F20"/>
                <w:szCs w:val="22"/>
                <w:lang w:val="en-US" w:eastAsia="en-US"/>
              </w:rPr>
              <w:t>with key government and peak bodies including:</w:t>
            </w:r>
          </w:p>
          <w:p w:rsidR="00463DB3" w:rsidRDefault="00463DB3" w:rsidP="003816F7">
            <w:pPr>
              <w:pStyle w:val="ListParagraph"/>
              <w:numPr>
                <w:ilvl w:val="0"/>
                <w:numId w:val="19"/>
              </w:numPr>
              <w:spacing w:after="0"/>
              <w:rPr>
                <w:rFonts w:eastAsia="Arial" w:cs="Arial"/>
                <w:color w:val="231F20"/>
                <w:szCs w:val="22"/>
                <w:lang w:val="en-US" w:eastAsia="en-US"/>
              </w:rPr>
            </w:pPr>
            <w:r w:rsidRPr="00463DB3">
              <w:rPr>
                <w:rFonts w:eastAsia="Arial" w:cs="Arial"/>
                <w:color w:val="231F20"/>
                <w:szCs w:val="22"/>
                <w:lang w:val="en-US" w:eastAsia="en-US"/>
              </w:rPr>
              <w:t>Transport For NSW</w:t>
            </w:r>
          </w:p>
          <w:p w:rsidR="00463DB3" w:rsidRDefault="00463DB3" w:rsidP="003816F7">
            <w:pPr>
              <w:pStyle w:val="ListParagraph"/>
              <w:numPr>
                <w:ilvl w:val="0"/>
                <w:numId w:val="19"/>
              </w:numPr>
              <w:spacing w:after="0"/>
              <w:rPr>
                <w:rFonts w:eastAsia="Arial" w:cs="Arial"/>
                <w:color w:val="231F20"/>
                <w:szCs w:val="22"/>
                <w:lang w:val="en-US" w:eastAsia="en-US"/>
              </w:rPr>
            </w:pPr>
            <w:r w:rsidRPr="00463DB3">
              <w:rPr>
                <w:rFonts w:eastAsia="Arial" w:cs="Arial"/>
                <w:color w:val="231F20"/>
                <w:szCs w:val="22"/>
                <w:lang w:val="en-US" w:eastAsia="en-US"/>
              </w:rPr>
              <w:t>NSW Department of Education</w:t>
            </w:r>
          </w:p>
          <w:p w:rsidR="00463DB3" w:rsidRDefault="00463DB3" w:rsidP="003816F7">
            <w:pPr>
              <w:pStyle w:val="ListParagraph"/>
              <w:numPr>
                <w:ilvl w:val="0"/>
                <w:numId w:val="19"/>
              </w:numPr>
              <w:spacing w:after="0"/>
              <w:rPr>
                <w:rFonts w:eastAsia="Arial" w:cs="Arial"/>
                <w:color w:val="231F20"/>
                <w:szCs w:val="22"/>
                <w:lang w:val="en-US" w:eastAsia="en-US"/>
              </w:rPr>
            </w:pPr>
            <w:r w:rsidRPr="00463DB3">
              <w:rPr>
                <w:rFonts w:eastAsia="Arial" w:cs="Arial"/>
                <w:color w:val="231F20"/>
                <w:szCs w:val="22"/>
                <w:lang w:val="en-US" w:eastAsia="en-US"/>
              </w:rPr>
              <w:t>NSW Vice-Chancellors’ Committee</w:t>
            </w:r>
          </w:p>
          <w:p w:rsidR="00463DB3" w:rsidRDefault="00463DB3" w:rsidP="003816F7">
            <w:pPr>
              <w:pStyle w:val="ListParagraph"/>
              <w:numPr>
                <w:ilvl w:val="0"/>
                <w:numId w:val="19"/>
              </w:numPr>
              <w:spacing w:after="0"/>
              <w:rPr>
                <w:rFonts w:eastAsia="Arial" w:cs="Arial"/>
                <w:color w:val="231F20"/>
                <w:szCs w:val="22"/>
                <w:lang w:val="en-US" w:eastAsia="en-US"/>
              </w:rPr>
            </w:pPr>
            <w:r w:rsidRPr="00463DB3">
              <w:rPr>
                <w:rFonts w:eastAsia="Arial" w:cs="Arial"/>
                <w:color w:val="231F20"/>
                <w:szCs w:val="22"/>
                <w:lang w:val="en-US" w:eastAsia="en-US"/>
              </w:rPr>
              <w:t>NSW Minister for the Prevention of Domestic Violence and Sexual Assault</w:t>
            </w:r>
          </w:p>
          <w:p w:rsidR="00463DB3" w:rsidRDefault="00463DB3" w:rsidP="003816F7">
            <w:pPr>
              <w:pStyle w:val="ListParagraph"/>
              <w:numPr>
                <w:ilvl w:val="0"/>
                <w:numId w:val="19"/>
              </w:numPr>
              <w:spacing w:after="0"/>
              <w:rPr>
                <w:rFonts w:eastAsia="Arial" w:cs="Arial"/>
                <w:color w:val="231F20"/>
                <w:szCs w:val="22"/>
                <w:lang w:val="en-US" w:eastAsia="en-US"/>
              </w:rPr>
            </w:pPr>
            <w:r w:rsidRPr="00463DB3">
              <w:rPr>
                <w:rFonts w:eastAsia="Arial" w:cs="Arial"/>
                <w:color w:val="231F20"/>
                <w:szCs w:val="22"/>
                <w:lang w:val="en-US" w:eastAsia="en-US"/>
              </w:rPr>
              <w:t>The City of Sydney</w:t>
            </w:r>
          </w:p>
          <w:p w:rsidR="00463DB3" w:rsidRPr="00463DB3" w:rsidRDefault="00463DB3" w:rsidP="003816F7">
            <w:pPr>
              <w:pStyle w:val="ListParagraph"/>
              <w:numPr>
                <w:ilvl w:val="0"/>
                <w:numId w:val="19"/>
              </w:numPr>
              <w:spacing w:after="0"/>
              <w:rPr>
                <w:rFonts w:eastAsia="Arial" w:cs="Arial"/>
                <w:color w:val="231F20"/>
                <w:szCs w:val="22"/>
                <w:lang w:val="en-US" w:eastAsia="en-US"/>
              </w:rPr>
            </w:pPr>
            <w:r w:rsidRPr="00463DB3">
              <w:rPr>
                <w:rFonts w:eastAsia="Arial" w:cs="Arial"/>
                <w:color w:val="231F20"/>
                <w:szCs w:val="22"/>
                <w:lang w:val="en-US" w:eastAsia="en-US"/>
              </w:rPr>
              <w:t>NSW Police</w:t>
            </w:r>
          </w:p>
          <w:p w:rsidR="008C2581" w:rsidRDefault="008C2581" w:rsidP="007D006C">
            <w:pPr>
              <w:spacing w:after="0"/>
              <w:rPr>
                <w:rFonts w:eastAsia="Arial" w:cs="Arial"/>
                <w:color w:val="231F20"/>
                <w:szCs w:val="22"/>
                <w:lang w:val="en-US" w:eastAsia="en-US"/>
              </w:rPr>
            </w:pPr>
            <w:r>
              <w:rPr>
                <w:rFonts w:eastAsia="Arial" w:cs="Arial"/>
                <w:color w:val="231F20"/>
                <w:szCs w:val="22"/>
                <w:lang w:val="en-US" w:eastAsia="en-US"/>
              </w:rPr>
              <w:t xml:space="preserve">Regular updates on the university’s progress </w:t>
            </w:r>
            <w:r w:rsidR="008E06DB">
              <w:rPr>
                <w:rFonts w:eastAsia="Arial" w:cs="Arial"/>
                <w:color w:val="231F20"/>
                <w:szCs w:val="22"/>
                <w:lang w:val="en-US" w:eastAsia="en-US"/>
              </w:rPr>
              <w:t xml:space="preserve">against the </w:t>
            </w:r>
            <w:r w:rsidR="00463DB3">
              <w:rPr>
                <w:rFonts w:eastAsia="Arial" w:cs="Arial"/>
                <w:color w:val="231F20"/>
                <w:szCs w:val="22"/>
                <w:lang w:val="en-US" w:eastAsia="en-US"/>
              </w:rPr>
              <w:t>Action P</w:t>
            </w:r>
            <w:r w:rsidR="008E06DB">
              <w:rPr>
                <w:rFonts w:eastAsia="Arial" w:cs="Arial"/>
                <w:color w:val="231F20"/>
                <w:szCs w:val="22"/>
                <w:lang w:val="en-US" w:eastAsia="en-US"/>
              </w:rPr>
              <w:t xml:space="preserve">lan </w:t>
            </w:r>
            <w:r>
              <w:rPr>
                <w:rFonts w:eastAsia="Arial" w:cs="Arial"/>
                <w:color w:val="231F20"/>
                <w:szCs w:val="22"/>
                <w:lang w:val="en-US" w:eastAsia="en-US"/>
              </w:rPr>
              <w:t xml:space="preserve">have been publicly communicated in August and December 2017, and May 2018.  </w:t>
            </w:r>
          </w:p>
          <w:p w:rsidR="007D006C" w:rsidRDefault="008C2581" w:rsidP="007D006C">
            <w:pPr>
              <w:spacing w:after="0"/>
              <w:rPr>
                <w:rFonts w:eastAsia="Arial" w:cs="Arial"/>
                <w:color w:val="231F20"/>
                <w:szCs w:val="22"/>
                <w:lang w:val="en-US" w:eastAsia="en-US"/>
              </w:rPr>
            </w:pPr>
            <w:r>
              <w:rPr>
                <w:rFonts w:eastAsia="Arial" w:cs="Arial"/>
                <w:color w:val="231F20"/>
                <w:szCs w:val="22"/>
                <w:lang w:val="en-US" w:eastAsia="en-US"/>
              </w:rPr>
              <w:t>Regular progress reports to the University Council</w:t>
            </w:r>
            <w:r w:rsidR="00C2494B">
              <w:rPr>
                <w:rFonts w:eastAsia="Arial" w:cs="Arial"/>
                <w:color w:val="231F20"/>
                <w:szCs w:val="22"/>
                <w:lang w:val="en-US" w:eastAsia="en-US"/>
              </w:rPr>
              <w:t>, Senior Leadership Group</w:t>
            </w:r>
            <w:r>
              <w:rPr>
                <w:rFonts w:eastAsia="Arial" w:cs="Arial"/>
                <w:color w:val="231F20"/>
                <w:szCs w:val="22"/>
                <w:lang w:val="en-US" w:eastAsia="en-US"/>
              </w:rPr>
              <w:t xml:space="preserve"> and Academic Board have also occurred</w:t>
            </w:r>
            <w:r w:rsidR="00C2494B">
              <w:rPr>
                <w:rFonts w:eastAsia="Arial" w:cs="Arial"/>
                <w:color w:val="231F20"/>
                <w:szCs w:val="22"/>
                <w:lang w:val="en-US" w:eastAsia="en-US"/>
              </w:rPr>
              <w:t xml:space="preserve"> during the past 12 months</w:t>
            </w:r>
            <w:r>
              <w:rPr>
                <w:rFonts w:eastAsia="Arial" w:cs="Arial"/>
                <w:color w:val="231F20"/>
                <w:szCs w:val="22"/>
                <w:lang w:val="en-US" w:eastAsia="en-US"/>
              </w:rPr>
              <w:t>.</w:t>
            </w:r>
          </w:p>
          <w:p w:rsidR="007D006C" w:rsidRPr="004F6735" w:rsidRDefault="007D006C" w:rsidP="007D006C">
            <w:pPr>
              <w:spacing w:after="0"/>
              <w:rPr>
                <w:rFonts w:eastAsia="Arial" w:cs="Arial"/>
                <w:color w:val="231F20"/>
                <w:szCs w:val="22"/>
                <w:lang w:val="en-US" w:eastAsia="en-US"/>
              </w:rPr>
            </w:pPr>
          </w:p>
        </w:tc>
        <w:tc>
          <w:tcPr>
            <w:tcW w:w="3225" w:type="dxa"/>
          </w:tcPr>
          <w:p w:rsidR="0013252A" w:rsidRDefault="0013252A" w:rsidP="0013252A">
            <w:pPr>
              <w:spacing w:before="0" w:after="0"/>
              <w:jc w:val="center"/>
              <w:rPr>
                <w:b/>
              </w:rPr>
            </w:pPr>
          </w:p>
          <w:p w:rsidR="00404DAD" w:rsidRDefault="00404DAD" w:rsidP="00CB7679">
            <w:pPr>
              <w:spacing w:before="0" w:after="0"/>
            </w:pPr>
            <w:r>
              <w:t xml:space="preserve">The Working Group will focus on developing long term systematic approaches to reducing the prevalence of sexual assault and harassment. </w:t>
            </w:r>
          </w:p>
          <w:p w:rsidR="00404DAD" w:rsidRDefault="00404DAD" w:rsidP="00CB7679">
            <w:pPr>
              <w:spacing w:before="0" w:after="0"/>
            </w:pPr>
          </w:p>
          <w:p w:rsidR="00404DAD" w:rsidRPr="00CB7679" w:rsidRDefault="00404DAD" w:rsidP="00CB7679">
            <w:pPr>
              <w:spacing w:before="0" w:after="0"/>
            </w:pPr>
            <w:r>
              <w:t>The Project Officer will continue to support the Working Group in this process.</w:t>
            </w:r>
          </w:p>
        </w:tc>
      </w:tr>
      <w:tr w:rsidR="0013252A" w:rsidTr="00E9424A">
        <w:trPr>
          <w:trHeight w:val="276"/>
        </w:trPr>
        <w:tc>
          <w:tcPr>
            <w:tcW w:w="5382" w:type="dxa"/>
          </w:tcPr>
          <w:p w:rsidR="0013252A" w:rsidRPr="00C2494B" w:rsidRDefault="0013252A" w:rsidP="00C2494B">
            <w:pPr>
              <w:spacing w:before="0" w:after="0"/>
              <w:jc w:val="center"/>
              <w:rPr>
                <w:color w:val="231F20"/>
              </w:rPr>
            </w:pPr>
            <w:r w:rsidRPr="00C2494B">
              <w:rPr>
                <w:color w:val="231F20"/>
              </w:rPr>
              <w:lastRenderedPageBreak/>
              <w:t>2</w:t>
            </w:r>
          </w:p>
          <w:p w:rsidR="004F6735" w:rsidRPr="00C2494B" w:rsidRDefault="004F6735" w:rsidP="00C2494B">
            <w:pPr>
              <w:spacing w:before="0" w:after="0"/>
              <w:rPr>
                <w:color w:val="231F20"/>
              </w:rPr>
            </w:pPr>
            <w:r w:rsidRPr="00C2494B">
              <w:rPr>
                <w:color w:val="231F20"/>
              </w:rPr>
              <w:t>Universities develop a plan for addressing the drivers of sexual assault and sexual harassment that:</w:t>
            </w:r>
            <w:r w:rsidR="00C2494B">
              <w:rPr>
                <w:color w:val="231F20"/>
              </w:rPr>
              <w:br/>
            </w:r>
          </w:p>
          <w:p w:rsidR="00E8245B" w:rsidRDefault="004F6735" w:rsidP="003816F7">
            <w:pPr>
              <w:pStyle w:val="ListParagraph"/>
              <w:numPr>
                <w:ilvl w:val="0"/>
                <w:numId w:val="21"/>
              </w:numPr>
              <w:spacing w:before="0" w:after="0"/>
              <w:rPr>
                <w:color w:val="231F20"/>
              </w:rPr>
            </w:pPr>
            <w:r w:rsidRPr="00523E2F">
              <w:rPr>
                <w:color w:val="231F20"/>
              </w:rPr>
              <w:t>provides students and staff with education about: behaviours that constitute sexual assault and sexual harassment, consent and respectful relationships, ‘violence supportive attitudes’ and bystander intervention, and</w:t>
            </w:r>
          </w:p>
          <w:p w:rsidR="00E8245B" w:rsidRDefault="00E8245B" w:rsidP="00E8245B">
            <w:pPr>
              <w:pStyle w:val="ListParagraph"/>
              <w:spacing w:before="0" w:after="0"/>
              <w:rPr>
                <w:color w:val="231F20"/>
              </w:rPr>
            </w:pPr>
          </w:p>
          <w:p w:rsidR="00C2494B" w:rsidRPr="00E8245B" w:rsidRDefault="004F6735" w:rsidP="003816F7">
            <w:pPr>
              <w:pStyle w:val="ListParagraph"/>
              <w:numPr>
                <w:ilvl w:val="0"/>
                <w:numId w:val="21"/>
              </w:numPr>
              <w:spacing w:before="0" w:after="0"/>
              <w:rPr>
                <w:color w:val="231F20"/>
              </w:rPr>
            </w:pPr>
            <w:r w:rsidRPr="00E8245B">
              <w:rPr>
                <w:color w:val="231F20"/>
              </w:rPr>
              <w:t>identifies existing resources and communications campaigns that reinforce key messages of education programs for dissemination to staff and students.</w:t>
            </w:r>
          </w:p>
          <w:p w:rsidR="00C2494B" w:rsidRDefault="00C2494B" w:rsidP="00C2494B">
            <w:pPr>
              <w:spacing w:before="0" w:after="0"/>
              <w:rPr>
                <w:color w:val="231F20"/>
              </w:rPr>
            </w:pPr>
          </w:p>
          <w:p w:rsidR="00C2494B" w:rsidRDefault="004F6735" w:rsidP="00C2494B">
            <w:pPr>
              <w:spacing w:before="0" w:after="0"/>
              <w:rPr>
                <w:color w:val="231F20"/>
              </w:rPr>
            </w:pPr>
            <w:r w:rsidRPr="00C2494B">
              <w:rPr>
                <w:color w:val="231F20"/>
              </w:rPr>
              <w:t>Education programs and communications should:</w:t>
            </w:r>
          </w:p>
          <w:p w:rsidR="00C2494B" w:rsidRDefault="00C2494B" w:rsidP="00C2494B">
            <w:pPr>
              <w:spacing w:before="0" w:after="0"/>
              <w:rPr>
                <w:color w:val="231F20"/>
              </w:rPr>
            </w:pPr>
          </w:p>
          <w:p w:rsidR="00C2494B" w:rsidRPr="00E8245B" w:rsidRDefault="004F6735" w:rsidP="003816F7">
            <w:pPr>
              <w:pStyle w:val="ListParagraph"/>
              <w:numPr>
                <w:ilvl w:val="0"/>
                <w:numId w:val="22"/>
              </w:numPr>
              <w:spacing w:before="0" w:after="0"/>
              <w:rPr>
                <w:color w:val="231F20"/>
              </w:rPr>
            </w:pPr>
            <w:r w:rsidRPr="00E8245B">
              <w:rPr>
                <w:color w:val="231F20"/>
              </w:rPr>
              <w:t>target all levels of the organisation – current and future students, staff, residential colleges, sports clubs, student societies and student unions</w:t>
            </w:r>
          </w:p>
          <w:p w:rsidR="00C2494B" w:rsidRDefault="00C2494B" w:rsidP="00C2494B">
            <w:pPr>
              <w:spacing w:before="0" w:after="0"/>
              <w:rPr>
                <w:color w:val="231F20"/>
              </w:rPr>
            </w:pPr>
          </w:p>
          <w:p w:rsidR="00C2494B" w:rsidRPr="00E8245B" w:rsidRDefault="004F6735" w:rsidP="003816F7">
            <w:pPr>
              <w:pStyle w:val="ListParagraph"/>
              <w:numPr>
                <w:ilvl w:val="0"/>
                <w:numId w:val="22"/>
              </w:numPr>
              <w:spacing w:before="0" w:after="0"/>
              <w:rPr>
                <w:color w:val="231F20"/>
              </w:rPr>
            </w:pPr>
            <w:r w:rsidRPr="00E8245B">
              <w:rPr>
                <w:color w:val="231F20"/>
              </w:rPr>
              <w:t xml:space="preserve">be based on best practice and </w:t>
            </w:r>
            <w:r w:rsidR="00C2494B" w:rsidRPr="00E8245B">
              <w:rPr>
                <w:color w:val="231F20"/>
              </w:rPr>
              <w:t>research</w:t>
            </w:r>
          </w:p>
          <w:p w:rsidR="00C2494B" w:rsidRDefault="00C2494B" w:rsidP="00C2494B">
            <w:pPr>
              <w:spacing w:before="0" w:after="0"/>
              <w:rPr>
                <w:color w:val="231F20"/>
              </w:rPr>
            </w:pPr>
          </w:p>
          <w:p w:rsidR="00C2494B" w:rsidRPr="00E8245B" w:rsidRDefault="004F6735" w:rsidP="003816F7">
            <w:pPr>
              <w:pStyle w:val="ListParagraph"/>
              <w:numPr>
                <w:ilvl w:val="0"/>
                <w:numId w:val="22"/>
              </w:numPr>
              <w:spacing w:before="0" w:after="0"/>
              <w:rPr>
                <w:color w:val="231F20"/>
              </w:rPr>
            </w:pPr>
            <w:r w:rsidRPr="00E8245B">
              <w:rPr>
                <w:color w:val="231F20"/>
              </w:rPr>
              <w:t>be developed and delivered by individuals and/or organisations with expertise in sexual violence prevention</w:t>
            </w:r>
          </w:p>
          <w:p w:rsidR="00C2494B" w:rsidRDefault="00C2494B" w:rsidP="00C2494B">
            <w:pPr>
              <w:spacing w:before="0" w:after="0"/>
              <w:rPr>
                <w:color w:val="231F20"/>
              </w:rPr>
            </w:pPr>
          </w:p>
          <w:p w:rsidR="004F6735" w:rsidRPr="00E8245B" w:rsidRDefault="004F6735" w:rsidP="003816F7">
            <w:pPr>
              <w:pStyle w:val="ListParagraph"/>
              <w:numPr>
                <w:ilvl w:val="0"/>
                <w:numId w:val="22"/>
              </w:numPr>
              <w:spacing w:before="0" w:after="0"/>
              <w:rPr>
                <w:color w:val="231F20"/>
              </w:rPr>
            </w:pPr>
            <w:r w:rsidRPr="00E8245B">
              <w:rPr>
                <w:color w:val="231F20"/>
              </w:rPr>
              <w:t>be developed in consultation with university students, and</w:t>
            </w:r>
            <w:r w:rsidR="00E8245B">
              <w:rPr>
                <w:color w:val="231F20"/>
              </w:rPr>
              <w:br/>
            </w:r>
          </w:p>
          <w:p w:rsidR="004F6735" w:rsidRPr="00E8245B" w:rsidRDefault="004F6735" w:rsidP="003816F7">
            <w:pPr>
              <w:pStyle w:val="ListParagraph"/>
              <w:numPr>
                <w:ilvl w:val="0"/>
                <w:numId w:val="22"/>
              </w:numPr>
              <w:spacing w:before="0" w:after="0"/>
              <w:rPr>
                <w:color w:val="231F20"/>
              </w:rPr>
            </w:pPr>
            <w:r w:rsidRPr="00E8245B">
              <w:rPr>
                <w:color w:val="231F20"/>
              </w:rPr>
              <w:t>include measures for evaluating and refining the actions taken.</w:t>
            </w:r>
          </w:p>
          <w:p w:rsidR="00C2494B" w:rsidRPr="00C2494B" w:rsidRDefault="00C2494B" w:rsidP="00C2494B">
            <w:pPr>
              <w:spacing w:before="0" w:after="0"/>
              <w:rPr>
                <w:color w:val="231F20"/>
              </w:rPr>
            </w:pPr>
          </w:p>
        </w:tc>
        <w:tc>
          <w:tcPr>
            <w:tcW w:w="5953" w:type="dxa"/>
          </w:tcPr>
          <w:p w:rsidR="0013252A" w:rsidRDefault="0013252A" w:rsidP="0013252A">
            <w:pPr>
              <w:spacing w:before="0" w:after="0"/>
              <w:jc w:val="center"/>
              <w:rPr>
                <w:b/>
              </w:rPr>
            </w:pPr>
          </w:p>
          <w:p w:rsidR="00523E2F" w:rsidRDefault="00523E2F" w:rsidP="00E327EB">
            <w:pPr>
              <w:spacing w:before="0" w:after="0"/>
              <w:rPr>
                <w:rFonts w:eastAsia="Arial" w:cs="Arial"/>
                <w:color w:val="231F20"/>
                <w:szCs w:val="22"/>
                <w:lang w:val="en-US" w:eastAsia="en-US"/>
              </w:rPr>
            </w:pPr>
            <w:r>
              <w:t xml:space="preserve">The UTS </w:t>
            </w:r>
            <w:r w:rsidRPr="004F6735">
              <w:rPr>
                <w:rFonts w:eastAsia="Arial" w:cs="Arial"/>
                <w:color w:val="231F20"/>
                <w:szCs w:val="22"/>
                <w:lang w:val="en-US" w:eastAsia="en-US"/>
              </w:rPr>
              <w:t xml:space="preserve">Prevention of Sexual Assault and Harassment </w:t>
            </w:r>
            <w:r>
              <w:rPr>
                <w:rFonts w:eastAsia="Arial" w:cs="Arial"/>
                <w:color w:val="231F20"/>
                <w:szCs w:val="22"/>
                <w:lang w:val="en-US" w:eastAsia="en-US"/>
              </w:rPr>
              <w:t>Action Plan includes various activities aimed at addressing the underlying causes of sexual assault and harassment, including:</w:t>
            </w:r>
          </w:p>
          <w:p w:rsidR="00523E2F" w:rsidRDefault="00523E2F" w:rsidP="00E327EB">
            <w:pPr>
              <w:spacing w:before="0" w:after="0"/>
              <w:rPr>
                <w:rFonts w:eastAsia="Arial" w:cs="Arial"/>
                <w:color w:val="231F20"/>
                <w:szCs w:val="22"/>
                <w:lang w:val="en-US" w:eastAsia="en-US"/>
              </w:rPr>
            </w:pPr>
          </w:p>
          <w:p w:rsidR="00E8245B" w:rsidRDefault="00523E2F" w:rsidP="003816F7">
            <w:pPr>
              <w:pStyle w:val="ListParagraph"/>
              <w:numPr>
                <w:ilvl w:val="0"/>
                <w:numId w:val="23"/>
              </w:numPr>
              <w:spacing w:before="0" w:after="0"/>
            </w:pPr>
            <w:r>
              <w:t xml:space="preserve">Mandatory </w:t>
            </w:r>
            <w:r w:rsidR="001C1B71" w:rsidRPr="00E8245B">
              <w:rPr>
                <w:i/>
              </w:rPr>
              <w:t>Consent M</w:t>
            </w:r>
            <w:r w:rsidR="00E327EB" w:rsidRPr="00E8245B">
              <w:rPr>
                <w:i/>
              </w:rPr>
              <w:t>atters</w:t>
            </w:r>
            <w:r w:rsidR="00E327EB" w:rsidRPr="00E327EB">
              <w:t xml:space="preserve"> </w:t>
            </w:r>
            <w:r w:rsidR="001C1B71">
              <w:t xml:space="preserve">training for all </w:t>
            </w:r>
            <w:r w:rsidR="00E327EB" w:rsidRPr="00E327EB">
              <w:t>students and staff</w:t>
            </w:r>
            <w:r>
              <w:t>, introduced in 2018</w:t>
            </w:r>
          </w:p>
          <w:p w:rsidR="00E8245B" w:rsidRDefault="00E8245B" w:rsidP="00E8245B">
            <w:pPr>
              <w:spacing w:before="0" w:after="0"/>
            </w:pPr>
          </w:p>
          <w:p w:rsidR="00E8245B" w:rsidRPr="00E8245B" w:rsidRDefault="001C1B71" w:rsidP="003816F7">
            <w:pPr>
              <w:pStyle w:val="ListParagraph"/>
              <w:numPr>
                <w:ilvl w:val="0"/>
                <w:numId w:val="23"/>
              </w:numPr>
              <w:spacing w:before="0" w:after="0"/>
            </w:pPr>
            <w:r w:rsidRPr="00E8245B">
              <w:rPr>
                <w:i/>
                <w:iCs/>
              </w:rPr>
              <w:t>Sex and Ethics</w:t>
            </w:r>
            <w:r w:rsidRPr="00E8245B">
              <w:t> Training for all UTS Housing Residential Networkers</w:t>
            </w:r>
          </w:p>
          <w:p w:rsidR="00E8245B" w:rsidRPr="00E8245B" w:rsidRDefault="00E8245B" w:rsidP="00E8245B">
            <w:pPr>
              <w:spacing w:before="0" w:after="0"/>
            </w:pPr>
          </w:p>
          <w:p w:rsidR="00E8245B" w:rsidRDefault="001C1B71" w:rsidP="003816F7">
            <w:pPr>
              <w:pStyle w:val="ListParagraph"/>
              <w:numPr>
                <w:ilvl w:val="0"/>
                <w:numId w:val="23"/>
              </w:numPr>
              <w:spacing w:before="0" w:after="0"/>
            </w:pPr>
            <w:r w:rsidRPr="00E8245B">
              <w:t>Face-to-face training each session for all ActivateUTS student club executives for help identifying, preventing, reporting and responding t</w:t>
            </w:r>
            <w:r w:rsidR="00E8245B">
              <w:t>o sexual assault and harassment</w:t>
            </w:r>
          </w:p>
          <w:p w:rsidR="00B94CC9" w:rsidRDefault="00B94CC9" w:rsidP="00B94CC9">
            <w:pPr>
              <w:pStyle w:val="ListParagraph"/>
            </w:pPr>
          </w:p>
          <w:p w:rsidR="00B94CC9" w:rsidRDefault="00B94CC9" w:rsidP="003816F7">
            <w:pPr>
              <w:pStyle w:val="ListParagraph"/>
              <w:numPr>
                <w:ilvl w:val="0"/>
                <w:numId w:val="23"/>
              </w:numPr>
              <w:spacing w:before="0" w:after="0"/>
            </w:pPr>
            <w:r w:rsidRPr="00B94CC9">
              <w:rPr>
                <w:i/>
              </w:rPr>
              <w:t>Ethical Bystander</w:t>
            </w:r>
            <w:r>
              <w:t xml:space="preserve"> training for all UTS Peer Networkers</w:t>
            </w:r>
          </w:p>
          <w:p w:rsidR="00E8245B" w:rsidRDefault="00E8245B" w:rsidP="00E8245B">
            <w:pPr>
              <w:spacing w:before="0" w:after="0"/>
            </w:pPr>
          </w:p>
          <w:p w:rsidR="00E8245B" w:rsidRDefault="001C1B71" w:rsidP="003816F7">
            <w:pPr>
              <w:pStyle w:val="ListParagraph"/>
              <w:numPr>
                <w:ilvl w:val="0"/>
                <w:numId w:val="23"/>
              </w:numPr>
              <w:spacing w:before="0" w:after="0"/>
            </w:pPr>
            <w:r w:rsidRPr="00E8245B">
              <w:t xml:space="preserve">An ongoing calendar of </w:t>
            </w:r>
            <w:r w:rsidR="00E8245B">
              <w:t xml:space="preserve">(internally and externally created) </w:t>
            </w:r>
            <w:r w:rsidRPr="00E8245B">
              <w:t xml:space="preserve">student-focused communications regarding topics such as sexual consent, bystander behaviours etc. </w:t>
            </w:r>
          </w:p>
          <w:p w:rsidR="00E8245B" w:rsidRDefault="00E8245B" w:rsidP="00E8245B">
            <w:pPr>
              <w:spacing w:before="0" w:after="0"/>
            </w:pPr>
          </w:p>
          <w:p w:rsidR="00E8245B" w:rsidRPr="00E8245B" w:rsidRDefault="00E8245B" w:rsidP="003816F7">
            <w:pPr>
              <w:pStyle w:val="ListParagraph"/>
              <w:numPr>
                <w:ilvl w:val="0"/>
                <w:numId w:val="23"/>
              </w:numPr>
              <w:spacing w:before="0" w:after="0"/>
            </w:pPr>
            <w:r w:rsidRPr="00E8245B">
              <w:rPr>
                <w:color w:val="000000"/>
              </w:rPr>
              <w:t>A student-driven, interactive campaign (</w:t>
            </w:r>
            <w:r w:rsidRPr="00E8245B">
              <w:rPr>
                <w:i/>
                <w:iCs/>
                <w:color w:val="000000"/>
              </w:rPr>
              <w:t>Wanna spoon? Ask first!</w:t>
            </w:r>
            <w:r w:rsidRPr="00E8245B">
              <w:rPr>
                <w:color w:val="000000"/>
              </w:rPr>
              <w:t>) with activations at ODay, Summerfest (music concert), Night Noodle Markets etc, where a free ice-cream stall provided an informal, interpersonal and non-</w:t>
            </w:r>
            <w:r w:rsidRPr="00E8245B">
              <w:rPr>
                <w:color w:val="000000"/>
              </w:rPr>
              <w:lastRenderedPageBreak/>
              <w:t>threatening setting to discuss sex, consent, bystander behaviours, reporting and other related topics. The campaign was extremely well received by students.</w:t>
            </w:r>
          </w:p>
          <w:p w:rsidR="00E8245B" w:rsidRDefault="00E8245B" w:rsidP="00E8245B">
            <w:pPr>
              <w:spacing w:before="0" w:after="0"/>
            </w:pPr>
          </w:p>
          <w:p w:rsidR="001C1B71" w:rsidRPr="001C1B71" w:rsidRDefault="001C1B71" w:rsidP="001C1B71">
            <w:pPr>
              <w:spacing w:after="0"/>
              <w:rPr>
                <w:rFonts w:asciiTheme="minorHAnsi" w:hAnsiTheme="minorHAnsi" w:cs="Arial"/>
                <w:sz w:val="28"/>
                <w:szCs w:val="28"/>
              </w:rPr>
            </w:pPr>
          </w:p>
          <w:p w:rsidR="001C1B71" w:rsidRPr="00E327EB" w:rsidRDefault="001C1B71" w:rsidP="00E327EB">
            <w:pPr>
              <w:spacing w:before="0" w:after="0"/>
            </w:pPr>
          </w:p>
        </w:tc>
        <w:tc>
          <w:tcPr>
            <w:tcW w:w="3225" w:type="dxa"/>
          </w:tcPr>
          <w:p w:rsidR="00523E2F" w:rsidRPr="00CB7679" w:rsidRDefault="00404DAD" w:rsidP="00E8245B">
            <w:pPr>
              <w:spacing w:after="0"/>
            </w:pPr>
            <w:r>
              <w:lastRenderedPageBreak/>
              <w:t xml:space="preserve">UTS will monitor the efficacy and </w:t>
            </w:r>
            <w:r w:rsidR="00DC7446">
              <w:t>scope of our approach to addressing the drivers of sexual assault and sexual harassment and adjust our action plan accordingly.</w:t>
            </w:r>
          </w:p>
        </w:tc>
      </w:tr>
      <w:tr w:rsidR="0013252A" w:rsidTr="00E9424A">
        <w:trPr>
          <w:trHeight w:val="276"/>
        </w:trPr>
        <w:tc>
          <w:tcPr>
            <w:tcW w:w="5382" w:type="dxa"/>
          </w:tcPr>
          <w:p w:rsidR="0013252A" w:rsidRDefault="0013252A" w:rsidP="0013252A">
            <w:pPr>
              <w:spacing w:before="0" w:after="0"/>
              <w:jc w:val="center"/>
            </w:pPr>
            <w:r w:rsidRPr="0013252A">
              <w:t>3</w:t>
            </w:r>
          </w:p>
          <w:p w:rsidR="00E356DB" w:rsidRDefault="00E7161C" w:rsidP="00E356DB">
            <w:pPr>
              <w:spacing w:before="0" w:after="0"/>
              <w:rPr>
                <w:color w:val="231F20"/>
              </w:rPr>
            </w:pPr>
            <w:r>
              <w:rPr>
                <w:color w:val="231F20"/>
              </w:rPr>
              <w:t xml:space="preserve">In </w:t>
            </w:r>
            <w:r w:rsidRPr="00E356DB">
              <w:rPr>
                <w:color w:val="231F20"/>
              </w:rPr>
              <w:t>order to ensure students and staff know about support services and reporting processes for sexual assault or sexual harassment, universities should:</w:t>
            </w:r>
          </w:p>
          <w:p w:rsidR="00E9424A" w:rsidRDefault="00E9424A" w:rsidP="00E356DB">
            <w:pPr>
              <w:spacing w:before="0" w:after="0"/>
              <w:rPr>
                <w:color w:val="231F20"/>
              </w:rPr>
            </w:pPr>
          </w:p>
          <w:p w:rsidR="00E356DB" w:rsidRPr="00822BF4" w:rsidRDefault="00E7161C" w:rsidP="003816F7">
            <w:pPr>
              <w:pStyle w:val="ListParagraph"/>
              <w:numPr>
                <w:ilvl w:val="0"/>
                <w:numId w:val="24"/>
              </w:numPr>
              <w:spacing w:before="0" w:after="0"/>
              <w:rPr>
                <w:color w:val="231F20"/>
              </w:rPr>
            </w:pPr>
            <w:r w:rsidRPr="00822BF4">
              <w:rPr>
                <w:color w:val="231F20"/>
              </w:rPr>
              <w:t>widely</w:t>
            </w:r>
            <w:r w:rsidRPr="00822BF4">
              <w:rPr>
                <w:color w:val="231F20"/>
                <w:spacing w:val="-7"/>
              </w:rPr>
              <w:t xml:space="preserve"> </w:t>
            </w:r>
            <w:r w:rsidRPr="00822BF4">
              <w:rPr>
                <w:color w:val="231F20"/>
              </w:rPr>
              <w:t>disseminate</w:t>
            </w:r>
            <w:r w:rsidRPr="00822BF4">
              <w:rPr>
                <w:color w:val="231F20"/>
                <w:spacing w:val="-7"/>
              </w:rPr>
              <w:t xml:space="preserve"> </w:t>
            </w:r>
            <w:r w:rsidRPr="00822BF4">
              <w:rPr>
                <w:color w:val="231F20"/>
              </w:rPr>
              <w:t>information</w:t>
            </w:r>
            <w:r w:rsidRPr="00822BF4">
              <w:rPr>
                <w:color w:val="231F20"/>
                <w:spacing w:val="-7"/>
              </w:rPr>
              <w:t xml:space="preserve"> </w:t>
            </w:r>
            <w:r w:rsidRPr="00822BF4">
              <w:rPr>
                <w:color w:val="231F20"/>
              </w:rPr>
              <w:t>about</w:t>
            </w:r>
            <w:r w:rsidRPr="00822BF4">
              <w:rPr>
                <w:color w:val="231F20"/>
                <w:spacing w:val="-7"/>
              </w:rPr>
              <w:t xml:space="preserve"> </w:t>
            </w:r>
            <w:r w:rsidRPr="00822BF4">
              <w:rPr>
                <w:color w:val="231F20"/>
              </w:rPr>
              <w:t>university</w:t>
            </w:r>
            <w:r w:rsidRPr="00822BF4">
              <w:rPr>
                <w:color w:val="231F20"/>
                <w:spacing w:val="-7"/>
              </w:rPr>
              <w:t xml:space="preserve"> </w:t>
            </w:r>
            <w:r w:rsidRPr="00822BF4">
              <w:rPr>
                <w:color w:val="231F20"/>
              </w:rPr>
              <w:t>reporting</w:t>
            </w:r>
            <w:r w:rsidRPr="00822BF4">
              <w:rPr>
                <w:color w:val="231F20"/>
                <w:spacing w:val="-6"/>
              </w:rPr>
              <w:t xml:space="preserve"> </w:t>
            </w:r>
            <w:r w:rsidRPr="00822BF4">
              <w:rPr>
                <w:color w:val="231F20"/>
              </w:rPr>
              <w:t>avenues</w:t>
            </w:r>
            <w:r w:rsidRPr="00822BF4">
              <w:rPr>
                <w:color w:val="231F20"/>
                <w:spacing w:val="-7"/>
              </w:rPr>
              <w:t xml:space="preserve"> </w:t>
            </w:r>
            <w:r w:rsidRPr="00822BF4">
              <w:rPr>
                <w:color w:val="231F20"/>
              </w:rPr>
              <w:t>to</w:t>
            </w:r>
            <w:r w:rsidRPr="00822BF4">
              <w:rPr>
                <w:color w:val="231F20"/>
                <w:spacing w:val="-6"/>
              </w:rPr>
              <w:t xml:space="preserve"> </w:t>
            </w:r>
            <w:r w:rsidRPr="00822BF4">
              <w:rPr>
                <w:color w:val="231F20"/>
              </w:rPr>
              <w:t>staff</w:t>
            </w:r>
            <w:r w:rsidRPr="00822BF4">
              <w:rPr>
                <w:color w:val="231F20"/>
                <w:spacing w:val="-6"/>
              </w:rPr>
              <w:t xml:space="preserve"> </w:t>
            </w:r>
            <w:r w:rsidRPr="00822BF4">
              <w:rPr>
                <w:color w:val="231F20"/>
              </w:rPr>
              <w:t>and students</w:t>
            </w:r>
          </w:p>
          <w:p w:rsidR="00E356DB" w:rsidRDefault="00E356DB" w:rsidP="00E356DB">
            <w:pPr>
              <w:spacing w:before="0" w:after="0"/>
              <w:rPr>
                <w:color w:val="231F20"/>
              </w:rPr>
            </w:pPr>
          </w:p>
          <w:p w:rsidR="00E356DB" w:rsidRPr="00822BF4" w:rsidRDefault="00E7161C" w:rsidP="003816F7">
            <w:pPr>
              <w:pStyle w:val="ListParagraph"/>
              <w:numPr>
                <w:ilvl w:val="0"/>
                <w:numId w:val="24"/>
              </w:numPr>
              <w:spacing w:before="0" w:after="0"/>
              <w:rPr>
                <w:color w:val="231F20"/>
              </w:rPr>
            </w:pPr>
            <w:r w:rsidRPr="00822BF4">
              <w:rPr>
                <w:color w:val="231F20"/>
              </w:rPr>
              <w:t>widely disseminate information about internal and external services to staff and students, including: university counselling and medical services, campus</w:t>
            </w:r>
            <w:r w:rsidRPr="00822BF4">
              <w:rPr>
                <w:color w:val="231F20"/>
                <w:spacing w:val="-44"/>
              </w:rPr>
              <w:t xml:space="preserve"> </w:t>
            </w:r>
            <w:r w:rsidRPr="00822BF4">
              <w:rPr>
                <w:color w:val="231F20"/>
              </w:rPr>
              <w:t>security, local sexual assault services, police, medical centres, hospitals, counselling services and anti-discrimination</w:t>
            </w:r>
            <w:r w:rsidRPr="00822BF4">
              <w:rPr>
                <w:color w:val="231F20"/>
                <w:spacing w:val="-30"/>
              </w:rPr>
              <w:t xml:space="preserve"> </w:t>
            </w:r>
            <w:r w:rsidRPr="00822BF4">
              <w:rPr>
                <w:color w:val="231F20"/>
              </w:rPr>
              <w:t>agencies</w:t>
            </w:r>
          </w:p>
          <w:p w:rsidR="00E356DB" w:rsidRDefault="00E356DB" w:rsidP="00E356DB">
            <w:pPr>
              <w:spacing w:before="0" w:after="0"/>
              <w:rPr>
                <w:color w:val="231F20"/>
              </w:rPr>
            </w:pPr>
          </w:p>
          <w:p w:rsidR="00E356DB" w:rsidRPr="00822BF4" w:rsidRDefault="00E7161C" w:rsidP="003816F7">
            <w:pPr>
              <w:pStyle w:val="ListParagraph"/>
              <w:numPr>
                <w:ilvl w:val="0"/>
                <w:numId w:val="24"/>
              </w:numPr>
              <w:spacing w:before="0" w:after="0"/>
              <w:rPr>
                <w:color w:val="231F20"/>
              </w:rPr>
            </w:pPr>
            <w:r w:rsidRPr="00822BF4">
              <w:rPr>
                <w:color w:val="231F20"/>
              </w:rPr>
              <w:t xml:space="preserve">ensure that information about internal and external reporting procedures and support services is displayed </w:t>
            </w:r>
            <w:r w:rsidRPr="00822BF4">
              <w:rPr>
                <w:color w:val="231F20"/>
                <w:spacing w:val="-3"/>
              </w:rPr>
              <w:t xml:space="preserve">clearly, </w:t>
            </w:r>
            <w:r w:rsidRPr="00822BF4">
              <w:rPr>
                <w:color w:val="231F20"/>
              </w:rPr>
              <w:t>in a logical place(s) on the university</w:t>
            </w:r>
            <w:r w:rsidRPr="00822BF4">
              <w:rPr>
                <w:color w:val="231F20"/>
                <w:spacing w:val="-39"/>
              </w:rPr>
              <w:t xml:space="preserve"> </w:t>
            </w:r>
            <w:r w:rsidRPr="00822BF4">
              <w:rPr>
                <w:color w:val="231F20"/>
              </w:rPr>
              <w:t>website</w:t>
            </w:r>
          </w:p>
          <w:p w:rsidR="00E356DB" w:rsidRDefault="00E356DB" w:rsidP="00E356DB">
            <w:pPr>
              <w:spacing w:before="0" w:after="0"/>
              <w:rPr>
                <w:color w:val="231F20"/>
              </w:rPr>
            </w:pPr>
          </w:p>
          <w:p w:rsidR="00E356DB" w:rsidRPr="00822BF4" w:rsidRDefault="00E7161C" w:rsidP="003816F7">
            <w:pPr>
              <w:pStyle w:val="ListParagraph"/>
              <w:numPr>
                <w:ilvl w:val="0"/>
                <w:numId w:val="24"/>
              </w:numPr>
              <w:spacing w:before="0" w:after="0"/>
              <w:rPr>
                <w:color w:val="231F20"/>
              </w:rPr>
            </w:pPr>
            <w:r w:rsidRPr="00822BF4">
              <w:rPr>
                <w:color w:val="231F20"/>
              </w:rPr>
              <w:t>ensure that information about internal and external reporting procedures and support services is provided to students as part of their orientation into</w:t>
            </w:r>
            <w:r w:rsidRPr="00822BF4">
              <w:rPr>
                <w:color w:val="231F20"/>
                <w:spacing w:val="-41"/>
              </w:rPr>
              <w:t xml:space="preserve"> </w:t>
            </w:r>
            <w:r w:rsidRPr="00822BF4">
              <w:rPr>
                <w:color w:val="231F20"/>
              </w:rPr>
              <w:t>university and</w:t>
            </w:r>
            <w:r w:rsidRPr="00822BF4">
              <w:rPr>
                <w:color w:val="231F20"/>
                <w:spacing w:val="-6"/>
              </w:rPr>
              <w:t xml:space="preserve"> </w:t>
            </w:r>
            <w:r w:rsidRPr="00822BF4">
              <w:rPr>
                <w:color w:val="231F20"/>
              </w:rPr>
              <w:t>to</w:t>
            </w:r>
            <w:r w:rsidRPr="00822BF4">
              <w:rPr>
                <w:color w:val="231F20"/>
                <w:spacing w:val="-5"/>
              </w:rPr>
              <w:t xml:space="preserve"> </w:t>
            </w:r>
            <w:r w:rsidRPr="00822BF4">
              <w:rPr>
                <w:color w:val="231F20"/>
              </w:rPr>
              <w:t>new</w:t>
            </w:r>
            <w:r w:rsidRPr="00822BF4">
              <w:rPr>
                <w:color w:val="231F20"/>
                <w:spacing w:val="-6"/>
              </w:rPr>
              <w:t xml:space="preserve"> </w:t>
            </w:r>
            <w:r w:rsidRPr="00822BF4">
              <w:rPr>
                <w:color w:val="231F20"/>
              </w:rPr>
              <w:t>staff</w:t>
            </w:r>
            <w:r w:rsidRPr="00822BF4">
              <w:rPr>
                <w:color w:val="231F20"/>
                <w:spacing w:val="-5"/>
              </w:rPr>
              <w:t xml:space="preserve"> </w:t>
            </w:r>
            <w:r w:rsidRPr="00822BF4">
              <w:rPr>
                <w:color w:val="231F20"/>
              </w:rPr>
              <w:t>as</w:t>
            </w:r>
            <w:r w:rsidRPr="00822BF4">
              <w:rPr>
                <w:color w:val="231F20"/>
                <w:spacing w:val="-6"/>
              </w:rPr>
              <w:t xml:space="preserve"> </w:t>
            </w:r>
            <w:r w:rsidRPr="00822BF4">
              <w:rPr>
                <w:color w:val="231F20"/>
              </w:rPr>
              <w:t>part</w:t>
            </w:r>
            <w:r w:rsidRPr="00822BF4">
              <w:rPr>
                <w:color w:val="231F20"/>
                <w:spacing w:val="-6"/>
              </w:rPr>
              <w:t xml:space="preserve"> </w:t>
            </w:r>
            <w:r w:rsidRPr="00822BF4">
              <w:rPr>
                <w:color w:val="231F20"/>
              </w:rPr>
              <w:t>of</w:t>
            </w:r>
            <w:r w:rsidRPr="00822BF4">
              <w:rPr>
                <w:color w:val="231F20"/>
                <w:spacing w:val="-6"/>
              </w:rPr>
              <w:t xml:space="preserve"> </w:t>
            </w:r>
            <w:r w:rsidRPr="00822BF4">
              <w:rPr>
                <w:color w:val="231F20"/>
              </w:rPr>
              <w:t>their</w:t>
            </w:r>
            <w:r w:rsidRPr="00822BF4">
              <w:rPr>
                <w:color w:val="231F20"/>
                <w:spacing w:val="-5"/>
              </w:rPr>
              <w:t xml:space="preserve"> </w:t>
            </w:r>
            <w:r w:rsidRPr="00822BF4">
              <w:rPr>
                <w:color w:val="231F20"/>
              </w:rPr>
              <w:t>human</w:t>
            </w:r>
            <w:r w:rsidRPr="00822BF4">
              <w:rPr>
                <w:color w:val="231F20"/>
                <w:spacing w:val="-6"/>
              </w:rPr>
              <w:t xml:space="preserve"> </w:t>
            </w:r>
            <w:r w:rsidRPr="00822BF4">
              <w:rPr>
                <w:color w:val="231F20"/>
              </w:rPr>
              <w:t>resources</w:t>
            </w:r>
            <w:r w:rsidRPr="00822BF4">
              <w:rPr>
                <w:color w:val="231F20"/>
                <w:spacing w:val="-5"/>
              </w:rPr>
              <w:t xml:space="preserve"> </w:t>
            </w:r>
            <w:r w:rsidRPr="00822BF4">
              <w:rPr>
                <w:color w:val="231F20"/>
              </w:rPr>
              <w:t>induction/on-boarding</w:t>
            </w:r>
          </w:p>
          <w:p w:rsidR="00E356DB" w:rsidRDefault="00E356DB" w:rsidP="00E356DB">
            <w:pPr>
              <w:spacing w:before="0" w:after="0"/>
              <w:rPr>
                <w:color w:val="231F20"/>
              </w:rPr>
            </w:pPr>
          </w:p>
          <w:p w:rsidR="00E356DB" w:rsidRPr="00822BF4" w:rsidRDefault="00E7161C" w:rsidP="003816F7">
            <w:pPr>
              <w:pStyle w:val="ListParagraph"/>
              <w:numPr>
                <w:ilvl w:val="0"/>
                <w:numId w:val="24"/>
              </w:numPr>
              <w:spacing w:before="0" w:after="0"/>
              <w:rPr>
                <w:color w:val="231F20"/>
              </w:rPr>
            </w:pPr>
            <w:r w:rsidRPr="00822BF4">
              <w:rPr>
                <w:color w:val="231F20"/>
              </w:rPr>
              <w:t>ensure that information about internal and external reporting procedures and support services is accessible to all students and staff, including: people</w:t>
            </w:r>
            <w:r w:rsidRPr="00822BF4">
              <w:rPr>
                <w:color w:val="231F20"/>
                <w:spacing w:val="-41"/>
              </w:rPr>
              <w:t xml:space="preserve"> </w:t>
            </w:r>
            <w:r w:rsidRPr="00822BF4">
              <w:rPr>
                <w:color w:val="231F20"/>
              </w:rPr>
              <w:t xml:space="preserve">with </w:t>
            </w:r>
            <w:r w:rsidRPr="00822BF4">
              <w:rPr>
                <w:color w:val="231F20"/>
                <w:spacing w:val="-3"/>
              </w:rPr>
              <w:t xml:space="preserve">disability, </w:t>
            </w:r>
            <w:r w:rsidRPr="00822BF4">
              <w:rPr>
                <w:color w:val="231F20"/>
              </w:rPr>
              <w:t>people from CALD backgrounds,</w:t>
            </w:r>
            <w:r w:rsidRPr="00822BF4">
              <w:rPr>
                <w:color w:val="231F20"/>
                <w:spacing w:val="-16"/>
              </w:rPr>
              <w:t xml:space="preserve"> </w:t>
            </w:r>
            <w:r w:rsidRPr="00822BF4">
              <w:rPr>
                <w:color w:val="231F20"/>
              </w:rPr>
              <w:t>and</w:t>
            </w:r>
          </w:p>
          <w:p w:rsidR="00E356DB" w:rsidRDefault="00E356DB" w:rsidP="00E356DB">
            <w:pPr>
              <w:spacing w:before="0" w:after="0"/>
              <w:rPr>
                <w:color w:val="231F20"/>
              </w:rPr>
            </w:pPr>
          </w:p>
          <w:p w:rsidR="00E356DB" w:rsidRDefault="00E7161C" w:rsidP="003816F7">
            <w:pPr>
              <w:pStyle w:val="ListParagraph"/>
              <w:numPr>
                <w:ilvl w:val="0"/>
                <w:numId w:val="24"/>
              </w:numPr>
              <w:spacing w:before="0" w:after="0"/>
            </w:pPr>
            <w:r w:rsidRPr="00822BF4">
              <w:rPr>
                <w:color w:val="231F20"/>
              </w:rPr>
              <w:t>develop relationships with external services (local sexual assault service,</w:t>
            </w:r>
            <w:r w:rsidRPr="00822BF4">
              <w:rPr>
                <w:color w:val="231F20"/>
                <w:spacing w:val="-45"/>
              </w:rPr>
              <w:t xml:space="preserve"> </w:t>
            </w:r>
            <w:r w:rsidRPr="00822BF4">
              <w:rPr>
                <w:color w:val="231F20"/>
              </w:rPr>
              <w:t>local hospital) to enable referral of students to these services where</w:t>
            </w:r>
            <w:r w:rsidRPr="00822BF4">
              <w:rPr>
                <w:color w:val="231F20"/>
                <w:spacing w:val="-25"/>
              </w:rPr>
              <w:t xml:space="preserve"> </w:t>
            </w:r>
            <w:r w:rsidRPr="00822BF4">
              <w:rPr>
                <w:color w:val="231F20"/>
                <w:spacing w:val="-3"/>
              </w:rPr>
              <w:t>necessary.</w:t>
            </w:r>
          </w:p>
          <w:p w:rsidR="00E356DB" w:rsidRDefault="00E356DB" w:rsidP="00E356DB">
            <w:pPr>
              <w:spacing w:before="0" w:after="0"/>
            </w:pPr>
          </w:p>
          <w:p w:rsidR="00E7161C" w:rsidRDefault="00E7161C" w:rsidP="00E356DB">
            <w:pPr>
              <w:spacing w:before="0" w:after="0"/>
              <w:rPr>
                <w:color w:val="231F20"/>
              </w:rPr>
            </w:pPr>
            <w:r>
              <w:rPr>
                <w:color w:val="231F20"/>
              </w:rPr>
              <w:t>Universities</w:t>
            </w:r>
            <w:r>
              <w:rPr>
                <w:color w:val="231F20"/>
                <w:spacing w:val="-6"/>
              </w:rPr>
              <w:t xml:space="preserve"> </w:t>
            </w:r>
            <w:r>
              <w:rPr>
                <w:color w:val="231F20"/>
              </w:rPr>
              <w:t>should</w:t>
            </w:r>
            <w:r>
              <w:rPr>
                <w:color w:val="231F20"/>
                <w:spacing w:val="-5"/>
              </w:rPr>
              <w:t xml:space="preserve"> </w:t>
            </w:r>
            <w:r>
              <w:rPr>
                <w:color w:val="231F20"/>
              </w:rPr>
              <w:t>evaluate</w:t>
            </w:r>
            <w:r>
              <w:rPr>
                <w:color w:val="231F20"/>
                <w:spacing w:val="-6"/>
              </w:rPr>
              <w:t xml:space="preserve"> </w:t>
            </w:r>
            <w:r>
              <w:rPr>
                <w:color w:val="231F20"/>
              </w:rPr>
              <w:t>the</w:t>
            </w:r>
            <w:r>
              <w:rPr>
                <w:color w:val="231F20"/>
                <w:spacing w:val="-5"/>
              </w:rPr>
              <w:t xml:space="preserve"> </w:t>
            </w:r>
            <w:r>
              <w:rPr>
                <w:color w:val="231F20"/>
              </w:rPr>
              <w:t>activities</w:t>
            </w:r>
            <w:r>
              <w:rPr>
                <w:color w:val="231F20"/>
                <w:spacing w:val="-6"/>
              </w:rPr>
              <w:t xml:space="preserve"> </w:t>
            </w:r>
            <w:r>
              <w:rPr>
                <w:color w:val="231F20"/>
              </w:rPr>
              <w:t>undertaken</w:t>
            </w:r>
            <w:r>
              <w:rPr>
                <w:color w:val="231F20"/>
                <w:spacing w:val="-6"/>
              </w:rPr>
              <w:t xml:space="preserve"> </w:t>
            </w:r>
            <w:r>
              <w:rPr>
                <w:color w:val="231F20"/>
              </w:rPr>
              <w:t>to</w:t>
            </w:r>
            <w:r>
              <w:rPr>
                <w:color w:val="231F20"/>
                <w:spacing w:val="-5"/>
              </w:rPr>
              <w:t xml:space="preserve"> </w:t>
            </w:r>
            <w:r>
              <w:rPr>
                <w:color w:val="231F20"/>
              </w:rPr>
              <w:t>increase</w:t>
            </w:r>
            <w:r>
              <w:rPr>
                <w:color w:val="231F20"/>
                <w:spacing w:val="-6"/>
              </w:rPr>
              <w:t xml:space="preserve"> </w:t>
            </w:r>
            <w:r>
              <w:rPr>
                <w:color w:val="231F20"/>
              </w:rPr>
              <w:t>awareness</w:t>
            </w:r>
            <w:r>
              <w:rPr>
                <w:color w:val="231F20"/>
                <w:spacing w:val="-6"/>
              </w:rPr>
              <w:t xml:space="preserve"> </w:t>
            </w:r>
            <w:r>
              <w:rPr>
                <w:color w:val="231F20"/>
              </w:rPr>
              <w:t>of</w:t>
            </w:r>
            <w:r>
              <w:rPr>
                <w:color w:val="231F20"/>
                <w:spacing w:val="-6"/>
              </w:rPr>
              <w:t xml:space="preserve"> </w:t>
            </w:r>
            <w:r>
              <w:rPr>
                <w:color w:val="231F20"/>
              </w:rPr>
              <w:t>support services and reporting processes to ensure that these measures have been effective in increasing awareness among staff and</w:t>
            </w:r>
            <w:r>
              <w:rPr>
                <w:color w:val="231F20"/>
                <w:spacing w:val="-31"/>
              </w:rPr>
              <w:t xml:space="preserve"> </w:t>
            </w:r>
            <w:r>
              <w:rPr>
                <w:color w:val="231F20"/>
              </w:rPr>
              <w:t>students.</w:t>
            </w:r>
          </w:p>
          <w:p w:rsidR="00E356DB" w:rsidRPr="0013252A" w:rsidRDefault="00E356DB" w:rsidP="00E356DB">
            <w:pPr>
              <w:spacing w:before="0" w:after="0"/>
            </w:pPr>
          </w:p>
        </w:tc>
        <w:tc>
          <w:tcPr>
            <w:tcW w:w="5953" w:type="dxa"/>
          </w:tcPr>
          <w:p w:rsidR="0013252A" w:rsidRPr="00657221" w:rsidRDefault="0013252A" w:rsidP="00657221">
            <w:pPr>
              <w:pStyle w:val="ListParagraph"/>
              <w:spacing w:before="0" w:after="0"/>
            </w:pPr>
          </w:p>
          <w:p w:rsidR="00566C8A" w:rsidRDefault="00566C8A" w:rsidP="00657221">
            <w:pPr>
              <w:spacing w:before="0" w:after="0"/>
            </w:pPr>
            <w:r w:rsidRPr="00566C8A">
              <w:t xml:space="preserve">UTS has ensured widespread </w:t>
            </w:r>
            <w:r>
              <w:t>awareness of support services and reporting processes through initiatives including:</w:t>
            </w:r>
          </w:p>
          <w:p w:rsidR="00566C8A" w:rsidRDefault="00566C8A" w:rsidP="00657221">
            <w:pPr>
              <w:pStyle w:val="ListParagraph"/>
              <w:spacing w:before="0" w:after="0"/>
            </w:pPr>
          </w:p>
          <w:p w:rsidR="001C1B71" w:rsidRPr="00657221" w:rsidRDefault="00822BF4" w:rsidP="003816F7">
            <w:pPr>
              <w:pStyle w:val="ListParagraph"/>
              <w:numPr>
                <w:ilvl w:val="0"/>
                <w:numId w:val="16"/>
              </w:numPr>
              <w:spacing w:before="0" w:after="0"/>
            </w:pPr>
            <w:r w:rsidRPr="00657221">
              <w:t>U</w:t>
            </w:r>
            <w:r w:rsidR="001C1B71" w:rsidRPr="00657221">
              <w:t>sing the expertise within our Design Innovation Research Centre to examine student-informed ways of improving the experience of reporting incidents of sexual assault and harassment and accessing support.</w:t>
            </w:r>
          </w:p>
          <w:p w:rsidR="001C1B71" w:rsidRPr="00657221" w:rsidRDefault="001C1B71" w:rsidP="00657221">
            <w:pPr>
              <w:pStyle w:val="ListParagraph"/>
              <w:spacing w:before="0" w:after="0"/>
            </w:pPr>
          </w:p>
          <w:p w:rsidR="001C1B71" w:rsidRDefault="00822BF4" w:rsidP="003816F7">
            <w:pPr>
              <w:pStyle w:val="ListParagraph"/>
              <w:numPr>
                <w:ilvl w:val="0"/>
                <w:numId w:val="16"/>
              </w:numPr>
              <w:spacing w:before="0" w:after="0"/>
            </w:pPr>
            <w:r w:rsidRPr="00657221">
              <w:t>I</w:t>
            </w:r>
            <w:r w:rsidR="001C1B71" w:rsidRPr="00657221">
              <w:t>ntroduc</w:t>
            </w:r>
            <w:r w:rsidRPr="00657221">
              <w:t>ing</w:t>
            </w:r>
            <w:r w:rsidR="001C1B71" w:rsidRPr="00657221">
              <w:t xml:space="preserve"> an online portal for those who wish to make a disclosure about sexual harassment or sexual assault but prefer not to do so in person, on campus. </w:t>
            </w:r>
          </w:p>
          <w:p w:rsidR="00CF0C47" w:rsidRDefault="00CF0C47" w:rsidP="00CF0C47">
            <w:pPr>
              <w:pStyle w:val="ListParagraph"/>
            </w:pPr>
          </w:p>
          <w:p w:rsidR="00CF0C47" w:rsidRDefault="00CF0C47" w:rsidP="00CF0C47">
            <w:pPr>
              <w:pStyle w:val="ListParagraph"/>
              <w:numPr>
                <w:ilvl w:val="0"/>
                <w:numId w:val="16"/>
              </w:numPr>
              <w:spacing w:before="0" w:after="0"/>
            </w:pPr>
            <w:r>
              <w:t>I</w:t>
            </w:r>
            <w:r w:rsidRPr="00657221">
              <w:t>ntroduc</w:t>
            </w:r>
            <w:r>
              <w:t xml:space="preserve">ing </w:t>
            </w:r>
            <w:r w:rsidRPr="00657221">
              <w:t>mandatory online reporting for all staff who receive a disclosure or are aware of an incident of sexual violence involving a student.</w:t>
            </w:r>
          </w:p>
          <w:p w:rsidR="00CF0C47" w:rsidRPr="00657221" w:rsidRDefault="00CF0C47" w:rsidP="00CF0C47">
            <w:pPr>
              <w:pStyle w:val="ListParagraph"/>
              <w:spacing w:before="0" w:after="0"/>
            </w:pPr>
          </w:p>
          <w:p w:rsidR="00657221" w:rsidRPr="00657221" w:rsidRDefault="00657221" w:rsidP="00657221">
            <w:pPr>
              <w:pStyle w:val="ListParagraph"/>
              <w:spacing w:before="0" w:after="0"/>
            </w:pPr>
          </w:p>
          <w:p w:rsidR="00822BF4" w:rsidRPr="00657221" w:rsidRDefault="00822BF4" w:rsidP="003816F7">
            <w:pPr>
              <w:pStyle w:val="ListParagraph"/>
              <w:numPr>
                <w:ilvl w:val="0"/>
                <w:numId w:val="16"/>
              </w:numPr>
              <w:spacing w:before="0" w:after="0"/>
            </w:pPr>
            <w:r w:rsidRPr="00657221">
              <w:t>A f</w:t>
            </w:r>
            <w:r w:rsidR="001C1B71" w:rsidRPr="00657221">
              <w:t xml:space="preserve">ormal MOU with Relationships Australia NSW </w:t>
            </w:r>
            <w:r w:rsidRPr="00657221">
              <w:t xml:space="preserve">on </w:t>
            </w:r>
            <w:r w:rsidR="001C1B71" w:rsidRPr="00657221">
              <w:t>a new way for students to self-select a counsellor through a separate online service that lists UTS counsellors and more than 100 other professionals.</w:t>
            </w:r>
          </w:p>
          <w:p w:rsidR="001C1B71" w:rsidRPr="00657221" w:rsidRDefault="001C1B71" w:rsidP="00657221">
            <w:pPr>
              <w:pStyle w:val="ListParagraph"/>
              <w:spacing w:before="0" w:after="0"/>
            </w:pPr>
          </w:p>
          <w:p w:rsidR="001C1B71" w:rsidRPr="00657221" w:rsidRDefault="001C1B71" w:rsidP="003816F7">
            <w:pPr>
              <w:pStyle w:val="ListParagraph"/>
              <w:numPr>
                <w:ilvl w:val="0"/>
                <w:numId w:val="16"/>
              </w:numPr>
              <w:spacing w:before="0" w:after="0"/>
            </w:pPr>
            <w:r w:rsidRPr="00657221">
              <w:t xml:space="preserve">Emergency numbers included on the reverse of newly issued student and staff cards from 2018. </w:t>
            </w:r>
          </w:p>
          <w:p w:rsidR="001C1B71" w:rsidRPr="00657221" w:rsidRDefault="001C1B71" w:rsidP="00657221">
            <w:pPr>
              <w:pStyle w:val="ListParagraph"/>
              <w:spacing w:before="0" w:after="0"/>
            </w:pPr>
          </w:p>
          <w:p w:rsidR="00822BF4" w:rsidRPr="00657221" w:rsidRDefault="00657221" w:rsidP="003816F7">
            <w:pPr>
              <w:pStyle w:val="ListParagraph"/>
              <w:numPr>
                <w:ilvl w:val="0"/>
                <w:numId w:val="16"/>
              </w:numPr>
              <w:spacing w:before="0" w:after="0"/>
            </w:pPr>
            <w:r w:rsidRPr="00657221">
              <w:t>Including a focus on respectful relationships and support services in o</w:t>
            </w:r>
            <w:r w:rsidR="00822BF4" w:rsidRPr="00657221">
              <w:t>nboar</w:t>
            </w:r>
            <w:r w:rsidRPr="00657221">
              <w:t>ding student communications</w:t>
            </w:r>
            <w:r w:rsidR="00822BF4" w:rsidRPr="00657221">
              <w:t>.</w:t>
            </w:r>
          </w:p>
          <w:p w:rsidR="00822BF4" w:rsidRPr="00657221" w:rsidRDefault="00822BF4" w:rsidP="00657221">
            <w:pPr>
              <w:pStyle w:val="ListParagraph"/>
              <w:spacing w:before="0" w:after="0"/>
            </w:pPr>
          </w:p>
          <w:p w:rsidR="00822BF4" w:rsidRPr="00657221" w:rsidRDefault="00657221" w:rsidP="003816F7">
            <w:pPr>
              <w:pStyle w:val="ListParagraph"/>
              <w:numPr>
                <w:ilvl w:val="0"/>
                <w:numId w:val="16"/>
              </w:numPr>
              <w:spacing w:before="0" w:after="0"/>
            </w:pPr>
            <w:r w:rsidRPr="00657221">
              <w:t>U</w:t>
            </w:r>
            <w:r w:rsidR="00822BF4" w:rsidRPr="00657221">
              <w:t xml:space="preserve">pdated onboarding resources for new staff, promoting a </w:t>
            </w:r>
            <w:r w:rsidR="00CB7679" w:rsidRPr="00657221">
              <w:t>zero-tolerance</w:t>
            </w:r>
            <w:r w:rsidR="00822BF4" w:rsidRPr="00657221">
              <w:t xml:space="preserve"> culture around sexual assault and harassment and reporting responsibilities.</w:t>
            </w:r>
          </w:p>
          <w:p w:rsidR="00822BF4" w:rsidRPr="00657221" w:rsidRDefault="00822BF4" w:rsidP="00657221">
            <w:pPr>
              <w:pStyle w:val="ListParagraph"/>
              <w:spacing w:before="0" w:after="0"/>
            </w:pPr>
          </w:p>
          <w:p w:rsidR="00822BF4" w:rsidRDefault="00822BF4" w:rsidP="003816F7">
            <w:pPr>
              <w:pStyle w:val="ListParagraph"/>
              <w:numPr>
                <w:ilvl w:val="0"/>
                <w:numId w:val="16"/>
              </w:numPr>
              <w:spacing w:before="0" w:after="0"/>
            </w:pPr>
            <w:r w:rsidRPr="00657221">
              <w:t>Production of an ActivateUTS emergency contact card for students attending off-site events.</w:t>
            </w:r>
          </w:p>
          <w:p w:rsidR="00CF0C47" w:rsidRDefault="00CF0C47" w:rsidP="00CF0C47">
            <w:pPr>
              <w:pStyle w:val="ListParagraph"/>
            </w:pPr>
          </w:p>
          <w:p w:rsidR="00CF0C47" w:rsidRPr="00657221" w:rsidRDefault="00CF0C47" w:rsidP="003816F7">
            <w:pPr>
              <w:pStyle w:val="ListParagraph"/>
              <w:numPr>
                <w:ilvl w:val="0"/>
                <w:numId w:val="16"/>
              </w:numPr>
              <w:spacing w:before="0" w:after="0"/>
            </w:pPr>
            <w:r>
              <w:t xml:space="preserve">An audit of all online information pertaining to sexual assault and harassment reporting and support services within the UTS web environment, followed by improvements. </w:t>
            </w:r>
          </w:p>
          <w:p w:rsidR="00822BF4" w:rsidRPr="00657221" w:rsidRDefault="00822BF4" w:rsidP="00657221">
            <w:pPr>
              <w:pStyle w:val="ListParagraph"/>
              <w:spacing w:before="0" w:after="0"/>
            </w:pPr>
          </w:p>
          <w:p w:rsidR="00822BF4" w:rsidRPr="00657221" w:rsidRDefault="00822BF4" w:rsidP="003816F7">
            <w:pPr>
              <w:pStyle w:val="ListParagraph"/>
              <w:numPr>
                <w:ilvl w:val="0"/>
                <w:numId w:val="16"/>
              </w:numPr>
              <w:spacing w:before="0" w:after="0"/>
            </w:pPr>
            <w:r w:rsidRPr="00657221">
              <w:t xml:space="preserve">Consultation with faculty staff to create an Academic Staff Engagement Strategy and </w:t>
            </w:r>
            <w:r w:rsidRPr="00657221">
              <w:lastRenderedPageBreak/>
              <w:t>identify opportunities to facilitate the transparent management of reporting incidents.</w:t>
            </w:r>
          </w:p>
          <w:p w:rsidR="00822BF4" w:rsidRDefault="00822BF4" w:rsidP="00657221">
            <w:pPr>
              <w:pStyle w:val="ListParagraph"/>
              <w:spacing w:before="0" w:after="0"/>
            </w:pPr>
          </w:p>
          <w:p w:rsidR="00822BF4" w:rsidRDefault="00657221" w:rsidP="00CF0C47">
            <w:pPr>
              <w:pStyle w:val="ListParagraph"/>
              <w:numPr>
                <w:ilvl w:val="0"/>
                <w:numId w:val="16"/>
              </w:numPr>
              <w:spacing w:before="0" w:after="0"/>
            </w:pPr>
            <w:r>
              <w:t xml:space="preserve">The </w:t>
            </w:r>
            <w:r w:rsidR="00822BF4" w:rsidRPr="00E8245B">
              <w:t xml:space="preserve">biennial UTS Housing survey has been updated to help </w:t>
            </w:r>
            <w:r>
              <w:t xml:space="preserve">the university </w:t>
            </w:r>
            <w:r w:rsidR="00822BF4" w:rsidRPr="00E8245B">
              <w:t>understand the extent of residents’ awareness of UTS support services.</w:t>
            </w:r>
          </w:p>
          <w:p w:rsidR="00CF0C47" w:rsidRPr="00657221" w:rsidRDefault="00CF0C47" w:rsidP="00CF0C47">
            <w:pPr>
              <w:spacing w:before="0" w:after="0"/>
            </w:pPr>
          </w:p>
        </w:tc>
        <w:tc>
          <w:tcPr>
            <w:tcW w:w="3225" w:type="dxa"/>
          </w:tcPr>
          <w:p w:rsidR="0013252A" w:rsidRDefault="0013252A" w:rsidP="00CB7679">
            <w:pPr>
              <w:spacing w:before="0" w:after="0"/>
            </w:pPr>
          </w:p>
          <w:p w:rsidR="00DC7446" w:rsidRPr="00CB7679" w:rsidRDefault="00DC7446" w:rsidP="00CB7679">
            <w:pPr>
              <w:spacing w:before="0" w:after="0"/>
            </w:pPr>
            <w:r>
              <w:t>UTS will continue to review our engagement strategy with our staff and st</w:t>
            </w:r>
            <w:bookmarkStart w:id="0" w:name="_GoBack"/>
            <w:bookmarkEnd w:id="0"/>
            <w:r>
              <w:t>aff to maintain a focus on focus the prevalence of sexual assault and sexual harassment.</w:t>
            </w:r>
          </w:p>
        </w:tc>
      </w:tr>
      <w:tr w:rsidR="0013252A" w:rsidTr="00E9424A">
        <w:trPr>
          <w:trHeight w:val="276"/>
        </w:trPr>
        <w:tc>
          <w:tcPr>
            <w:tcW w:w="5382" w:type="dxa"/>
          </w:tcPr>
          <w:p w:rsidR="0013252A" w:rsidRDefault="0013252A" w:rsidP="0013252A">
            <w:pPr>
              <w:spacing w:before="0" w:after="0"/>
              <w:jc w:val="center"/>
            </w:pPr>
            <w:r w:rsidRPr="0013252A">
              <w:lastRenderedPageBreak/>
              <w:t>4</w:t>
            </w:r>
          </w:p>
          <w:p w:rsidR="00E356DB" w:rsidRDefault="00E7161C" w:rsidP="00E356DB">
            <w:pPr>
              <w:spacing w:before="0" w:after="0"/>
              <w:rPr>
                <w:color w:val="231F20"/>
              </w:rPr>
            </w:pPr>
            <w:r w:rsidRPr="00E356DB">
              <w:rPr>
                <w:color w:val="231F20"/>
              </w:rPr>
              <w:t>In order to ensure that actions taken by universities to prevent and respond to sexual assault and sexual harassment are</w:t>
            </w:r>
            <w:r>
              <w:rPr>
                <w:color w:val="231F20"/>
              </w:rPr>
              <w:t xml:space="preserve"> appropriate, within a year of the release of this report universities should commission an independent, expert-led review of existing university policies and response pathways in relation to sexual assault and sexual harassment.</w:t>
            </w:r>
          </w:p>
          <w:p w:rsidR="00E356DB" w:rsidRDefault="00E356DB" w:rsidP="00E356DB">
            <w:pPr>
              <w:spacing w:before="0" w:after="0"/>
              <w:rPr>
                <w:color w:val="231F20"/>
              </w:rPr>
            </w:pPr>
          </w:p>
          <w:p w:rsidR="00E356DB" w:rsidRDefault="00E7161C" w:rsidP="00E356DB">
            <w:pPr>
              <w:spacing w:before="0" w:after="0"/>
              <w:rPr>
                <w:color w:val="231F20"/>
              </w:rPr>
            </w:pPr>
            <w:r>
              <w:rPr>
                <w:color w:val="231F20"/>
              </w:rPr>
              <w:t>This review should assess the effectiveness of existing university policies and pathways and make specific recommendations to universities about best practice responses to sexual assault and sexual harassment.</w:t>
            </w:r>
          </w:p>
          <w:p w:rsidR="00E356DB" w:rsidRDefault="00E356DB" w:rsidP="00E356DB">
            <w:pPr>
              <w:spacing w:before="0" w:after="0"/>
              <w:rPr>
                <w:color w:val="231F20"/>
              </w:rPr>
            </w:pPr>
          </w:p>
          <w:p w:rsidR="00E356DB" w:rsidRDefault="00E7161C" w:rsidP="00E356DB">
            <w:pPr>
              <w:spacing w:before="0" w:after="0"/>
              <w:rPr>
                <w:color w:val="231F20"/>
              </w:rPr>
            </w:pPr>
            <w:r>
              <w:rPr>
                <w:color w:val="231F20"/>
              </w:rPr>
              <w:t>In the interim, and at an institutional level, universities should draw on sexual violence counselling expertise to develop and review processes for responding to sexual assault and sexual harassment of students to ensure that they:</w:t>
            </w:r>
          </w:p>
          <w:p w:rsidR="00E356DB" w:rsidRDefault="00E356DB" w:rsidP="00E356DB">
            <w:pPr>
              <w:spacing w:before="0" w:after="0"/>
              <w:rPr>
                <w:color w:val="231F20"/>
              </w:rPr>
            </w:pPr>
          </w:p>
          <w:p w:rsidR="00E356DB" w:rsidRPr="0091782F" w:rsidRDefault="00E7161C" w:rsidP="003816F7">
            <w:pPr>
              <w:pStyle w:val="ListParagraph"/>
              <w:numPr>
                <w:ilvl w:val="0"/>
                <w:numId w:val="25"/>
              </w:numPr>
              <w:spacing w:before="0" w:after="0"/>
              <w:rPr>
                <w:color w:val="231F20"/>
              </w:rPr>
            </w:pPr>
            <w:r w:rsidRPr="0091782F">
              <w:rPr>
                <w:color w:val="231F20"/>
              </w:rPr>
              <w:t>ensure</w:t>
            </w:r>
            <w:r w:rsidRPr="0091782F">
              <w:rPr>
                <w:color w:val="231F20"/>
                <w:spacing w:val="-6"/>
              </w:rPr>
              <w:t xml:space="preserve"> </w:t>
            </w:r>
            <w:r w:rsidRPr="0091782F">
              <w:rPr>
                <w:color w:val="231F20"/>
              </w:rPr>
              <w:t>the</w:t>
            </w:r>
            <w:r w:rsidRPr="0091782F">
              <w:rPr>
                <w:color w:val="231F20"/>
                <w:spacing w:val="-5"/>
              </w:rPr>
              <w:t xml:space="preserve"> </w:t>
            </w:r>
            <w:r w:rsidRPr="0091782F">
              <w:rPr>
                <w:color w:val="231F20"/>
              </w:rPr>
              <w:t>immediate</w:t>
            </w:r>
            <w:r w:rsidRPr="0091782F">
              <w:rPr>
                <w:color w:val="231F20"/>
                <w:spacing w:val="-6"/>
              </w:rPr>
              <w:t xml:space="preserve"> </w:t>
            </w:r>
            <w:r w:rsidRPr="0091782F">
              <w:rPr>
                <w:color w:val="231F20"/>
              </w:rPr>
              <w:t>safety</w:t>
            </w:r>
            <w:r w:rsidRPr="0091782F">
              <w:rPr>
                <w:color w:val="231F20"/>
                <w:spacing w:val="-5"/>
              </w:rPr>
              <w:t xml:space="preserve"> </w:t>
            </w:r>
            <w:r w:rsidRPr="0091782F">
              <w:rPr>
                <w:color w:val="231F20"/>
              </w:rPr>
              <w:t>and</w:t>
            </w:r>
            <w:r w:rsidRPr="0091782F">
              <w:rPr>
                <w:color w:val="231F20"/>
                <w:spacing w:val="-6"/>
              </w:rPr>
              <w:t xml:space="preserve"> </w:t>
            </w:r>
            <w:r w:rsidRPr="0091782F">
              <w:rPr>
                <w:color w:val="231F20"/>
              </w:rPr>
              <w:t>wellbeing</w:t>
            </w:r>
            <w:r w:rsidRPr="0091782F">
              <w:rPr>
                <w:color w:val="231F20"/>
                <w:spacing w:val="-6"/>
              </w:rPr>
              <w:t xml:space="preserve"> </w:t>
            </w:r>
            <w:r w:rsidRPr="0091782F">
              <w:rPr>
                <w:color w:val="231F20"/>
              </w:rPr>
              <w:t>of</w:t>
            </w:r>
            <w:r w:rsidRPr="0091782F">
              <w:rPr>
                <w:color w:val="231F20"/>
                <w:spacing w:val="-6"/>
              </w:rPr>
              <w:t xml:space="preserve"> </w:t>
            </w:r>
            <w:r w:rsidRPr="0091782F">
              <w:rPr>
                <w:color w:val="231F20"/>
              </w:rPr>
              <w:t>the</w:t>
            </w:r>
            <w:r w:rsidRPr="0091782F">
              <w:rPr>
                <w:color w:val="231F20"/>
                <w:spacing w:val="-5"/>
              </w:rPr>
              <w:t xml:space="preserve"> </w:t>
            </w:r>
            <w:r w:rsidRPr="0091782F">
              <w:rPr>
                <w:color w:val="231F20"/>
              </w:rPr>
              <w:t>individual</w:t>
            </w:r>
            <w:r w:rsidRPr="0091782F">
              <w:rPr>
                <w:color w:val="231F20"/>
                <w:spacing w:val="-6"/>
              </w:rPr>
              <w:t xml:space="preserve"> </w:t>
            </w:r>
            <w:r w:rsidRPr="0091782F">
              <w:rPr>
                <w:color w:val="231F20"/>
              </w:rPr>
              <w:t>who</w:t>
            </w:r>
            <w:r w:rsidRPr="0091782F">
              <w:rPr>
                <w:color w:val="231F20"/>
                <w:spacing w:val="-6"/>
              </w:rPr>
              <w:t xml:space="preserve"> </w:t>
            </w:r>
            <w:r w:rsidRPr="0091782F">
              <w:rPr>
                <w:color w:val="231F20"/>
              </w:rPr>
              <w:t>has</w:t>
            </w:r>
            <w:r w:rsidRPr="0091782F">
              <w:rPr>
                <w:color w:val="231F20"/>
                <w:spacing w:val="-6"/>
              </w:rPr>
              <w:t xml:space="preserve"> </w:t>
            </w:r>
            <w:r w:rsidRPr="0091782F">
              <w:rPr>
                <w:color w:val="231F20"/>
              </w:rPr>
              <w:t>experienced the sexual assault or sexual</w:t>
            </w:r>
            <w:r w:rsidRPr="0091782F">
              <w:rPr>
                <w:color w:val="231F20"/>
                <w:spacing w:val="-19"/>
              </w:rPr>
              <w:t xml:space="preserve"> </w:t>
            </w:r>
            <w:r w:rsidRPr="0091782F">
              <w:rPr>
                <w:color w:val="231F20"/>
              </w:rPr>
              <w:t>harassment</w:t>
            </w:r>
          </w:p>
          <w:p w:rsidR="00E356DB" w:rsidRDefault="00E356DB" w:rsidP="00E356DB">
            <w:pPr>
              <w:spacing w:before="0" w:after="0"/>
              <w:rPr>
                <w:color w:val="231F20"/>
              </w:rPr>
            </w:pPr>
          </w:p>
          <w:p w:rsidR="00E356DB" w:rsidRPr="0091782F" w:rsidRDefault="00E7161C" w:rsidP="003816F7">
            <w:pPr>
              <w:pStyle w:val="ListParagraph"/>
              <w:numPr>
                <w:ilvl w:val="0"/>
                <w:numId w:val="25"/>
              </w:numPr>
              <w:spacing w:before="0" w:after="0"/>
              <w:rPr>
                <w:color w:val="231F20"/>
              </w:rPr>
            </w:pPr>
            <w:r w:rsidRPr="0091782F">
              <w:rPr>
                <w:color w:val="231F20"/>
              </w:rPr>
              <w:t>are clear and</w:t>
            </w:r>
            <w:r w:rsidRPr="0091782F">
              <w:rPr>
                <w:color w:val="231F20"/>
                <w:spacing w:val="-16"/>
              </w:rPr>
              <w:t xml:space="preserve"> </w:t>
            </w:r>
            <w:r w:rsidRPr="0091782F">
              <w:rPr>
                <w:color w:val="231F20"/>
              </w:rPr>
              <w:t>accessible</w:t>
            </w:r>
          </w:p>
          <w:p w:rsidR="00E356DB" w:rsidRDefault="00E356DB" w:rsidP="00E356DB">
            <w:pPr>
              <w:spacing w:before="0" w:after="0"/>
              <w:rPr>
                <w:color w:val="231F20"/>
              </w:rPr>
            </w:pPr>
          </w:p>
          <w:p w:rsidR="00E356DB" w:rsidRPr="0091782F" w:rsidRDefault="00E7161C" w:rsidP="003816F7">
            <w:pPr>
              <w:pStyle w:val="ListParagraph"/>
              <w:numPr>
                <w:ilvl w:val="0"/>
                <w:numId w:val="25"/>
              </w:numPr>
              <w:spacing w:before="0" w:after="0"/>
              <w:rPr>
                <w:color w:val="231F20"/>
              </w:rPr>
            </w:pPr>
            <w:r w:rsidRPr="0091782F">
              <w:rPr>
                <w:color w:val="231F20"/>
              </w:rPr>
              <w:t>provide individuals with control over what happens to their</w:t>
            </w:r>
            <w:r w:rsidRPr="0091782F">
              <w:rPr>
                <w:color w:val="231F20"/>
                <w:spacing w:val="-37"/>
              </w:rPr>
              <w:t xml:space="preserve"> </w:t>
            </w:r>
            <w:r w:rsidRPr="0091782F">
              <w:rPr>
                <w:color w:val="231F20"/>
              </w:rPr>
              <w:t>report</w:t>
            </w:r>
          </w:p>
          <w:p w:rsidR="00E356DB" w:rsidRDefault="00E356DB" w:rsidP="00E356DB">
            <w:pPr>
              <w:spacing w:before="0" w:after="0"/>
              <w:rPr>
                <w:color w:val="231F20"/>
              </w:rPr>
            </w:pPr>
          </w:p>
          <w:p w:rsidR="00E356DB" w:rsidRPr="0091782F" w:rsidRDefault="00E7161C" w:rsidP="003816F7">
            <w:pPr>
              <w:pStyle w:val="ListParagraph"/>
              <w:numPr>
                <w:ilvl w:val="0"/>
                <w:numId w:val="25"/>
              </w:numPr>
              <w:spacing w:before="0" w:after="0"/>
              <w:rPr>
                <w:color w:val="231F20"/>
              </w:rPr>
            </w:pPr>
            <w:r w:rsidRPr="0091782F">
              <w:rPr>
                <w:color w:val="231F20"/>
              </w:rPr>
              <w:t>have the flexibility to suit individual</w:t>
            </w:r>
            <w:r w:rsidRPr="0091782F">
              <w:rPr>
                <w:color w:val="231F20"/>
                <w:spacing w:val="-14"/>
              </w:rPr>
              <w:t xml:space="preserve"> </w:t>
            </w:r>
            <w:r w:rsidRPr="0091782F">
              <w:rPr>
                <w:color w:val="231F20"/>
              </w:rPr>
              <w:t>circumstances</w:t>
            </w:r>
          </w:p>
          <w:p w:rsidR="00E356DB" w:rsidRDefault="00E356DB" w:rsidP="00E356DB">
            <w:pPr>
              <w:spacing w:before="0" w:after="0"/>
              <w:rPr>
                <w:color w:val="231F20"/>
              </w:rPr>
            </w:pPr>
          </w:p>
          <w:p w:rsidR="00E356DB" w:rsidRPr="0091782F" w:rsidRDefault="00E7161C" w:rsidP="003816F7">
            <w:pPr>
              <w:pStyle w:val="ListParagraph"/>
              <w:numPr>
                <w:ilvl w:val="0"/>
                <w:numId w:val="25"/>
              </w:numPr>
              <w:spacing w:before="0" w:after="0"/>
              <w:rPr>
                <w:color w:val="231F20"/>
              </w:rPr>
            </w:pPr>
            <w:r w:rsidRPr="0091782F">
              <w:rPr>
                <w:color w:val="231F20"/>
              </w:rPr>
              <w:t>provide students with support to continue with their</w:t>
            </w:r>
            <w:r w:rsidRPr="0091782F">
              <w:rPr>
                <w:color w:val="231F20"/>
                <w:spacing w:val="-15"/>
              </w:rPr>
              <w:t xml:space="preserve"> </w:t>
            </w:r>
            <w:r w:rsidRPr="0091782F">
              <w:rPr>
                <w:color w:val="231F20"/>
              </w:rPr>
              <w:t>studies</w:t>
            </w:r>
          </w:p>
          <w:p w:rsidR="00E356DB" w:rsidRDefault="00E356DB" w:rsidP="00E356DB">
            <w:pPr>
              <w:spacing w:before="0" w:after="0"/>
              <w:rPr>
                <w:color w:val="231F20"/>
              </w:rPr>
            </w:pPr>
          </w:p>
          <w:p w:rsidR="00E356DB" w:rsidRPr="0091782F" w:rsidRDefault="00E7161C" w:rsidP="003816F7">
            <w:pPr>
              <w:pStyle w:val="ListParagraph"/>
              <w:numPr>
                <w:ilvl w:val="0"/>
                <w:numId w:val="25"/>
              </w:numPr>
              <w:spacing w:before="0" w:after="0"/>
              <w:rPr>
                <w:color w:val="231F20"/>
              </w:rPr>
            </w:pPr>
            <w:r w:rsidRPr="0091782F">
              <w:rPr>
                <w:color w:val="231F20"/>
              </w:rPr>
              <w:t>provide specialist support, from someone who has specialist expertise and training in sexual assault, sexual harassment and trauma counselling of sexual assault survivors,</w:t>
            </w:r>
            <w:r w:rsidRPr="0091782F">
              <w:rPr>
                <w:color w:val="231F20"/>
                <w:spacing w:val="-3"/>
              </w:rPr>
              <w:t xml:space="preserve"> </w:t>
            </w:r>
            <w:r w:rsidR="00E356DB" w:rsidRPr="0091782F">
              <w:rPr>
                <w:color w:val="231F20"/>
              </w:rPr>
              <w:t>and</w:t>
            </w:r>
          </w:p>
          <w:p w:rsidR="00E356DB" w:rsidRDefault="00E356DB" w:rsidP="00E356DB">
            <w:pPr>
              <w:spacing w:before="0" w:after="0"/>
              <w:rPr>
                <w:color w:val="231F20"/>
              </w:rPr>
            </w:pPr>
          </w:p>
          <w:p w:rsidR="00E7161C" w:rsidRPr="0091782F" w:rsidRDefault="00E7161C" w:rsidP="003816F7">
            <w:pPr>
              <w:pStyle w:val="ListParagraph"/>
              <w:numPr>
                <w:ilvl w:val="0"/>
                <w:numId w:val="25"/>
              </w:numPr>
              <w:spacing w:before="0" w:after="0"/>
              <w:rPr>
                <w:color w:val="231F20"/>
              </w:rPr>
            </w:pPr>
            <w:r w:rsidRPr="0091782F">
              <w:rPr>
                <w:color w:val="231F20"/>
              </w:rPr>
              <w:t>accommodate the needs of students from a diverse range of</w:t>
            </w:r>
            <w:r w:rsidRPr="0091782F">
              <w:rPr>
                <w:color w:val="231F20"/>
                <w:spacing w:val="-44"/>
              </w:rPr>
              <w:t xml:space="preserve"> </w:t>
            </w:r>
            <w:r w:rsidRPr="0091782F">
              <w:rPr>
                <w:color w:val="231F20"/>
              </w:rPr>
              <w:t>backgrounds.</w:t>
            </w:r>
          </w:p>
          <w:p w:rsidR="00E356DB" w:rsidRPr="00E356DB" w:rsidRDefault="00E356DB" w:rsidP="00E356DB">
            <w:pPr>
              <w:spacing w:before="0" w:after="0"/>
              <w:rPr>
                <w:color w:val="231F20"/>
              </w:rPr>
            </w:pPr>
          </w:p>
        </w:tc>
        <w:tc>
          <w:tcPr>
            <w:tcW w:w="5953" w:type="dxa"/>
          </w:tcPr>
          <w:p w:rsidR="00D20B8D" w:rsidRDefault="004A4389" w:rsidP="00D20B8D">
            <w:pPr>
              <w:spacing w:after="0"/>
              <w:rPr>
                <w:color w:val="231F20"/>
              </w:rPr>
            </w:pPr>
            <w:r w:rsidRPr="00D20B8D">
              <w:rPr>
                <w:color w:val="231F20"/>
              </w:rPr>
              <w:lastRenderedPageBreak/>
              <w:t xml:space="preserve">UTS has commenced an ongoing audit and review of </w:t>
            </w:r>
            <w:r w:rsidR="007063E5" w:rsidRPr="00D20B8D">
              <w:rPr>
                <w:color w:val="231F20"/>
              </w:rPr>
              <w:t>policies and procedures relating to the handling of student complaints.</w:t>
            </w:r>
            <w:r w:rsidRPr="00D20B8D">
              <w:rPr>
                <w:color w:val="231F20"/>
              </w:rPr>
              <w:t xml:space="preserve"> </w:t>
            </w:r>
          </w:p>
          <w:p w:rsidR="004A4389" w:rsidRPr="00D20B8D" w:rsidRDefault="004A4389" w:rsidP="00D20B8D">
            <w:pPr>
              <w:spacing w:after="0"/>
              <w:rPr>
                <w:color w:val="231F20"/>
              </w:rPr>
            </w:pPr>
            <w:r w:rsidRPr="00D20B8D">
              <w:rPr>
                <w:color w:val="231F20"/>
              </w:rPr>
              <w:t xml:space="preserve">This has led to policy change, for instance in November 2017 the University’s </w:t>
            </w:r>
            <w:r w:rsidR="00D20B8D">
              <w:rPr>
                <w:color w:val="231F20"/>
              </w:rPr>
              <w:t>s</w:t>
            </w:r>
            <w:r w:rsidRPr="00D20B8D">
              <w:rPr>
                <w:color w:val="231F20"/>
              </w:rPr>
              <w:t xml:space="preserve">tudent rules </w:t>
            </w:r>
            <w:r w:rsidR="00D20B8D">
              <w:rPr>
                <w:color w:val="231F20"/>
              </w:rPr>
              <w:t xml:space="preserve">were </w:t>
            </w:r>
            <w:r w:rsidRPr="00D20B8D">
              <w:rPr>
                <w:color w:val="231F20"/>
              </w:rPr>
              <w:t>amended to specifically include sexual assault, indecent assault and sexual harassment as types of misconduct, and linking these specific behaviours to possible penalties including expulsion and rescission of academic awards conferred by the university.</w:t>
            </w:r>
          </w:p>
          <w:p w:rsidR="007063E5" w:rsidRPr="0091782F" w:rsidRDefault="004A4389" w:rsidP="0091782F">
            <w:pPr>
              <w:spacing w:after="0"/>
              <w:rPr>
                <w:color w:val="231F20"/>
              </w:rPr>
            </w:pPr>
            <w:r w:rsidRPr="0091782F">
              <w:rPr>
                <w:color w:val="231F20"/>
              </w:rPr>
              <w:t xml:space="preserve">In addition, </w:t>
            </w:r>
            <w:r w:rsidR="007063E5" w:rsidRPr="0091782F">
              <w:rPr>
                <w:color w:val="231F20"/>
              </w:rPr>
              <w:t>an assessment of existing contractual arrangements with external organisations that receive UTS students (internships, industry placements etc.)</w:t>
            </w:r>
            <w:r w:rsidRPr="0091782F">
              <w:rPr>
                <w:color w:val="231F20"/>
              </w:rPr>
              <w:t xml:space="preserve"> has taken place</w:t>
            </w:r>
            <w:r w:rsidR="007063E5" w:rsidRPr="0091782F">
              <w:rPr>
                <w:color w:val="231F20"/>
              </w:rPr>
              <w:t>.</w:t>
            </w:r>
          </w:p>
          <w:p w:rsidR="004A4389" w:rsidRPr="00D20B8D" w:rsidRDefault="0091782F" w:rsidP="0091782F">
            <w:pPr>
              <w:shd w:val="clear" w:color="auto" w:fill="FFFFFF"/>
              <w:spacing w:before="100" w:beforeAutospacing="1" w:after="100" w:afterAutospacing="1"/>
              <w:rPr>
                <w:color w:val="231F20"/>
              </w:rPr>
            </w:pPr>
            <w:r>
              <w:rPr>
                <w:color w:val="231F20"/>
              </w:rPr>
              <w:t xml:space="preserve">UTS’ existing </w:t>
            </w:r>
            <w:r w:rsidR="007063E5" w:rsidRPr="00D20B8D">
              <w:rPr>
                <w:color w:val="231F20"/>
              </w:rPr>
              <w:t xml:space="preserve">governance instruments ensure informed investigation protocols regarding our obligation to ensure procedural fairness and natural </w:t>
            </w:r>
            <w:r w:rsidR="007063E5" w:rsidRPr="00D20B8D">
              <w:rPr>
                <w:color w:val="231F20"/>
              </w:rPr>
              <w:lastRenderedPageBreak/>
              <w:t>justice for all parties during a grievance resolution process.</w:t>
            </w:r>
          </w:p>
          <w:p w:rsidR="004A4389" w:rsidRPr="00D20B8D" w:rsidRDefault="004A4389" w:rsidP="004A4389">
            <w:pPr>
              <w:shd w:val="clear" w:color="auto" w:fill="FFFFFF"/>
              <w:spacing w:before="100" w:beforeAutospacing="1" w:after="100" w:afterAutospacing="1"/>
              <w:rPr>
                <w:color w:val="231F20"/>
              </w:rPr>
            </w:pPr>
          </w:p>
          <w:p w:rsidR="00274AAE" w:rsidRPr="00D20B8D" w:rsidRDefault="00274AAE" w:rsidP="0091782F">
            <w:pPr>
              <w:spacing w:before="0" w:after="0"/>
              <w:rPr>
                <w:color w:val="231F20"/>
              </w:rPr>
            </w:pPr>
          </w:p>
        </w:tc>
        <w:tc>
          <w:tcPr>
            <w:tcW w:w="3225" w:type="dxa"/>
          </w:tcPr>
          <w:p w:rsidR="0013252A" w:rsidRDefault="0013252A" w:rsidP="00CB7679">
            <w:pPr>
              <w:spacing w:before="0" w:after="0"/>
            </w:pPr>
          </w:p>
          <w:p w:rsidR="00DC7446" w:rsidRPr="00CB7679" w:rsidRDefault="00DC7446" w:rsidP="00CB7679">
            <w:pPr>
              <w:spacing w:before="0" w:after="0"/>
            </w:pPr>
            <w:r>
              <w:t xml:space="preserve">UTS will </w:t>
            </w:r>
            <w:r w:rsidR="00CB7679">
              <w:t>continue</w:t>
            </w:r>
            <w:r>
              <w:t xml:space="preserve"> to review and monitor our policy suite and procedures in line with our continuous improvement strategy, drawing on sector and community best practice as it evolves.</w:t>
            </w:r>
          </w:p>
        </w:tc>
      </w:tr>
      <w:tr w:rsidR="0013252A" w:rsidTr="00E9424A">
        <w:trPr>
          <w:trHeight w:val="276"/>
        </w:trPr>
        <w:tc>
          <w:tcPr>
            <w:tcW w:w="5382" w:type="dxa"/>
          </w:tcPr>
          <w:p w:rsidR="0013252A" w:rsidRDefault="0013252A" w:rsidP="0013252A">
            <w:pPr>
              <w:spacing w:before="0" w:after="0"/>
              <w:jc w:val="center"/>
            </w:pPr>
            <w:r w:rsidRPr="0013252A">
              <w:t>5</w:t>
            </w:r>
          </w:p>
          <w:p w:rsidR="00E356DB" w:rsidRDefault="00E7161C" w:rsidP="00E356DB">
            <w:pPr>
              <w:spacing w:before="0" w:after="0"/>
              <w:rPr>
                <w:color w:val="231F20"/>
              </w:rPr>
            </w:pPr>
            <w:r w:rsidRPr="00F96D24">
              <w:rPr>
                <w:color w:val="231F20"/>
              </w:rPr>
              <w:t xml:space="preserve">Universities should conduct an assessment to identify staff members and student representatives within their institution most likely </w:t>
            </w:r>
            <w:r w:rsidRPr="00F96D24">
              <w:rPr>
                <w:color w:val="231F20"/>
              </w:rPr>
              <w:lastRenderedPageBreak/>
              <w:t>to receive disclosures of sexual assault and sexual harassment.</w:t>
            </w:r>
          </w:p>
          <w:p w:rsidR="00E356DB" w:rsidRDefault="00E356DB" w:rsidP="00E356DB">
            <w:pPr>
              <w:spacing w:before="0" w:after="0"/>
              <w:rPr>
                <w:color w:val="231F20"/>
              </w:rPr>
            </w:pPr>
          </w:p>
          <w:p w:rsidR="00E7161C" w:rsidRDefault="00E7161C" w:rsidP="00E356DB">
            <w:pPr>
              <w:spacing w:before="0" w:after="0"/>
              <w:rPr>
                <w:color w:val="231F20"/>
              </w:rPr>
            </w:pPr>
            <w:r w:rsidRPr="00F96D24">
              <w:rPr>
                <w:color w:val="231F20"/>
              </w:rPr>
              <w:t>Universities should ensure that these staff members and student representatives receive training in responding to disclosures of sexual assault and sexual harassment, delivered by an organisation with specialist expertise in this area.</w:t>
            </w:r>
          </w:p>
          <w:p w:rsidR="00E356DB" w:rsidRPr="0013252A" w:rsidRDefault="00E356DB" w:rsidP="00E356DB">
            <w:pPr>
              <w:spacing w:before="0" w:after="0"/>
            </w:pPr>
          </w:p>
        </w:tc>
        <w:tc>
          <w:tcPr>
            <w:tcW w:w="5953" w:type="dxa"/>
          </w:tcPr>
          <w:p w:rsidR="0013252A" w:rsidRDefault="0013252A" w:rsidP="0013252A">
            <w:pPr>
              <w:spacing w:before="0" w:after="0"/>
              <w:jc w:val="center"/>
              <w:rPr>
                <w:b/>
              </w:rPr>
            </w:pPr>
          </w:p>
          <w:p w:rsidR="004A4389" w:rsidRDefault="004A4389" w:rsidP="00274AAE">
            <w:pPr>
              <w:spacing w:before="0" w:after="0"/>
            </w:pPr>
            <w:r>
              <w:t xml:space="preserve">UTS has identified staff and students most likely to receive </w:t>
            </w:r>
            <w:r w:rsidR="00CB7679">
              <w:t>disclosures and</w:t>
            </w:r>
            <w:r>
              <w:t xml:space="preserve"> have since provided </w:t>
            </w:r>
            <w:r w:rsidRPr="004A4389">
              <w:rPr>
                <w:i/>
              </w:rPr>
              <w:lastRenderedPageBreak/>
              <w:t>Compassionate Responder</w:t>
            </w:r>
            <w:r>
              <w:t xml:space="preserve"> training to Security staff, Counsellors and Student Leaders. </w:t>
            </w:r>
          </w:p>
          <w:p w:rsidR="00274AAE" w:rsidRDefault="00274AAE" w:rsidP="00274AAE">
            <w:pPr>
              <w:spacing w:before="0" w:after="0"/>
            </w:pPr>
          </w:p>
          <w:p w:rsidR="0091782F" w:rsidRPr="00657221" w:rsidRDefault="0091782F" w:rsidP="0091782F">
            <w:pPr>
              <w:spacing w:before="0" w:after="0"/>
            </w:pPr>
            <w:r>
              <w:t xml:space="preserve">In addition, </w:t>
            </w:r>
            <w:r w:rsidRPr="00657221">
              <w:t>vicarious trauma training by </w:t>
            </w:r>
            <w:r w:rsidRPr="0091782F">
              <w:rPr>
                <w:i/>
                <w:iCs/>
              </w:rPr>
              <w:t>Rape and Domestic Violence Services Australia</w:t>
            </w:r>
            <w:r w:rsidRPr="00657221">
              <w:t> </w:t>
            </w:r>
            <w:r>
              <w:t xml:space="preserve">has been made available to </w:t>
            </w:r>
            <w:r w:rsidRPr="00657221">
              <w:t>students and non-clinical staff who receive disclosures of sexual violence.</w:t>
            </w:r>
          </w:p>
          <w:p w:rsidR="00657221" w:rsidRDefault="00657221" w:rsidP="00274AAE">
            <w:pPr>
              <w:spacing w:before="0" w:after="0"/>
            </w:pPr>
          </w:p>
          <w:p w:rsidR="00657221" w:rsidRDefault="00657221" w:rsidP="00274AAE">
            <w:pPr>
              <w:spacing w:before="0" w:after="0"/>
            </w:pPr>
          </w:p>
          <w:p w:rsidR="00657221" w:rsidRPr="00274AAE" w:rsidRDefault="00657221" w:rsidP="0091782F">
            <w:pPr>
              <w:spacing w:before="0" w:after="0"/>
            </w:pPr>
          </w:p>
        </w:tc>
        <w:tc>
          <w:tcPr>
            <w:tcW w:w="3225" w:type="dxa"/>
          </w:tcPr>
          <w:p w:rsidR="0013252A" w:rsidRDefault="0013252A" w:rsidP="0013252A">
            <w:pPr>
              <w:spacing w:before="0" w:after="0"/>
              <w:jc w:val="center"/>
              <w:rPr>
                <w:b/>
              </w:rPr>
            </w:pPr>
          </w:p>
          <w:p w:rsidR="004A4389" w:rsidRPr="004A4389" w:rsidRDefault="004A4389" w:rsidP="004A4389">
            <w:pPr>
              <w:spacing w:before="0" w:after="0"/>
            </w:pPr>
            <w:r w:rsidRPr="004A4389">
              <w:t>Identified staff and students will receive</w:t>
            </w:r>
            <w:r w:rsidR="0056758B">
              <w:t xml:space="preserve"> Epigeum’s</w:t>
            </w:r>
            <w:r w:rsidRPr="004A4389">
              <w:t xml:space="preserve"> </w:t>
            </w:r>
            <w:r w:rsidRPr="004A4389">
              <w:rPr>
                <w:i/>
              </w:rPr>
              <w:lastRenderedPageBreak/>
              <w:t>Responding to Disclosures</w:t>
            </w:r>
            <w:r w:rsidRPr="004A4389">
              <w:t xml:space="preserve"> training later in 2018.</w:t>
            </w:r>
          </w:p>
        </w:tc>
      </w:tr>
      <w:tr w:rsidR="0013252A" w:rsidTr="00E9424A">
        <w:trPr>
          <w:trHeight w:val="276"/>
        </w:trPr>
        <w:tc>
          <w:tcPr>
            <w:tcW w:w="5382" w:type="dxa"/>
          </w:tcPr>
          <w:p w:rsidR="0013252A" w:rsidRDefault="0013252A" w:rsidP="0013252A">
            <w:pPr>
              <w:spacing w:before="0" w:after="0"/>
              <w:jc w:val="center"/>
            </w:pPr>
            <w:r w:rsidRPr="0013252A">
              <w:lastRenderedPageBreak/>
              <w:t>6</w:t>
            </w:r>
          </w:p>
          <w:p w:rsidR="00E356DB" w:rsidRDefault="00E7161C" w:rsidP="00E356DB">
            <w:pPr>
              <w:spacing w:before="0" w:after="0"/>
              <w:rPr>
                <w:color w:val="231F20"/>
              </w:rPr>
            </w:pPr>
            <w:r>
              <w:rPr>
                <w:color w:val="231F20"/>
              </w:rPr>
              <w:t>Universities should ensure that information about individual disclosures and reports of sexual assault and sexual harassment is collected and stored confidentially and used for continuous improvement of processes, including:</w:t>
            </w:r>
          </w:p>
          <w:p w:rsidR="00E356DB" w:rsidRDefault="00E356DB" w:rsidP="00E356DB">
            <w:pPr>
              <w:spacing w:before="0" w:after="0"/>
              <w:rPr>
                <w:color w:val="231F20"/>
              </w:rPr>
            </w:pPr>
          </w:p>
          <w:p w:rsidR="00E356DB" w:rsidRPr="00AA260D" w:rsidRDefault="00E7161C" w:rsidP="003816F7">
            <w:pPr>
              <w:pStyle w:val="ListParagraph"/>
              <w:numPr>
                <w:ilvl w:val="0"/>
                <w:numId w:val="17"/>
              </w:numPr>
              <w:spacing w:before="0" w:after="0"/>
              <w:rPr>
                <w:color w:val="231F20"/>
              </w:rPr>
            </w:pPr>
            <w:r w:rsidRPr="00AA260D">
              <w:rPr>
                <w:color w:val="231F20"/>
              </w:rPr>
              <w:t>details of the</w:t>
            </w:r>
            <w:r w:rsidRPr="00AA260D">
              <w:rPr>
                <w:color w:val="231F20"/>
                <w:spacing w:val="-9"/>
              </w:rPr>
              <w:t xml:space="preserve"> </w:t>
            </w:r>
            <w:r w:rsidRPr="00AA260D">
              <w:rPr>
                <w:color w:val="231F20"/>
              </w:rPr>
              <w:t>complaint/incident</w:t>
            </w:r>
          </w:p>
          <w:p w:rsidR="00E356DB" w:rsidRDefault="00E356DB" w:rsidP="00E356DB">
            <w:pPr>
              <w:spacing w:before="0" w:after="0"/>
              <w:rPr>
                <w:color w:val="231F20"/>
              </w:rPr>
            </w:pPr>
          </w:p>
          <w:p w:rsidR="00E356DB" w:rsidRPr="00AA260D" w:rsidRDefault="00E7161C" w:rsidP="003816F7">
            <w:pPr>
              <w:pStyle w:val="ListParagraph"/>
              <w:numPr>
                <w:ilvl w:val="0"/>
                <w:numId w:val="17"/>
              </w:numPr>
              <w:spacing w:before="0" w:after="0"/>
              <w:rPr>
                <w:color w:val="231F20"/>
              </w:rPr>
            </w:pPr>
            <w:r w:rsidRPr="00AA260D">
              <w:rPr>
                <w:color w:val="231F20"/>
              </w:rPr>
              <w:t>steps taken to respond to the complaint/incident, i.e.: whether the individual</w:t>
            </w:r>
            <w:r w:rsidRPr="00AA260D">
              <w:rPr>
                <w:color w:val="231F20"/>
                <w:spacing w:val="-43"/>
              </w:rPr>
              <w:t xml:space="preserve"> </w:t>
            </w:r>
            <w:r w:rsidRPr="00AA260D">
              <w:rPr>
                <w:color w:val="231F20"/>
              </w:rPr>
              <w:t>reported to</w:t>
            </w:r>
            <w:r w:rsidRPr="00AA260D">
              <w:rPr>
                <w:color w:val="231F20"/>
                <w:spacing w:val="-6"/>
              </w:rPr>
              <w:t xml:space="preserve"> </w:t>
            </w:r>
            <w:r w:rsidRPr="00AA260D">
              <w:rPr>
                <w:color w:val="231F20"/>
              </w:rPr>
              <w:t>police,</w:t>
            </w:r>
            <w:r w:rsidRPr="00AA260D">
              <w:rPr>
                <w:color w:val="231F20"/>
                <w:spacing w:val="-6"/>
              </w:rPr>
              <w:t xml:space="preserve"> </w:t>
            </w:r>
            <w:r w:rsidRPr="00AA260D">
              <w:rPr>
                <w:color w:val="231F20"/>
              </w:rPr>
              <w:t>whether</w:t>
            </w:r>
            <w:r w:rsidRPr="00AA260D">
              <w:rPr>
                <w:color w:val="231F20"/>
                <w:spacing w:val="-6"/>
              </w:rPr>
              <w:t xml:space="preserve"> </w:t>
            </w:r>
            <w:r w:rsidRPr="00AA260D">
              <w:rPr>
                <w:color w:val="231F20"/>
              </w:rPr>
              <w:t>the</w:t>
            </w:r>
            <w:r w:rsidRPr="00AA260D">
              <w:rPr>
                <w:color w:val="231F20"/>
                <w:spacing w:val="-6"/>
              </w:rPr>
              <w:t xml:space="preserve"> </w:t>
            </w:r>
            <w:r w:rsidRPr="00AA260D">
              <w:rPr>
                <w:color w:val="231F20"/>
              </w:rPr>
              <w:t>perpetrator</w:t>
            </w:r>
            <w:r w:rsidRPr="00AA260D">
              <w:rPr>
                <w:color w:val="231F20"/>
                <w:spacing w:val="-6"/>
              </w:rPr>
              <w:t xml:space="preserve"> </w:t>
            </w:r>
            <w:r w:rsidRPr="00AA260D">
              <w:rPr>
                <w:color w:val="231F20"/>
              </w:rPr>
              <w:t>was</w:t>
            </w:r>
            <w:r w:rsidRPr="00AA260D">
              <w:rPr>
                <w:color w:val="231F20"/>
                <w:spacing w:val="-6"/>
              </w:rPr>
              <w:t xml:space="preserve"> </w:t>
            </w:r>
            <w:r w:rsidRPr="00AA260D">
              <w:rPr>
                <w:color w:val="231F20"/>
              </w:rPr>
              <w:t>moved</w:t>
            </w:r>
            <w:r w:rsidRPr="00AA260D">
              <w:rPr>
                <w:color w:val="231F20"/>
                <w:spacing w:val="-6"/>
              </w:rPr>
              <w:t xml:space="preserve"> </w:t>
            </w:r>
            <w:r w:rsidRPr="00AA260D">
              <w:rPr>
                <w:color w:val="231F20"/>
              </w:rPr>
              <w:t>to</w:t>
            </w:r>
            <w:r w:rsidRPr="00AA260D">
              <w:rPr>
                <w:color w:val="231F20"/>
                <w:spacing w:val="-6"/>
              </w:rPr>
              <w:t xml:space="preserve"> </w:t>
            </w:r>
            <w:r w:rsidRPr="00AA260D">
              <w:rPr>
                <w:color w:val="231F20"/>
              </w:rPr>
              <w:t>a</w:t>
            </w:r>
            <w:r w:rsidRPr="00AA260D">
              <w:rPr>
                <w:color w:val="231F20"/>
                <w:spacing w:val="-6"/>
              </w:rPr>
              <w:t xml:space="preserve"> </w:t>
            </w:r>
            <w:r w:rsidRPr="00AA260D">
              <w:rPr>
                <w:color w:val="231F20"/>
              </w:rPr>
              <w:t>different</w:t>
            </w:r>
            <w:r w:rsidRPr="00AA260D">
              <w:rPr>
                <w:color w:val="231F20"/>
                <w:spacing w:val="-6"/>
              </w:rPr>
              <w:t xml:space="preserve"> </w:t>
            </w:r>
            <w:r w:rsidRPr="00AA260D">
              <w:rPr>
                <w:color w:val="231F20"/>
              </w:rPr>
              <w:t>lecture/tutorial</w:t>
            </w:r>
          </w:p>
          <w:p w:rsidR="00E356DB" w:rsidRDefault="00E356DB" w:rsidP="00E356DB">
            <w:pPr>
              <w:spacing w:before="0" w:after="0"/>
              <w:rPr>
                <w:color w:val="231F20"/>
              </w:rPr>
            </w:pPr>
          </w:p>
          <w:p w:rsidR="00E356DB" w:rsidRPr="00AA260D" w:rsidRDefault="00E7161C" w:rsidP="003816F7">
            <w:pPr>
              <w:pStyle w:val="ListParagraph"/>
              <w:numPr>
                <w:ilvl w:val="0"/>
                <w:numId w:val="17"/>
              </w:numPr>
              <w:spacing w:before="0" w:after="0"/>
              <w:rPr>
                <w:color w:val="231F20"/>
              </w:rPr>
            </w:pPr>
            <w:r w:rsidRPr="00AA260D">
              <w:rPr>
                <w:color w:val="231F20"/>
              </w:rPr>
              <w:t>support or assistance received, i.e.: whether the person received counselling from university services, whether they reported to police, whether they received</w:t>
            </w:r>
            <w:r w:rsidRPr="00AA260D">
              <w:rPr>
                <w:color w:val="231F20"/>
                <w:spacing w:val="-43"/>
              </w:rPr>
              <w:t xml:space="preserve"> </w:t>
            </w:r>
            <w:r w:rsidRPr="00AA260D">
              <w:rPr>
                <w:color w:val="231F20"/>
              </w:rPr>
              <w:lastRenderedPageBreak/>
              <w:t>support from an external sexual assault</w:t>
            </w:r>
            <w:r w:rsidRPr="00AA260D">
              <w:rPr>
                <w:color w:val="231F20"/>
                <w:spacing w:val="-17"/>
              </w:rPr>
              <w:t xml:space="preserve"> </w:t>
            </w:r>
            <w:r w:rsidRPr="00AA260D">
              <w:rPr>
                <w:color w:val="231F20"/>
              </w:rPr>
              <w:t>service</w:t>
            </w:r>
          </w:p>
          <w:p w:rsidR="00E356DB" w:rsidRDefault="00E356DB" w:rsidP="00E356DB">
            <w:pPr>
              <w:spacing w:before="0" w:after="0"/>
              <w:rPr>
                <w:color w:val="231F20"/>
              </w:rPr>
            </w:pPr>
          </w:p>
          <w:p w:rsidR="00E356DB" w:rsidRPr="00AA260D" w:rsidRDefault="00E7161C" w:rsidP="003816F7">
            <w:pPr>
              <w:pStyle w:val="ListParagraph"/>
              <w:numPr>
                <w:ilvl w:val="0"/>
                <w:numId w:val="17"/>
              </w:numPr>
              <w:spacing w:before="0" w:after="0"/>
              <w:rPr>
                <w:color w:val="231F20"/>
              </w:rPr>
            </w:pPr>
            <w:r w:rsidRPr="00AA260D">
              <w:rPr>
                <w:color w:val="231F20"/>
              </w:rPr>
              <w:t>time taken to respond to the report and/or refer the person to support services,</w:t>
            </w:r>
            <w:r w:rsidRPr="00AA260D">
              <w:rPr>
                <w:color w:val="231F20"/>
                <w:spacing w:val="-30"/>
              </w:rPr>
              <w:t xml:space="preserve"> </w:t>
            </w:r>
            <w:r w:rsidRPr="00AA260D">
              <w:rPr>
                <w:color w:val="231F20"/>
              </w:rPr>
              <w:t>and</w:t>
            </w:r>
          </w:p>
          <w:p w:rsidR="00E356DB" w:rsidRDefault="00E356DB" w:rsidP="00E356DB">
            <w:pPr>
              <w:spacing w:before="0" w:after="0"/>
              <w:rPr>
                <w:color w:val="231F20"/>
              </w:rPr>
            </w:pPr>
          </w:p>
          <w:p w:rsidR="00E356DB" w:rsidRPr="00AA260D" w:rsidRDefault="00E7161C" w:rsidP="003816F7">
            <w:pPr>
              <w:pStyle w:val="ListParagraph"/>
              <w:numPr>
                <w:ilvl w:val="0"/>
                <w:numId w:val="17"/>
              </w:numPr>
              <w:spacing w:before="0" w:after="0"/>
              <w:rPr>
                <w:color w:val="231F20"/>
              </w:rPr>
            </w:pPr>
            <w:r w:rsidRPr="00AA260D">
              <w:rPr>
                <w:color w:val="231F20"/>
              </w:rPr>
              <w:t>any feedback provided by the complainant/respondent in relation to the</w:t>
            </w:r>
            <w:r w:rsidRPr="00AA260D">
              <w:rPr>
                <w:color w:val="231F20"/>
                <w:spacing w:val="-30"/>
              </w:rPr>
              <w:t xml:space="preserve"> </w:t>
            </w:r>
            <w:r w:rsidRPr="00AA260D">
              <w:rPr>
                <w:color w:val="231F20"/>
              </w:rPr>
              <w:t>process.</w:t>
            </w:r>
          </w:p>
          <w:p w:rsidR="00E356DB" w:rsidRDefault="00E356DB" w:rsidP="00E356DB">
            <w:pPr>
              <w:spacing w:before="0" w:after="0"/>
              <w:rPr>
                <w:color w:val="231F20"/>
              </w:rPr>
            </w:pPr>
          </w:p>
          <w:p w:rsidR="00E356DB" w:rsidRDefault="00E7161C" w:rsidP="00E356DB">
            <w:pPr>
              <w:spacing w:before="0" w:after="0"/>
            </w:pPr>
            <w:r>
              <w:rPr>
                <w:color w:val="231F20"/>
              </w:rPr>
              <w:t>Access to this information should be limited to staff members with responsibility for responding to disclosures and reports and those responsible for improving university responses to disclosures and reports.</w:t>
            </w:r>
          </w:p>
          <w:p w:rsidR="00E356DB" w:rsidRDefault="00E356DB" w:rsidP="00E356DB">
            <w:pPr>
              <w:spacing w:before="0" w:after="0"/>
            </w:pPr>
          </w:p>
          <w:p w:rsidR="00E7161C" w:rsidRDefault="00E7161C" w:rsidP="00E356DB">
            <w:pPr>
              <w:spacing w:before="0" w:after="0"/>
              <w:rPr>
                <w:color w:val="231F20"/>
              </w:rPr>
            </w:pPr>
            <w:r>
              <w:rPr>
                <w:color w:val="231F20"/>
              </w:rPr>
              <w:t>On</w:t>
            </w:r>
            <w:r>
              <w:rPr>
                <w:color w:val="231F20"/>
                <w:spacing w:val="-4"/>
              </w:rPr>
              <w:t xml:space="preserve"> </w:t>
            </w:r>
            <w:r>
              <w:rPr>
                <w:color w:val="231F20"/>
              </w:rPr>
              <w:t>a</w:t>
            </w:r>
            <w:r>
              <w:rPr>
                <w:color w:val="231F20"/>
                <w:spacing w:val="-5"/>
              </w:rPr>
              <w:t xml:space="preserve"> </w:t>
            </w:r>
            <w:r>
              <w:rPr>
                <w:color w:val="231F20"/>
              </w:rPr>
              <w:t>regular</w:t>
            </w:r>
            <w:r>
              <w:rPr>
                <w:color w:val="231F20"/>
                <w:spacing w:val="-4"/>
              </w:rPr>
              <w:t xml:space="preserve"> </w:t>
            </w:r>
            <w:r>
              <w:rPr>
                <w:color w:val="231F20"/>
              </w:rPr>
              <w:t>basis</w:t>
            </w:r>
            <w:r>
              <w:rPr>
                <w:color w:val="231F20"/>
                <w:spacing w:val="-5"/>
              </w:rPr>
              <w:t xml:space="preserve"> </w:t>
            </w:r>
            <w:r>
              <w:rPr>
                <w:color w:val="231F20"/>
              </w:rPr>
              <w:t>–</w:t>
            </w:r>
            <w:r>
              <w:rPr>
                <w:color w:val="231F20"/>
                <w:spacing w:val="-5"/>
              </w:rPr>
              <w:t xml:space="preserve"> </w:t>
            </w:r>
            <w:r>
              <w:rPr>
                <w:color w:val="231F20"/>
              </w:rPr>
              <w:t>at</w:t>
            </w:r>
            <w:r>
              <w:rPr>
                <w:color w:val="231F20"/>
                <w:spacing w:val="-5"/>
              </w:rPr>
              <w:t xml:space="preserve"> </w:t>
            </w:r>
            <w:r>
              <w:rPr>
                <w:color w:val="231F20"/>
              </w:rPr>
              <w:t>least</w:t>
            </w:r>
            <w:r>
              <w:rPr>
                <w:color w:val="231F20"/>
                <w:spacing w:val="-5"/>
              </w:rPr>
              <w:t xml:space="preserve"> </w:t>
            </w:r>
            <w:r>
              <w:rPr>
                <w:color w:val="231F20"/>
              </w:rPr>
              <w:t>every</w:t>
            </w:r>
            <w:r>
              <w:rPr>
                <w:color w:val="231F20"/>
                <w:spacing w:val="-5"/>
              </w:rPr>
              <w:t xml:space="preserve"> </w:t>
            </w:r>
            <w:r>
              <w:rPr>
                <w:color w:val="231F20"/>
              </w:rPr>
              <w:t>six</w:t>
            </w:r>
            <w:r>
              <w:rPr>
                <w:color w:val="231F20"/>
                <w:spacing w:val="-4"/>
              </w:rPr>
              <w:t xml:space="preserve"> </w:t>
            </w:r>
            <w:r>
              <w:rPr>
                <w:color w:val="231F20"/>
              </w:rPr>
              <w:t>months</w:t>
            </w:r>
            <w:r>
              <w:rPr>
                <w:color w:val="231F20"/>
                <w:spacing w:val="-4"/>
              </w:rPr>
              <w:t xml:space="preserve"> </w:t>
            </w:r>
            <w:r>
              <w:rPr>
                <w:color w:val="231F20"/>
              </w:rPr>
              <w:t>–</w:t>
            </w:r>
            <w:r>
              <w:rPr>
                <w:color w:val="231F20"/>
                <w:spacing w:val="-5"/>
              </w:rPr>
              <w:t xml:space="preserve"> </w:t>
            </w:r>
            <w:r>
              <w:rPr>
                <w:color w:val="231F20"/>
              </w:rPr>
              <w:t>Vice-Chancellors</w:t>
            </w:r>
            <w:r>
              <w:rPr>
                <w:color w:val="231F20"/>
                <w:spacing w:val="-5"/>
              </w:rPr>
              <w:t xml:space="preserve"> </w:t>
            </w:r>
            <w:r>
              <w:rPr>
                <w:color w:val="231F20"/>
              </w:rPr>
              <w:t>should</w:t>
            </w:r>
            <w:r>
              <w:rPr>
                <w:color w:val="231F20"/>
                <w:spacing w:val="-4"/>
              </w:rPr>
              <w:t xml:space="preserve"> </w:t>
            </w:r>
            <w:r>
              <w:rPr>
                <w:color w:val="231F20"/>
              </w:rPr>
              <w:t>be</w:t>
            </w:r>
            <w:r>
              <w:rPr>
                <w:color w:val="231F20"/>
                <w:spacing w:val="-5"/>
              </w:rPr>
              <w:t xml:space="preserve"> </w:t>
            </w:r>
            <w:r>
              <w:rPr>
                <w:color w:val="231F20"/>
              </w:rPr>
              <w:t>provided</w:t>
            </w:r>
            <w:r>
              <w:rPr>
                <w:color w:val="231F20"/>
                <w:spacing w:val="-5"/>
              </w:rPr>
              <w:t xml:space="preserve"> </w:t>
            </w:r>
            <w:r>
              <w:rPr>
                <w:color w:val="231F20"/>
              </w:rPr>
              <w:t>with de-identified reports of this data, including any trends or identifiable concerns which arise, along</w:t>
            </w:r>
            <w:r>
              <w:rPr>
                <w:color w:val="231F20"/>
                <w:spacing w:val="-8"/>
              </w:rPr>
              <w:t xml:space="preserve"> </w:t>
            </w:r>
            <w:r>
              <w:rPr>
                <w:color w:val="231F20"/>
              </w:rPr>
              <w:t>with</w:t>
            </w:r>
            <w:r>
              <w:rPr>
                <w:color w:val="231F20"/>
                <w:spacing w:val="-8"/>
              </w:rPr>
              <w:t xml:space="preserve"> </w:t>
            </w:r>
            <w:r>
              <w:rPr>
                <w:color w:val="231F20"/>
              </w:rPr>
              <w:t>recommendations</w:t>
            </w:r>
            <w:r>
              <w:rPr>
                <w:color w:val="231F20"/>
                <w:spacing w:val="-7"/>
              </w:rPr>
              <w:t xml:space="preserve"> </w:t>
            </w:r>
            <w:r>
              <w:rPr>
                <w:color w:val="231F20"/>
              </w:rPr>
              <w:t>for</w:t>
            </w:r>
            <w:r>
              <w:rPr>
                <w:color w:val="231F20"/>
                <w:spacing w:val="-7"/>
              </w:rPr>
              <w:t xml:space="preserve"> </w:t>
            </w:r>
            <w:r>
              <w:rPr>
                <w:color w:val="231F20"/>
              </w:rPr>
              <w:t>any</w:t>
            </w:r>
            <w:r>
              <w:rPr>
                <w:color w:val="231F20"/>
                <w:spacing w:val="-8"/>
              </w:rPr>
              <w:t xml:space="preserve"> </w:t>
            </w:r>
            <w:r>
              <w:rPr>
                <w:color w:val="231F20"/>
              </w:rPr>
              <w:t>necessary</w:t>
            </w:r>
            <w:r>
              <w:rPr>
                <w:color w:val="231F20"/>
                <w:spacing w:val="-8"/>
              </w:rPr>
              <w:t xml:space="preserve"> </w:t>
            </w:r>
            <w:r>
              <w:rPr>
                <w:color w:val="231F20"/>
              </w:rPr>
              <w:t>improvements</w:t>
            </w:r>
            <w:r>
              <w:rPr>
                <w:color w:val="231F20"/>
                <w:spacing w:val="-8"/>
              </w:rPr>
              <w:t xml:space="preserve"> </w:t>
            </w:r>
            <w:r>
              <w:rPr>
                <w:color w:val="231F20"/>
              </w:rPr>
              <w:t>to</w:t>
            </w:r>
            <w:r>
              <w:rPr>
                <w:color w:val="231F20"/>
                <w:spacing w:val="-7"/>
              </w:rPr>
              <w:t xml:space="preserve"> </w:t>
            </w:r>
            <w:r>
              <w:rPr>
                <w:color w:val="231F20"/>
              </w:rPr>
              <w:t>processes.</w:t>
            </w:r>
          </w:p>
          <w:p w:rsidR="00E356DB" w:rsidRPr="0013252A" w:rsidRDefault="00E356DB" w:rsidP="00E356DB">
            <w:pPr>
              <w:spacing w:before="0" w:after="0"/>
            </w:pPr>
          </w:p>
        </w:tc>
        <w:tc>
          <w:tcPr>
            <w:tcW w:w="5953" w:type="dxa"/>
          </w:tcPr>
          <w:p w:rsidR="0013252A" w:rsidRDefault="0013252A" w:rsidP="0013252A">
            <w:pPr>
              <w:spacing w:before="0" w:after="0"/>
              <w:jc w:val="center"/>
              <w:rPr>
                <w:b/>
              </w:rPr>
            </w:pPr>
          </w:p>
          <w:p w:rsidR="00274AAE" w:rsidRDefault="0056758B" w:rsidP="00274AAE">
            <w:pPr>
              <w:spacing w:before="0" w:after="0"/>
            </w:pPr>
            <w:r>
              <w:t xml:space="preserve">Ongoing streamlining of systems </w:t>
            </w:r>
            <w:r w:rsidR="005970DC">
              <w:t xml:space="preserve">is occurring at UTS to ensure information is </w:t>
            </w:r>
            <w:r w:rsidR="0091782F">
              <w:t xml:space="preserve">routinely </w:t>
            </w:r>
            <w:r w:rsidR="005970DC">
              <w:t>collected a</w:t>
            </w:r>
            <w:r>
              <w:t>nd stored c</w:t>
            </w:r>
            <w:r w:rsidR="00274AAE" w:rsidRPr="00274AAE">
              <w:t>onfidentially</w:t>
            </w:r>
            <w:r>
              <w:t xml:space="preserve"> and used </w:t>
            </w:r>
            <w:r w:rsidR="005970DC">
              <w:t xml:space="preserve">appropriately by </w:t>
            </w:r>
            <w:r w:rsidR="0091782F">
              <w:t>relevant officers.</w:t>
            </w:r>
          </w:p>
          <w:p w:rsidR="00966026" w:rsidRDefault="00966026" w:rsidP="00274AAE">
            <w:pPr>
              <w:spacing w:before="0" w:after="0"/>
            </w:pPr>
          </w:p>
          <w:p w:rsidR="00966026" w:rsidRDefault="00966026" w:rsidP="00274AAE">
            <w:pPr>
              <w:spacing w:before="0" w:after="0"/>
            </w:pPr>
            <w:r>
              <w:t>A new staff member has been employed specifically to ensure the capturing and reporting of data relating to complaints/incidents.</w:t>
            </w:r>
          </w:p>
          <w:p w:rsidR="0091782F" w:rsidRDefault="0091782F" w:rsidP="00274AAE">
            <w:pPr>
              <w:spacing w:before="0" w:after="0"/>
            </w:pPr>
          </w:p>
          <w:p w:rsidR="0091782F" w:rsidRDefault="00966026" w:rsidP="00274AAE">
            <w:pPr>
              <w:spacing w:before="0" w:after="0"/>
            </w:pPr>
            <w:r>
              <w:t>I</w:t>
            </w:r>
            <w:r w:rsidR="0091782F">
              <w:t>nformation is provided to</w:t>
            </w:r>
            <w:r>
              <w:t xml:space="preserve"> the relevant Deputy Vice-Chancellor every month</w:t>
            </w:r>
            <w:r w:rsidR="0091782F">
              <w:t xml:space="preserve">, to ensure oversight and to allow for continuous improvement in the university’s response, as it implements a </w:t>
            </w:r>
            <w:r w:rsidR="00CB7679">
              <w:t>zero-tolerance</w:t>
            </w:r>
            <w:r w:rsidR="0091782F">
              <w:t xml:space="preserve"> approach. </w:t>
            </w:r>
          </w:p>
          <w:p w:rsidR="00274AAE" w:rsidRDefault="00274AAE" w:rsidP="00274AAE">
            <w:pPr>
              <w:spacing w:before="0" w:after="0"/>
            </w:pPr>
          </w:p>
          <w:p w:rsidR="00274AAE" w:rsidRPr="00274AAE" w:rsidRDefault="00274AAE" w:rsidP="00274AAE">
            <w:pPr>
              <w:spacing w:before="0" w:after="0"/>
            </w:pPr>
          </w:p>
        </w:tc>
        <w:tc>
          <w:tcPr>
            <w:tcW w:w="3225" w:type="dxa"/>
          </w:tcPr>
          <w:p w:rsidR="0013252A" w:rsidRDefault="0013252A" w:rsidP="0013252A">
            <w:pPr>
              <w:spacing w:before="0" w:after="0"/>
              <w:jc w:val="center"/>
              <w:rPr>
                <w:b/>
              </w:rPr>
            </w:pPr>
          </w:p>
          <w:p w:rsidR="00966026" w:rsidRPr="00966026" w:rsidRDefault="00966026" w:rsidP="00966026">
            <w:pPr>
              <w:spacing w:before="0" w:after="0"/>
            </w:pPr>
            <w:r w:rsidRPr="00966026">
              <w:t xml:space="preserve">An evening counselling service is planned for </w:t>
            </w:r>
            <w:r>
              <w:t xml:space="preserve">later in </w:t>
            </w:r>
            <w:r w:rsidRPr="00966026">
              <w:t>2018</w:t>
            </w:r>
          </w:p>
        </w:tc>
      </w:tr>
      <w:tr w:rsidR="0013252A" w:rsidTr="00E9424A">
        <w:trPr>
          <w:trHeight w:val="276"/>
        </w:trPr>
        <w:tc>
          <w:tcPr>
            <w:tcW w:w="5382" w:type="dxa"/>
          </w:tcPr>
          <w:p w:rsidR="0013252A" w:rsidRDefault="0013252A" w:rsidP="0013252A">
            <w:pPr>
              <w:spacing w:before="0" w:after="0"/>
              <w:jc w:val="center"/>
            </w:pPr>
            <w:r w:rsidRPr="0013252A">
              <w:t>7</w:t>
            </w:r>
          </w:p>
          <w:p w:rsidR="00E356DB" w:rsidRDefault="00E7161C" w:rsidP="00E356DB">
            <w:pPr>
              <w:spacing w:before="0" w:after="0"/>
              <w:rPr>
                <w:color w:val="231F20"/>
              </w:rPr>
            </w:pPr>
            <w:r>
              <w:rPr>
                <w:color w:val="231F20"/>
              </w:rPr>
              <w:t>Within six months of this report, but as soon as possible, universities should conduct an audit of university counselling services to assess:</w:t>
            </w:r>
          </w:p>
          <w:p w:rsidR="00E356DB" w:rsidRDefault="00E356DB" w:rsidP="00E356DB">
            <w:pPr>
              <w:spacing w:before="0" w:after="0"/>
              <w:rPr>
                <w:color w:val="231F20"/>
              </w:rPr>
            </w:pPr>
          </w:p>
          <w:p w:rsidR="00E356DB" w:rsidRPr="0091782F" w:rsidRDefault="00E7161C" w:rsidP="003816F7">
            <w:pPr>
              <w:pStyle w:val="ListParagraph"/>
              <w:numPr>
                <w:ilvl w:val="0"/>
                <w:numId w:val="26"/>
              </w:numPr>
              <w:spacing w:before="0" w:after="0"/>
              <w:rPr>
                <w:color w:val="231F20"/>
              </w:rPr>
            </w:pPr>
            <w:r w:rsidRPr="0091782F">
              <w:rPr>
                <w:color w:val="231F20"/>
              </w:rPr>
              <w:t>the capacity of university counselling services to respond to students’ requests</w:t>
            </w:r>
            <w:r w:rsidRPr="0091782F">
              <w:rPr>
                <w:color w:val="231F20"/>
                <w:spacing w:val="-34"/>
              </w:rPr>
              <w:t xml:space="preserve"> </w:t>
            </w:r>
            <w:r w:rsidRPr="0091782F">
              <w:rPr>
                <w:color w:val="231F20"/>
              </w:rPr>
              <w:lastRenderedPageBreak/>
              <w:t>for counselling in an appropriately timely manner,</w:t>
            </w:r>
            <w:r w:rsidRPr="0091782F">
              <w:rPr>
                <w:color w:val="231F20"/>
                <w:spacing w:val="-33"/>
              </w:rPr>
              <w:t xml:space="preserve"> </w:t>
            </w:r>
            <w:r w:rsidRPr="0091782F">
              <w:rPr>
                <w:color w:val="231F20"/>
              </w:rPr>
              <w:t>and</w:t>
            </w:r>
          </w:p>
          <w:p w:rsidR="00E356DB" w:rsidRDefault="00E356DB" w:rsidP="00E356DB">
            <w:pPr>
              <w:spacing w:before="0" w:after="0"/>
              <w:rPr>
                <w:color w:val="231F20"/>
              </w:rPr>
            </w:pPr>
          </w:p>
          <w:p w:rsidR="00E356DB" w:rsidRPr="0091782F" w:rsidRDefault="00E7161C" w:rsidP="003816F7">
            <w:pPr>
              <w:pStyle w:val="ListParagraph"/>
              <w:numPr>
                <w:ilvl w:val="0"/>
                <w:numId w:val="26"/>
              </w:numPr>
              <w:spacing w:before="0" w:after="0"/>
              <w:rPr>
                <w:color w:val="231F20"/>
              </w:rPr>
            </w:pPr>
            <w:r w:rsidRPr="0091782F">
              <w:rPr>
                <w:color w:val="231F20"/>
              </w:rPr>
              <w:t>how many university counselling staff have received training in working with</w:t>
            </w:r>
            <w:r w:rsidRPr="0091782F">
              <w:rPr>
                <w:color w:val="231F20"/>
                <w:spacing w:val="-42"/>
              </w:rPr>
              <w:t xml:space="preserve"> </w:t>
            </w:r>
            <w:r w:rsidRPr="0091782F">
              <w:rPr>
                <w:color w:val="231F20"/>
              </w:rPr>
              <w:t>sexual assault</w:t>
            </w:r>
            <w:r w:rsidRPr="0091782F">
              <w:rPr>
                <w:color w:val="231F20"/>
                <w:spacing w:val="-7"/>
              </w:rPr>
              <w:t xml:space="preserve"> </w:t>
            </w:r>
            <w:r w:rsidRPr="0091782F">
              <w:rPr>
                <w:color w:val="231F20"/>
              </w:rPr>
              <w:t>survivors.</w:t>
            </w:r>
          </w:p>
          <w:p w:rsidR="00E356DB" w:rsidRDefault="00E356DB" w:rsidP="00E356DB">
            <w:pPr>
              <w:spacing w:before="0" w:after="0"/>
              <w:rPr>
                <w:color w:val="231F20"/>
              </w:rPr>
            </w:pPr>
          </w:p>
          <w:p w:rsidR="00E356DB" w:rsidRPr="0091782F" w:rsidRDefault="00E7161C" w:rsidP="003816F7">
            <w:pPr>
              <w:pStyle w:val="ListParagraph"/>
              <w:numPr>
                <w:ilvl w:val="0"/>
                <w:numId w:val="26"/>
              </w:numPr>
              <w:spacing w:before="0" w:after="0"/>
              <w:rPr>
                <w:color w:val="231F20"/>
              </w:rPr>
            </w:pPr>
            <w:r w:rsidRPr="0091782F">
              <w:rPr>
                <w:color w:val="231F20"/>
              </w:rPr>
              <w:t>As part of this audit, universities should collect data on:</w:t>
            </w:r>
          </w:p>
          <w:p w:rsidR="00E356DB" w:rsidRDefault="00E356DB" w:rsidP="00E356DB">
            <w:pPr>
              <w:spacing w:before="0" w:after="0"/>
              <w:rPr>
                <w:color w:val="231F20"/>
              </w:rPr>
            </w:pPr>
          </w:p>
          <w:p w:rsidR="00E356DB" w:rsidRPr="0091782F" w:rsidRDefault="00E7161C" w:rsidP="003816F7">
            <w:pPr>
              <w:pStyle w:val="ListParagraph"/>
              <w:numPr>
                <w:ilvl w:val="0"/>
                <w:numId w:val="26"/>
              </w:numPr>
              <w:spacing w:before="0" w:after="0"/>
              <w:rPr>
                <w:color w:val="231F20"/>
              </w:rPr>
            </w:pPr>
            <w:r w:rsidRPr="0091782F">
              <w:rPr>
                <w:color w:val="231F20"/>
              </w:rPr>
              <w:t>the average length of time students are required to wait to see a</w:t>
            </w:r>
            <w:r w:rsidRPr="0091782F">
              <w:rPr>
                <w:color w:val="231F20"/>
                <w:spacing w:val="-39"/>
              </w:rPr>
              <w:t xml:space="preserve"> </w:t>
            </w:r>
            <w:r w:rsidRPr="0091782F">
              <w:rPr>
                <w:color w:val="231F20"/>
              </w:rPr>
              <w:t>university counsellor,</w:t>
            </w:r>
            <w:r w:rsidRPr="0091782F">
              <w:rPr>
                <w:color w:val="231F20"/>
                <w:spacing w:val="-16"/>
              </w:rPr>
              <w:t xml:space="preserve"> </w:t>
            </w:r>
            <w:r w:rsidRPr="0091782F">
              <w:rPr>
                <w:color w:val="231F20"/>
              </w:rPr>
              <w:t>and</w:t>
            </w:r>
          </w:p>
          <w:p w:rsidR="00E356DB" w:rsidRDefault="00E356DB" w:rsidP="00E356DB">
            <w:pPr>
              <w:spacing w:before="0" w:after="0"/>
              <w:rPr>
                <w:color w:val="231F20"/>
              </w:rPr>
            </w:pPr>
          </w:p>
          <w:p w:rsidR="00E356DB" w:rsidRPr="0091782F" w:rsidRDefault="00E7161C" w:rsidP="003816F7">
            <w:pPr>
              <w:pStyle w:val="ListParagraph"/>
              <w:numPr>
                <w:ilvl w:val="0"/>
                <w:numId w:val="26"/>
              </w:numPr>
              <w:spacing w:before="0" w:after="0"/>
              <w:rPr>
                <w:color w:val="231F20"/>
              </w:rPr>
            </w:pPr>
            <w:r w:rsidRPr="0091782F">
              <w:rPr>
                <w:color w:val="231F20"/>
              </w:rPr>
              <w:t>the number of urgent/crisis requests for counselling</w:t>
            </w:r>
            <w:r w:rsidRPr="0091782F">
              <w:rPr>
                <w:color w:val="231F20"/>
                <w:spacing w:val="-28"/>
              </w:rPr>
              <w:t xml:space="preserve"> </w:t>
            </w:r>
            <w:r w:rsidRPr="0091782F">
              <w:rPr>
                <w:color w:val="231F20"/>
              </w:rPr>
              <w:t>received.</w:t>
            </w:r>
          </w:p>
          <w:p w:rsidR="00E356DB" w:rsidRDefault="00E356DB" w:rsidP="00E356DB">
            <w:pPr>
              <w:spacing w:before="0" w:after="0"/>
              <w:rPr>
                <w:color w:val="231F20"/>
              </w:rPr>
            </w:pPr>
          </w:p>
          <w:p w:rsidR="00E356DB" w:rsidRDefault="00E7161C" w:rsidP="00E356DB">
            <w:pPr>
              <w:spacing w:before="0" w:after="0"/>
            </w:pPr>
            <w:r>
              <w:rPr>
                <w:color w:val="231F20"/>
              </w:rPr>
              <w:t>This data should be assessed to determine whether additional counselling services are required to meet the urgent needs of students who have experienced sexual assault or sexual harassment.</w:t>
            </w:r>
          </w:p>
          <w:p w:rsidR="00E356DB" w:rsidRDefault="00E356DB" w:rsidP="00E356DB">
            <w:pPr>
              <w:spacing w:before="0" w:after="0"/>
            </w:pPr>
          </w:p>
          <w:p w:rsidR="00E7161C" w:rsidRDefault="00E7161C" w:rsidP="00E356DB">
            <w:pPr>
              <w:spacing w:before="0" w:after="0"/>
              <w:rPr>
                <w:color w:val="231F20"/>
              </w:rPr>
            </w:pPr>
            <w:r>
              <w:rPr>
                <w:color w:val="231F20"/>
              </w:rPr>
              <w:t>If additional counselling services are required, universities should ensure that these additional resources are in place as soon as practicable.</w:t>
            </w:r>
          </w:p>
          <w:p w:rsidR="00E356DB" w:rsidRPr="0013252A" w:rsidRDefault="00E356DB" w:rsidP="00E356DB">
            <w:pPr>
              <w:spacing w:before="0" w:after="0"/>
            </w:pPr>
          </w:p>
        </w:tc>
        <w:tc>
          <w:tcPr>
            <w:tcW w:w="5953" w:type="dxa"/>
          </w:tcPr>
          <w:p w:rsidR="0013252A" w:rsidRDefault="0013252A" w:rsidP="0013252A">
            <w:pPr>
              <w:spacing w:before="0" w:after="0"/>
              <w:jc w:val="center"/>
              <w:rPr>
                <w:b/>
              </w:rPr>
            </w:pPr>
          </w:p>
          <w:p w:rsidR="0091782F" w:rsidRDefault="000C7909" w:rsidP="00274AAE">
            <w:pPr>
              <w:spacing w:before="0" w:after="0"/>
            </w:pPr>
            <w:r>
              <w:t xml:space="preserve">UTS’ </w:t>
            </w:r>
            <w:r w:rsidRPr="00657221">
              <w:t xml:space="preserve">Student Services Unit provides counselling services for students. </w:t>
            </w:r>
            <w:r>
              <w:t xml:space="preserve">Its review of its </w:t>
            </w:r>
            <w:r w:rsidR="0091782F">
              <w:t>co</w:t>
            </w:r>
            <w:r>
              <w:t xml:space="preserve">unselling support </w:t>
            </w:r>
            <w:r w:rsidR="0091782F">
              <w:t>prior to the AHRC report led to:</w:t>
            </w:r>
          </w:p>
          <w:p w:rsidR="0091782F" w:rsidRDefault="0091782F" w:rsidP="00274AAE">
            <w:pPr>
              <w:spacing w:before="0" w:after="0"/>
            </w:pPr>
          </w:p>
          <w:p w:rsidR="00966026" w:rsidRPr="00966026" w:rsidRDefault="00657221" w:rsidP="00966026">
            <w:pPr>
              <w:pStyle w:val="ListParagraph"/>
              <w:numPr>
                <w:ilvl w:val="0"/>
                <w:numId w:val="24"/>
              </w:numPr>
              <w:spacing w:before="0" w:after="0"/>
              <w:rPr>
                <w:color w:val="231F20"/>
              </w:rPr>
            </w:pPr>
            <w:r w:rsidRPr="00657221">
              <w:rPr>
                <w:color w:val="231F20"/>
              </w:rPr>
              <w:t xml:space="preserve">Increasing the number of counsellors trained in responding to trauma to the equivalent of 11 </w:t>
            </w:r>
            <w:r w:rsidRPr="00657221">
              <w:rPr>
                <w:color w:val="231F20"/>
              </w:rPr>
              <w:lastRenderedPageBreak/>
              <w:t xml:space="preserve">full-time positions. They now include a social worker with a background in sexual health. </w:t>
            </w:r>
          </w:p>
          <w:p w:rsidR="007B5C34" w:rsidRDefault="007B5C34" w:rsidP="007B5C34">
            <w:pPr>
              <w:spacing w:before="0" w:after="0"/>
              <w:rPr>
                <w:color w:val="231F20"/>
              </w:rPr>
            </w:pPr>
          </w:p>
          <w:p w:rsidR="007B5C34" w:rsidRDefault="007B5C34" w:rsidP="003816F7">
            <w:pPr>
              <w:pStyle w:val="ListParagraph"/>
              <w:numPr>
                <w:ilvl w:val="0"/>
                <w:numId w:val="16"/>
              </w:numPr>
              <w:spacing w:before="0" w:after="0"/>
            </w:pPr>
            <w:r w:rsidRPr="00657221">
              <w:t>a specialist UTS trauma-informed 1800 telephone support service.</w:t>
            </w:r>
          </w:p>
          <w:p w:rsidR="00966026" w:rsidRDefault="00966026" w:rsidP="00966026">
            <w:pPr>
              <w:pStyle w:val="ListParagraph"/>
              <w:spacing w:before="0" w:after="0"/>
            </w:pPr>
          </w:p>
          <w:p w:rsidR="000C7909" w:rsidRDefault="000C7909" w:rsidP="003816F7">
            <w:pPr>
              <w:pStyle w:val="ListParagraph"/>
              <w:numPr>
                <w:ilvl w:val="0"/>
                <w:numId w:val="16"/>
              </w:numPr>
              <w:spacing w:before="0" w:after="0"/>
            </w:pPr>
            <w:r w:rsidRPr="00657221">
              <w:t>A formal MOU with Relationships Australia NSW on a new way for students to self-select a counsellor through a separate online service that lists UTS counsellors and more than 100 other professionals</w:t>
            </w:r>
            <w:r>
              <w:t>.</w:t>
            </w:r>
          </w:p>
          <w:p w:rsidR="000C7909" w:rsidRPr="00657221" w:rsidRDefault="000C7909" w:rsidP="000C7909">
            <w:pPr>
              <w:pStyle w:val="ListParagraph"/>
              <w:spacing w:before="0" w:after="0"/>
            </w:pPr>
          </w:p>
          <w:p w:rsidR="007B5C34" w:rsidRPr="00657221" w:rsidRDefault="007B5C34" w:rsidP="000C7909">
            <w:pPr>
              <w:pStyle w:val="ListParagraph"/>
              <w:spacing w:before="0" w:after="0"/>
            </w:pPr>
          </w:p>
          <w:p w:rsidR="007B5C34" w:rsidRPr="007B5C34" w:rsidRDefault="007B5C34" w:rsidP="007B5C34">
            <w:pPr>
              <w:spacing w:before="0" w:after="0"/>
              <w:rPr>
                <w:color w:val="231F20"/>
              </w:rPr>
            </w:pPr>
          </w:p>
          <w:p w:rsidR="00657221" w:rsidRPr="00274AAE" w:rsidRDefault="00657221" w:rsidP="00274AAE">
            <w:pPr>
              <w:spacing w:before="0" w:after="0"/>
            </w:pPr>
          </w:p>
        </w:tc>
        <w:tc>
          <w:tcPr>
            <w:tcW w:w="3225" w:type="dxa"/>
          </w:tcPr>
          <w:p w:rsidR="0013252A" w:rsidRDefault="0013252A" w:rsidP="0013252A">
            <w:pPr>
              <w:spacing w:before="0" w:after="0"/>
              <w:jc w:val="center"/>
              <w:rPr>
                <w:b/>
              </w:rPr>
            </w:pPr>
          </w:p>
        </w:tc>
      </w:tr>
      <w:tr w:rsidR="0013252A" w:rsidTr="00E9424A">
        <w:trPr>
          <w:trHeight w:val="276"/>
        </w:trPr>
        <w:tc>
          <w:tcPr>
            <w:tcW w:w="5382" w:type="dxa"/>
          </w:tcPr>
          <w:p w:rsidR="0013252A" w:rsidRDefault="0013252A" w:rsidP="0013252A">
            <w:pPr>
              <w:spacing w:before="0" w:after="0"/>
              <w:jc w:val="center"/>
            </w:pPr>
            <w:r w:rsidRPr="0013252A">
              <w:t>8</w:t>
            </w:r>
          </w:p>
          <w:p w:rsidR="00E7161C" w:rsidRDefault="00E7161C" w:rsidP="00E356DB">
            <w:pPr>
              <w:spacing w:before="0" w:after="0"/>
              <w:rPr>
                <w:color w:val="231F20"/>
              </w:rPr>
            </w:pPr>
            <w:r>
              <w:rPr>
                <w:color w:val="231F20"/>
              </w:rPr>
              <w:t xml:space="preserve">Universities should engage an independent body to conduct the </w:t>
            </w:r>
            <w:r w:rsidRPr="00E356DB">
              <w:rPr>
                <w:color w:val="231F20"/>
              </w:rPr>
              <w:t xml:space="preserve">National university student </w:t>
            </w:r>
            <w:r w:rsidRPr="00E356DB">
              <w:rPr>
                <w:color w:val="231F20"/>
              </w:rPr>
              <w:lastRenderedPageBreak/>
              <w:t xml:space="preserve">survey of sexual assault and sexual harassment </w:t>
            </w:r>
            <w:r>
              <w:rPr>
                <w:color w:val="231F20"/>
              </w:rPr>
              <w:t>at three-yearly intervals to track progress in reducing the prevalence of these incidents at a sector-wide level.</w:t>
            </w:r>
          </w:p>
          <w:p w:rsidR="00E356DB" w:rsidRPr="0013252A" w:rsidRDefault="00E356DB" w:rsidP="00E356DB">
            <w:pPr>
              <w:spacing w:before="0" w:after="0"/>
            </w:pPr>
          </w:p>
        </w:tc>
        <w:tc>
          <w:tcPr>
            <w:tcW w:w="5953" w:type="dxa"/>
          </w:tcPr>
          <w:p w:rsidR="0013252A" w:rsidRDefault="0013252A" w:rsidP="0013252A">
            <w:pPr>
              <w:spacing w:before="0" w:after="0"/>
              <w:jc w:val="center"/>
              <w:rPr>
                <w:b/>
              </w:rPr>
            </w:pPr>
          </w:p>
          <w:p w:rsidR="00274AAE" w:rsidRPr="00274AAE" w:rsidRDefault="002E0719" w:rsidP="002E0719">
            <w:pPr>
              <w:spacing w:before="0" w:after="0"/>
            </w:pPr>
            <w:r>
              <w:lastRenderedPageBreak/>
              <w:t>UTS remains supportive of the ongoing monitoring and evaluation of sexual assault and sexual harassment amongst university students in Australia.</w:t>
            </w:r>
          </w:p>
        </w:tc>
        <w:tc>
          <w:tcPr>
            <w:tcW w:w="3225" w:type="dxa"/>
          </w:tcPr>
          <w:p w:rsidR="0013252A" w:rsidRDefault="0013252A" w:rsidP="0013252A">
            <w:pPr>
              <w:spacing w:before="0" w:after="0"/>
              <w:jc w:val="center"/>
              <w:rPr>
                <w:b/>
              </w:rPr>
            </w:pPr>
          </w:p>
        </w:tc>
      </w:tr>
      <w:tr w:rsidR="0013252A" w:rsidTr="00E9424A">
        <w:trPr>
          <w:trHeight w:val="276"/>
        </w:trPr>
        <w:tc>
          <w:tcPr>
            <w:tcW w:w="5382" w:type="dxa"/>
          </w:tcPr>
          <w:p w:rsidR="0013252A" w:rsidRDefault="0013252A" w:rsidP="0013252A">
            <w:pPr>
              <w:spacing w:before="0" w:after="0"/>
              <w:jc w:val="center"/>
            </w:pPr>
            <w:r w:rsidRPr="0013252A">
              <w:t>9</w:t>
            </w:r>
          </w:p>
          <w:p w:rsidR="004F6735" w:rsidRPr="00E356DB" w:rsidRDefault="004F6735" w:rsidP="00E356DB">
            <w:pPr>
              <w:spacing w:before="0" w:after="0"/>
              <w:rPr>
                <w:color w:val="231F20"/>
              </w:rPr>
            </w:pPr>
            <w:r>
              <w:rPr>
                <w:color w:val="231F20"/>
              </w:rPr>
              <w:t>In addition to considering the implementation of the university recommendations made in this report, residential colleges and university residences should commission an</w:t>
            </w:r>
          </w:p>
          <w:p w:rsidR="00E356DB" w:rsidRDefault="004F6735" w:rsidP="00E356DB">
            <w:pPr>
              <w:spacing w:before="0" w:after="0"/>
              <w:rPr>
                <w:color w:val="231F20"/>
              </w:rPr>
            </w:pPr>
            <w:r>
              <w:rPr>
                <w:color w:val="231F20"/>
              </w:rPr>
              <w:t>independent, expert-led review of the factors which contribute to sexual assault and sexual harassment in their settings.</w:t>
            </w:r>
          </w:p>
          <w:p w:rsidR="00E356DB" w:rsidRDefault="00E356DB" w:rsidP="00E356DB">
            <w:pPr>
              <w:spacing w:before="0" w:after="0"/>
              <w:rPr>
                <w:color w:val="231F20"/>
              </w:rPr>
            </w:pPr>
          </w:p>
          <w:p w:rsidR="00E356DB" w:rsidRDefault="00E356DB" w:rsidP="00E356DB">
            <w:pPr>
              <w:spacing w:before="0" w:after="0"/>
              <w:rPr>
                <w:color w:val="231F20"/>
              </w:rPr>
            </w:pPr>
            <w:r>
              <w:rPr>
                <w:color w:val="231F20"/>
              </w:rPr>
              <w:t>T</w:t>
            </w:r>
            <w:r w:rsidR="004F6735">
              <w:rPr>
                <w:color w:val="231F20"/>
              </w:rPr>
              <w:t>his review should consider:</w:t>
            </w:r>
          </w:p>
          <w:p w:rsidR="00E356DB" w:rsidRDefault="00E356DB" w:rsidP="00E356DB">
            <w:pPr>
              <w:spacing w:before="0" w:after="0"/>
              <w:rPr>
                <w:color w:val="231F20"/>
              </w:rPr>
            </w:pPr>
          </w:p>
          <w:p w:rsidR="00E356DB" w:rsidRPr="0056758B" w:rsidRDefault="004F6735" w:rsidP="003816F7">
            <w:pPr>
              <w:pStyle w:val="ListParagraph"/>
              <w:numPr>
                <w:ilvl w:val="0"/>
                <w:numId w:val="17"/>
              </w:numPr>
              <w:spacing w:before="0" w:after="0"/>
              <w:rPr>
                <w:color w:val="231F20"/>
              </w:rPr>
            </w:pPr>
            <w:r w:rsidRPr="0056758B">
              <w:rPr>
                <w:color w:val="231F20"/>
              </w:rPr>
              <w:t>appropriate responses by a college or university residence to reports of</w:t>
            </w:r>
            <w:r w:rsidRPr="0056758B">
              <w:rPr>
                <w:color w:val="231F20"/>
                <w:spacing w:val="-47"/>
              </w:rPr>
              <w:t xml:space="preserve"> </w:t>
            </w:r>
            <w:r w:rsidRPr="0056758B">
              <w:rPr>
                <w:color w:val="231F20"/>
              </w:rPr>
              <w:t>sexual assault and sexual</w:t>
            </w:r>
            <w:r w:rsidRPr="0056758B">
              <w:rPr>
                <w:color w:val="231F20"/>
                <w:spacing w:val="-20"/>
              </w:rPr>
              <w:t xml:space="preserve"> </w:t>
            </w:r>
            <w:r w:rsidRPr="0056758B">
              <w:rPr>
                <w:color w:val="231F20"/>
              </w:rPr>
              <w:t>harassment</w:t>
            </w:r>
          </w:p>
          <w:p w:rsidR="00E356DB" w:rsidRDefault="00E356DB" w:rsidP="00E356DB">
            <w:pPr>
              <w:spacing w:before="0" w:after="0"/>
              <w:rPr>
                <w:color w:val="231F20"/>
              </w:rPr>
            </w:pPr>
          </w:p>
          <w:p w:rsidR="00E356DB" w:rsidRPr="0056758B" w:rsidRDefault="004F6735" w:rsidP="003816F7">
            <w:pPr>
              <w:pStyle w:val="ListParagraph"/>
              <w:numPr>
                <w:ilvl w:val="0"/>
                <w:numId w:val="17"/>
              </w:numPr>
              <w:spacing w:before="0" w:after="0"/>
              <w:rPr>
                <w:color w:val="231F20"/>
              </w:rPr>
            </w:pPr>
            <w:r w:rsidRPr="0056758B">
              <w:rPr>
                <w:color w:val="231F20"/>
              </w:rPr>
              <w:t>a trauma-informed and rights-based approach in a situation in which an allegation</w:t>
            </w:r>
            <w:r w:rsidRPr="0056758B">
              <w:rPr>
                <w:color w:val="231F20"/>
                <w:spacing w:val="-45"/>
              </w:rPr>
              <w:t xml:space="preserve"> </w:t>
            </w:r>
            <w:r w:rsidRPr="0056758B">
              <w:rPr>
                <w:color w:val="231F20"/>
              </w:rPr>
              <w:t>of sexual assault has been</w:t>
            </w:r>
            <w:r w:rsidRPr="0056758B">
              <w:rPr>
                <w:color w:val="231F20"/>
                <w:spacing w:val="-14"/>
              </w:rPr>
              <w:t xml:space="preserve"> </w:t>
            </w:r>
            <w:r w:rsidRPr="0056758B">
              <w:rPr>
                <w:color w:val="231F20"/>
              </w:rPr>
              <w:t>made</w:t>
            </w:r>
          </w:p>
          <w:p w:rsidR="00E356DB" w:rsidRDefault="00E356DB" w:rsidP="00E356DB">
            <w:pPr>
              <w:spacing w:before="0" w:after="0"/>
              <w:rPr>
                <w:color w:val="231F20"/>
              </w:rPr>
            </w:pPr>
          </w:p>
          <w:p w:rsidR="00E356DB" w:rsidRPr="0056758B" w:rsidRDefault="004F6735" w:rsidP="003816F7">
            <w:pPr>
              <w:pStyle w:val="ListParagraph"/>
              <w:numPr>
                <w:ilvl w:val="0"/>
                <w:numId w:val="17"/>
              </w:numPr>
              <w:spacing w:before="0" w:after="0"/>
              <w:rPr>
                <w:color w:val="231F20"/>
              </w:rPr>
            </w:pPr>
            <w:r w:rsidRPr="0056758B">
              <w:rPr>
                <w:color w:val="231F20"/>
              </w:rPr>
              <w:t>the ways that hazing practices and college ‘traditions’</w:t>
            </w:r>
            <w:r w:rsidRPr="0056758B">
              <w:rPr>
                <w:color w:val="231F20"/>
                <w:spacing w:val="-49"/>
              </w:rPr>
              <w:t xml:space="preserve"> </w:t>
            </w:r>
            <w:r w:rsidRPr="0056758B">
              <w:rPr>
                <w:color w:val="231F20"/>
              </w:rPr>
              <w:t>facilitate a culture which may increase the likelihood of sexual</w:t>
            </w:r>
            <w:r w:rsidRPr="0056758B">
              <w:rPr>
                <w:color w:val="231F20"/>
                <w:spacing w:val="-20"/>
              </w:rPr>
              <w:t xml:space="preserve"> </w:t>
            </w:r>
            <w:r w:rsidRPr="0056758B">
              <w:rPr>
                <w:color w:val="231F20"/>
              </w:rPr>
              <w:t>violence</w:t>
            </w:r>
          </w:p>
          <w:p w:rsidR="00E356DB" w:rsidRDefault="00E356DB" w:rsidP="00E356DB">
            <w:pPr>
              <w:spacing w:before="0" w:after="0"/>
              <w:rPr>
                <w:color w:val="231F20"/>
              </w:rPr>
            </w:pPr>
          </w:p>
          <w:p w:rsidR="00E356DB" w:rsidRPr="0056758B" w:rsidRDefault="004F6735" w:rsidP="003816F7">
            <w:pPr>
              <w:pStyle w:val="ListParagraph"/>
              <w:numPr>
                <w:ilvl w:val="0"/>
                <w:numId w:val="17"/>
              </w:numPr>
              <w:spacing w:before="0" w:after="0"/>
              <w:rPr>
                <w:color w:val="231F20"/>
              </w:rPr>
            </w:pPr>
            <w:r w:rsidRPr="0056758B">
              <w:rPr>
                <w:color w:val="231F20"/>
              </w:rPr>
              <w:lastRenderedPageBreak/>
              <w:t>the role of alcohol in facilitating a culture which may increase the likelihood of sexual violence</w:t>
            </w:r>
          </w:p>
          <w:p w:rsidR="00E356DB" w:rsidRDefault="00E356DB" w:rsidP="00E356DB">
            <w:pPr>
              <w:spacing w:before="0" w:after="0"/>
              <w:rPr>
                <w:color w:val="231F20"/>
              </w:rPr>
            </w:pPr>
          </w:p>
          <w:p w:rsidR="00F67918" w:rsidRDefault="004F6735" w:rsidP="003816F7">
            <w:pPr>
              <w:pStyle w:val="ListParagraph"/>
              <w:numPr>
                <w:ilvl w:val="0"/>
                <w:numId w:val="17"/>
              </w:numPr>
              <w:spacing w:before="0" w:after="0"/>
            </w:pPr>
            <w:r w:rsidRPr="0056758B">
              <w:rPr>
                <w:color w:val="231F20"/>
              </w:rPr>
              <w:t xml:space="preserve">the level and nature of supervision in a </w:t>
            </w:r>
            <w:r w:rsidR="00CB7679" w:rsidRPr="0056758B">
              <w:rPr>
                <w:color w:val="231F20"/>
              </w:rPr>
              <w:t>twenty-four-hour</w:t>
            </w:r>
            <w:r w:rsidRPr="0056758B">
              <w:rPr>
                <w:color w:val="231F20"/>
              </w:rPr>
              <w:t xml:space="preserve"> residential setting in which large numbers of young people are living away from home,</w:t>
            </w:r>
            <w:r w:rsidRPr="0056758B">
              <w:rPr>
                <w:color w:val="231F20"/>
                <w:spacing w:val="-41"/>
              </w:rPr>
              <w:t xml:space="preserve"> </w:t>
            </w:r>
            <w:r w:rsidRPr="0056758B">
              <w:rPr>
                <w:color w:val="231F20"/>
              </w:rPr>
              <w:t>and</w:t>
            </w:r>
          </w:p>
          <w:p w:rsidR="00F67918" w:rsidRDefault="00F67918" w:rsidP="00F67918">
            <w:pPr>
              <w:spacing w:before="0" w:after="0"/>
            </w:pPr>
          </w:p>
          <w:p w:rsidR="004F6735" w:rsidRPr="0056758B" w:rsidRDefault="004F6735" w:rsidP="003816F7">
            <w:pPr>
              <w:pStyle w:val="ListParagraph"/>
              <w:numPr>
                <w:ilvl w:val="0"/>
                <w:numId w:val="17"/>
              </w:numPr>
              <w:spacing w:before="0" w:after="0"/>
              <w:rPr>
                <w:color w:val="231F20"/>
              </w:rPr>
            </w:pPr>
            <w:r w:rsidRPr="0056758B">
              <w:rPr>
                <w:color w:val="231F20"/>
              </w:rPr>
              <w:t>the level and adequacy of training required to equip residential advisors to serve</w:t>
            </w:r>
            <w:r w:rsidRPr="0056758B">
              <w:rPr>
                <w:color w:val="231F20"/>
                <w:spacing w:val="-48"/>
              </w:rPr>
              <w:t xml:space="preserve"> </w:t>
            </w:r>
            <w:r w:rsidRPr="0056758B">
              <w:rPr>
                <w:color w:val="231F20"/>
              </w:rPr>
              <w:t>as first</w:t>
            </w:r>
            <w:r w:rsidRPr="0056758B">
              <w:rPr>
                <w:color w:val="231F20"/>
                <w:spacing w:val="-5"/>
              </w:rPr>
              <w:t xml:space="preserve"> </w:t>
            </w:r>
            <w:r w:rsidRPr="0056758B">
              <w:rPr>
                <w:color w:val="231F20"/>
              </w:rPr>
              <w:t>responders</w:t>
            </w:r>
            <w:r w:rsidRPr="0056758B">
              <w:rPr>
                <w:color w:val="231F20"/>
                <w:spacing w:val="-5"/>
              </w:rPr>
              <w:t xml:space="preserve"> </w:t>
            </w:r>
            <w:r w:rsidRPr="0056758B">
              <w:rPr>
                <w:color w:val="231F20"/>
              </w:rPr>
              <w:t>or</w:t>
            </w:r>
            <w:r w:rsidRPr="0056758B">
              <w:rPr>
                <w:color w:val="231F20"/>
                <w:spacing w:val="-5"/>
              </w:rPr>
              <w:t xml:space="preserve"> </w:t>
            </w:r>
            <w:r w:rsidRPr="0056758B">
              <w:rPr>
                <w:color w:val="231F20"/>
              </w:rPr>
              <w:t>in</w:t>
            </w:r>
            <w:r w:rsidRPr="0056758B">
              <w:rPr>
                <w:color w:val="231F20"/>
                <w:spacing w:val="-5"/>
              </w:rPr>
              <w:t xml:space="preserve"> </w:t>
            </w:r>
            <w:r w:rsidRPr="0056758B">
              <w:rPr>
                <w:color w:val="231F20"/>
              </w:rPr>
              <w:t>response</w:t>
            </w:r>
            <w:r w:rsidRPr="0056758B">
              <w:rPr>
                <w:color w:val="231F20"/>
                <w:spacing w:val="-5"/>
              </w:rPr>
              <w:t xml:space="preserve"> </w:t>
            </w:r>
            <w:r w:rsidRPr="0056758B">
              <w:rPr>
                <w:color w:val="231F20"/>
              </w:rPr>
              <w:t>to</w:t>
            </w:r>
            <w:r w:rsidRPr="0056758B">
              <w:rPr>
                <w:color w:val="231F20"/>
                <w:spacing w:val="-5"/>
              </w:rPr>
              <w:t xml:space="preserve"> </w:t>
            </w:r>
            <w:r w:rsidRPr="0056758B">
              <w:rPr>
                <w:color w:val="231F20"/>
              </w:rPr>
              <w:t>matters</w:t>
            </w:r>
            <w:r w:rsidRPr="0056758B">
              <w:rPr>
                <w:color w:val="231F20"/>
                <w:spacing w:val="-5"/>
              </w:rPr>
              <w:t xml:space="preserve"> </w:t>
            </w:r>
            <w:r w:rsidRPr="0056758B">
              <w:rPr>
                <w:color w:val="231F20"/>
              </w:rPr>
              <w:t>of</w:t>
            </w:r>
            <w:r w:rsidRPr="0056758B">
              <w:rPr>
                <w:color w:val="231F20"/>
                <w:spacing w:val="-5"/>
              </w:rPr>
              <w:t xml:space="preserve"> </w:t>
            </w:r>
            <w:r w:rsidRPr="0056758B">
              <w:rPr>
                <w:color w:val="231F20"/>
              </w:rPr>
              <w:t>sexual</w:t>
            </w:r>
            <w:r w:rsidRPr="0056758B">
              <w:rPr>
                <w:color w:val="231F20"/>
                <w:spacing w:val="-5"/>
              </w:rPr>
              <w:t xml:space="preserve"> </w:t>
            </w:r>
            <w:r w:rsidRPr="0056758B">
              <w:rPr>
                <w:color w:val="231F20"/>
              </w:rPr>
              <w:t>assault</w:t>
            </w:r>
            <w:r w:rsidRPr="0056758B">
              <w:rPr>
                <w:color w:val="231F20"/>
                <w:spacing w:val="-5"/>
              </w:rPr>
              <w:t xml:space="preserve"> </w:t>
            </w:r>
            <w:r w:rsidRPr="0056758B">
              <w:rPr>
                <w:color w:val="231F20"/>
              </w:rPr>
              <w:t>and</w:t>
            </w:r>
            <w:r w:rsidRPr="0056758B">
              <w:rPr>
                <w:color w:val="231F20"/>
                <w:spacing w:val="-5"/>
              </w:rPr>
              <w:t xml:space="preserve"> </w:t>
            </w:r>
            <w:r w:rsidRPr="0056758B">
              <w:rPr>
                <w:color w:val="231F20"/>
              </w:rPr>
              <w:t>harassment.</w:t>
            </w:r>
          </w:p>
          <w:p w:rsidR="00F67918" w:rsidRPr="0013252A" w:rsidRDefault="00F67918" w:rsidP="00F67918">
            <w:pPr>
              <w:spacing w:before="0" w:after="0"/>
            </w:pPr>
          </w:p>
        </w:tc>
        <w:tc>
          <w:tcPr>
            <w:tcW w:w="5953" w:type="dxa"/>
          </w:tcPr>
          <w:p w:rsidR="0056758B" w:rsidRDefault="0056758B" w:rsidP="0056758B">
            <w:pPr>
              <w:spacing w:before="0" w:after="0"/>
              <w:rPr>
                <w:color w:val="231F20"/>
              </w:rPr>
            </w:pPr>
          </w:p>
          <w:p w:rsidR="002E0719" w:rsidRDefault="0056758B" w:rsidP="0056758B">
            <w:pPr>
              <w:spacing w:before="0" w:after="0"/>
              <w:rPr>
                <w:color w:val="231F20"/>
              </w:rPr>
            </w:pPr>
            <w:r w:rsidRPr="0056758B">
              <w:rPr>
                <w:color w:val="231F20"/>
              </w:rPr>
              <w:t xml:space="preserve">UTS does not </w:t>
            </w:r>
            <w:r w:rsidR="002E0719">
              <w:rPr>
                <w:color w:val="231F20"/>
              </w:rPr>
              <w:t>have</w:t>
            </w:r>
            <w:r w:rsidRPr="0056758B">
              <w:rPr>
                <w:color w:val="231F20"/>
              </w:rPr>
              <w:t xml:space="preserve"> any independent residential </w:t>
            </w:r>
            <w:r w:rsidR="00CB7679" w:rsidRPr="0056758B">
              <w:rPr>
                <w:color w:val="231F20"/>
              </w:rPr>
              <w:t>colleges and</w:t>
            </w:r>
            <w:r w:rsidRPr="0056758B">
              <w:rPr>
                <w:color w:val="231F20"/>
              </w:rPr>
              <w:t xml:space="preserve"> can therefore </w:t>
            </w:r>
            <w:r>
              <w:rPr>
                <w:color w:val="231F20"/>
              </w:rPr>
              <w:t xml:space="preserve">directly </w:t>
            </w:r>
            <w:r w:rsidRPr="0056758B">
              <w:rPr>
                <w:color w:val="231F20"/>
              </w:rPr>
              <w:t xml:space="preserve">manage the culture and environment of its university residences. </w:t>
            </w:r>
          </w:p>
          <w:p w:rsidR="002E0719" w:rsidRDefault="002E0719" w:rsidP="0056758B">
            <w:pPr>
              <w:spacing w:before="0" w:after="0"/>
              <w:rPr>
                <w:color w:val="231F20"/>
              </w:rPr>
            </w:pPr>
          </w:p>
          <w:p w:rsidR="00274AAE" w:rsidRPr="0056758B" w:rsidRDefault="002E0719" w:rsidP="0056758B">
            <w:pPr>
              <w:spacing w:before="0" w:after="0"/>
              <w:rPr>
                <w:color w:val="231F20"/>
              </w:rPr>
            </w:pPr>
            <w:r>
              <w:rPr>
                <w:color w:val="231F20"/>
              </w:rPr>
              <w:t xml:space="preserve">UTS previously completed a review of its student accommodation facilities, and </w:t>
            </w:r>
            <w:r w:rsidR="00F40486">
              <w:rPr>
                <w:color w:val="231F20"/>
              </w:rPr>
              <w:t>now s</w:t>
            </w:r>
            <w:r w:rsidR="0056758B" w:rsidRPr="0056758B">
              <w:rPr>
                <w:color w:val="231F20"/>
              </w:rPr>
              <w:t>tudents living in UTS residences receive all the training and support enjoyed by all UTS students</w:t>
            </w:r>
            <w:r>
              <w:rPr>
                <w:color w:val="231F20"/>
              </w:rPr>
              <w:t xml:space="preserve"> (e.g. </w:t>
            </w:r>
            <w:r w:rsidRPr="002E0719">
              <w:rPr>
                <w:i/>
                <w:color w:val="231F20"/>
              </w:rPr>
              <w:t>Consent Matters</w:t>
            </w:r>
            <w:r>
              <w:rPr>
                <w:color w:val="231F20"/>
              </w:rPr>
              <w:t xml:space="preserve"> training)</w:t>
            </w:r>
            <w:r w:rsidR="0056758B" w:rsidRPr="0056758B">
              <w:rPr>
                <w:color w:val="231F20"/>
              </w:rPr>
              <w:t>, but in addition:</w:t>
            </w:r>
            <w:r w:rsidR="0056758B">
              <w:rPr>
                <w:color w:val="231F20"/>
              </w:rPr>
              <w:br/>
            </w:r>
          </w:p>
          <w:p w:rsidR="0056758B" w:rsidRPr="0056758B" w:rsidRDefault="001C1B71" w:rsidP="003816F7">
            <w:pPr>
              <w:pStyle w:val="ListParagraph"/>
              <w:numPr>
                <w:ilvl w:val="0"/>
                <w:numId w:val="17"/>
              </w:numPr>
              <w:spacing w:before="0" w:after="0"/>
              <w:rPr>
                <w:color w:val="231F20"/>
              </w:rPr>
            </w:pPr>
            <w:r w:rsidRPr="0056758B">
              <w:rPr>
                <w:color w:val="231F20"/>
              </w:rPr>
              <w:t xml:space="preserve">All members of the UTS Housing Resident Networker program receive Sex and Ethics training. </w:t>
            </w:r>
          </w:p>
          <w:p w:rsidR="0056758B" w:rsidRPr="0056758B" w:rsidRDefault="0056758B" w:rsidP="0056758B">
            <w:pPr>
              <w:spacing w:before="0" w:after="0"/>
              <w:rPr>
                <w:color w:val="231F20"/>
              </w:rPr>
            </w:pPr>
          </w:p>
          <w:p w:rsidR="0056758B" w:rsidRDefault="0056758B" w:rsidP="003816F7">
            <w:pPr>
              <w:pStyle w:val="ListParagraph"/>
              <w:numPr>
                <w:ilvl w:val="0"/>
                <w:numId w:val="17"/>
              </w:numPr>
              <w:spacing w:before="0" w:after="0"/>
              <w:rPr>
                <w:color w:val="231F20"/>
              </w:rPr>
            </w:pPr>
            <w:r w:rsidRPr="0056758B">
              <w:rPr>
                <w:color w:val="231F20"/>
              </w:rPr>
              <w:t xml:space="preserve">The </w:t>
            </w:r>
            <w:r w:rsidR="001C1B71" w:rsidRPr="0056758B">
              <w:rPr>
                <w:color w:val="231F20"/>
              </w:rPr>
              <w:t xml:space="preserve">UTS Housing survey has been updated to help </w:t>
            </w:r>
            <w:r w:rsidRPr="0056758B">
              <w:rPr>
                <w:color w:val="231F20"/>
              </w:rPr>
              <w:t xml:space="preserve">the university </w:t>
            </w:r>
            <w:r w:rsidR="001C1B71" w:rsidRPr="0056758B">
              <w:rPr>
                <w:color w:val="231F20"/>
              </w:rPr>
              <w:t>understand the extent of residents’ awareness of UTS support services</w:t>
            </w:r>
            <w:r>
              <w:rPr>
                <w:color w:val="231F20"/>
              </w:rPr>
              <w:t>, and reporting avenues specifically</w:t>
            </w:r>
            <w:r w:rsidR="001C1B71" w:rsidRPr="0056758B">
              <w:rPr>
                <w:color w:val="231F20"/>
              </w:rPr>
              <w:t>.</w:t>
            </w:r>
          </w:p>
          <w:p w:rsidR="0056758B" w:rsidRPr="0056758B" w:rsidRDefault="0056758B" w:rsidP="0056758B">
            <w:pPr>
              <w:pStyle w:val="ListParagraph"/>
              <w:rPr>
                <w:color w:val="231F20"/>
              </w:rPr>
            </w:pPr>
          </w:p>
          <w:p w:rsidR="0056758B" w:rsidRDefault="0056758B" w:rsidP="003816F7">
            <w:pPr>
              <w:pStyle w:val="ListParagraph"/>
              <w:numPr>
                <w:ilvl w:val="0"/>
                <w:numId w:val="17"/>
              </w:numPr>
              <w:spacing w:before="0" w:after="0"/>
              <w:rPr>
                <w:color w:val="231F20"/>
              </w:rPr>
            </w:pPr>
            <w:r>
              <w:rPr>
                <w:color w:val="231F20"/>
              </w:rPr>
              <w:t>Alcohol-free events are routinely held.</w:t>
            </w:r>
          </w:p>
          <w:p w:rsidR="0056758B" w:rsidRPr="0056758B" w:rsidRDefault="0056758B" w:rsidP="0056758B">
            <w:pPr>
              <w:pStyle w:val="ListParagraph"/>
              <w:rPr>
                <w:color w:val="231F20"/>
              </w:rPr>
            </w:pPr>
          </w:p>
          <w:p w:rsidR="001C1B71" w:rsidRPr="0056758B" w:rsidRDefault="002E0719" w:rsidP="003816F7">
            <w:pPr>
              <w:pStyle w:val="ListParagraph"/>
              <w:numPr>
                <w:ilvl w:val="0"/>
                <w:numId w:val="17"/>
              </w:numPr>
              <w:spacing w:before="0" w:after="0"/>
              <w:rPr>
                <w:color w:val="231F20"/>
              </w:rPr>
            </w:pPr>
            <w:r>
              <w:rPr>
                <w:color w:val="231F20"/>
              </w:rPr>
              <w:t xml:space="preserve">Prospective students applying for an accommodation place are asked how they </w:t>
            </w:r>
            <w:r>
              <w:rPr>
                <w:color w:val="231F20"/>
              </w:rPr>
              <w:lastRenderedPageBreak/>
              <w:t>could contribute to a safe, supportive and positive environment.</w:t>
            </w:r>
          </w:p>
          <w:p w:rsidR="0013252A" w:rsidRDefault="0013252A" w:rsidP="0013252A">
            <w:pPr>
              <w:spacing w:before="0" w:after="0"/>
              <w:jc w:val="center"/>
              <w:rPr>
                <w:b/>
              </w:rPr>
            </w:pPr>
          </w:p>
        </w:tc>
        <w:tc>
          <w:tcPr>
            <w:tcW w:w="3225" w:type="dxa"/>
          </w:tcPr>
          <w:p w:rsidR="0013252A" w:rsidRDefault="0013252A" w:rsidP="0013252A">
            <w:pPr>
              <w:spacing w:before="0" w:after="0"/>
              <w:jc w:val="center"/>
              <w:rPr>
                <w:b/>
              </w:rPr>
            </w:pPr>
          </w:p>
        </w:tc>
      </w:tr>
    </w:tbl>
    <w:p w:rsidR="0013252A" w:rsidRDefault="0013252A" w:rsidP="0013252A">
      <w:pPr>
        <w:spacing w:before="0" w:after="0"/>
        <w:jc w:val="center"/>
        <w:rPr>
          <w:b/>
        </w:rPr>
      </w:pPr>
    </w:p>
    <w:p w:rsidR="00E8245B" w:rsidRDefault="00E8245B" w:rsidP="00E8245B">
      <w:pPr>
        <w:spacing w:before="0" w:after="0"/>
        <w:rPr>
          <w:b/>
        </w:rPr>
      </w:pPr>
    </w:p>
    <w:sectPr w:rsidR="00E8245B" w:rsidSect="0013252A">
      <w:headerReference w:type="default" r:id="rId7"/>
      <w:footerReference w:type="default" r:id="rId8"/>
      <w:headerReference w:type="first" r:id="rId9"/>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AE1" w:rsidRDefault="00912AE1" w:rsidP="00F14C6D">
      <w:r>
        <w:separator/>
      </w:r>
    </w:p>
  </w:endnote>
  <w:endnote w:type="continuationSeparator" w:id="0">
    <w:p w:rsidR="00912AE1" w:rsidRDefault="00912AE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966026">
      <w:rPr>
        <w:noProof/>
      </w:rPr>
      <w:t>9</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AE1" w:rsidRDefault="00912AE1" w:rsidP="00F14C6D">
      <w:r>
        <w:separator/>
      </w:r>
    </w:p>
  </w:footnote>
  <w:footnote w:type="continuationSeparator" w:id="0">
    <w:p w:rsidR="00912AE1" w:rsidRDefault="00912AE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2A" w:rsidRDefault="0013252A">
    <w:pPr>
      <w:pStyle w:val="Header"/>
    </w:pPr>
    <w:r w:rsidRPr="000C2F75">
      <w:rPr>
        <w:rFonts w:cs="ArialMT"/>
        <w:b/>
        <w:noProof/>
        <w:color w:val="000000"/>
        <w:spacing w:val="-20"/>
        <w:sz w:val="32"/>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D517E"/>
    <w:multiLevelType w:val="hybridMultilevel"/>
    <w:tmpl w:val="94D08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922818"/>
    <w:multiLevelType w:val="hybridMultilevel"/>
    <w:tmpl w:val="9FB686F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0DA471BC"/>
    <w:multiLevelType w:val="hybridMultilevel"/>
    <w:tmpl w:val="2F16C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B52FF"/>
    <w:multiLevelType w:val="hybridMultilevel"/>
    <w:tmpl w:val="9342B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F882576"/>
    <w:multiLevelType w:val="hybridMultilevel"/>
    <w:tmpl w:val="0F769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B8B653A"/>
    <w:multiLevelType w:val="hybridMultilevel"/>
    <w:tmpl w:val="70CE2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36E6880"/>
    <w:multiLevelType w:val="hybridMultilevel"/>
    <w:tmpl w:val="6B38C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105219"/>
    <w:multiLevelType w:val="hybridMultilevel"/>
    <w:tmpl w:val="BD9E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886F4A"/>
    <w:multiLevelType w:val="hybridMultilevel"/>
    <w:tmpl w:val="7C80B360"/>
    <w:lvl w:ilvl="0" w:tplc="F2F4306A">
      <w:numFmt w:val="bullet"/>
      <w:lvlText w:val="•"/>
      <w:lvlJc w:val="left"/>
      <w:pPr>
        <w:ind w:left="902" w:hanging="171"/>
      </w:pPr>
      <w:rPr>
        <w:rFonts w:ascii="Arial" w:eastAsia="Arial" w:hAnsi="Arial" w:cs="Arial" w:hint="default"/>
        <w:color w:val="231F20"/>
        <w:w w:val="100"/>
        <w:sz w:val="24"/>
        <w:szCs w:val="24"/>
      </w:rPr>
    </w:lvl>
    <w:lvl w:ilvl="1" w:tplc="B44C5712">
      <w:numFmt w:val="bullet"/>
      <w:lvlText w:val="•"/>
      <w:lvlJc w:val="left"/>
      <w:pPr>
        <w:ind w:left="1817" w:hanging="171"/>
      </w:pPr>
      <w:rPr>
        <w:rFonts w:hint="default"/>
      </w:rPr>
    </w:lvl>
    <w:lvl w:ilvl="2" w:tplc="D7021E8E">
      <w:numFmt w:val="bullet"/>
      <w:lvlText w:val="•"/>
      <w:lvlJc w:val="left"/>
      <w:pPr>
        <w:ind w:left="2734" w:hanging="171"/>
      </w:pPr>
      <w:rPr>
        <w:rFonts w:hint="default"/>
      </w:rPr>
    </w:lvl>
    <w:lvl w:ilvl="3" w:tplc="93547BDE">
      <w:numFmt w:val="bullet"/>
      <w:lvlText w:val="•"/>
      <w:lvlJc w:val="left"/>
      <w:pPr>
        <w:ind w:left="3651" w:hanging="171"/>
      </w:pPr>
      <w:rPr>
        <w:rFonts w:hint="default"/>
      </w:rPr>
    </w:lvl>
    <w:lvl w:ilvl="4" w:tplc="92B2560A">
      <w:numFmt w:val="bullet"/>
      <w:lvlText w:val="•"/>
      <w:lvlJc w:val="left"/>
      <w:pPr>
        <w:ind w:left="4568" w:hanging="171"/>
      </w:pPr>
      <w:rPr>
        <w:rFonts w:hint="default"/>
      </w:rPr>
    </w:lvl>
    <w:lvl w:ilvl="5" w:tplc="4FC22BF8">
      <w:numFmt w:val="bullet"/>
      <w:lvlText w:val="•"/>
      <w:lvlJc w:val="left"/>
      <w:pPr>
        <w:ind w:left="5485" w:hanging="171"/>
      </w:pPr>
      <w:rPr>
        <w:rFonts w:hint="default"/>
      </w:rPr>
    </w:lvl>
    <w:lvl w:ilvl="6" w:tplc="4DDC5922">
      <w:numFmt w:val="bullet"/>
      <w:lvlText w:val="•"/>
      <w:lvlJc w:val="left"/>
      <w:pPr>
        <w:ind w:left="6402" w:hanging="171"/>
      </w:pPr>
      <w:rPr>
        <w:rFonts w:hint="default"/>
      </w:rPr>
    </w:lvl>
    <w:lvl w:ilvl="7" w:tplc="FEA47B46">
      <w:numFmt w:val="bullet"/>
      <w:lvlText w:val="•"/>
      <w:lvlJc w:val="left"/>
      <w:pPr>
        <w:ind w:left="7319" w:hanging="171"/>
      </w:pPr>
      <w:rPr>
        <w:rFonts w:hint="default"/>
      </w:rPr>
    </w:lvl>
    <w:lvl w:ilvl="8" w:tplc="A5AADFD0">
      <w:numFmt w:val="bullet"/>
      <w:lvlText w:val="•"/>
      <w:lvlJc w:val="left"/>
      <w:pPr>
        <w:ind w:left="8237" w:hanging="171"/>
      </w:pPr>
      <w:rPr>
        <w:rFonts w:hint="default"/>
      </w:rPr>
    </w:lvl>
  </w:abstractNum>
  <w:abstractNum w:abstractNumId="24" w15:restartNumberingAfterBreak="0">
    <w:nsid w:val="6D16456E"/>
    <w:multiLevelType w:val="hybridMultilevel"/>
    <w:tmpl w:val="DFE4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F574E1"/>
    <w:multiLevelType w:val="multilevel"/>
    <w:tmpl w:val="7DA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0"/>
  </w:num>
  <w:num w:numId="12">
    <w:abstractNumId w:val="17"/>
  </w:num>
  <w:num w:numId="13">
    <w:abstractNumId w:val="14"/>
  </w:num>
  <w:num w:numId="14">
    <w:abstractNumId w:val="18"/>
  </w:num>
  <w:num w:numId="15">
    <w:abstractNumId w:val="15"/>
  </w:num>
  <w:num w:numId="16">
    <w:abstractNumId w:val="25"/>
  </w:num>
  <w:num w:numId="17">
    <w:abstractNumId w:val="16"/>
  </w:num>
  <w:num w:numId="18">
    <w:abstractNumId w:val="23"/>
  </w:num>
  <w:num w:numId="19">
    <w:abstractNumId w:val="21"/>
  </w:num>
  <w:num w:numId="20">
    <w:abstractNumId w:val="11"/>
  </w:num>
  <w:num w:numId="21">
    <w:abstractNumId w:val="10"/>
  </w:num>
  <w:num w:numId="22">
    <w:abstractNumId w:val="13"/>
  </w:num>
  <w:num w:numId="23">
    <w:abstractNumId w:val="19"/>
  </w:num>
  <w:num w:numId="24">
    <w:abstractNumId w:val="24"/>
  </w:num>
  <w:num w:numId="25">
    <w:abstractNumId w:val="22"/>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1254B"/>
    <w:rsid w:val="00013272"/>
    <w:rsid w:val="00021134"/>
    <w:rsid w:val="000540A0"/>
    <w:rsid w:val="000579B1"/>
    <w:rsid w:val="00061380"/>
    <w:rsid w:val="00072060"/>
    <w:rsid w:val="00074750"/>
    <w:rsid w:val="00074CD6"/>
    <w:rsid w:val="000B0A5D"/>
    <w:rsid w:val="000C7909"/>
    <w:rsid w:val="001011C8"/>
    <w:rsid w:val="00132462"/>
    <w:rsid w:val="0013252A"/>
    <w:rsid w:val="00140077"/>
    <w:rsid w:val="001523D8"/>
    <w:rsid w:val="001566D4"/>
    <w:rsid w:val="00162A8D"/>
    <w:rsid w:val="00184098"/>
    <w:rsid w:val="001867A2"/>
    <w:rsid w:val="001A5D46"/>
    <w:rsid w:val="001B0353"/>
    <w:rsid w:val="001C139C"/>
    <w:rsid w:val="001C1B71"/>
    <w:rsid w:val="001C451B"/>
    <w:rsid w:val="001F2BBB"/>
    <w:rsid w:val="0020759E"/>
    <w:rsid w:val="00231ED1"/>
    <w:rsid w:val="0023303F"/>
    <w:rsid w:val="0024300C"/>
    <w:rsid w:val="0024557E"/>
    <w:rsid w:val="002702D9"/>
    <w:rsid w:val="00274AAE"/>
    <w:rsid w:val="002E0719"/>
    <w:rsid w:val="003040CA"/>
    <w:rsid w:val="00310ED4"/>
    <w:rsid w:val="0031492A"/>
    <w:rsid w:val="00316504"/>
    <w:rsid w:val="00316C1A"/>
    <w:rsid w:val="00321AF0"/>
    <w:rsid w:val="003558D1"/>
    <w:rsid w:val="00377C8F"/>
    <w:rsid w:val="003816F7"/>
    <w:rsid w:val="003931C7"/>
    <w:rsid w:val="003955AE"/>
    <w:rsid w:val="00395B25"/>
    <w:rsid w:val="003A533F"/>
    <w:rsid w:val="003B18A7"/>
    <w:rsid w:val="003F0CEE"/>
    <w:rsid w:val="00404DAD"/>
    <w:rsid w:val="004215B3"/>
    <w:rsid w:val="00444303"/>
    <w:rsid w:val="004561BE"/>
    <w:rsid w:val="00462D4C"/>
    <w:rsid w:val="00463DB3"/>
    <w:rsid w:val="00473DB9"/>
    <w:rsid w:val="00474063"/>
    <w:rsid w:val="00476EEA"/>
    <w:rsid w:val="00494D4B"/>
    <w:rsid w:val="004A4389"/>
    <w:rsid w:val="004A722D"/>
    <w:rsid w:val="004F3A80"/>
    <w:rsid w:val="004F53EF"/>
    <w:rsid w:val="004F6735"/>
    <w:rsid w:val="00503E04"/>
    <w:rsid w:val="00504B28"/>
    <w:rsid w:val="00513540"/>
    <w:rsid w:val="00522CED"/>
    <w:rsid w:val="00523E2F"/>
    <w:rsid w:val="00554C04"/>
    <w:rsid w:val="00566C8A"/>
    <w:rsid w:val="0056758B"/>
    <w:rsid w:val="005970DC"/>
    <w:rsid w:val="005A7795"/>
    <w:rsid w:val="005B7515"/>
    <w:rsid w:val="005C1654"/>
    <w:rsid w:val="005D04F4"/>
    <w:rsid w:val="005D1F34"/>
    <w:rsid w:val="005F5F45"/>
    <w:rsid w:val="00657221"/>
    <w:rsid w:val="00690313"/>
    <w:rsid w:val="00696390"/>
    <w:rsid w:val="006A6BB3"/>
    <w:rsid w:val="006B3680"/>
    <w:rsid w:val="006D5EE5"/>
    <w:rsid w:val="006E06ED"/>
    <w:rsid w:val="006E06F5"/>
    <w:rsid w:val="007039FC"/>
    <w:rsid w:val="007063E5"/>
    <w:rsid w:val="00706FAB"/>
    <w:rsid w:val="00707793"/>
    <w:rsid w:val="007169BB"/>
    <w:rsid w:val="0072432D"/>
    <w:rsid w:val="00725D5E"/>
    <w:rsid w:val="007548CA"/>
    <w:rsid w:val="00770DCB"/>
    <w:rsid w:val="00775485"/>
    <w:rsid w:val="007841E1"/>
    <w:rsid w:val="007B5C34"/>
    <w:rsid w:val="007D006C"/>
    <w:rsid w:val="007D40BD"/>
    <w:rsid w:val="007E1866"/>
    <w:rsid w:val="007E6434"/>
    <w:rsid w:val="00810ABF"/>
    <w:rsid w:val="008125EE"/>
    <w:rsid w:val="00822BF4"/>
    <w:rsid w:val="0083209A"/>
    <w:rsid w:val="008724DE"/>
    <w:rsid w:val="008A2AF7"/>
    <w:rsid w:val="008A3D57"/>
    <w:rsid w:val="008A5953"/>
    <w:rsid w:val="008C2581"/>
    <w:rsid w:val="008E06DB"/>
    <w:rsid w:val="008E3D60"/>
    <w:rsid w:val="0090165F"/>
    <w:rsid w:val="00912AE1"/>
    <w:rsid w:val="0091782F"/>
    <w:rsid w:val="00921CB7"/>
    <w:rsid w:val="00923C4F"/>
    <w:rsid w:val="009472C4"/>
    <w:rsid w:val="00950E88"/>
    <w:rsid w:val="00966026"/>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A260D"/>
    <w:rsid w:val="00AC27AB"/>
    <w:rsid w:val="00AC6A34"/>
    <w:rsid w:val="00AE76EB"/>
    <w:rsid w:val="00B22697"/>
    <w:rsid w:val="00B277E0"/>
    <w:rsid w:val="00B52E2D"/>
    <w:rsid w:val="00B76653"/>
    <w:rsid w:val="00B94CC9"/>
    <w:rsid w:val="00BA262D"/>
    <w:rsid w:val="00BC79EB"/>
    <w:rsid w:val="00C076F2"/>
    <w:rsid w:val="00C247EB"/>
    <w:rsid w:val="00C2494B"/>
    <w:rsid w:val="00C25BDA"/>
    <w:rsid w:val="00C53971"/>
    <w:rsid w:val="00C54FB1"/>
    <w:rsid w:val="00C80F9F"/>
    <w:rsid w:val="00CA0D78"/>
    <w:rsid w:val="00CB27A8"/>
    <w:rsid w:val="00CB7679"/>
    <w:rsid w:val="00CE7182"/>
    <w:rsid w:val="00CF0C47"/>
    <w:rsid w:val="00D20B8D"/>
    <w:rsid w:val="00D36D90"/>
    <w:rsid w:val="00D65C76"/>
    <w:rsid w:val="00DA2F73"/>
    <w:rsid w:val="00DA42E8"/>
    <w:rsid w:val="00DC193F"/>
    <w:rsid w:val="00DC3C4F"/>
    <w:rsid w:val="00DC462F"/>
    <w:rsid w:val="00DC7446"/>
    <w:rsid w:val="00E24FA3"/>
    <w:rsid w:val="00E327EB"/>
    <w:rsid w:val="00E328CD"/>
    <w:rsid w:val="00E356DB"/>
    <w:rsid w:val="00E45954"/>
    <w:rsid w:val="00E7161C"/>
    <w:rsid w:val="00E75D90"/>
    <w:rsid w:val="00E8245B"/>
    <w:rsid w:val="00E835AF"/>
    <w:rsid w:val="00E9424A"/>
    <w:rsid w:val="00E97EF8"/>
    <w:rsid w:val="00EE44D7"/>
    <w:rsid w:val="00F14C6D"/>
    <w:rsid w:val="00F3100E"/>
    <w:rsid w:val="00F40486"/>
    <w:rsid w:val="00F4453E"/>
    <w:rsid w:val="00F67918"/>
    <w:rsid w:val="00F71A6E"/>
    <w:rsid w:val="00F9078E"/>
    <w:rsid w:val="00F95982"/>
    <w:rsid w:val="00FC582E"/>
    <w:rsid w:val="00FD754C"/>
    <w:rsid w:val="00FF5F6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FF5F61"/>
    <w:pPr>
      <w:ind w:left="720"/>
      <w:contextualSpacing/>
    </w:pPr>
  </w:style>
  <w:style w:type="paragraph" w:customStyle="1" w:styleId="TableParagraph">
    <w:name w:val="Table Paragraph"/>
    <w:basedOn w:val="Normal"/>
    <w:uiPriority w:val="1"/>
    <w:qFormat/>
    <w:rsid w:val="00E7161C"/>
    <w:pPr>
      <w:widowControl w:val="0"/>
      <w:autoSpaceDE w:val="0"/>
      <w:autoSpaceDN w:val="0"/>
      <w:spacing w:before="49" w:after="0"/>
      <w:ind w:left="75"/>
    </w:pPr>
    <w:rPr>
      <w:rFonts w:eastAsia="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06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82">
          <w:marLeft w:val="0"/>
          <w:marRight w:val="0"/>
          <w:marTop w:val="450"/>
          <w:marBottom w:val="450"/>
          <w:divBdr>
            <w:top w:val="none" w:sz="0" w:space="0" w:color="auto"/>
            <w:left w:val="none" w:sz="0" w:space="0" w:color="auto"/>
            <w:bottom w:val="none" w:sz="0" w:space="0" w:color="auto"/>
            <w:right w:val="none" w:sz="0" w:space="0" w:color="auto"/>
          </w:divBdr>
          <w:divsChild>
            <w:div w:id="1854998417">
              <w:marLeft w:val="0"/>
              <w:marRight w:val="0"/>
              <w:marTop w:val="0"/>
              <w:marBottom w:val="0"/>
              <w:divBdr>
                <w:top w:val="none" w:sz="0" w:space="0" w:color="auto"/>
                <w:left w:val="none" w:sz="0" w:space="0" w:color="auto"/>
                <w:bottom w:val="none" w:sz="0" w:space="0" w:color="auto"/>
                <w:right w:val="none" w:sz="0" w:space="0" w:color="auto"/>
              </w:divBdr>
            </w:div>
          </w:divsChild>
        </w:div>
        <w:div w:id="1973947705">
          <w:marLeft w:val="0"/>
          <w:marRight w:val="0"/>
          <w:marTop w:val="450"/>
          <w:marBottom w:val="450"/>
          <w:divBdr>
            <w:top w:val="none" w:sz="0" w:space="0" w:color="auto"/>
            <w:left w:val="none" w:sz="0" w:space="0" w:color="auto"/>
            <w:bottom w:val="none" w:sz="0" w:space="0" w:color="auto"/>
            <w:right w:val="none" w:sz="0" w:space="0" w:color="auto"/>
          </w:divBdr>
          <w:divsChild>
            <w:div w:id="19971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6288">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31967350">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eggray</cp:lastModifiedBy>
  <cp:revision>2</cp:revision>
  <dcterms:created xsi:type="dcterms:W3CDTF">2018-07-18T07:54:00Z</dcterms:created>
  <dcterms:modified xsi:type="dcterms:W3CDTF">2018-07-18T07:54:00Z</dcterms:modified>
</cp:coreProperties>
</file>