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77A42" w14:textId="77777777" w:rsidR="004C6ABF" w:rsidRDefault="004C6ABF" w:rsidP="00602118">
      <w:pPr>
        <w:pStyle w:val="MainTitle"/>
      </w:pPr>
      <w:bookmarkStart w:id="0" w:name="_GoBack"/>
      <w:bookmarkEnd w:id="0"/>
      <w:r>
        <w:t>Review of the a</w:t>
      </w:r>
      <w:r w:rsidR="00602118">
        <w:t xml:space="preserve">ge </w:t>
      </w:r>
      <w:r>
        <w:t>of</w:t>
      </w:r>
    </w:p>
    <w:p w14:paraId="657DC557" w14:textId="7909EE1C" w:rsidR="00A355F9" w:rsidRDefault="007E3F81" w:rsidP="00602118">
      <w:pPr>
        <w:pStyle w:val="MainTitle"/>
      </w:pPr>
      <w:r>
        <w:t>c</w:t>
      </w:r>
      <w:r w:rsidR="00602118">
        <w:t xml:space="preserve">riminal </w:t>
      </w:r>
      <w:r>
        <w:t>r</w:t>
      </w:r>
      <w:r w:rsidR="00602118">
        <w:t>esponsibility</w:t>
      </w:r>
    </w:p>
    <w:p w14:paraId="250881C9" w14:textId="1248250D" w:rsidR="00817C73" w:rsidRPr="004A351F" w:rsidRDefault="00C86324" w:rsidP="004A351F">
      <w:pPr>
        <w:pStyle w:val="Date"/>
        <w:rPr>
          <w:color w:val="2E74B5" w:themeColor="accent1" w:themeShade="BF"/>
          <w:sz w:val="28"/>
        </w:rPr>
      </w:pPr>
      <w:bookmarkStart w:id="1" w:name="_Toc525894097"/>
      <w:r w:rsidRPr="004A351F">
        <w:rPr>
          <w:color w:val="2E74B5" w:themeColor="accent1" w:themeShade="BF"/>
          <w:sz w:val="28"/>
        </w:rPr>
        <w:t xml:space="preserve">Submission to the </w:t>
      </w:r>
      <w:bookmarkEnd w:id="1"/>
      <w:r w:rsidR="004C6ABF">
        <w:rPr>
          <w:color w:val="2E74B5" w:themeColor="accent1" w:themeShade="BF"/>
          <w:sz w:val="28"/>
        </w:rPr>
        <w:t xml:space="preserve">Council of Attorneys-General Age of Criminal Responsibility Working Group </w:t>
      </w:r>
    </w:p>
    <w:p w14:paraId="5267B411" w14:textId="61D53459" w:rsidR="00F220A5" w:rsidRPr="00817C73" w:rsidRDefault="004C6ABF" w:rsidP="00F220A5">
      <w:pPr>
        <w:pStyle w:val="Date"/>
      </w:pPr>
      <w:r>
        <w:t>2</w:t>
      </w:r>
      <w:r w:rsidR="00A46B1C">
        <w:t>6</w:t>
      </w:r>
      <w:r>
        <w:t xml:space="preserve"> February 2020</w:t>
      </w:r>
    </w:p>
    <w:p w14:paraId="6F73C4EB" w14:textId="77777777" w:rsidR="00AC636D" w:rsidRDefault="00AC636D" w:rsidP="00AC636D"/>
    <w:p w14:paraId="475655EB" w14:textId="77777777" w:rsidR="009E4BD0" w:rsidRPr="00AC636D" w:rsidRDefault="009E4BD0" w:rsidP="000E4837">
      <w:pPr>
        <w:pStyle w:val="Subtitle"/>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2" w:name="_Toc209316062"/>
    <w:bookmarkEnd w:id="2"/>
    <w:p w14:paraId="3398269D" w14:textId="188BFC76" w:rsidR="00C874B2" w:rsidRDefault="000E4837">
      <w:pPr>
        <w:pStyle w:val="TOC1"/>
        <w:rPr>
          <w:rFonts w:asciiTheme="minorHAnsi" w:eastAsiaTheme="minorEastAsia" w:hAnsiTheme="minorHAnsi" w:cstheme="minorBidi"/>
          <w:b w:val="0"/>
          <w:sz w:val="22"/>
          <w:szCs w:val="22"/>
        </w:rPr>
      </w:pPr>
      <w:r>
        <w:rPr>
          <w:b w:val="0"/>
        </w:rPr>
        <w:lastRenderedPageBreak/>
        <w:fldChar w:fldCharType="begin"/>
      </w:r>
      <w:r>
        <w:rPr>
          <w:b w:val="0"/>
        </w:rPr>
        <w:instrText xml:space="preserve"> TOC \o "1-3" \h \z \u </w:instrText>
      </w:r>
      <w:r>
        <w:rPr>
          <w:b w:val="0"/>
        </w:rPr>
        <w:fldChar w:fldCharType="separate"/>
      </w:r>
      <w:hyperlink w:anchor="_Toc33622189" w:history="1">
        <w:r w:rsidR="00C874B2" w:rsidRPr="00A13489">
          <w:rPr>
            <w:rStyle w:val="Hyperlink"/>
          </w:rPr>
          <w:t>1</w:t>
        </w:r>
        <w:r w:rsidR="00C874B2">
          <w:rPr>
            <w:rFonts w:asciiTheme="minorHAnsi" w:eastAsiaTheme="minorEastAsia" w:hAnsiTheme="minorHAnsi" w:cstheme="minorBidi"/>
            <w:b w:val="0"/>
            <w:sz w:val="22"/>
            <w:szCs w:val="22"/>
          </w:rPr>
          <w:tab/>
        </w:r>
        <w:r w:rsidR="00C874B2" w:rsidRPr="00A13489">
          <w:rPr>
            <w:rStyle w:val="Hyperlink"/>
          </w:rPr>
          <w:t>Introduction</w:t>
        </w:r>
        <w:r w:rsidR="00C874B2">
          <w:rPr>
            <w:webHidden/>
          </w:rPr>
          <w:tab/>
        </w:r>
        <w:r w:rsidR="00C874B2">
          <w:rPr>
            <w:webHidden/>
          </w:rPr>
          <w:fldChar w:fldCharType="begin"/>
        </w:r>
        <w:r w:rsidR="00C874B2">
          <w:rPr>
            <w:webHidden/>
          </w:rPr>
          <w:instrText xml:space="preserve"> PAGEREF _Toc33622189 \h </w:instrText>
        </w:r>
        <w:r w:rsidR="00C874B2">
          <w:rPr>
            <w:webHidden/>
          </w:rPr>
        </w:r>
        <w:r w:rsidR="00C874B2">
          <w:rPr>
            <w:webHidden/>
          </w:rPr>
          <w:fldChar w:fldCharType="separate"/>
        </w:r>
        <w:r w:rsidR="00EB2B86">
          <w:rPr>
            <w:webHidden/>
          </w:rPr>
          <w:t>3</w:t>
        </w:r>
        <w:r w:rsidR="00C874B2">
          <w:rPr>
            <w:webHidden/>
          </w:rPr>
          <w:fldChar w:fldCharType="end"/>
        </w:r>
      </w:hyperlink>
    </w:p>
    <w:p w14:paraId="6F0E1971" w14:textId="26B9D284" w:rsidR="00C874B2" w:rsidRDefault="00E301F5">
      <w:pPr>
        <w:pStyle w:val="TOC1"/>
        <w:rPr>
          <w:rFonts w:asciiTheme="minorHAnsi" w:eastAsiaTheme="minorEastAsia" w:hAnsiTheme="minorHAnsi" w:cstheme="minorBidi"/>
          <w:b w:val="0"/>
          <w:sz w:val="22"/>
          <w:szCs w:val="22"/>
        </w:rPr>
      </w:pPr>
      <w:hyperlink w:anchor="_Toc33622190" w:history="1">
        <w:r w:rsidR="00C874B2" w:rsidRPr="00A13489">
          <w:rPr>
            <w:rStyle w:val="Hyperlink"/>
          </w:rPr>
          <w:t>2</w:t>
        </w:r>
        <w:r w:rsidR="00C874B2">
          <w:rPr>
            <w:rFonts w:asciiTheme="minorHAnsi" w:eastAsiaTheme="minorEastAsia" w:hAnsiTheme="minorHAnsi" w:cstheme="minorBidi"/>
            <w:b w:val="0"/>
            <w:sz w:val="22"/>
            <w:szCs w:val="22"/>
          </w:rPr>
          <w:tab/>
        </w:r>
        <w:r w:rsidR="00C874B2" w:rsidRPr="00A13489">
          <w:rPr>
            <w:rStyle w:val="Hyperlink"/>
          </w:rPr>
          <w:t>Recommendations</w:t>
        </w:r>
        <w:r w:rsidR="00C874B2">
          <w:rPr>
            <w:webHidden/>
          </w:rPr>
          <w:tab/>
        </w:r>
        <w:r w:rsidR="00C874B2">
          <w:rPr>
            <w:webHidden/>
          </w:rPr>
          <w:fldChar w:fldCharType="begin"/>
        </w:r>
        <w:r w:rsidR="00C874B2">
          <w:rPr>
            <w:webHidden/>
          </w:rPr>
          <w:instrText xml:space="preserve"> PAGEREF _Toc33622190 \h </w:instrText>
        </w:r>
        <w:r w:rsidR="00C874B2">
          <w:rPr>
            <w:webHidden/>
          </w:rPr>
        </w:r>
        <w:r w:rsidR="00C874B2">
          <w:rPr>
            <w:webHidden/>
          </w:rPr>
          <w:fldChar w:fldCharType="separate"/>
        </w:r>
        <w:r w:rsidR="00EB2B86">
          <w:rPr>
            <w:webHidden/>
          </w:rPr>
          <w:t>4</w:t>
        </w:r>
        <w:r w:rsidR="00C874B2">
          <w:rPr>
            <w:webHidden/>
          </w:rPr>
          <w:fldChar w:fldCharType="end"/>
        </w:r>
      </w:hyperlink>
    </w:p>
    <w:p w14:paraId="0AF2FE0A" w14:textId="11045D24" w:rsidR="00C874B2" w:rsidRDefault="00E301F5">
      <w:pPr>
        <w:pStyle w:val="TOC1"/>
        <w:rPr>
          <w:rFonts w:asciiTheme="minorHAnsi" w:eastAsiaTheme="minorEastAsia" w:hAnsiTheme="minorHAnsi" w:cstheme="minorBidi"/>
          <w:b w:val="0"/>
          <w:sz w:val="22"/>
          <w:szCs w:val="22"/>
        </w:rPr>
      </w:pPr>
      <w:hyperlink w:anchor="_Toc33622191" w:history="1">
        <w:r w:rsidR="00C874B2" w:rsidRPr="00A13489">
          <w:rPr>
            <w:rStyle w:val="Hyperlink"/>
          </w:rPr>
          <w:t>3</w:t>
        </w:r>
        <w:r w:rsidR="00C874B2">
          <w:rPr>
            <w:rFonts w:asciiTheme="minorHAnsi" w:eastAsiaTheme="minorEastAsia" w:hAnsiTheme="minorHAnsi" w:cstheme="minorBidi"/>
            <w:b w:val="0"/>
            <w:sz w:val="22"/>
            <w:szCs w:val="22"/>
          </w:rPr>
          <w:tab/>
        </w:r>
        <w:r w:rsidR="00C874B2" w:rsidRPr="00A13489">
          <w:rPr>
            <w:rStyle w:val="Hyperlink"/>
          </w:rPr>
          <w:t>International human rights law</w:t>
        </w:r>
        <w:r w:rsidR="00C874B2">
          <w:rPr>
            <w:webHidden/>
          </w:rPr>
          <w:tab/>
        </w:r>
        <w:r w:rsidR="00C874B2">
          <w:rPr>
            <w:webHidden/>
          </w:rPr>
          <w:fldChar w:fldCharType="begin"/>
        </w:r>
        <w:r w:rsidR="00C874B2">
          <w:rPr>
            <w:webHidden/>
          </w:rPr>
          <w:instrText xml:space="preserve"> PAGEREF _Toc33622191 \h </w:instrText>
        </w:r>
        <w:r w:rsidR="00C874B2">
          <w:rPr>
            <w:webHidden/>
          </w:rPr>
        </w:r>
        <w:r w:rsidR="00C874B2">
          <w:rPr>
            <w:webHidden/>
          </w:rPr>
          <w:fldChar w:fldCharType="separate"/>
        </w:r>
        <w:r w:rsidR="00EB2B86">
          <w:rPr>
            <w:webHidden/>
          </w:rPr>
          <w:t>4</w:t>
        </w:r>
        <w:r w:rsidR="00C874B2">
          <w:rPr>
            <w:webHidden/>
          </w:rPr>
          <w:fldChar w:fldCharType="end"/>
        </w:r>
      </w:hyperlink>
    </w:p>
    <w:p w14:paraId="27086E05" w14:textId="194F2B45" w:rsidR="00C874B2" w:rsidRDefault="00E301F5">
      <w:pPr>
        <w:pStyle w:val="TOC1"/>
        <w:rPr>
          <w:rFonts w:asciiTheme="minorHAnsi" w:eastAsiaTheme="minorEastAsia" w:hAnsiTheme="minorHAnsi" w:cstheme="minorBidi"/>
          <w:b w:val="0"/>
          <w:sz w:val="22"/>
          <w:szCs w:val="22"/>
        </w:rPr>
      </w:pPr>
      <w:hyperlink w:anchor="_Toc33622192" w:history="1">
        <w:r w:rsidR="00C874B2" w:rsidRPr="00A13489">
          <w:rPr>
            <w:rStyle w:val="Hyperlink"/>
          </w:rPr>
          <w:t>4</w:t>
        </w:r>
        <w:r w:rsidR="00C874B2">
          <w:rPr>
            <w:rFonts w:asciiTheme="minorHAnsi" w:eastAsiaTheme="minorEastAsia" w:hAnsiTheme="minorHAnsi" w:cstheme="minorBidi"/>
            <w:b w:val="0"/>
            <w:sz w:val="22"/>
            <w:szCs w:val="22"/>
          </w:rPr>
          <w:tab/>
        </w:r>
        <w:r w:rsidR="00C874B2" w:rsidRPr="00A13489">
          <w:rPr>
            <w:rStyle w:val="Hyperlink"/>
          </w:rPr>
          <w:t>Reasons for raising the minimum age of criminal responsibility</w:t>
        </w:r>
        <w:r w:rsidR="00C874B2">
          <w:rPr>
            <w:webHidden/>
          </w:rPr>
          <w:tab/>
        </w:r>
        <w:r w:rsidR="00C874B2">
          <w:rPr>
            <w:webHidden/>
          </w:rPr>
          <w:fldChar w:fldCharType="begin"/>
        </w:r>
        <w:r w:rsidR="00C874B2">
          <w:rPr>
            <w:webHidden/>
          </w:rPr>
          <w:instrText xml:space="preserve"> PAGEREF _Toc33622192 \h </w:instrText>
        </w:r>
        <w:r w:rsidR="00C874B2">
          <w:rPr>
            <w:webHidden/>
          </w:rPr>
        </w:r>
        <w:r w:rsidR="00C874B2">
          <w:rPr>
            <w:webHidden/>
          </w:rPr>
          <w:fldChar w:fldCharType="separate"/>
        </w:r>
        <w:r w:rsidR="00EB2B86">
          <w:rPr>
            <w:webHidden/>
          </w:rPr>
          <w:t>6</w:t>
        </w:r>
        <w:r w:rsidR="00C874B2">
          <w:rPr>
            <w:webHidden/>
          </w:rPr>
          <w:fldChar w:fldCharType="end"/>
        </w:r>
      </w:hyperlink>
    </w:p>
    <w:p w14:paraId="09718BFD" w14:textId="4415147B" w:rsidR="00C874B2" w:rsidRDefault="00E301F5">
      <w:pPr>
        <w:pStyle w:val="TOC2"/>
        <w:rPr>
          <w:rFonts w:asciiTheme="minorHAnsi" w:eastAsiaTheme="minorEastAsia" w:hAnsiTheme="minorHAnsi" w:cstheme="minorBidi"/>
          <w:b w:val="0"/>
          <w:i w:val="0"/>
          <w:sz w:val="22"/>
          <w:szCs w:val="22"/>
        </w:rPr>
      </w:pPr>
      <w:hyperlink w:anchor="_Toc33622193" w:history="1">
        <w:r w:rsidR="00C874B2" w:rsidRPr="00A13489">
          <w:rPr>
            <w:rStyle w:val="Hyperlink"/>
          </w:rPr>
          <w:t>4.1</w:t>
        </w:r>
        <w:r w:rsidR="00C874B2">
          <w:rPr>
            <w:rFonts w:asciiTheme="minorHAnsi" w:eastAsiaTheme="minorEastAsia" w:hAnsiTheme="minorHAnsi" w:cstheme="minorBidi"/>
            <w:b w:val="0"/>
            <w:i w:val="0"/>
            <w:sz w:val="22"/>
            <w:szCs w:val="22"/>
          </w:rPr>
          <w:tab/>
        </w:r>
        <w:r w:rsidR="00C874B2" w:rsidRPr="00A13489">
          <w:rPr>
            <w:rStyle w:val="Hyperlink"/>
          </w:rPr>
          <w:t>Most child offenders have disadvantaged backgrounds and complex needs</w:t>
        </w:r>
        <w:r w:rsidR="00C874B2">
          <w:rPr>
            <w:webHidden/>
          </w:rPr>
          <w:tab/>
        </w:r>
        <w:r w:rsidR="00C874B2">
          <w:rPr>
            <w:webHidden/>
          </w:rPr>
          <w:fldChar w:fldCharType="begin"/>
        </w:r>
        <w:r w:rsidR="00C874B2">
          <w:rPr>
            <w:webHidden/>
          </w:rPr>
          <w:instrText xml:space="preserve"> PAGEREF _Toc33622193 \h </w:instrText>
        </w:r>
        <w:r w:rsidR="00C874B2">
          <w:rPr>
            <w:webHidden/>
          </w:rPr>
        </w:r>
        <w:r w:rsidR="00C874B2">
          <w:rPr>
            <w:webHidden/>
          </w:rPr>
          <w:fldChar w:fldCharType="separate"/>
        </w:r>
        <w:r w:rsidR="00EB2B86">
          <w:rPr>
            <w:webHidden/>
          </w:rPr>
          <w:t>6</w:t>
        </w:r>
        <w:r w:rsidR="00C874B2">
          <w:rPr>
            <w:webHidden/>
          </w:rPr>
          <w:fldChar w:fldCharType="end"/>
        </w:r>
      </w:hyperlink>
    </w:p>
    <w:p w14:paraId="6414180A" w14:textId="08E694B8" w:rsidR="00C874B2" w:rsidRDefault="00E301F5">
      <w:pPr>
        <w:pStyle w:val="TOC2"/>
        <w:rPr>
          <w:rFonts w:asciiTheme="minorHAnsi" w:eastAsiaTheme="minorEastAsia" w:hAnsiTheme="minorHAnsi" w:cstheme="minorBidi"/>
          <w:b w:val="0"/>
          <w:i w:val="0"/>
          <w:sz w:val="22"/>
          <w:szCs w:val="22"/>
        </w:rPr>
      </w:pPr>
      <w:hyperlink w:anchor="_Toc33622194" w:history="1">
        <w:r w:rsidR="00C874B2" w:rsidRPr="00A13489">
          <w:rPr>
            <w:rStyle w:val="Hyperlink"/>
          </w:rPr>
          <w:t>4.2</w:t>
        </w:r>
        <w:r w:rsidR="00C874B2">
          <w:rPr>
            <w:rFonts w:asciiTheme="minorHAnsi" w:eastAsiaTheme="minorEastAsia" w:hAnsiTheme="minorHAnsi" w:cstheme="minorBidi"/>
            <w:b w:val="0"/>
            <w:i w:val="0"/>
            <w:sz w:val="22"/>
            <w:szCs w:val="22"/>
          </w:rPr>
          <w:tab/>
        </w:r>
        <w:r w:rsidR="00C874B2" w:rsidRPr="00A13489">
          <w:rPr>
            <w:rStyle w:val="Hyperlink"/>
          </w:rPr>
          <w:t>Aboriginal and Torres Strait Islander children are overrepresented in the younger youth justice population</w:t>
        </w:r>
        <w:r w:rsidR="00C874B2">
          <w:rPr>
            <w:webHidden/>
          </w:rPr>
          <w:tab/>
        </w:r>
        <w:r w:rsidR="00C874B2">
          <w:rPr>
            <w:webHidden/>
          </w:rPr>
          <w:fldChar w:fldCharType="begin"/>
        </w:r>
        <w:r w:rsidR="00C874B2">
          <w:rPr>
            <w:webHidden/>
          </w:rPr>
          <w:instrText xml:space="preserve"> PAGEREF _Toc33622194 \h </w:instrText>
        </w:r>
        <w:r w:rsidR="00C874B2">
          <w:rPr>
            <w:webHidden/>
          </w:rPr>
        </w:r>
        <w:r w:rsidR="00C874B2">
          <w:rPr>
            <w:webHidden/>
          </w:rPr>
          <w:fldChar w:fldCharType="separate"/>
        </w:r>
        <w:r w:rsidR="00EB2B86">
          <w:rPr>
            <w:webHidden/>
          </w:rPr>
          <w:t>8</w:t>
        </w:r>
        <w:r w:rsidR="00C874B2">
          <w:rPr>
            <w:webHidden/>
          </w:rPr>
          <w:fldChar w:fldCharType="end"/>
        </w:r>
      </w:hyperlink>
    </w:p>
    <w:p w14:paraId="71EB1B23" w14:textId="18D12D6D" w:rsidR="00C874B2" w:rsidRDefault="00E301F5">
      <w:pPr>
        <w:pStyle w:val="TOC2"/>
        <w:rPr>
          <w:rFonts w:asciiTheme="minorHAnsi" w:eastAsiaTheme="minorEastAsia" w:hAnsiTheme="minorHAnsi" w:cstheme="minorBidi"/>
          <w:b w:val="0"/>
          <w:i w:val="0"/>
          <w:sz w:val="22"/>
          <w:szCs w:val="22"/>
        </w:rPr>
      </w:pPr>
      <w:hyperlink w:anchor="_Toc33622195" w:history="1">
        <w:r w:rsidR="00C874B2" w:rsidRPr="00A13489">
          <w:rPr>
            <w:rStyle w:val="Hyperlink"/>
          </w:rPr>
          <w:t>4.3</w:t>
        </w:r>
        <w:r w:rsidR="00C874B2">
          <w:rPr>
            <w:rFonts w:asciiTheme="minorHAnsi" w:eastAsiaTheme="minorEastAsia" w:hAnsiTheme="minorHAnsi" w:cstheme="minorBidi"/>
            <w:b w:val="0"/>
            <w:i w:val="0"/>
            <w:sz w:val="22"/>
            <w:szCs w:val="22"/>
          </w:rPr>
          <w:tab/>
        </w:r>
        <w:r w:rsidR="00C874B2" w:rsidRPr="00A13489">
          <w:rPr>
            <w:rStyle w:val="Hyperlink"/>
          </w:rPr>
          <w:t>Children have not developed the requisite level of maturity by 14 years</w:t>
        </w:r>
        <w:r w:rsidR="00C874B2">
          <w:rPr>
            <w:webHidden/>
          </w:rPr>
          <w:tab/>
        </w:r>
        <w:r w:rsidR="00C874B2">
          <w:rPr>
            <w:webHidden/>
          </w:rPr>
          <w:fldChar w:fldCharType="begin"/>
        </w:r>
        <w:r w:rsidR="00C874B2">
          <w:rPr>
            <w:webHidden/>
          </w:rPr>
          <w:instrText xml:space="preserve"> PAGEREF _Toc33622195 \h </w:instrText>
        </w:r>
        <w:r w:rsidR="00C874B2">
          <w:rPr>
            <w:webHidden/>
          </w:rPr>
        </w:r>
        <w:r w:rsidR="00C874B2">
          <w:rPr>
            <w:webHidden/>
          </w:rPr>
          <w:fldChar w:fldCharType="separate"/>
        </w:r>
        <w:r w:rsidR="00EB2B86">
          <w:rPr>
            <w:webHidden/>
          </w:rPr>
          <w:t>10</w:t>
        </w:r>
        <w:r w:rsidR="00C874B2">
          <w:rPr>
            <w:webHidden/>
          </w:rPr>
          <w:fldChar w:fldCharType="end"/>
        </w:r>
      </w:hyperlink>
    </w:p>
    <w:p w14:paraId="637CEFF2" w14:textId="453E5858" w:rsidR="00C874B2" w:rsidRDefault="00E301F5">
      <w:pPr>
        <w:pStyle w:val="TOC2"/>
        <w:rPr>
          <w:rFonts w:asciiTheme="minorHAnsi" w:eastAsiaTheme="minorEastAsia" w:hAnsiTheme="minorHAnsi" w:cstheme="minorBidi"/>
          <w:b w:val="0"/>
          <w:i w:val="0"/>
          <w:sz w:val="22"/>
          <w:szCs w:val="22"/>
        </w:rPr>
      </w:pPr>
      <w:hyperlink w:anchor="_Toc33622196" w:history="1">
        <w:r w:rsidR="00C874B2" w:rsidRPr="00A13489">
          <w:rPr>
            <w:rStyle w:val="Hyperlink"/>
          </w:rPr>
          <w:t>4.4</w:t>
        </w:r>
        <w:r w:rsidR="00C874B2">
          <w:rPr>
            <w:rFonts w:asciiTheme="minorHAnsi" w:eastAsiaTheme="minorEastAsia" w:hAnsiTheme="minorHAnsi" w:cstheme="minorBidi"/>
            <w:b w:val="0"/>
            <w:i w:val="0"/>
            <w:sz w:val="22"/>
            <w:szCs w:val="22"/>
          </w:rPr>
          <w:tab/>
        </w:r>
        <w:r w:rsidR="00C874B2" w:rsidRPr="00A13489">
          <w:rPr>
            <w:rStyle w:val="Hyperlink"/>
          </w:rPr>
          <w:t>Younger cohorts commit less serious offences</w:t>
        </w:r>
        <w:r w:rsidR="00C874B2">
          <w:rPr>
            <w:webHidden/>
          </w:rPr>
          <w:tab/>
        </w:r>
        <w:r w:rsidR="00C874B2">
          <w:rPr>
            <w:webHidden/>
          </w:rPr>
          <w:fldChar w:fldCharType="begin"/>
        </w:r>
        <w:r w:rsidR="00C874B2">
          <w:rPr>
            <w:webHidden/>
          </w:rPr>
          <w:instrText xml:space="preserve"> PAGEREF _Toc33622196 \h </w:instrText>
        </w:r>
        <w:r w:rsidR="00C874B2">
          <w:rPr>
            <w:webHidden/>
          </w:rPr>
        </w:r>
        <w:r w:rsidR="00C874B2">
          <w:rPr>
            <w:webHidden/>
          </w:rPr>
          <w:fldChar w:fldCharType="separate"/>
        </w:r>
        <w:r w:rsidR="00EB2B86">
          <w:rPr>
            <w:webHidden/>
          </w:rPr>
          <w:t>10</w:t>
        </w:r>
        <w:r w:rsidR="00C874B2">
          <w:rPr>
            <w:webHidden/>
          </w:rPr>
          <w:fldChar w:fldCharType="end"/>
        </w:r>
      </w:hyperlink>
    </w:p>
    <w:p w14:paraId="4B0DF5D9" w14:textId="5F522351" w:rsidR="00C874B2" w:rsidRDefault="00E301F5">
      <w:pPr>
        <w:pStyle w:val="TOC2"/>
        <w:rPr>
          <w:rFonts w:asciiTheme="minorHAnsi" w:eastAsiaTheme="minorEastAsia" w:hAnsiTheme="minorHAnsi" w:cstheme="minorBidi"/>
          <w:b w:val="0"/>
          <w:i w:val="0"/>
          <w:sz w:val="22"/>
          <w:szCs w:val="22"/>
        </w:rPr>
      </w:pPr>
      <w:hyperlink w:anchor="_Toc33622197" w:history="1">
        <w:r w:rsidR="00C874B2" w:rsidRPr="00A13489">
          <w:rPr>
            <w:rStyle w:val="Hyperlink"/>
          </w:rPr>
          <w:t>4.5</w:t>
        </w:r>
        <w:r w:rsidR="00C874B2">
          <w:rPr>
            <w:rFonts w:asciiTheme="minorHAnsi" w:eastAsiaTheme="minorEastAsia" w:hAnsiTheme="minorHAnsi" w:cstheme="minorBidi"/>
            <w:b w:val="0"/>
            <w:i w:val="0"/>
            <w:sz w:val="22"/>
            <w:szCs w:val="22"/>
          </w:rPr>
          <w:tab/>
        </w:r>
        <w:r w:rsidR="00C874B2" w:rsidRPr="00A13489">
          <w:rPr>
            <w:rStyle w:val="Hyperlink"/>
          </w:rPr>
          <w:t>Younger cohorts are more likely to reoffend if they encounter the justice system</w:t>
        </w:r>
        <w:r w:rsidR="00C874B2">
          <w:rPr>
            <w:webHidden/>
          </w:rPr>
          <w:tab/>
        </w:r>
        <w:r w:rsidR="00C874B2">
          <w:rPr>
            <w:webHidden/>
          </w:rPr>
          <w:fldChar w:fldCharType="begin"/>
        </w:r>
        <w:r w:rsidR="00C874B2">
          <w:rPr>
            <w:webHidden/>
          </w:rPr>
          <w:instrText xml:space="preserve"> PAGEREF _Toc33622197 \h </w:instrText>
        </w:r>
        <w:r w:rsidR="00C874B2">
          <w:rPr>
            <w:webHidden/>
          </w:rPr>
        </w:r>
        <w:r w:rsidR="00C874B2">
          <w:rPr>
            <w:webHidden/>
          </w:rPr>
          <w:fldChar w:fldCharType="separate"/>
        </w:r>
        <w:r w:rsidR="00EB2B86">
          <w:rPr>
            <w:webHidden/>
          </w:rPr>
          <w:t>11</w:t>
        </w:r>
        <w:r w:rsidR="00C874B2">
          <w:rPr>
            <w:webHidden/>
          </w:rPr>
          <w:fldChar w:fldCharType="end"/>
        </w:r>
      </w:hyperlink>
    </w:p>
    <w:p w14:paraId="719D64FD" w14:textId="426C1699" w:rsidR="00C874B2" w:rsidRDefault="00E301F5">
      <w:pPr>
        <w:pStyle w:val="TOC2"/>
        <w:rPr>
          <w:rFonts w:asciiTheme="minorHAnsi" w:eastAsiaTheme="minorEastAsia" w:hAnsiTheme="minorHAnsi" w:cstheme="minorBidi"/>
          <w:b w:val="0"/>
          <w:i w:val="0"/>
          <w:sz w:val="22"/>
          <w:szCs w:val="22"/>
        </w:rPr>
      </w:pPr>
      <w:hyperlink w:anchor="_Toc33622198" w:history="1">
        <w:r w:rsidR="00C874B2" w:rsidRPr="00A13489">
          <w:rPr>
            <w:rStyle w:val="Hyperlink"/>
          </w:rPr>
          <w:t>4.6</w:t>
        </w:r>
        <w:r w:rsidR="00C874B2">
          <w:rPr>
            <w:rFonts w:asciiTheme="minorHAnsi" w:eastAsiaTheme="minorEastAsia" w:hAnsiTheme="minorHAnsi" w:cstheme="minorBidi"/>
            <w:b w:val="0"/>
            <w:i w:val="0"/>
            <w:sz w:val="22"/>
            <w:szCs w:val="22"/>
          </w:rPr>
          <w:tab/>
        </w:r>
        <w:r w:rsidR="00C874B2" w:rsidRPr="00A13489">
          <w:rPr>
            <w:rStyle w:val="Hyperlink"/>
          </w:rPr>
          <w:t>Detention has an adverse impact on children</w:t>
        </w:r>
        <w:r w:rsidR="00C874B2">
          <w:rPr>
            <w:webHidden/>
          </w:rPr>
          <w:tab/>
        </w:r>
        <w:r w:rsidR="00C874B2">
          <w:rPr>
            <w:webHidden/>
          </w:rPr>
          <w:fldChar w:fldCharType="begin"/>
        </w:r>
        <w:r w:rsidR="00C874B2">
          <w:rPr>
            <w:webHidden/>
          </w:rPr>
          <w:instrText xml:space="preserve"> PAGEREF _Toc33622198 \h </w:instrText>
        </w:r>
        <w:r w:rsidR="00C874B2">
          <w:rPr>
            <w:webHidden/>
          </w:rPr>
        </w:r>
        <w:r w:rsidR="00C874B2">
          <w:rPr>
            <w:webHidden/>
          </w:rPr>
          <w:fldChar w:fldCharType="separate"/>
        </w:r>
        <w:r w:rsidR="00EB2B86">
          <w:rPr>
            <w:webHidden/>
          </w:rPr>
          <w:t>11</w:t>
        </w:r>
        <w:r w:rsidR="00C874B2">
          <w:rPr>
            <w:webHidden/>
          </w:rPr>
          <w:fldChar w:fldCharType="end"/>
        </w:r>
      </w:hyperlink>
    </w:p>
    <w:p w14:paraId="3E3831F9" w14:textId="231519AB" w:rsidR="00C874B2" w:rsidRDefault="00E301F5">
      <w:pPr>
        <w:pStyle w:val="TOC2"/>
        <w:rPr>
          <w:rFonts w:asciiTheme="minorHAnsi" w:eastAsiaTheme="minorEastAsia" w:hAnsiTheme="minorHAnsi" w:cstheme="minorBidi"/>
          <w:b w:val="0"/>
          <w:i w:val="0"/>
          <w:sz w:val="22"/>
          <w:szCs w:val="22"/>
        </w:rPr>
      </w:pPr>
      <w:hyperlink w:anchor="_Toc33622199" w:history="1">
        <w:r w:rsidR="00C874B2" w:rsidRPr="00A13489">
          <w:rPr>
            <w:rStyle w:val="Hyperlink"/>
          </w:rPr>
          <w:t>4.7</w:t>
        </w:r>
        <w:r w:rsidR="00C874B2">
          <w:rPr>
            <w:rFonts w:asciiTheme="minorHAnsi" w:eastAsiaTheme="minorEastAsia" w:hAnsiTheme="minorHAnsi" w:cstheme="minorBidi"/>
            <w:b w:val="0"/>
            <w:i w:val="0"/>
            <w:sz w:val="22"/>
            <w:szCs w:val="22"/>
          </w:rPr>
          <w:tab/>
        </w:r>
        <w:r w:rsidR="00C874B2" w:rsidRPr="00A13489">
          <w:rPr>
            <w:rStyle w:val="Hyperlink"/>
          </w:rPr>
          <w:t>The minimum age of criminal responsibility is low compared to other countries</w:t>
        </w:r>
        <w:r w:rsidR="00C874B2">
          <w:rPr>
            <w:webHidden/>
          </w:rPr>
          <w:tab/>
        </w:r>
        <w:r w:rsidR="00C874B2">
          <w:rPr>
            <w:webHidden/>
          </w:rPr>
          <w:fldChar w:fldCharType="begin"/>
        </w:r>
        <w:r w:rsidR="00C874B2">
          <w:rPr>
            <w:webHidden/>
          </w:rPr>
          <w:instrText xml:space="preserve"> PAGEREF _Toc33622199 \h </w:instrText>
        </w:r>
        <w:r w:rsidR="00C874B2">
          <w:rPr>
            <w:webHidden/>
          </w:rPr>
        </w:r>
        <w:r w:rsidR="00C874B2">
          <w:rPr>
            <w:webHidden/>
          </w:rPr>
          <w:fldChar w:fldCharType="separate"/>
        </w:r>
        <w:r w:rsidR="00EB2B86">
          <w:rPr>
            <w:webHidden/>
          </w:rPr>
          <w:t>12</w:t>
        </w:r>
        <w:r w:rsidR="00C874B2">
          <w:rPr>
            <w:webHidden/>
          </w:rPr>
          <w:fldChar w:fldCharType="end"/>
        </w:r>
      </w:hyperlink>
    </w:p>
    <w:p w14:paraId="0CE2053C" w14:textId="70E5AA8A" w:rsidR="00C874B2" w:rsidRDefault="00E301F5">
      <w:pPr>
        <w:pStyle w:val="TOC1"/>
        <w:rPr>
          <w:rFonts w:asciiTheme="minorHAnsi" w:eastAsiaTheme="minorEastAsia" w:hAnsiTheme="minorHAnsi" w:cstheme="minorBidi"/>
          <w:b w:val="0"/>
          <w:sz w:val="22"/>
          <w:szCs w:val="22"/>
        </w:rPr>
      </w:pPr>
      <w:hyperlink w:anchor="_Toc33622200" w:history="1">
        <w:r w:rsidR="00C874B2" w:rsidRPr="00A13489">
          <w:rPr>
            <w:rStyle w:val="Hyperlink"/>
          </w:rPr>
          <w:t>5</w:t>
        </w:r>
        <w:r w:rsidR="00C874B2">
          <w:rPr>
            <w:rFonts w:asciiTheme="minorHAnsi" w:eastAsiaTheme="minorEastAsia" w:hAnsiTheme="minorHAnsi" w:cstheme="minorBidi"/>
            <w:b w:val="0"/>
            <w:sz w:val="22"/>
            <w:szCs w:val="22"/>
          </w:rPr>
          <w:tab/>
        </w:r>
        <w:r w:rsidR="00C874B2" w:rsidRPr="00A13489">
          <w:rPr>
            <w:rStyle w:val="Hyperlink"/>
          </w:rPr>
          <w:t>Doli incapax</w:t>
        </w:r>
        <w:r w:rsidR="00C874B2">
          <w:rPr>
            <w:webHidden/>
          </w:rPr>
          <w:tab/>
        </w:r>
        <w:r w:rsidR="00C874B2">
          <w:rPr>
            <w:webHidden/>
          </w:rPr>
          <w:fldChar w:fldCharType="begin"/>
        </w:r>
        <w:r w:rsidR="00C874B2">
          <w:rPr>
            <w:webHidden/>
          </w:rPr>
          <w:instrText xml:space="preserve"> PAGEREF _Toc33622200 \h </w:instrText>
        </w:r>
        <w:r w:rsidR="00C874B2">
          <w:rPr>
            <w:webHidden/>
          </w:rPr>
        </w:r>
        <w:r w:rsidR="00C874B2">
          <w:rPr>
            <w:webHidden/>
          </w:rPr>
          <w:fldChar w:fldCharType="separate"/>
        </w:r>
        <w:r w:rsidR="00EB2B86">
          <w:rPr>
            <w:webHidden/>
          </w:rPr>
          <w:t>14</w:t>
        </w:r>
        <w:r w:rsidR="00C874B2">
          <w:rPr>
            <w:webHidden/>
          </w:rPr>
          <w:fldChar w:fldCharType="end"/>
        </w:r>
      </w:hyperlink>
    </w:p>
    <w:p w14:paraId="55EF983A" w14:textId="7FCD5BAD" w:rsidR="00C874B2" w:rsidRDefault="00E301F5">
      <w:pPr>
        <w:pStyle w:val="TOC1"/>
        <w:rPr>
          <w:rFonts w:asciiTheme="minorHAnsi" w:eastAsiaTheme="minorEastAsia" w:hAnsiTheme="minorHAnsi" w:cstheme="minorBidi"/>
          <w:b w:val="0"/>
          <w:sz w:val="22"/>
          <w:szCs w:val="22"/>
        </w:rPr>
      </w:pPr>
      <w:hyperlink w:anchor="_Toc33622201" w:history="1">
        <w:r w:rsidR="00C874B2" w:rsidRPr="00A13489">
          <w:rPr>
            <w:rStyle w:val="Hyperlink"/>
          </w:rPr>
          <w:t>6</w:t>
        </w:r>
        <w:r w:rsidR="00C874B2">
          <w:rPr>
            <w:rFonts w:asciiTheme="minorHAnsi" w:eastAsiaTheme="minorEastAsia" w:hAnsiTheme="minorHAnsi" w:cstheme="minorBidi"/>
            <w:b w:val="0"/>
            <w:sz w:val="22"/>
            <w:szCs w:val="22"/>
          </w:rPr>
          <w:tab/>
        </w:r>
        <w:r w:rsidR="00C874B2" w:rsidRPr="00A13489">
          <w:rPr>
            <w:rStyle w:val="Hyperlink"/>
          </w:rPr>
          <w:t>Early intervention, rehabilitation and diversion</w:t>
        </w:r>
        <w:r w:rsidR="00C874B2">
          <w:rPr>
            <w:webHidden/>
          </w:rPr>
          <w:tab/>
        </w:r>
        <w:r w:rsidR="00C874B2">
          <w:rPr>
            <w:webHidden/>
          </w:rPr>
          <w:fldChar w:fldCharType="begin"/>
        </w:r>
        <w:r w:rsidR="00C874B2">
          <w:rPr>
            <w:webHidden/>
          </w:rPr>
          <w:instrText xml:space="preserve"> PAGEREF _Toc33622201 \h </w:instrText>
        </w:r>
        <w:r w:rsidR="00C874B2">
          <w:rPr>
            <w:webHidden/>
          </w:rPr>
        </w:r>
        <w:r w:rsidR="00C874B2">
          <w:rPr>
            <w:webHidden/>
          </w:rPr>
          <w:fldChar w:fldCharType="separate"/>
        </w:r>
        <w:r w:rsidR="00EB2B86">
          <w:rPr>
            <w:webHidden/>
          </w:rPr>
          <w:t>17</w:t>
        </w:r>
        <w:r w:rsidR="00C874B2">
          <w:rPr>
            <w:webHidden/>
          </w:rPr>
          <w:fldChar w:fldCharType="end"/>
        </w:r>
      </w:hyperlink>
    </w:p>
    <w:p w14:paraId="63AFC335" w14:textId="158D95EC" w:rsidR="00C874B2" w:rsidRDefault="00E301F5">
      <w:pPr>
        <w:pStyle w:val="TOC2"/>
        <w:rPr>
          <w:rFonts w:asciiTheme="minorHAnsi" w:eastAsiaTheme="minorEastAsia" w:hAnsiTheme="minorHAnsi" w:cstheme="minorBidi"/>
          <w:b w:val="0"/>
          <w:i w:val="0"/>
          <w:sz w:val="22"/>
          <w:szCs w:val="22"/>
        </w:rPr>
      </w:pPr>
      <w:hyperlink w:anchor="_Toc33622202" w:history="1">
        <w:r w:rsidR="00C874B2" w:rsidRPr="00A13489">
          <w:rPr>
            <w:rStyle w:val="Hyperlink"/>
          </w:rPr>
          <w:t>6.1</w:t>
        </w:r>
        <w:r w:rsidR="00C874B2">
          <w:rPr>
            <w:rFonts w:asciiTheme="minorHAnsi" w:eastAsiaTheme="minorEastAsia" w:hAnsiTheme="minorHAnsi" w:cstheme="minorBidi"/>
            <w:b w:val="0"/>
            <w:i w:val="0"/>
            <w:sz w:val="22"/>
            <w:szCs w:val="22"/>
          </w:rPr>
          <w:tab/>
        </w:r>
        <w:r w:rsidR="00C874B2" w:rsidRPr="00A13489">
          <w:rPr>
            <w:rStyle w:val="Hyperlink"/>
          </w:rPr>
          <w:t>Early intervention</w:t>
        </w:r>
        <w:r w:rsidR="00C874B2">
          <w:rPr>
            <w:webHidden/>
          </w:rPr>
          <w:tab/>
        </w:r>
        <w:r w:rsidR="00C874B2">
          <w:rPr>
            <w:webHidden/>
          </w:rPr>
          <w:fldChar w:fldCharType="begin"/>
        </w:r>
        <w:r w:rsidR="00C874B2">
          <w:rPr>
            <w:webHidden/>
          </w:rPr>
          <w:instrText xml:space="preserve"> PAGEREF _Toc33622202 \h </w:instrText>
        </w:r>
        <w:r w:rsidR="00C874B2">
          <w:rPr>
            <w:webHidden/>
          </w:rPr>
        </w:r>
        <w:r w:rsidR="00C874B2">
          <w:rPr>
            <w:webHidden/>
          </w:rPr>
          <w:fldChar w:fldCharType="separate"/>
        </w:r>
        <w:r w:rsidR="00EB2B86">
          <w:rPr>
            <w:webHidden/>
          </w:rPr>
          <w:t>17</w:t>
        </w:r>
        <w:r w:rsidR="00C874B2">
          <w:rPr>
            <w:webHidden/>
          </w:rPr>
          <w:fldChar w:fldCharType="end"/>
        </w:r>
      </w:hyperlink>
    </w:p>
    <w:p w14:paraId="68E0B5CC" w14:textId="3E839909" w:rsidR="00C874B2" w:rsidRDefault="00E301F5">
      <w:pPr>
        <w:pStyle w:val="TOC2"/>
        <w:rPr>
          <w:rFonts w:asciiTheme="minorHAnsi" w:eastAsiaTheme="minorEastAsia" w:hAnsiTheme="minorHAnsi" w:cstheme="minorBidi"/>
          <w:b w:val="0"/>
          <w:i w:val="0"/>
          <w:sz w:val="22"/>
          <w:szCs w:val="22"/>
        </w:rPr>
      </w:pPr>
      <w:hyperlink w:anchor="_Toc33622203" w:history="1">
        <w:r w:rsidR="00C874B2" w:rsidRPr="00A13489">
          <w:rPr>
            <w:rStyle w:val="Hyperlink"/>
          </w:rPr>
          <w:t>6.2</w:t>
        </w:r>
        <w:r w:rsidR="00C874B2">
          <w:rPr>
            <w:rFonts w:asciiTheme="minorHAnsi" w:eastAsiaTheme="minorEastAsia" w:hAnsiTheme="minorHAnsi" w:cstheme="minorBidi"/>
            <w:b w:val="0"/>
            <w:i w:val="0"/>
            <w:sz w:val="22"/>
            <w:szCs w:val="22"/>
          </w:rPr>
          <w:tab/>
        </w:r>
        <w:r w:rsidR="00C874B2" w:rsidRPr="00A13489">
          <w:rPr>
            <w:rStyle w:val="Hyperlink"/>
          </w:rPr>
          <w:t>Diversionary programs</w:t>
        </w:r>
        <w:r w:rsidR="00C874B2">
          <w:rPr>
            <w:webHidden/>
          </w:rPr>
          <w:tab/>
        </w:r>
        <w:r w:rsidR="00C874B2">
          <w:rPr>
            <w:webHidden/>
          </w:rPr>
          <w:fldChar w:fldCharType="begin"/>
        </w:r>
        <w:r w:rsidR="00C874B2">
          <w:rPr>
            <w:webHidden/>
          </w:rPr>
          <w:instrText xml:space="preserve"> PAGEREF _Toc33622203 \h </w:instrText>
        </w:r>
        <w:r w:rsidR="00C874B2">
          <w:rPr>
            <w:webHidden/>
          </w:rPr>
        </w:r>
        <w:r w:rsidR="00C874B2">
          <w:rPr>
            <w:webHidden/>
          </w:rPr>
          <w:fldChar w:fldCharType="separate"/>
        </w:r>
        <w:r w:rsidR="00EB2B86">
          <w:rPr>
            <w:webHidden/>
          </w:rPr>
          <w:t>19</w:t>
        </w:r>
        <w:r w:rsidR="00C874B2">
          <w:rPr>
            <w:webHidden/>
          </w:rPr>
          <w:fldChar w:fldCharType="end"/>
        </w:r>
      </w:hyperlink>
    </w:p>
    <w:p w14:paraId="006992C8" w14:textId="0FAB4262" w:rsidR="00C86324" w:rsidRDefault="000E4837">
      <w:pPr>
        <w:spacing w:before="0" w:after="0"/>
        <w:rPr>
          <w:b/>
          <w:noProof/>
        </w:rPr>
      </w:pPr>
      <w:r>
        <w:rPr>
          <w:b/>
          <w:noProof/>
        </w:rPr>
        <w:fldChar w:fldCharType="end"/>
      </w:r>
      <w:r w:rsidR="00C86324">
        <w:br w:type="page"/>
      </w:r>
    </w:p>
    <w:p w14:paraId="792A9553" w14:textId="1BC95BA9" w:rsidR="004C6ABF" w:rsidRDefault="009F2764" w:rsidP="000050EE">
      <w:pPr>
        <w:pStyle w:val="Heading1"/>
      </w:pPr>
      <w:bookmarkStart w:id="3" w:name="_Toc207761830"/>
      <w:bookmarkStart w:id="4" w:name="_Toc209578266"/>
      <w:bookmarkStart w:id="5" w:name="_Toc209941766"/>
      <w:bookmarkStart w:id="6" w:name="_Toc525894098"/>
      <w:bookmarkStart w:id="7" w:name="_Toc33622189"/>
      <w:r w:rsidRPr="009E08D1">
        <w:lastRenderedPageBreak/>
        <w:t>Introduction</w:t>
      </w:r>
      <w:bookmarkEnd w:id="3"/>
      <w:bookmarkEnd w:id="4"/>
      <w:bookmarkEnd w:id="5"/>
      <w:bookmarkEnd w:id="6"/>
      <w:bookmarkEnd w:id="7"/>
    </w:p>
    <w:p w14:paraId="180592A5" w14:textId="41230F67" w:rsidR="004D4BE2" w:rsidRDefault="00A4204D" w:rsidP="00665A5F">
      <w:bookmarkStart w:id="8" w:name="_Hlk23781608"/>
      <w:r>
        <w:t xml:space="preserve">The Australian Human Rights Commission (the Commission) welcomes the opportunity to make a submission to the </w:t>
      </w:r>
      <w:r w:rsidR="00C00877">
        <w:t xml:space="preserve">Council of Attorneys-General </w:t>
      </w:r>
      <w:r w:rsidR="00364E52">
        <w:t>Age of Criminal Responsibility Working Group review.</w:t>
      </w:r>
    </w:p>
    <w:p w14:paraId="3B297D7A" w14:textId="5D20CC61" w:rsidR="0060130E" w:rsidRDefault="0060130E" w:rsidP="0060130E">
      <w:r w:rsidRPr="00124C5E">
        <w:t xml:space="preserve">The Commission is Australia’s National Human Rights Institution, with recognised independent status and roles in United Nations human rights fora. The Commission’s purpose is to provide independent and impartial services to promote and protect human rights and fundamental freedoms. The Commission undertakes a range of policy development and research tasks </w:t>
      </w:r>
      <w:r>
        <w:t xml:space="preserve">that </w:t>
      </w:r>
      <w:r w:rsidRPr="00124C5E">
        <w:t>aim to promote compliance with Australia's human rights obligations, while also investigating and conciliating complaints of unlawful discrimination</w:t>
      </w:r>
      <w:r>
        <w:t xml:space="preserve"> and breaches of human rights.</w:t>
      </w:r>
    </w:p>
    <w:p w14:paraId="2439C81C" w14:textId="15738D78" w:rsidR="00390463" w:rsidRDefault="00C44FB5" w:rsidP="00390463">
      <w:r>
        <w:t xml:space="preserve">The National Children’s Commissioner has made recommendations about the age of criminal responsibility to the UN Committee on the Rights of the Child as part of its consideration of Australia’s periodic report on implementation of the </w:t>
      </w:r>
      <w:r w:rsidRPr="00B000AC">
        <w:rPr>
          <w:i/>
          <w:iCs/>
        </w:rPr>
        <w:t>Convention on the Rights of the Child</w:t>
      </w:r>
      <w:r>
        <w:t xml:space="preserve"> </w:t>
      </w:r>
      <w:r w:rsidR="001F7EFF">
        <w:t>(CRC).</w:t>
      </w:r>
      <w:r w:rsidR="00390463">
        <w:t xml:space="preserve"> </w:t>
      </w:r>
    </w:p>
    <w:p w14:paraId="02816A01" w14:textId="7F4C664C" w:rsidR="00A041B1" w:rsidRDefault="00A041B1" w:rsidP="00A041B1">
      <w:r>
        <w:t>The Commission considers the minimum age of criminal responsibility in Australia</w:t>
      </w:r>
      <w:r w:rsidR="00493943">
        <w:t>,</w:t>
      </w:r>
      <w:r>
        <w:t xml:space="preserve"> of 10 years</w:t>
      </w:r>
      <w:r w:rsidR="00493943">
        <w:t>,</w:t>
      </w:r>
      <w:r>
        <w:t xml:space="preserve"> to be too low. While offending by young children should not go unaddressed, criminalising children for their behaviour at such a young age is largely ineffective at preventing future offending behaviour while also running counter to human rights. </w:t>
      </w:r>
    </w:p>
    <w:p w14:paraId="4E4D7B2E" w14:textId="53BCA90F" w:rsidR="00F03D70" w:rsidRDefault="00A11727" w:rsidP="00A11727">
      <w:r>
        <w:t xml:space="preserve">Reforming the youth justice system to apply children’s rights properly is particularly important for Aboriginal and Torres Strait Islander children and those with disability who are overrepresented in our youth justice statistics. </w:t>
      </w:r>
      <w:r w:rsidR="00466426">
        <w:t xml:space="preserve">An approach </w:t>
      </w:r>
      <w:r w:rsidR="00FA359B">
        <w:t xml:space="preserve">focused on rehabilitation as opposed to retribution </w:t>
      </w:r>
      <w:r w:rsidR="00DA01EC">
        <w:t xml:space="preserve">and punishment </w:t>
      </w:r>
      <w:r w:rsidR="00FA359B">
        <w:t xml:space="preserve">is required </w:t>
      </w:r>
      <w:r w:rsidR="00AC7461">
        <w:t xml:space="preserve">for the benefit of both children and society. </w:t>
      </w:r>
    </w:p>
    <w:p w14:paraId="6706AB70" w14:textId="39F05EB6" w:rsidR="00C576F0" w:rsidRDefault="00F40F98" w:rsidP="00A11727">
      <w:proofErr w:type="gramStart"/>
      <w:r>
        <w:t>It is clear that raising</w:t>
      </w:r>
      <w:proofErr w:type="gramEnd"/>
      <w:r>
        <w:t xml:space="preserve"> </w:t>
      </w:r>
      <w:r w:rsidR="00C576F0">
        <w:t xml:space="preserve">the age of criminal responsibility alone will not solve the problem of youth offending. </w:t>
      </w:r>
      <w:r>
        <w:t xml:space="preserve">However, it is hoped that raising the age will open the door to a new </w:t>
      </w:r>
      <w:r w:rsidR="001121B7">
        <w:t xml:space="preserve">approach to dealing with </w:t>
      </w:r>
      <w:r w:rsidR="00AB3C0D">
        <w:t xml:space="preserve">the </w:t>
      </w:r>
      <w:r w:rsidR="001121B7">
        <w:t>younger</w:t>
      </w:r>
      <w:r w:rsidR="003C1641">
        <w:t xml:space="preserve"> cohort of</w:t>
      </w:r>
      <w:r w:rsidR="001121B7">
        <w:t xml:space="preserve"> offenders</w:t>
      </w:r>
      <w:r w:rsidR="008354AD">
        <w:t xml:space="preserve">, one that focuses on their </w:t>
      </w:r>
      <w:r>
        <w:t xml:space="preserve">welfare </w:t>
      </w:r>
      <w:r w:rsidR="00C8149F">
        <w:t xml:space="preserve">and which </w:t>
      </w:r>
      <w:r w:rsidR="00C229BE">
        <w:t xml:space="preserve">aims to prevent </w:t>
      </w:r>
      <w:r w:rsidR="00442B13">
        <w:t>future offending</w:t>
      </w:r>
      <w:r w:rsidR="007E08A8">
        <w:t xml:space="preserve"> and reduce recidivism</w:t>
      </w:r>
      <w:r w:rsidR="000A01B8">
        <w:t>.</w:t>
      </w:r>
      <w:r w:rsidR="00AB3C0D">
        <w:t xml:space="preserve"> </w:t>
      </w:r>
      <w:r w:rsidR="00A11727">
        <w:t xml:space="preserve">While there are barriers to raising the age across Australia, these are not </w:t>
      </w:r>
      <w:r w:rsidR="00CB4185">
        <w:t>in</w:t>
      </w:r>
      <w:r w:rsidR="00A11727">
        <w:t xml:space="preserve">surmountable and the </w:t>
      </w:r>
      <w:r w:rsidR="008235F7">
        <w:t xml:space="preserve">potential </w:t>
      </w:r>
      <w:r w:rsidR="00A11727">
        <w:t>benefits to society are substantial.</w:t>
      </w:r>
    </w:p>
    <w:p w14:paraId="7E836225" w14:textId="2AEEC61D" w:rsidR="009F2764" w:rsidRPr="000227B0" w:rsidRDefault="00601180" w:rsidP="009E08D1">
      <w:pPr>
        <w:pStyle w:val="Heading1"/>
      </w:pPr>
      <w:bookmarkStart w:id="9" w:name="_Toc33622190"/>
      <w:bookmarkEnd w:id="8"/>
      <w:r w:rsidRPr="000227B0">
        <w:lastRenderedPageBreak/>
        <w:t>Recommendations</w:t>
      </w:r>
      <w:bookmarkEnd w:id="9"/>
    </w:p>
    <w:p w14:paraId="3C02F419" w14:textId="77777777" w:rsidR="00D724F4" w:rsidRPr="00896779" w:rsidRDefault="00D724F4" w:rsidP="00D724F4">
      <w:pPr>
        <w:rPr>
          <w:rFonts w:cs="Open Sans"/>
          <w:b/>
          <w:bCs/>
        </w:rPr>
      </w:pPr>
      <w:r w:rsidRPr="00896779">
        <w:rPr>
          <w:rFonts w:cs="Open Sans"/>
          <w:b/>
          <w:bCs/>
        </w:rPr>
        <w:t xml:space="preserve">Recommendation </w:t>
      </w:r>
      <w:r w:rsidRPr="007A2A7E">
        <w:rPr>
          <w:rFonts w:cs="Open Sans"/>
          <w:b/>
          <w:bCs/>
        </w:rPr>
        <w:t>1</w:t>
      </w:r>
    </w:p>
    <w:p w14:paraId="25330900" w14:textId="2BB618A6" w:rsidR="004D3573" w:rsidRDefault="00D724F4" w:rsidP="00D724F4">
      <w:r>
        <w:rPr>
          <w:rFonts w:cs="Open Sans"/>
        </w:rPr>
        <w:t xml:space="preserve">All </w:t>
      </w:r>
      <w:r w:rsidRPr="00972DCE">
        <w:rPr>
          <w:rFonts w:cs="Open Sans"/>
        </w:rPr>
        <w:t xml:space="preserve">Australian Governments </w:t>
      </w:r>
      <w:r>
        <w:rPr>
          <w:rFonts w:cs="Open Sans"/>
        </w:rPr>
        <w:t xml:space="preserve">should </w:t>
      </w:r>
      <w:r w:rsidRPr="00972DCE">
        <w:rPr>
          <w:rFonts w:cs="Open Sans"/>
        </w:rPr>
        <w:t xml:space="preserve">raise the </w:t>
      </w:r>
      <w:r>
        <w:rPr>
          <w:rFonts w:cs="Open Sans"/>
        </w:rPr>
        <w:t xml:space="preserve">minimum </w:t>
      </w:r>
      <w:r w:rsidRPr="00972DCE">
        <w:rPr>
          <w:rFonts w:cs="Open Sans"/>
        </w:rPr>
        <w:t>age of criminal responsibility to at least 1</w:t>
      </w:r>
      <w:r>
        <w:rPr>
          <w:rFonts w:cs="Open Sans"/>
        </w:rPr>
        <w:t>4</w:t>
      </w:r>
      <w:r w:rsidRPr="00972DCE">
        <w:rPr>
          <w:rFonts w:cs="Open Sans"/>
        </w:rPr>
        <w:t xml:space="preserve"> years</w:t>
      </w:r>
      <w:r>
        <w:rPr>
          <w:rFonts w:cs="Open Sans"/>
        </w:rPr>
        <w:t>.</w:t>
      </w:r>
      <w:r>
        <w:rPr>
          <w:highlight w:val="yellow"/>
        </w:rPr>
        <w:t xml:space="preserve"> </w:t>
      </w:r>
    </w:p>
    <w:p w14:paraId="14118B50" w14:textId="77777777" w:rsidR="00D724F4" w:rsidRPr="00896779" w:rsidRDefault="00D724F4" w:rsidP="00D724F4">
      <w:pPr>
        <w:rPr>
          <w:rFonts w:cs="Open Sans"/>
          <w:b/>
          <w:bCs/>
        </w:rPr>
      </w:pPr>
      <w:r w:rsidRPr="00896779">
        <w:rPr>
          <w:rFonts w:cs="Open Sans"/>
          <w:b/>
          <w:bCs/>
        </w:rPr>
        <w:t xml:space="preserve">Recommendation </w:t>
      </w:r>
      <w:r w:rsidRPr="007A2A7E">
        <w:rPr>
          <w:rFonts w:cs="Open Sans"/>
          <w:b/>
          <w:bCs/>
        </w:rPr>
        <w:t>2</w:t>
      </w:r>
    </w:p>
    <w:p w14:paraId="001A4040" w14:textId="20172D39" w:rsidR="00D724F4" w:rsidRDefault="00D724F4" w:rsidP="00D724F4">
      <w:pPr>
        <w:rPr>
          <w:rFonts w:cs="Open Sans"/>
        </w:rPr>
      </w:pPr>
      <w:r>
        <w:rPr>
          <w:rFonts w:cs="Open Sans"/>
        </w:rPr>
        <w:t>The Australian Government should commission a national r</w:t>
      </w:r>
      <w:r w:rsidRPr="00945D1C">
        <w:rPr>
          <w:rFonts w:cs="Open Sans"/>
        </w:rPr>
        <w:t xml:space="preserve">eview of </w:t>
      </w:r>
      <w:r>
        <w:rPr>
          <w:rFonts w:cs="Open Sans"/>
        </w:rPr>
        <w:t xml:space="preserve">the </w:t>
      </w:r>
      <w:r w:rsidRPr="00945D1C">
        <w:rPr>
          <w:rFonts w:cs="Open Sans"/>
        </w:rPr>
        <w:t xml:space="preserve">operation of </w:t>
      </w:r>
      <w:proofErr w:type="spellStart"/>
      <w:r w:rsidRPr="00945D1C">
        <w:rPr>
          <w:rFonts w:cs="Open Sans"/>
        </w:rPr>
        <w:t>doli</w:t>
      </w:r>
      <w:proofErr w:type="spellEnd"/>
      <w:r w:rsidRPr="00945D1C">
        <w:rPr>
          <w:rFonts w:cs="Open Sans"/>
        </w:rPr>
        <w:t xml:space="preserve"> incapax</w:t>
      </w:r>
      <w:r>
        <w:rPr>
          <w:rFonts w:cs="Open Sans"/>
        </w:rPr>
        <w:t xml:space="preserve"> and its effectiveness in providing protection to children who lack the capacity to understand </w:t>
      </w:r>
      <w:r w:rsidR="007120FC">
        <w:rPr>
          <w:rFonts w:cs="Open Sans"/>
        </w:rPr>
        <w:t xml:space="preserve">that </w:t>
      </w:r>
      <w:r>
        <w:rPr>
          <w:rFonts w:cs="Open Sans"/>
        </w:rPr>
        <w:t>what they did is seriously wrong.</w:t>
      </w:r>
    </w:p>
    <w:p w14:paraId="0A1F95F8" w14:textId="77777777" w:rsidR="00D724F4" w:rsidRPr="007A2A7E" w:rsidRDefault="00D724F4" w:rsidP="00D724F4">
      <w:pPr>
        <w:rPr>
          <w:rFonts w:cs="Open Sans"/>
          <w:b/>
          <w:bCs/>
        </w:rPr>
      </w:pPr>
      <w:r w:rsidRPr="007A2A7E">
        <w:rPr>
          <w:rFonts w:cs="Open Sans"/>
          <w:b/>
          <w:bCs/>
        </w:rPr>
        <w:t>Recommendation 3</w:t>
      </w:r>
    </w:p>
    <w:p w14:paraId="78C8FFD7" w14:textId="77777777" w:rsidR="00D724F4" w:rsidRDefault="00D724F4" w:rsidP="00D724F4">
      <w:pPr>
        <w:rPr>
          <w:rFonts w:cs="Open Sans"/>
        </w:rPr>
      </w:pPr>
      <w:r>
        <w:rPr>
          <w:rFonts w:cs="Open Sans"/>
        </w:rPr>
        <w:t xml:space="preserve">If </w:t>
      </w:r>
      <w:proofErr w:type="spellStart"/>
      <w:r>
        <w:rPr>
          <w:rFonts w:cs="Open Sans"/>
        </w:rPr>
        <w:t>doli</w:t>
      </w:r>
      <w:proofErr w:type="spellEnd"/>
      <w:r>
        <w:rPr>
          <w:rFonts w:cs="Open Sans"/>
        </w:rPr>
        <w:t xml:space="preserve"> incapax is retained, Australian Governments should:</w:t>
      </w:r>
    </w:p>
    <w:p w14:paraId="520BE4E3" w14:textId="5F92A974" w:rsidR="00D724F4" w:rsidRDefault="00D724F4" w:rsidP="00D724F4">
      <w:pPr>
        <w:pStyle w:val="ListParagraph"/>
        <w:numPr>
          <w:ilvl w:val="0"/>
          <w:numId w:val="49"/>
        </w:numPr>
        <w:rPr>
          <w:rFonts w:cs="Open Sans"/>
        </w:rPr>
      </w:pPr>
      <w:r w:rsidRPr="002650C7">
        <w:rPr>
          <w:rFonts w:cs="Open Sans"/>
        </w:rPr>
        <w:t xml:space="preserve">fund legal education </w:t>
      </w:r>
      <w:r w:rsidR="00CD2259">
        <w:rPr>
          <w:rFonts w:cs="Open Sans"/>
        </w:rPr>
        <w:t xml:space="preserve">on </w:t>
      </w:r>
      <w:proofErr w:type="spellStart"/>
      <w:r w:rsidR="00CD2259">
        <w:rPr>
          <w:rFonts w:cs="Open Sans"/>
        </w:rPr>
        <w:t>doli</w:t>
      </w:r>
      <w:proofErr w:type="spellEnd"/>
      <w:r w:rsidR="00CD2259">
        <w:rPr>
          <w:rFonts w:cs="Open Sans"/>
        </w:rPr>
        <w:t xml:space="preserve"> incapax </w:t>
      </w:r>
      <w:r w:rsidRPr="002650C7">
        <w:rPr>
          <w:rFonts w:cs="Open Sans"/>
        </w:rPr>
        <w:t>for magistrates, prosecut</w:t>
      </w:r>
      <w:r w:rsidR="00CD2259">
        <w:rPr>
          <w:rFonts w:cs="Open Sans"/>
        </w:rPr>
        <w:t>ors</w:t>
      </w:r>
      <w:r w:rsidRPr="002650C7">
        <w:rPr>
          <w:rFonts w:cs="Open Sans"/>
        </w:rPr>
        <w:t>, defen</w:t>
      </w:r>
      <w:r w:rsidR="00CD2259">
        <w:rPr>
          <w:rFonts w:cs="Open Sans"/>
        </w:rPr>
        <w:t>ders</w:t>
      </w:r>
      <w:r w:rsidRPr="002650C7">
        <w:rPr>
          <w:rFonts w:cs="Open Sans"/>
        </w:rPr>
        <w:t xml:space="preserve"> and children in </w:t>
      </w:r>
      <w:r w:rsidRPr="00E2080B">
        <w:rPr>
          <w:rFonts w:cs="Open Sans"/>
        </w:rPr>
        <w:t xml:space="preserve">the </w:t>
      </w:r>
      <w:r w:rsidRPr="00A041B1">
        <w:rPr>
          <w:rFonts w:cs="Open Sans"/>
        </w:rPr>
        <w:t>youth justice system</w:t>
      </w:r>
    </w:p>
    <w:p w14:paraId="69345A3F" w14:textId="7A4B8732" w:rsidR="00D724F4" w:rsidRPr="00AA3F3A" w:rsidRDefault="00D724F4" w:rsidP="00AA3F3A">
      <w:pPr>
        <w:pStyle w:val="ListParagraph"/>
        <w:numPr>
          <w:ilvl w:val="0"/>
          <w:numId w:val="49"/>
        </w:numPr>
        <w:rPr>
          <w:rFonts w:cs="Open Sans"/>
        </w:rPr>
      </w:pPr>
      <w:r>
        <w:rPr>
          <w:rFonts w:cs="Open Sans"/>
        </w:rPr>
        <w:t>adequate</w:t>
      </w:r>
      <w:r w:rsidR="00D92D88">
        <w:rPr>
          <w:rFonts w:cs="Open Sans"/>
        </w:rPr>
        <w:t>ly</w:t>
      </w:r>
      <w:r>
        <w:rPr>
          <w:rFonts w:cs="Open Sans"/>
        </w:rPr>
        <w:t xml:space="preserve"> resource the legal system to apply the </w:t>
      </w:r>
      <w:proofErr w:type="spellStart"/>
      <w:r>
        <w:rPr>
          <w:rFonts w:cs="Open Sans"/>
        </w:rPr>
        <w:t>doli</w:t>
      </w:r>
      <w:proofErr w:type="spellEnd"/>
      <w:r>
        <w:rPr>
          <w:rFonts w:cs="Open Sans"/>
        </w:rPr>
        <w:t xml:space="preserve"> incapax test in all cases</w:t>
      </w:r>
      <w:r w:rsidR="00AA3F3A">
        <w:rPr>
          <w:rFonts w:cs="Open Sans"/>
        </w:rPr>
        <w:t xml:space="preserve"> and </w:t>
      </w:r>
      <w:r w:rsidRPr="00AA3F3A">
        <w:rPr>
          <w:rFonts w:cs="Open Sans"/>
        </w:rPr>
        <w:t>ensure pretrial assessments of a child’s cognitive and mental capacity</w:t>
      </w:r>
      <w:r w:rsidR="00AA3F3A">
        <w:rPr>
          <w:rFonts w:cs="Open Sans"/>
        </w:rPr>
        <w:t xml:space="preserve"> are conducted</w:t>
      </w:r>
      <w:r w:rsidRPr="00AA3F3A">
        <w:rPr>
          <w:rFonts w:cs="Open Sans"/>
        </w:rPr>
        <w:t>.</w:t>
      </w:r>
    </w:p>
    <w:p w14:paraId="44F88ABD" w14:textId="77777777" w:rsidR="00D724F4" w:rsidRPr="00896779" w:rsidRDefault="00D724F4" w:rsidP="00D724F4">
      <w:pPr>
        <w:rPr>
          <w:rFonts w:cs="Open Sans"/>
          <w:b/>
          <w:bCs/>
        </w:rPr>
      </w:pPr>
      <w:r w:rsidRPr="00896779">
        <w:rPr>
          <w:rFonts w:cs="Open Sans"/>
          <w:b/>
          <w:bCs/>
        </w:rPr>
        <w:t xml:space="preserve">Recommendation </w:t>
      </w:r>
      <w:r w:rsidRPr="007A2A7E">
        <w:rPr>
          <w:rFonts w:cs="Open Sans"/>
          <w:b/>
          <w:bCs/>
        </w:rPr>
        <w:t>4</w:t>
      </w:r>
    </w:p>
    <w:p w14:paraId="0DEF5DD3" w14:textId="77777777" w:rsidR="00D724F4" w:rsidRDefault="00D724F4" w:rsidP="00D724F4">
      <w:pPr>
        <w:rPr>
          <w:rFonts w:cs="Open Sans"/>
        </w:rPr>
      </w:pPr>
      <w:r w:rsidRPr="00ED3D21">
        <w:rPr>
          <w:rFonts w:cs="Open Sans"/>
        </w:rPr>
        <w:t>Australi</w:t>
      </w:r>
      <w:r>
        <w:rPr>
          <w:rFonts w:cs="Open Sans"/>
        </w:rPr>
        <w:t xml:space="preserve">an Governments should </w:t>
      </w:r>
      <w:r w:rsidRPr="00ED3D21">
        <w:rPr>
          <w:rFonts w:cs="Open Sans"/>
        </w:rPr>
        <w:t xml:space="preserve">expand the availability and range of diversionary programs for young offenders, including community-controlled and </w:t>
      </w:r>
      <w:proofErr w:type="gramStart"/>
      <w:r w:rsidRPr="00ED3D21">
        <w:rPr>
          <w:rFonts w:cs="Open Sans"/>
        </w:rPr>
        <w:t>culturally-safe</w:t>
      </w:r>
      <w:proofErr w:type="gramEnd"/>
      <w:r w:rsidRPr="00ED3D21">
        <w:rPr>
          <w:rFonts w:cs="Open Sans"/>
        </w:rPr>
        <w:t xml:space="preserve"> programs</w:t>
      </w:r>
      <w:r>
        <w:rPr>
          <w:rFonts w:cs="Open Sans"/>
        </w:rPr>
        <w:t>.</w:t>
      </w:r>
    </w:p>
    <w:p w14:paraId="32EF2BB0" w14:textId="77777777" w:rsidR="00D724F4" w:rsidRPr="007A2A7E" w:rsidRDefault="00D724F4" w:rsidP="00D724F4">
      <w:pPr>
        <w:rPr>
          <w:rFonts w:cs="Open Sans"/>
          <w:b/>
          <w:bCs/>
        </w:rPr>
      </w:pPr>
      <w:r w:rsidRPr="007A2A7E">
        <w:rPr>
          <w:rFonts w:cs="Open Sans"/>
          <w:b/>
          <w:bCs/>
        </w:rPr>
        <w:t>Recommendation 5</w:t>
      </w:r>
    </w:p>
    <w:p w14:paraId="324966C6" w14:textId="1C6BD615" w:rsidR="00D724F4" w:rsidRPr="000227B0" w:rsidRDefault="00D724F4" w:rsidP="00D724F4">
      <w:pPr>
        <w:rPr>
          <w:rFonts w:cs="Open Sans"/>
        </w:rPr>
      </w:pPr>
      <w:r w:rsidRPr="00D724F4">
        <w:rPr>
          <w:rFonts w:cs="Open Sans"/>
        </w:rPr>
        <w:t>Australian Governments should better implement the principle of detention as a last resort by identify</w:t>
      </w:r>
      <w:r w:rsidRPr="000227B0">
        <w:rPr>
          <w:rFonts w:cs="Open Sans"/>
        </w:rPr>
        <w:t xml:space="preserve">ing and removing barriers for young offenders accessing diversionary programs, </w:t>
      </w:r>
      <w:proofErr w:type="gramStart"/>
      <w:r w:rsidRPr="000227B0">
        <w:rPr>
          <w:rFonts w:cs="Open Sans"/>
        </w:rPr>
        <w:t>in particular for</w:t>
      </w:r>
      <w:proofErr w:type="gramEnd"/>
      <w:r w:rsidRPr="000227B0">
        <w:rPr>
          <w:rFonts w:cs="Open Sans"/>
        </w:rPr>
        <w:t xml:space="preserve"> Aboriginal and Torres Strait Islander children.</w:t>
      </w:r>
    </w:p>
    <w:p w14:paraId="1159280B" w14:textId="4EFE7ADA" w:rsidR="001C04F6" w:rsidRDefault="00EF55AA" w:rsidP="001C04F6">
      <w:pPr>
        <w:pStyle w:val="Heading1"/>
      </w:pPr>
      <w:bookmarkStart w:id="10" w:name="_Toc33622191"/>
      <w:bookmarkStart w:id="11" w:name="_Toc525894100"/>
      <w:r>
        <w:t xml:space="preserve">International </w:t>
      </w:r>
      <w:r w:rsidR="00601180">
        <w:t xml:space="preserve">human rights </w:t>
      </w:r>
      <w:r>
        <w:t>law</w:t>
      </w:r>
      <w:bookmarkEnd w:id="10"/>
      <w:r>
        <w:t xml:space="preserve"> </w:t>
      </w:r>
    </w:p>
    <w:p w14:paraId="3024CD72" w14:textId="3C6DB8A8" w:rsidR="003B3229" w:rsidRPr="003452B0" w:rsidRDefault="00422CA4" w:rsidP="00422CA4">
      <w:pPr>
        <w:rPr>
          <w:rFonts w:cs="Open Sans"/>
          <w:sz w:val="22"/>
          <w:szCs w:val="22"/>
        </w:rPr>
      </w:pPr>
      <w:r>
        <w:t xml:space="preserve">Children </w:t>
      </w:r>
      <w:r w:rsidR="00663352">
        <w:t xml:space="preserve">in </w:t>
      </w:r>
      <w:r>
        <w:t xml:space="preserve">contact with the criminal justice system have the same rights as other children—including the right to be safe, be heard, and be treated in a way that promotes their dignity and worth. They also have special rights specific to their </w:t>
      </w:r>
      <w:r>
        <w:lastRenderedPageBreak/>
        <w:t>experiences</w:t>
      </w:r>
      <w:r w:rsidR="00BF7621">
        <w:t xml:space="preserve"> and developmental needs</w:t>
      </w:r>
      <w:r>
        <w:t xml:space="preserve">. </w:t>
      </w:r>
      <w:r w:rsidR="00843823" w:rsidRPr="00D461BD">
        <w:t xml:space="preserve">According </w:t>
      </w:r>
      <w:r w:rsidR="003B3229" w:rsidRPr="00D461BD">
        <w:t>to the CRC, r</w:t>
      </w:r>
      <w:r w:rsidRPr="00D461BD">
        <w:t xml:space="preserve">eintegration and </w:t>
      </w:r>
      <w:r w:rsidRPr="00D461BD">
        <w:rPr>
          <w:rFonts w:cs="Open Sans"/>
        </w:rPr>
        <w:t>rehabilitation should be a key aim of how children are treated in youth justice.</w:t>
      </w:r>
      <w:r w:rsidRPr="003452B0">
        <w:rPr>
          <w:rFonts w:cs="Open Sans"/>
          <w:sz w:val="22"/>
          <w:szCs w:val="22"/>
        </w:rPr>
        <w:t xml:space="preserve"> </w:t>
      </w:r>
    </w:p>
    <w:p w14:paraId="4D6448B0" w14:textId="29190613" w:rsidR="003B3229" w:rsidRPr="003452B0" w:rsidRDefault="00095B92" w:rsidP="00871268">
      <w:pPr>
        <w:ind w:left="720"/>
        <w:rPr>
          <w:rFonts w:cs="Open Sans"/>
          <w:sz w:val="22"/>
          <w:szCs w:val="22"/>
        </w:rPr>
      </w:pPr>
      <w:r w:rsidRPr="003452B0">
        <w:rPr>
          <w:rFonts w:cs="Open Sans"/>
          <w:color w:val="000000"/>
          <w:sz w:val="22"/>
          <w:szCs w:val="22"/>
          <w:shd w:val="clear" w:color="auto" w:fill="FFFFFF"/>
        </w:rPr>
        <w:t>1. States Parties recognize the right of every child alleged as, accused of, or recognized as having infringed the penal law to be treated in a manner consistent with the promotion of the child's sense of dignity and worth, which reinforces the child's respect for the human rights and fundamental freedoms of others and which takes into account the child's age and the desirability of promoting the child's reintegration and the child's assuming a constructive role in society.</w:t>
      </w:r>
      <w:r w:rsidR="001A5C2E" w:rsidRPr="003452B0">
        <w:rPr>
          <w:rStyle w:val="EndnoteReference"/>
          <w:rFonts w:cs="Open Sans"/>
          <w:color w:val="000000"/>
          <w:sz w:val="22"/>
          <w:szCs w:val="22"/>
          <w:shd w:val="clear" w:color="auto" w:fill="FFFFFF"/>
        </w:rPr>
        <w:endnoteReference w:id="2"/>
      </w:r>
    </w:p>
    <w:p w14:paraId="75194EDC" w14:textId="781475B4" w:rsidR="001E7C09" w:rsidRDefault="00422CA4" w:rsidP="00422CA4">
      <w:r>
        <w:t xml:space="preserve">Wherever possible, </w:t>
      </w:r>
      <w:r w:rsidR="00A769D2">
        <w:t xml:space="preserve">States Parties should seek to promote </w:t>
      </w:r>
      <w:r>
        <w:t xml:space="preserve">measures </w:t>
      </w:r>
      <w:r w:rsidR="00A97197">
        <w:t xml:space="preserve">for dealing </w:t>
      </w:r>
      <w:r w:rsidR="00F14201">
        <w:t xml:space="preserve">with child offenders </w:t>
      </w:r>
      <w:r w:rsidR="00C1465C">
        <w:t>without r</w:t>
      </w:r>
      <w:r>
        <w:t>esort</w:t>
      </w:r>
      <w:r w:rsidR="00C1465C">
        <w:t>ing</w:t>
      </w:r>
      <w:r>
        <w:t xml:space="preserve"> to judicial proceedings. Detention should only be used as a measure of last resort, and for the shortest appropriate </w:t>
      </w:r>
      <w:proofErr w:type="gramStart"/>
      <w:r>
        <w:t>period of time</w:t>
      </w:r>
      <w:proofErr w:type="gramEnd"/>
      <w:r>
        <w:t xml:space="preserve">. </w:t>
      </w:r>
    </w:p>
    <w:p w14:paraId="44EDB74A" w14:textId="41D1FCB2" w:rsidR="00422CA4" w:rsidRDefault="001E7C09" w:rsidP="00422CA4">
      <w:r>
        <w:t>I</w:t>
      </w:r>
      <w:r w:rsidR="00422CA4">
        <w:t>mportantly</w:t>
      </w:r>
      <w:r>
        <w:t>,</w:t>
      </w:r>
      <w:r w:rsidR="00422CA4">
        <w:t xml:space="preserve"> the </w:t>
      </w:r>
      <w:r w:rsidR="00354ED3">
        <w:t xml:space="preserve">CRC states that the </w:t>
      </w:r>
      <w:r w:rsidR="00422CA4">
        <w:t>law must set a minimum age below which a child should not be considered to have the capacity to commit an offence</w:t>
      </w:r>
      <w:r>
        <w:t>:</w:t>
      </w:r>
    </w:p>
    <w:p w14:paraId="73DCBAD8" w14:textId="77777777" w:rsidR="008022EB" w:rsidRDefault="008074B9" w:rsidP="008022EB">
      <w:pPr>
        <w:ind w:left="720"/>
      </w:pPr>
      <w:r>
        <w:t xml:space="preserve">Article 40 of the UN Convention on the Rights </w:t>
      </w:r>
      <w:r w:rsidR="00341ACB">
        <w:t xml:space="preserve">of the Child </w:t>
      </w:r>
      <w:r>
        <w:t xml:space="preserve">requires States Parties to establish a minimum age below which children shall be presumed not to have the capacity to infringe the criminal law. </w:t>
      </w:r>
    </w:p>
    <w:p w14:paraId="7685626D" w14:textId="530A6F44" w:rsidR="0007633B" w:rsidRDefault="008074B9" w:rsidP="008022EB">
      <w:r>
        <w:t xml:space="preserve">While </w:t>
      </w:r>
      <w:r w:rsidR="006D0508">
        <w:t>the CRC itself</w:t>
      </w:r>
      <w:r>
        <w:t xml:space="preserve"> doe</w:t>
      </w:r>
      <w:r w:rsidR="006D0508">
        <w:t>s not</w:t>
      </w:r>
      <w:r>
        <w:t xml:space="preserve"> specify what this age should be, </w:t>
      </w:r>
      <w:r w:rsidR="00EE5422">
        <w:t xml:space="preserve">General Comments of </w:t>
      </w:r>
      <w:r>
        <w:t xml:space="preserve">the </w:t>
      </w:r>
      <w:r w:rsidR="00422CA4">
        <w:t xml:space="preserve">UN </w:t>
      </w:r>
      <w:r>
        <w:t>Committee</w:t>
      </w:r>
      <w:r w:rsidR="00422CA4">
        <w:t xml:space="preserve"> on the Rights of the Child</w:t>
      </w:r>
      <w:r w:rsidR="00EE5422">
        <w:t xml:space="preserve"> </w:t>
      </w:r>
      <w:r>
        <w:t xml:space="preserve">provide persuasive guidance </w:t>
      </w:r>
      <w:r w:rsidR="00AA6043">
        <w:t>on what is</w:t>
      </w:r>
      <w:r w:rsidR="005048F0">
        <w:t xml:space="preserve"> an</w:t>
      </w:r>
      <w:r w:rsidR="00AA6043">
        <w:t xml:space="preserve"> ‘acceptable’</w:t>
      </w:r>
      <w:r w:rsidR="005048F0">
        <w:t xml:space="preserve"> age</w:t>
      </w:r>
      <w:r w:rsidR="006D0508">
        <w:t>.</w:t>
      </w:r>
    </w:p>
    <w:p w14:paraId="49692537" w14:textId="4D92B8F4" w:rsidR="00776CFC" w:rsidRDefault="008074B9" w:rsidP="00776CFC">
      <w:r>
        <w:t>General Comment 10</w:t>
      </w:r>
      <w:r w:rsidR="00AA6043">
        <w:t xml:space="preserve"> (2007)</w:t>
      </w:r>
      <w:r>
        <w:t xml:space="preserve"> on children’s rights in juvenile justice encouraged States Parties to increase the age of criminal responsibility to 12 years at an absolute minimum</w:t>
      </w:r>
      <w:r w:rsidR="00C2411F">
        <w:t>,</w:t>
      </w:r>
      <w:r>
        <w:t xml:space="preserve"> and to continue to increase it to a higher age level. </w:t>
      </w:r>
      <w:r w:rsidR="00C2411F">
        <w:t>In a</w:t>
      </w:r>
      <w:r>
        <w:t xml:space="preserve"> recent re-drafting of General Comment </w:t>
      </w:r>
      <w:r w:rsidR="00463638">
        <w:t xml:space="preserve">10 </w:t>
      </w:r>
      <w:r>
        <w:t>(</w:t>
      </w:r>
      <w:r w:rsidR="00C2411F">
        <w:t xml:space="preserve">renamed </w:t>
      </w:r>
      <w:r>
        <w:t xml:space="preserve">General Comment 24), the Committee </w:t>
      </w:r>
      <w:r w:rsidR="000247DE" w:rsidRPr="00D63EDA">
        <w:t>recommended</w:t>
      </w:r>
      <w:r w:rsidR="000247DE">
        <w:t xml:space="preserve"> all countries </w:t>
      </w:r>
      <w:r w:rsidR="000247DE" w:rsidRPr="00D63EDA">
        <w:t>increas</w:t>
      </w:r>
      <w:r w:rsidR="000247DE">
        <w:t xml:space="preserve">e </w:t>
      </w:r>
      <w:r w:rsidR="000247DE" w:rsidRPr="00D63EDA">
        <w:t xml:space="preserve">the minimum age of criminal responsibility to </w:t>
      </w:r>
      <w:r w:rsidR="000247DE" w:rsidRPr="003310A5">
        <w:rPr>
          <w:b/>
          <w:bCs/>
        </w:rPr>
        <w:t>at least 14 years of age</w:t>
      </w:r>
      <w:r w:rsidR="000247DE" w:rsidRPr="00D63EDA">
        <w:t>.</w:t>
      </w:r>
      <w:r w:rsidR="000247DE">
        <w:rPr>
          <w:rStyle w:val="EndnoteReference"/>
        </w:rPr>
        <w:endnoteReference w:id="3"/>
      </w:r>
      <w:r w:rsidR="000247DE">
        <w:t xml:space="preserve"> </w:t>
      </w:r>
    </w:p>
    <w:p w14:paraId="570995A0" w14:textId="676A4B64" w:rsidR="000C59B1" w:rsidRDefault="000C59B1" w:rsidP="000C59B1">
      <w:pPr>
        <w:rPr>
          <w:lang w:val="en-US"/>
        </w:rPr>
      </w:pPr>
      <w:r>
        <w:rPr>
          <w:lang w:val="en-US"/>
        </w:rPr>
        <w:t>The Committee also point</w:t>
      </w:r>
      <w:r w:rsidR="000443EA">
        <w:rPr>
          <w:lang w:val="en-US"/>
        </w:rPr>
        <w:t>ed</w:t>
      </w:r>
      <w:r>
        <w:rPr>
          <w:lang w:val="en-US"/>
        </w:rPr>
        <w:t xml:space="preserve"> </w:t>
      </w:r>
      <w:r w:rsidR="003D44BC">
        <w:rPr>
          <w:lang w:val="en-US"/>
        </w:rPr>
        <w:t xml:space="preserve">to </w:t>
      </w:r>
      <w:r>
        <w:rPr>
          <w:lang w:val="en-US"/>
        </w:rPr>
        <w:t>developments and neuroscien</w:t>
      </w:r>
      <w:r w:rsidR="00B92E94">
        <w:rPr>
          <w:lang w:val="en-US"/>
        </w:rPr>
        <w:t>tific</w:t>
      </w:r>
      <w:r>
        <w:rPr>
          <w:lang w:val="en-US"/>
        </w:rPr>
        <w:t xml:space="preserve"> evidence </w:t>
      </w:r>
      <w:r w:rsidR="003D44BC">
        <w:rPr>
          <w:lang w:val="en-US"/>
        </w:rPr>
        <w:t xml:space="preserve">that shows </w:t>
      </w:r>
      <w:r>
        <w:rPr>
          <w:lang w:val="en-US"/>
        </w:rPr>
        <w:t xml:space="preserve">adolescent brains continue to mature even beyond teenage years, and therefore </w:t>
      </w:r>
      <w:r w:rsidR="00927DB3">
        <w:rPr>
          <w:lang w:val="en-US"/>
        </w:rPr>
        <w:t xml:space="preserve">commends </w:t>
      </w:r>
      <w:r>
        <w:rPr>
          <w:lang w:val="en-US"/>
        </w:rPr>
        <w:t xml:space="preserve">States </w:t>
      </w:r>
      <w:r w:rsidR="001A3FC2">
        <w:rPr>
          <w:lang w:val="en-US"/>
        </w:rPr>
        <w:t>P</w:t>
      </w:r>
      <w:r>
        <w:rPr>
          <w:lang w:val="en-US"/>
        </w:rPr>
        <w:t xml:space="preserve">arties </w:t>
      </w:r>
      <w:r w:rsidR="001A3FC2">
        <w:rPr>
          <w:lang w:val="en-US"/>
        </w:rPr>
        <w:t>to</w:t>
      </w:r>
      <w:r w:rsidR="00927DB3">
        <w:rPr>
          <w:lang w:val="en-US"/>
        </w:rPr>
        <w:t xml:space="preserve"> </w:t>
      </w:r>
      <w:r>
        <w:rPr>
          <w:lang w:val="en-US"/>
        </w:rPr>
        <w:t>have a</w:t>
      </w:r>
      <w:r w:rsidR="003D44BC">
        <w:rPr>
          <w:lang w:val="en-US"/>
        </w:rPr>
        <w:t>n even higher</w:t>
      </w:r>
      <w:r>
        <w:rPr>
          <w:lang w:val="en-US"/>
        </w:rPr>
        <w:t xml:space="preserve"> minimum age</w:t>
      </w:r>
      <w:r w:rsidR="003D44BC">
        <w:rPr>
          <w:lang w:val="en-US"/>
        </w:rPr>
        <w:t xml:space="preserve">, </w:t>
      </w:r>
      <w:r>
        <w:rPr>
          <w:lang w:val="en-US"/>
        </w:rPr>
        <w:t>for instance 15 or 16 years.</w:t>
      </w:r>
      <w:r>
        <w:rPr>
          <w:rStyle w:val="EndnoteReference"/>
          <w:lang w:val="en-US"/>
        </w:rPr>
        <w:endnoteReference w:id="4"/>
      </w:r>
    </w:p>
    <w:p w14:paraId="55E9950F" w14:textId="7570310A" w:rsidR="000247DE" w:rsidRPr="00776CFC" w:rsidRDefault="00F14A26" w:rsidP="00776CFC">
      <w:r>
        <w:t xml:space="preserve">This </w:t>
      </w:r>
      <w:r w:rsidR="00A534C0">
        <w:t xml:space="preserve">guidance is now </w:t>
      </w:r>
      <w:r>
        <w:t xml:space="preserve">being reflected in </w:t>
      </w:r>
      <w:r w:rsidR="00981EBD">
        <w:t xml:space="preserve">the Committee’s considerations of State Parties and their implementation of child rights. </w:t>
      </w:r>
      <w:r w:rsidR="000247DE" w:rsidRPr="00776CFC">
        <w:t xml:space="preserve">In its Concluding Observations </w:t>
      </w:r>
      <w:r w:rsidR="00776CFC">
        <w:t xml:space="preserve">on Australia in </w:t>
      </w:r>
      <w:r w:rsidR="000247DE" w:rsidRPr="00776CFC">
        <w:t>2019, the Committee urged the Australian Government to raise the minimum age of criminal responsibility to an internationally accepted level and make it conform with the upper age of 14.</w:t>
      </w:r>
      <w:r w:rsidR="000247DE" w:rsidRPr="00776CFC">
        <w:rPr>
          <w:rStyle w:val="EndnoteReference"/>
        </w:rPr>
        <w:endnoteReference w:id="5"/>
      </w:r>
    </w:p>
    <w:p w14:paraId="76A51D4C" w14:textId="414D9F98" w:rsidR="008074B9" w:rsidRPr="00776CFC" w:rsidRDefault="00981EBD" w:rsidP="000247DE">
      <w:r>
        <w:lastRenderedPageBreak/>
        <w:t>Other</w:t>
      </w:r>
      <w:r w:rsidR="00BB46C4">
        <w:t xml:space="preserve"> </w:t>
      </w:r>
      <w:r w:rsidR="00EF2E32">
        <w:t xml:space="preserve">international experts on child rights </w:t>
      </w:r>
      <w:r w:rsidR="0044763A">
        <w:t xml:space="preserve">are turning their attention to </w:t>
      </w:r>
      <w:r w:rsidR="0008057B">
        <w:t xml:space="preserve">the issue of raising the </w:t>
      </w:r>
      <w:r w:rsidR="001F775D">
        <w:t xml:space="preserve">minimum </w:t>
      </w:r>
      <w:r w:rsidR="0008057B">
        <w:t xml:space="preserve">age </w:t>
      </w:r>
      <w:proofErr w:type="gramStart"/>
      <w:r w:rsidR="0008057B">
        <w:t>as a means to</w:t>
      </w:r>
      <w:proofErr w:type="gramEnd"/>
      <w:r w:rsidR="0008057B">
        <w:t xml:space="preserve"> </w:t>
      </w:r>
      <w:r w:rsidR="001F775D">
        <w:t xml:space="preserve">lower rates of detention of children. </w:t>
      </w:r>
      <w:r w:rsidR="00743B03">
        <w:t xml:space="preserve">For example, </w:t>
      </w:r>
      <w:r w:rsidR="00A90BC3">
        <w:t xml:space="preserve">Professor </w:t>
      </w:r>
      <w:r w:rsidR="008074B9">
        <w:t xml:space="preserve">Manfred Nowak, the Independent Expert leading the </w:t>
      </w:r>
      <w:r w:rsidR="00776CFC">
        <w:t>G</w:t>
      </w:r>
      <w:r w:rsidR="008074B9">
        <w:t xml:space="preserve">lobal </w:t>
      </w:r>
      <w:r w:rsidR="00776CFC">
        <w:t>S</w:t>
      </w:r>
      <w:r w:rsidR="008074B9">
        <w:t xml:space="preserve">tudy on </w:t>
      </w:r>
      <w:r w:rsidR="00776CFC">
        <w:t>C</w:t>
      </w:r>
      <w:r w:rsidR="008074B9">
        <w:t xml:space="preserve">hildren </w:t>
      </w:r>
      <w:r w:rsidR="00776CFC">
        <w:t>D</w:t>
      </w:r>
      <w:r w:rsidR="008074B9">
        <w:t xml:space="preserve">eprived of their </w:t>
      </w:r>
      <w:r w:rsidR="00776CFC">
        <w:t>L</w:t>
      </w:r>
      <w:r w:rsidR="008074B9">
        <w:t>iberty, in a summary of his report to the UN General Assembly in August</w:t>
      </w:r>
      <w:r w:rsidR="00821F3D">
        <w:t xml:space="preserve"> 2019</w:t>
      </w:r>
      <w:r w:rsidR="008074B9">
        <w:t>, recommended a minimum age of criminal responsibility which shall ‘not be below 14 years of age’.</w:t>
      </w:r>
      <w:r w:rsidR="008074B9">
        <w:rPr>
          <w:rStyle w:val="EndnoteReference"/>
        </w:rPr>
        <w:endnoteReference w:id="6"/>
      </w:r>
    </w:p>
    <w:tbl>
      <w:tblPr>
        <w:tblStyle w:val="TableGrid"/>
        <w:tblW w:w="0" w:type="auto"/>
        <w:tblLook w:val="04A0" w:firstRow="1" w:lastRow="0" w:firstColumn="1" w:lastColumn="0" w:noHBand="0" w:noVBand="1"/>
      </w:tblPr>
      <w:tblGrid>
        <w:gridCol w:w="9060"/>
      </w:tblGrid>
      <w:tr w:rsidR="009713F3" w14:paraId="294C4152" w14:textId="77777777" w:rsidTr="00896779">
        <w:tc>
          <w:tcPr>
            <w:tcW w:w="9060" w:type="dxa"/>
            <w:shd w:val="clear" w:color="auto" w:fill="DEEAF6" w:themeFill="accent1" w:themeFillTint="33"/>
          </w:tcPr>
          <w:p w14:paraId="40C42F6D" w14:textId="5851E696" w:rsidR="00E42B37" w:rsidRPr="00896779" w:rsidRDefault="00E42B37" w:rsidP="005948FA">
            <w:pPr>
              <w:rPr>
                <w:rFonts w:cs="Open Sans"/>
                <w:b/>
                <w:bCs/>
              </w:rPr>
            </w:pPr>
            <w:r w:rsidRPr="00896779">
              <w:rPr>
                <w:rFonts w:cs="Open Sans"/>
                <w:b/>
                <w:bCs/>
              </w:rPr>
              <w:t xml:space="preserve">Recommendation </w:t>
            </w:r>
            <w:r w:rsidR="004B0CF5" w:rsidRPr="000227B0">
              <w:rPr>
                <w:rFonts w:cs="Open Sans"/>
                <w:b/>
                <w:bCs/>
              </w:rPr>
              <w:t>1</w:t>
            </w:r>
          </w:p>
          <w:p w14:paraId="34D6A387" w14:textId="36B67CFF" w:rsidR="009713F3" w:rsidRDefault="00E42B37" w:rsidP="005948FA">
            <w:r>
              <w:rPr>
                <w:rFonts w:cs="Open Sans"/>
              </w:rPr>
              <w:t xml:space="preserve">All </w:t>
            </w:r>
            <w:r w:rsidR="009713F3" w:rsidRPr="00972DCE">
              <w:rPr>
                <w:rFonts w:cs="Open Sans"/>
              </w:rPr>
              <w:t xml:space="preserve">Australian Governments </w:t>
            </w:r>
            <w:r w:rsidR="009713F3">
              <w:rPr>
                <w:rFonts w:cs="Open Sans"/>
              </w:rPr>
              <w:t xml:space="preserve">should </w:t>
            </w:r>
            <w:r w:rsidR="009713F3" w:rsidRPr="00972DCE">
              <w:rPr>
                <w:rFonts w:cs="Open Sans"/>
              </w:rPr>
              <w:t xml:space="preserve">raise the </w:t>
            </w:r>
            <w:r w:rsidR="009713F3">
              <w:rPr>
                <w:rFonts w:cs="Open Sans"/>
              </w:rPr>
              <w:t xml:space="preserve">minimum </w:t>
            </w:r>
            <w:r w:rsidR="009713F3" w:rsidRPr="00972DCE">
              <w:rPr>
                <w:rFonts w:cs="Open Sans"/>
              </w:rPr>
              <w:t>age of criminal responsibility to at least 1</w:t>
            </w:r>
            <w:r w:rsidR="009713F3">
              <w:rPr>
                <w:rFonts w:cs="Open Sans"/>
              </w:rPr>
              <w:t>4</w:t>
            </w:r>
            <w:r w:rsidR="009713F3" w:rsidRPr="00972DCE">
              <w:rPr>
                <w:rFonts w:cs="Open Sans"/>
              </w:rPr>
              <w:t xml:space="preserve"> years</w:t>
            </w:r>
            <w:r w:rsidR="009713F3">
              <w:rPr>
                <w:rFonts w:cs="Open Sans"/>
              </w:rPr>
              <w:t>.</w:t>
            </w:r>
          </w:p>
        </w:tc>
      </w:tr>
    </w:tbl>
    <w:p w14:paraId="761D909A" w14:textId="222D36C7" w:rsidR="004C6ABF" w:rsidRDefault="00665A5F" w:rsidP="0099687D">
      <w:pPr>
        <w:pStyle w:val="Heading1"/>
      </w:pPr>
      <w:bookmarkStart w:id="12" w:name="_Toc33622192"/>
      <w:r>
        <w:t xml:space="preserve">Reasons </w:t>
      </w:r>
      <w:r w:rsidR="005948FA">
        <w:t xml:space="preserve">for raising the </w:t>
      </w:r>
      <w:r>
        <w:t>minimum age of criminal responsibility</w:t>
      </w:r>
      <w:bookmarkEnd w:id="12"/>
      <w:r>
        <w:t xml:space="preserve"> </w:t>
      </w:r>
    </w:p>
    <w:p w14:paraId="11979D42" w14:textId="77777777" w:rsidR="0099687D" w:rsidRDefault="0099687D" w:rsidP="0099687D">
      <w:r w:rsidRPr="00E40928">
        <w:rPr>
          <w:rFonts w:cs="Open Sans"/>
        </w:rPr>
        <w:t>In each jurisdiction in Australia, the law provides a conclusive presumption that a child under 10 years of age cannot commit an offence on the basis that they are not criminally responsible for that offence.</w:t>
      </w:r>
      <w:r w:rsidRPr="00E40928">
        <w:rPr>
          <w:rStyle w:val="EndnoteReference"/>
        </w:rPr>
        <w:endnoteReference w:id="7"/>
      </w:r>
      <w:r w:rsidRPr="00E40928">
        <w:t xml:space="preserve"> </w:t>
      </w:r>
    </w:p>
    <w:p w14:paraId="0078B536" w14:textId="77777777" w:rsidR="0099687D" w:rsidRPr="000247DE" w:rsidRDefault="0099687D" w:rsidP="0099687D">
      <w:r>
        <w:rPr>
          <w:rFonts w:cs="Open Sans"/>
        </w:rPr>
        <w:t>The Commission considers the minimum age of 10 to be too low.</w:t>
      </w:r>
    </w:p>
    <w:p w14:paraId="6DA9B188" w14:textId="221C9D57" w:rsidR="00665A5F" w:rsidRPr="00665A5F" w:rsidRDefault="005948FA" w:rsidP="0099687D">
      <w:pPr>
        <w:pStyle w:val="Heading2"/>
      </w:pPr>
      <w:bookmarkStart w:id="13" w:name="_Toc33622193"/>
      <w:r>
        <w:t>Most child</w:t>
      </w:r>
      <w:r w:rsidR="00853772">
        <w:t xml:space="preserve"> offenders </w:t>
      </w:r>
      <w:r>
        <w:t>have disadvantaged backgrounds and complex needs</w:t>
      </w:r>
      <w:bookmarkEnd w:id="13"/>
    </w:p>
    <w:p w14:paraId="594DB048" w14:textId="6EDA57AC" w:rsidR="00E83757" w:rsidRDefault="00665A5F" w:rsidP="00613C35">
      <w:r>
        <w:t>M</w:t>
      </w:r>
      <w:r w:rsidRPr="00742032">
        <w:t>any children involved in the criminal justice system come from disadvantaged backgrounds and have complex needs better addressed outside the criminal justice system</w:t>
      </w:r>
      <w:r>
        <w:t>.</w:t>
      </w:r>
      <w:r w:rsidRPr="005D4C91">
        <w:rPr>
          <w:rStyle w:val="EndnoteReference"/>
          <w:iCs/>
        </w:rPr>
        <w:endnoteReference w:id="8"/>
      </w:r>
      <w:r w:rsidR="00374237">
        <w:t xml:space="preserve"> These include </w:t>
      </w:r>
      <w:r w:rsidR="004B0CF5">
        <w:t xml:space="preserve">experiences of </w:t>
      </w:r>
      <w:r w:rsidR="00962F68">
        <w:t>poverty</w:t>
      </w:r>
      <w:r w:rsidR="000C5690">
        <w:t xml:space="preserve">, </w:t>
      </w:r>
      <w:r w:rsidR="00471BE2">
        <w:t xml:space="preserve">homelessness, </w:t>
      </w:r>
      <w:r w:rsidR="00AC16F2">
        <w:t xml:space="preserve">educational </w:t>
      </w:r>
      <w:r w:rsidR="00670FD3">
        <w:t xml:space="preserve">exclusion and disengagement, </w:t>
      </w:r>
      <w:r w:rsidR="000C5690">
        <w:t>abuse and neglect</w:t>
      </w:r>
      <w:r w:rsidR="006F0B08">
        <w:t xml:space="preserve">, drug and alcohol issues, disabilities and health </w:t>
      </w:r>
      <w:r w:rsidR="009B2531">
        <w:t>concerns, including mental health problems.</w:t>
      </w:r>
      <w:r w:rsidR="00EA5FA4">
        <w:rPr>
          <w:rStyle w:val="EndnoteReference"/>
        </w:rPr>
        <w:endnoteReference w:id="9"/>
      </w:r>
      <w:r w:rsidR="00234610">
        <w:t xml:space="preserve"> </w:t>
      </w:r>
    </w:p>
    <w:p w14:paraId="40B0BEDE" w14:textId="4ADE03D5" w:rsidR="00E83757" w:rsidRDefault="00E83757" w:rsidP="00613C35">
      <w:r>
        <w:t>Although many of these problems also characterise adult criminal justice populations, they can cause greater problems among young people, who are more susceptible—physically, emotionally and socially—to them. Many of these problems are compounded by their psychosocial immaturity</w:t>
      </w:r>
      <w:r w:rsidR="00EB71D6">
        <w:t xml:space="preserve">, </w:t>
      </w:r>
      <w:r w:rsidR="00C72241">
        <w:t xml:space="preserve">and their </w:t>
      </w:r>
      <w:r w:rsidR="00EB71D6">
        <w:t>susceptibility to exploitation</w:t>
      </w:r>
      <w:r w:rsidR="00C72241">
        <w:t xml:space="preserve"> and peer group pressure</w:t>
      </w:r>
      <w:r>
        <w:t>.</w:t>
      </w:r>
    </w:p>
    <w:p w14:paraId="5F5F9601" w14:textId="590249CF" w:rsidR="009713F3" w:rsidRPr="003C080A" w:rsidRDefault="00BC5170" w:rsidP="003C080A">
      <w:pPr>
        <w:pStyle w:val="SubmissionNormal"/>
        <w:keepNext/>
        <w:keepLines/>
        <w:numPr>
          <w:ilvl w:val="0"/>
          <w:numId w:val="0"/>
        </w:numPr>
        <w:autoSpaceDE w:val="0"/>
        <w:autoSpaceDN w:val="0"/>
        <w:adjustRightInd w:val="0"/>
        <w:spacing w:after="0"/>
        <w:rPr>
          <w:rFonts w:cs="Open Sans"/>
        </w:rPr>
      </w:pPr>
      <w:r>
        <w:lastRenderedPageBreak/>
        <w:t xml:space="preserve">There </w:t>
      </w:r>
      <w:r w:rsidR="009E5C60">
        <w:t xml:space="preserve">is </w:t>
      </w:r>
      <w:r>
        <w:t xml:space="preserve">increasing research about the prevalence of </w:t>
      </w:r>
      <w:r w:rsidR="009E5C60">
        <w:t>mental health disorders and cognitive disabilities of young people in the youth justice system.</w:t>
      </w:r>
      <w:r w:rsidR="00016BFB">
        <w:rPr>
          <w:rStyle w:val="EndnoteReference"/>
        </w:rPr>
        <w:endnoteReference w:id="10"/>
      </w:r>
      <w:r w:rsidR="009E5C60">
        <w:t xml:space="preserve"> </w:t>
      </w:r>
      <w:r w:rsidR="009713F3" w:rsidRPr="00B56CB3">
        <w:rPr>
          <w:shd w:val="clear" w:color="auto" w:fill="FFFFFF"/>
        </w:rPr>
        <w:t xml:space="preserve">Children with disability are overrepresented in the </w:t>
      </w:r>
      <w:r w:rsidR="009713F3">
        <w:rPr>
          <w:shd w:val="clear" w:color="auto" w:fill="FFFFFF"/>
        </w:rPr>
        <w:t>youth</w:t>
      </w:r>
      <w:r w:rsidR="009713F3" w:rsidRPr="00B56CB3">
        <w:rPr>
          <w:shd w:val="clear" w:color="auto" w:fill="FFFFFF"/>
        </w:rPr>
        <w:t xml:space="preserve"> justice system, particularly children with intellectual disabilities or </w:t>
      </w:r>
      <w:r w:rsidR="009713F3">
        <w:rPr>
          <w:rFonts w:cs="Open Sans"/>
        </w:rPr>
        <w:t>psychosocial disabilities.</w:t>
      </w:r>
      <w:r w:rsidR="009713F3">
        <w:rPr>
          <w:rStyle w:val="EndnoteReference"/>
        </w:rPr>
        <w:endnoteReference w:id="11"/>
      </w:r>
      <w:r w:rsidR="009713F3">
        <w:rPr>
          <w:rFonts w:cs="Open Sans"/>
        </w:rPr>
        <w:t xml:space="preserve"> </w:t>
      </w:r>
      <w:r w:rsidR="009713F3" w:rsidRPr="00B56CB3">
        <w:rPr>
          <w:shd w:val="clear" w:color="auto" w:fill="FFFFFF"/>
        </w:rPr>
        <w:t xml:space="preserve">In </w:t>
      </w:r>
      <w:r w:rsidR="009713F3">
        <w:rPr>
          <w:shd w:val="clear" w:color="auto" w:fill="FFFFFF"/>
        </w:rPr>
        <w:t xml:space="preserve">one survey of the </w:t>
      </w:r>
      <w:r w:rsidR="009713F3" w:rsidRPr="00B56CB3">
        <w:rPr>
          <w:shd w:val="clear" w:color="auto" w:fill="FFFFFF"/>
        </w:rPr>
        <w:t>NSW</w:t>
      </w:r>
      <w:r w:rsidR="009713F3">
        <w:rPr>
          <w:shd w:val="clear" w:color="auto" w:fill="FFFFFF"/>
        </w:rPr>
        <w:t xml:space="preserve"> youth justice system in 2015</w:t>
      </w:r>
      <w:r w:rsidR="009713F3" w:rsidRPr="00B56CB3">
        <w:rPr>
          <w:shd w:val="clear" w:color="auto" w:fill="FFFFFF"/>
        </w:rPr>
        <w:t xml:space="preserve">, 83.3% of children </w:t>
      </w:r>
      <w:r w:rsidR="009713F3">
        <w:rPr>
          <w:shd w:val="clear" w:color="auto" w:fill="FFFFFF"/>
        </w:rPr>
        <w:t xml:space="preserve">surveyed </w:t>
      </w:r>
      <w:r w:rsidR="009713F3" w:rsidRPr="00B56CB3">
        <w:rPr>
          <w:shd w:val="clear" w:color="auto" w:fill="FFFFFF"/>
        </w:rPr>
        <w:t xml:space="preserve">met the criteria for at least one psychological disorder—six times the prevalence rate </w:t>
      </w:r>
      <w:r w:rsidR="009713F3">
        <w:rPr>
          <w:shd w:val="clear" w:color="auto" w:fill="FFFFFF"/>
        </w:rPr>
        <w:t xml:space="preserve">for children </w:t>
      </w:r>
      <w:r w:rsidR="009713F3" w:rsidRPr="00B56CB3">
        <w:rPr>
          <w:shd w:val="clear" w:color="auto" w:fill="FFFFFF"/>
        </w:rPr>
        <w:t>in the general population.</w:t>
      </w:r>
      <w:r w:rsidR="009713F3" w:rsidRPr="001C7824">
        <w:rPr>
          <w:rStyle w:val="EndnoteReference"/>
        </w:rPr>
        <w:endnoteReference w:id="12"/>
      </w:r>
      <w:r w:rsidR="009713F3" w:rsidRPr="00B56CB3">
        <w:rPr>
          <w:shd w:val="clear" w:color="auto" w:fill="FFFFFF"/>
        </w:rPr>
        <w:t xml:space="preserve"> </w:t>
      </w:r>
    </w:p>
    <w:p w14:paraId="28CB74F3" w14:textId="09E4D5C1" w:rsidR="00E56BBC" w:rsidRDefault="00E90410" w:rsidP="00E56BBC">
      <w:pPr>
        <w:pStyle w:val="SubmissionNormal"/>
        <w:numPr>
          <w:ilvl w:val="0"/>
          <w:numId w:val="0"/>
        </w:numPr>
        <w:autoSpaceDE w:val="0"/>
        <w:autoSpaceDN w:val="0"/>
        <w:adjustRightInd w:val="0"/>
        <w:spacing w:after="0"/>
        <w:rPr>
          <w:shd w:val="clear" w:color="auto" w:fill="FFFFFF"/>
        </w:rPr>
      </w:pPr>
      <w:r>
        <w:rPr>
          <w:rFonts w:cs="Open Sans"/>
        </w:rPr>
        <w:t>Another</w:t>
      </w:r>
      <w:r w:rsidR="009713F3">
        <w:rPr>
          <w:rFonts w:cs="Open Sans"/>
        </w:rPr>
        <w:t xml:space="preserve"> study in Western Australia found that 89% of children in detention between May 2015 and December 2016 had at least one domain of severe neurodevelopmental impairment and 36% were diagnosed with </w:t>
      </w:r>
      <w:proofErr w:type="spellStart"/>
      <w:r w:rsidR="009713F3">
        <w:rPr>
          <w:rFonts w:cs="Open Sans"/>
        </w:rPr>
        <w:t>F</w:t>
      </w:r>
      <w:r w:rsidR="004F76D1">
        <w:rPr>
          <w:rFonts w:cs="Open Sans"/>
        </w:rPr>
        <w:t>etal</w:t>
      </w:r>
      <w:proofErr w:type="spellEnd"/>
      <w:r w:rsidR="004F76D1">
        <w:rPr>
          <w:rFonts w:cs="Open Sans"/>
        </w:rPr>
        <w:t xml:space="preserve"> Alcohol </w:t>
      </w:r>
      <w:r w:rsidR="00EE2D07">
        <w:rPr>
          <w:rFonts w:cs="Open Sans"/>
        </w:rPr>
        <w:t>Spectrum Disorder</w:t>
      </w:r>
      <w:r w:rsidR="00407D6D">
        <w:rPr>
          <w:rFonts w:cs="Open Sans"/>
        </w:rPr>
        <w:t xml:space="preserve"> (FASD)</w:t>
      </w:r>
      <w:r w:rsidR="009713F3">
        <w:rPr>
          <w:rFonts w:cs="Open Sans"/>
        </w:rPr>
        <w:t>.</w:t>
      </w:r>
      <w:r w:rsidR="009713F3">
        <w:rPr>
          <w:rStyle w:val="EndnoteReference"/>
        </w:rPr>
        <w:endnoteReference w:id="13"/>
      </w:r>
      <w:r w:rsidR="009713F3" w:rsidDel="009E0AAD">
        <w:rPr>
          <w:rFonts w:cs="Open Sans"/>
        </w:rPr>
        <w:t xml:space="preserve"> </w:t>
      </w:r>
      <w:r w:rsidR="009713F3">
        <w:t xml:space="preserve">The </w:t>
      </w:r>
      <w:r w:rsidR="009713F3" w:rsidRPr="00FB4D6C">
        <w:t xml:space="preserve">majority of </w:t>
      </w:r>
      <w:r w:rsidR="009713F3">
        <w:t xml:space="preserve">those with FASD </w:t>
      </w:r>
      <w:r w:rsidR="009713F3" w:rsidRPr="00FB4D6C">
        <w:t>had not been previously identifie</w:t>
      </w:r>
      <w:r w:rsidR="009713F3">
        <w:t>d, highlighting a</w:t>
      </w:r>
      <w:r w:rsidR="009713F3" w:rsidRPr="00FB4D6C">
        <w:t xml:space="preserve"> need for improved diagnosis.</w:t>
      </w:r>
      <w:r w:rsidR="009713F3">
        <w:rPr>
          <w:rStyle w:val="EndnoteReference"/>
        </w:rPr>
        <w:endnoteReference w:id="14"/>
      </w:r>
    </w:p>
    <w:p w14:paraId="00B44620" w14:textId="72ACA9C8" w:rsidR="00FE7EC0" w:rsidRPr="00E56BBC" w:rsidRDefault="000D169F" w:rsidP="00E56BBC">
      <w:pPr>
        <w:pStyle w:val="SubmissionNormal"/>
        <w:numPr>
          <w:ilvl w:val="0"/>
          <w:numId w:val="0"/>
        </w:numPr>
        <w:autoSpaceDE w:val="0"/>
        <w:autoSpaceDN w:val="0"/>
        <w:adjustRightInd w:val="0"/>
        <w:spacing w:after="0"/>
        <w:rPr>
          <w:shd w:val="clear" w:color="auto" w:fill="FFFFFF"/>
        </w:rPr>
      </w:pPr>
      <w:r w:rsidRPr="00B56CB3">
        <w:t xml:space="preserve">Disability advocacy organisations have argued that the high incarceration rate </w:t>
      </w:r>
      <w:r w:rsidR="003D1D25">
        <w:t xml:space="preserve">for children with disability </w:t>
      </w:r>
      <w:r w:rsidRPr="00B56CB3">
        <w:t xml:space="preserve">is due to the failures in </w:t>
      </w:r>
      <w:r w:rsidRPr="00B56CB3">
        <w:rPr>
          <w:lang w:val="en"/>
        </w:rPr>
        <w:t>mental health, child protection, housing, disability and community service systems to provide appropriate assessment and supports.</w:t>
      </w:r>
      <w:r w:rsidRPr="001C7824">
        <w:rPr>
          <w:rStyle w:val="EndnoteReference"/>
        </w:rPr>
        <w:endnoteReference w:id="15"/>
      </w:r>
      <w:r>
        <w:rPr>
          <w:lang w:val="en"/>
        </w:rPr>
        <w:t xml:space="preserve"> </w:t>
      </w:r>
      <w:r w:rsidR="00FE7EC0">
        <w:t>The UN Committee on the Rights of Persons with Disabilities, in its Concluding Observations on Australia in September 2019,</w:t>
      </w:r>
      <w:r w:rsidR="00BA5BE9">
        <w:t xml:space="preserve"> </w:t>
      </w:r>
      <w:r w:rsidR="00FE7EC0">
        <w:t>expressed concern about the overrepresentation of convicted young persons with disabilities in the youth justice system, especially male youth from Indigenous communities.</w:t>
      </w:r>
      <w:r w:rsidR="00FE7EC0">
        <w:rPr>
          <w:rStyle w:val="EndnoteReference"/>
        </w:rPr>
        <w:endnoteReference w:id="16"/>
      </w:r>
    </w:p>
    <w:p w14:paraId="6C49F8F3" w14:textId="2DEAD3D0" w:rsidR="005C08AA" w:rsidRDefault="00344CA7" w:rsidP="00FE7EC0">
      <w:pPr>
        <w:pStyle w:val="SubmissionNormal"/>
        <w:keepNext/>
        <w:keepLines/>
        <w:numPr>
          <w:ilvl w:val="0"/>
          <w:numId w:val="0"/>
        </w:numPr>
        <w:autoSpaceDE w:val="0"/>
        <w:autoSpaceDN w:val="0"/>
        <w:adjustRightInd w:val="0"/>
        <w:spacing w:after="0"/>
      </w:pPr>
      <w:r>
        <w:rPr>
          <w:rFonts w:cs="Open Sans"/>
        </w:rPr>
        <w:t>The complex</w:t>
      </w:r>
      <w:r w:rsidR="00D45096">
        <w:rPr>
          <w:rFonts w:cs="Open Sans"/>
        </w:rPr>
        <w:t xml:space="preserve"> needs of chi</w:t>
      </w:r>
      <w:r w:rsidR="00763B48">
        <w:rPr>
          <w:rFonts w:cs="Open Sans"/>
        </w:rPr>
        <w:t>ld</w:t>
      </w:r>
      <w:r w:rsidR="00D45096">
        <w:rPr>
          <w:rFonts w:cs="Open Sans"/>
        </w:rPr>
        <w:t xml:space="preserve">ren in the justice system </w:t>
      </w:r>
      <w:r w:rsidR="00BA5BE9">
        <w:rPr>
          <w:rFonts w:cs="Open Sans"/>
        </w:rPr>
        <w:t>are</w:t>
      </w:r>
      <w:r w:rsidR="00214692">
        <w:rPr>
          <w:rFonts w:cs="Open Sans"/>
        </w:rPr>
        <w:t xml:space="preserve"> also highlighted by </w:t>
      </w:r>
      <w:r w:rsidR="00763B48">
        <w:rPr>
          <w:rFonts w:cs="Open Sans"/>
        </w:rPr>
        <w:t xml:space="preserve">data on the crossover between </w:t>
      </w:r>
      <w:r w:rsidR="000751AA">
        <w:rPr>
          <w:rFonts w:cs="Open Sans"/>
        </w:rPr>
        <w:t xml:space="preserve">the child protection system and the youth justice system. </w:t>
      </w:r>
      <w:r w:rsidR="00E62B0B">
        <w:rPr>
          <w:rFonts w:cs="Open Sans"/>
        </w:rPr>
        <w:t>A four</w:t>
      </w:r>
      <w:r w:rsidR="00FB4C7F">
        <w:rPr>
          <w:rFonts w:cs="Open Sans"/>
        </w:rPr>
        <w:t xml:space="preserve">-year study </w:t>
      </w:r>
      <w:r w:rsidR="00244795">
        <w:rPr>
          <w:rFonts w:cs="Open Sans"/>
        </w:rPr>
        <w:t xml:space="preserve">between </w:t>
      </w:r>
      <w:r w:rsidR="00545398">
        <w:rPr>
          <w:rFonts w:cs="Open Sans"/>
        </w:rPr>
        <w:t xml:space="preserve">1 July </w:t>
      </w:r>
      <w:r w:rsidR="00244795">
        <w:rPr>
          <w:rFonts w:cs="Open Sans"/>
        </w:rPr>
        <w:t>201</w:t>
      </w:r>
      <w:r w:rsidR="00545398">
        <w:rPr>
          <w:rFonts w:cs="Open Sans"/>
        </w:rPr>
        <w:t xml:space="preserve">4 and 30 June </w:t>
      </w:r>
      <w:r w:rsidR="00244795">
        <w:rPr>
          <w:rFonts w:cs="Open Sans"/>
        </w:rPr>
        <w:t>201</w:t>
      </w:r>
      <w:r w:rsidR="00545398">
        <w:rPr>
          <w:rFonts w:cs="Open Sans"/>
        </w:rPr>
        <w:t>8</w:t>
      </w:r>
      <w:r w:rsidR="00244795">
        <w:rPr>
          <w:rFonts w:cs="Open Sans"/>
        </w:rPr>
        <w:t xml:space="preserve"> found</w:t>
      </w:r>
      <w:r w:rsidR="00272032">
        <w:rPr>
          <w:rFonts w:cs="Open Sans"/>
        </w:rPr>
        <w:t xml:space="preserve"> that 50% of those under yo</w:t>
      </w:r>
      <w:r w:rsidR="00694831">
        <w:rPr>
          <w:rFonts w:cs="Open Sans"/>
        </w:rPr>
        <w:t xml:space="preserve">uth justice supervision (4,035 young people) had also received child protection services during the period. </w:t>
      </w:r>
      <w:r w:rsidR="00FE28E5">
        <w:rPr>
          <w:rFonts w:cs="Open Sans"/>
        </w:rPr>
        <w:t xml:space="preserve">The younger </w:t>
      </w:r>
      <w:r w:rsidR="0067068D">
        <w:rPr>
          <w:rFonts w:cs="Open Sans"/>
        </w:rPr>
        <w:t>people were at first supervision, the more likely the</w:t>
      </w:r>
      <w:r w:rsidR="00A77262">
        <w:rPr>
          <w:rFonts w:cs="Open Sans"/>
        </w:rPr>
        <w:t>y</w:t>
      </w:r>
      <w:r w:rsidR="0067068D">
        <w:rPr>
          <w:rFonts w:cs="Open Sans"/>
        </w:rPr>
        <w:t xml:space="preserve"> were to have received child protection services during the period</w:t>
      </w:r>
      <w:r w:rsidR="002317A0">
        <w:rPr>
          <w:rFonts w:cs="Open Sans"/>
        </w:rPr>
        <w:t xml:space="preserve"> (62% of those aged 10 at first supervision, compared with 27% of those aged 17). </w:t>
      </w:r>
    </w:p>
    <w:p w14:paraId="5FF2B03A" w14:textId="098F766F" w:rsidR="00926542" w:rsidRDefault="00926542" w:rsidP="00926542">
      <w:pPr>
        <w:rPr>
          <w:rFonts w:cs="Open Sans"/>
        </w:rPr>
      </w:pPr>
      <w:r>
        <w:rPr>
          <w:rFonts w:cs="Open Sans"/>
        </w:rPr>
        <w:t>C</w:t>
      </w:r>
      <w:r w:rsidRPr="001E5ED1">
        <w:rPr>
          <w:rFonts w:cs="Open Sans"/>
        </w:rPr>
        <w:t xml:space="preserve">hildren placed in out-of-home care are 16 times more likely than </w:t>
      </w:r>
      <w:r>
        <w:rPr>
          <w:rFonts w:cs="Open Sans"/>
        </w:rPr>
        <w:t xml:space="preserve">children in the </w:t>
      </w:r>
      <w:r w:rsidRPr="001E5ED1">
        <w:rPr>
          <w:rFonts w:cs="Open Sans"/>
        </w:rPr>
        <w:t xml:space="preserve">general population to be under </w:t>
      </w:r>
      <w:r>
        <w:rPr>
          <w:rFonts w:cs="Open Sans"/>
        </w:rPr>
        <w:t>youth justice</w:t>
      </w:r>
      <w:r w:rsidRPr="001E5ED1">
        <w:rPr>
          <w:rFonts w:cs="Open Sans"/>
        </w:rPr>
        <w:t xml:space="preserve"> supervision in the same year.</w:t>
      </w:r>
      <w:r w:rsidRPr="001E5ED1">
        <w:rPr>
          <w:rStyle w:val="EndnoteReference"/>
        </w:rPr>
        <w:endnoteReference w:id="17"/>
      </w:r>
      <w:r w:rsidRPr="001E5ED1">
        <w:rPr>
          <w:rFonts w:cs="Open Sans"/>
        </w:rPr>
        <w:t xml:space="preserve"> This risk increases when the child is Aboriginal or Torres Strait Islander.</w:t>
      </w:r>
      <w:r w:rsidRPr="001E5ED1">
        <w:rPr>
          <w:rStyle w:val="EndnoteReference"/>
        </w:rPr>
        <w:endnoteReference w:id="18"/>
      </w:r>
      <w:r w:rsidRPr="001E5ED1">
        <w:rPr>
          <w:rFonts w:cs="Open Sans"/>
        </w:rPr>
        <w:t xml:space="preserve"> </w:t>
      </w:r>
    </w:p>
    <w:p w14:paraId="734CAF6C" w14:textId="3E9E1380" w:rsidR="00926542" w:rsidRDefault="000470D9" w:rsidP="002964AC">
      <w:pPr>
        <w:rPr>
          <w:rFonts w:cs="Open Sans"/>
        </w:rPr>
      </w:pPr>
      <w:r>
        <w:rPr>
          <w:rFonts w:cs="Open Sans"/>
        </w:rPr>
        <w:t xml:space="preserve">A </w:t>
      </w:r>
      <w:r w:rsidR="00C45EAD">
        <w:rPr>
          <w:rFonts w:cs="Open Sans"/>
        </w:rPr>
        <w:t xml:space="preserve">recent Australian Institute of Criminology </w:t>
      </w:r>
      <w:r w:rsidR="0082584A">
        <w:rPr>
          <w:rFonts w:cs="Open Sans"/>
        </w:rPr>
        <w:t xml:space="preserve">report </w:t>
      </w:r>
      <w:r w:rsidR="0080693D">
        <w:t>present</w:t>
      </w:r>
      <w:r w:rsidR="009913CD">
        <w:t>ed</w:t>
      </w:r>
      <w:r w:rsidR="0080693D">
        <w:t xml:space="preserve"> the findings from a two-year study (2016-18) of Victorian children and young people involved in both the youth justice and statutory </w:t>
      </w:r>
      <w:r w:rsidR="003D349E">
        <w:t>c</w:t>
      </w:r>
      <w:r w:rsidR="0080693D">
        <w:t xml:space="preserve">hild </w:t>
      </w:r>
      <w:r w:rsidR="003D349E">
        <w:t>p</w:t>
      </w:r>
      <w:r w:rsidR="0080693D">
        <w:t>rotection systems</w:t>
      </w:r>
      <w:r w:rsidR="00D31B3D">
        <w:t xml:space="preserve">. It found that these ‘cross-over kids’ </w:t>
      </w:r>
      <w:r w:rsidR="00F00BA2">
        <w:t xml:space="preserve">were overwhelmingly </w:t>
      </w:r>
      <w:r w:rsidR="002E22DF">
        <w:t>affected</w:t>
      </w:r>
      <w:r w:rsidR="00F00BA2">
        <w:t xml:space="preserve"> by cumulative harm across their lives</w:t>
      </w:r>
      <w:r w:rsidR="00C500A4">
        <w:t xml:space="preserve"> and </w:t>
      </w:r>
      <w:r w:rsidR="00C500A4" w:rsidRPr="00C500A4">
        <w:rPr>
          <w:rFonts w:cs="Open Sans"/>
          <w:color w:val="000000"/>
          <w:shd w:val="clear" w:color="auto" w:fill="FFFFFF"/>
        </w:rPr>
        <w:t xml:space="preserve">faced considerable co-occurring challenges affecting their engagement </w:t>
      </w:r>
      <w:r w:rsidR="00C500A4" w:rsidRPr="00C500A4">
        <w:rPr>
          <w:rFonts w:cs="Open Sans"/>
          <w:color w:val="000000"/>
          <w:shd w:val="clear" w:color="auto" w:fill="FFFFFF"/>
        </w:rPr>
        <w:lastRenderedPageBreak/>
        <w:t>with statutory and non-statutory social systems</w:t>
      </w:r>
      <w:r w:rsidR="00C500A4">
        <w:rPr>
          <w:rFonts w:cs="Open Sans"/>
          <w:color w:val="000000"/>
          <w:shd w:val="clear" w:color="auto" w:fill="FFFFFF"/>
        </w:rPr>
        <w:t xml:space="preserve">. </w:t>
      </w:r>
      <w:r w:rsidR="00BC4A71">
        <w:rPr>
          <w:rFonts w:cs="Open Sans"/>
          <w:color w:val="000000"/>
          <w:shd w:val="clear" w:color="auto" w:fill="FFFFFF"/>
        </w:rPr>
        <w:t xml:space="preserve">The study’s findings suggest that </w:t>
      </w:r>
      <w:r w:rsidR="005E2C72">
        <w:rPr>
          <w:rFonts w:cs="Open Sans"/>
          <w:color w:val="000000"/>
          <w:shd w:val="clear" w:color="auto" w:fill="FFFFFF"/>
        </w:rPr>
        <w:t>early child and family support</w:t>
      </w:r>
      <w:r w:rsidR="009145CC">
        <w:rPr>
          <w:rFonts w:cs="Open Sans"/>
          <w:color w:val="000000"/>
          <w:shd w:val="clear" w:color="auto" w:fill="FFFFFF"/>
        </w:rPr>
        <w:t xml:space="preserve"> and intervention is </w:t>
      </w:r>
      <w:r w:rsidR="00811F09">
        <w:rPr>
          <w:rFonts w:cs="Open Sans"/>
          <w:color w:val="000000"/>
          <w:shd w:val="clear" w:color="auto" w:fill="FFFFFF"/>
        </w:rPr>
        <w:t xml:space="preserve">central to the prevention </w:t>
      </w:r>
      <w:r w:rsidR="00BB6F74">
        <w:rPr>
          <w:rFonts w:cs="Open Sans"/>
          <w:color w:val="000000"/>
          <w:shd w:val="clear" w:color="auto" w:fill="FFFFFF"/>
        </w:rPr>
        <w:t xml:space="preserve">of childhood </w:t>
      </w:r>
      <w:r w:rsidR="00CA6B46">
        <w:rPr>
          <w:rFonts w:cs="Open Sans"/>
          <w:color w:val="000000"/>
          <w:shd w:val="clear" w:color="auto" w:fill="FFFFFF"/>
        </w:rPr>
        <w:t>maltreatment and other harm experienced by these children</w:t>
      </w:r>
      <w:r w:rsidR="00BF1FA9">
        <w:rPr>
          <w:rFonts w:cs="Open Sans"/>
          <w:color w:val="000000"/>
          <w:shd w:val="clear" w:color="auto" w:fill="FFFFFF"/>
        </w:rPr>
        <w:t xml:space="preserve">, which </w:t>
      </w:r>
      <w:r w:rsidR="00802369">
        <w:rPr>
          <w:rFonts w:cs="Open Sans"/>
          <w:color w:val="000000"/>
          <w:shd w:val="clear" w:color="auto" w:fill="FFFFFF"/>
        </w:rPr>
        <w:t>affects</w:t>
      </w:r>
      <w:r w:rsidR="00BF1FA9">
        <w:rPr>
          <w:rFonts w:cs="Open Sans"/>
          <w:color w:val="000000"/>
          <w:shd w:val="clear" w:color="auto" w:fill="FFFFFF"/>
        </w:rPr>
        <w:t xml:space="preserve"> their behaviour</w:t>
      </w:r>
      <w:r w:rsidR="00050790">
        <w:rPr>
          <w:rFonts w:cs="Open Sans"/>
          <w:color w:val="000000"/>
          <w:shd w:val="clear" w:color="auto" w:fill="FFFFFF"/>
        </w:rPr>
        <w:t>. It also suggest</w:t>
      </w:r>
      <w:r w:rsidR="00932EEC">
        <w:rPr>
          <w:rFonts w:cs="Open Sans"/>
          <w:color w:val="000000"/>
          <w:shd w:val="clear" w:color="auto" w:fill="FFFFFF"/>
        </w:rPr>
        <w:t>s</w:t>
      </w:r>
      <w:r w:rsidR="00050790">
        <w:rPr>
          <w:rFonts w:cs="Open Sans"/>
          <w:color w:val="000000"/>
          <w:shd w:val="clear" w:color="auto" w:fill="FFFFFF"/>
        </w:rPr>
        <w:t xml:space="preserve"> that o</w:t>
      </w:r>
      <w:r w:rsidR="008C208C">
        <w:rPr>
          <w:rFonts w:cs="Open Sans"/>
          <w:color w:val="000000"/>
          <w:shd w:val="clear" w:color="auto" w:fill="FFFFFF"/>
        </w:rPr>
        <w:t>ur responses to early offending need to be re-examined, w</w:t>
      </w:r>
      <w:r w:rsidR="006F1FE2">
        <w:rPr>
          <w:rFonts w:cs="Open Sans"/>
          <w:color w:val="000000"/>
          <w:shd w:val="clear" w:color="auto" w:fill="FFFFFF"/>
        </w:rPr>
        <w:t>ith therapeutic</w:t>
      </w:r>
      <w:r w:rsidR="004739E8">
        <w:rPr>
          <w:rFonts w:cs="Open Sans"/>
          <w:color w:val="000000"/>
          <w:shd w:val="clear" w:color="auto" w:fill="FFFFFF"/>
        </w:rPr>
        <w:t xml:space="preserve"> responses </w:t>
      </w:r>
      <w:r w:rsidR="00861772">
        <w:rPr>
          <w:rFonts w:cs="Open Sans"/>
          <w:color w:val="000000"/>
          <w:shd w:val="clear" w:color="auto" w:fill="FFFFFF"/>
        </w:rPr>
        <w:t xml:space="preserve">encouraged, and the development of differential youth justice responses for these </w:t>
      </w:r>
      <w:r w:rsidR="00DE3A97">
        <w:rPr>
          <w:rFonts w:cs="Open Sans"/>
          <w:color w:val="000000"/>
          <w:shd w:val="clear" w:color="auto" w:fill="FFFFFF"/>
        </w:rPr>
        <w:t>children.</w:t>
      </w:r>
      <w:r w:rsidR="000F3754">
        <w:rPr>
          <w:rStyle w:val="EndnoteReference"/>
          <w:rFonts w:cs="Open Sans"/>
          <w:color w:val="000000"/>
          <w:shd w:val="clear" w:color="auto" w:fill="FFFFFF"/>
        </w:rPr>
        <w:endnoteReference w:id="19"/>
      </w:r>
      <w:r w:rsidR="00DE3A97">
        <w:rPr>
          <w:rFonts w:cs="Open Sans"/>
          <w:color w:val="000000"/>
          <w:shd w:val="clear" w:color="auto" w:fill="FFFFFF"/>
        </w:rPr>
        <w:t xml:space="preserve"> </w:t>
      </w:r>
    </w:p>
    <w:p w14:paraId="1AF0B2AE" w14:textId="7D703FC6" w:rsidR="005948FA" w:rsidRDefault="005948FA" w:rsidP="0099687D">
      <w:pPr>
        <w:pStyle w:val="Heading2"/>
      </w:pPr>
      <w:bookmarkStart w:id="14" w:name="_Toc33622194"/>
      <w:r>
        <w:t>Aboriginal and Torres Strait Islander children are</w:t>
      </w:r>
      <w:r w:rsidR="008A62D0">
        <w:t xml:space="preserve"> </w:t>
      </w:r>
      <w:r>
        <w:t>overrepresented in the younger youth justice population</w:t>
      </w:r>
      <w:bookmarkEnd w:id="14"/>
    </w:p>
    <w:p w14:paraId="44976DD5" w14:textId="0AD18846" w:rsidR="00665A5F" w:rsidRDefault="00E267D6" w:rsidP="009C4D84">
      <w:r>
        <w:t xml:space="preserve">Raising the age of criminal responsibility </w:t>
      </w:r>
      <w:r w:rsidR="00031F3D">
        <w:t xml:space="preserve">would </w:t>
      </w:r>
      <w:r w:rsidR="00665A5F" w:rsidRPr="000B1777">
        <w:t xml:space="preserve">help to decrease the rate of overrepresentation of Aboriginal and Torres Strait Islander children </w:t>
      </w:r>
      <w:r w:rsidR="0004157C">
        <w:t>under</w:t>
      </w:r>
      <w:r w:rsidR="00665A5F" w:rsidRPr="000B1777">
        <w:t xml:space="preserve"> </w:t>
      </w:r>
      <w:r w:rsidR="00374E8D">
        <w:t xml:space="preserve">youth justice </w:t>
      </w:r>
      <w:r w:rsidR="0004157C">
        <w:t xml:space="preserve">supervision and </w:t>
      </w:r>
      <w:r w:rsidR="00665A5F" w:rsidRPr="000B1777">
        <w:t>detention.</w:t>
      </w:r>
      <w:r w:rsidR="00665A5F" w:rsidRPr="00E40928">
        <w:rPr>
          <w:rStyle w:val="EndnoteReference"/>
        </w:rPr>
        <w:endnoteReference w:id="20"/>
      </w:r>
      <w:r w:rsidR="00665A5F" w:rsidRPr="000B1777">
        <w:t xml:space="preserve"> </w:t>
      </w:r>
    </w:p>
    <w:p w14:paraId="295FAFEA" w14:textId="77777777" w:rsidR="009713F3" w:rsidRDefault="009713F3" w:rsidP="00031F3D">
      <w:r w:rsidRPr="00742032">
        <w:t xml:space="preserve">While the </w:t>
      </w:r>
      <w:r>
        <w:t xml:space="preserve">overall </w:t>
      </w:r>
      <w:r w:rsidRPr="00742032">
        <w:t xml:space="preserve">numbers of </w:t>
      </w:r>
      <w:r>
        <w:t xml:space="preserve">all </w:t>
      </w:r>
      <w:r w:rsidRPr="00742032">
        <w:t xml:space="preserve">children under </w:t>
      </w:r>
      <w:r>
        <w:t>youth</w:t>
      </w:r>
      <w:r w:rsidRPr="00742032">
        <w:t xml:space="preserve"> justice supervision in Australia on an average day fell by 16% between 2012–2013 and 2016–2017,</w:t>
      </w:r>
      <w:r w:rsidRPr="00742032">
        <w:rPr>
          <w:rStyle w:val="EndnoteReference"/>
        </w:rPr>
        <w:endnoteReference w:id="21"/>
      </w:r>
      <w:r w:rsidRPr="00742032">
        <w:t xml:space="preserve"> the level of overrepresentation of Aboriginal and Torres Strait Islander children has risen over the same period. </w:t>
      </w:r>
    </w:p>
    <w:p w14:paraId="56EC5CA7" w14:textId="3F162622" w:rsidR="009713F3" w:rsidRDefault="009713F3" w:rsidP="00A36A58">
      <w:r w:rsidRPr="00742032">
        <w:t>On an average day in 201</w:t>
      </w:r>
      <w:r>
        <w:t>7</w:t>
      </w:r>
      <w:r w:rsidRPr="00742032">
        <w:t>–1</w:t>
      </w:r>
      <w:r>
        <w:t>8</w:t>
      </w:r>
      <w:r w:rsidRPr="00742032">
        <w:t>, Aboriginal and Torres Strait Islander children aged 10–17 were</w:t>
      </w:r>
      <w:r>
        <w:t xml:space="preserve"> 17 </w:t>
      </w:r>
      <w:r w:rsidRPr="00742032">
        <w:t xml:space="preserve">times more likely than non-Indigenous children to be under supervision. </w:t>
      </w:r>
      <w:r w:rsidRPr="0041768C">
        <w:t>This level was higher in detention (23 times as likely) than community-based supervision (17 times as likely).</w:t>
      </w:r>
      <w:r w:rsidRPr="0041768C">
        <w:rPr>
          <w:rStyle w:val="EndnoteReference"/>
        </w:rPr>
        <w:endnoteReference w:id="22"/>
      </w:r>
      <w:r>
        <w:t xml:space="preserve"> </w:t>
      </w:r>
      <w:r w:rsidRPr="00742032">
        <w:t xml:space="preserve">In the Northern Territory, </w:t>
      </w:r>
      <w:r>
        <w:t xml:space="preserve">as </w:t>
      </w:r>
      <w:r w:rsidRPr="00742032">
        <w:t>at 20 June 2018</w:t>
      </w:r>
      <w:r>
        <w:t>,</w:t>
      </w:r>
      <w:r w:rsidRPr="00742032">
        <w:t xml:space="preserve"> 38 juveniles in detention were Aboriginal or Torres Strait Islanders.</w:t>
      </w:r>
      <w:r w:rsidRPr="00742032">
        <w:rPr>
          <w:rStyle w:val="EndnoteReference"/>
        </w:rPr>
        <w:endnoteReference w:id="23"/>
      </w:r>
    </w:p>
    <w:p w14:paraId="0AF0D2A2" w14:textId="71CDD48F" w:rsidR="009713F3" w:rsidRDefault="009713F3" w:rsidP="00A36A58">
      <w:r w:rsidRPr="00B477FC">
        <w:t xml:space="preserve">Aboriginal and Torres Strait Islander children are overrepresented in both detention and community-based supervision at all ages but are particularly overrepresented in the younger age </w:t>
      </w:r>
      <w:r w:rsidRPr="00302C92">
        <w:t xml:space="preserve">groups (see </w:t>
      </w:r>
      <w:r w:rsidR="00827008">
        <w:t>Tables</w:t>
      </w:r>
      <w:r w:rsidRPr="00302C92">
        <w:t xml:space="preserve"> </w:t>
      </w:r>
      <w:r>
        <w:t>1</w:t>
      </w:r>
      <w:r w:rsidR="00A36A58">
        <w:t xml:space="preserve"> and 2</w:t>
      </w:r>
      <w:r w:rsidRPr="00302C92">
        <w:t>).</w:t>
      </w:r>
      <w:r w:rsidRPr="00B477FC">
        <w:t xml:space="preserve"> </w:t>
      </w:r>
      <w:r w:rsidR="000C7D1B">
        <w:t>According to the Australian Institute of Health and Welfare, o</w:t>
      </w:r>
      <w:r w:rsidRPr="00B477FC">
        <w:t>n an average day in 2017</w:t>
      </w:r>
      <w:r>
        <w:t>–</w:t>
      </w:r>
      <w:r w:rsidRPr="00B477FC">
        <w:t>18, about half (48%) of all Aboriginal and Torres Strait Islander young people under supervision were aged 10–15</w:t>
      </w:r>
      <w:r>
        <w:t xml:space="preserve"> years</w:t>
      </w:r>
      <w:r w:rsidRPr="00B477FC">
        <w:t>, compared with one-third (33%) of non-Indigenous young people.</w:t>
      </w:r>
      <w:r w:rsidRPr="00B477FC">
        <w:rPr>
          <w:rStyle w:val="EndnoteReference"/>
          <w:iCs/>
        </w:rPr>
        <w:endnoteReference w:id="24"/>
      </w:r>
      <w:r w:rsidRPr="00B477FC">
        <w:t xml:space="preserve"> </w:t>
      </w:r>
    </w:p>
    <w:p w14:paraId="78EF7E61" w14:textId="218B089D" w:rsidR="00853772" w:rsidRPr="00827008" w:rsidRDefault="00A36A58" w:rsidP="00827008">
      <w:bookmarkStart w:id="15" w:name="_Hlk20822434"/>
      <w:r>
        <w:t>D</w:t>
      </w:r>
      <w:r w:rsidR="009713F3" w:rsidRPr="00B477FC">
        <w:t>uring 2017–18, 769 children aged 10</w:t>
      </w:r>
      <w:r w:rsidR="009713F3">
        <w:t>–</w:t>
      </w:r>
      <w:r w:rsidR="009713F3" w:rsidRPr="00B477FC">
        <w:t>13 years had been under community-based supervision</w:t>
      </w:r>
      <w:r w:rsidR="00174E82">
        <w:t>,</w:t>
      </w:r>
      <w:r w:rsidR="009713F3" w:rsidRPr="00B477FC">
        <w:t xml:space="preserve"> and 588 children aged 10–13 years had been in detention, the majority </w:t>
      </w:r>
      <w:r w:rsidR="00286C8C">
        <w:t>Aboriginal and Torres Strait Islander</w:t>
      </w:r>
      <w:r w:rsidR="009713F3" w:rsidRPr="00B477FC">
        <w:t xml:space="preserve"> boys.</w:t>
      </w:r>
      <w:r w:rsidR="009713F3" w:rsidRPr="00B477FC">
        <w:rPr>
          <w:rStyle w:val="EndnoteReference"/>
          <w:iCs/>
        </w:rPr>
        <w:endnoteReference w:id="25"/>
      </w:r>
      <w:bookmarkEnd w:id="15"/>
      <w:r w:rsidR="004E3568">
        <w:t xml:space="preserve"> </w:t>
      </w:r>
      <w:r w:rsidR="007372A4">
        <w:t>A</w:t>
      </w:r>
      <w:r w:rsidR="006B3E05">
        <w:t xml:space="preserve">bout 47 </w:t>
      </w:r>
      <w:r w:rsidR="009E1907">
        <w:t>Aboriginal and Torres Strait Isl</w:t>
      </w:r>
      <w:r w:rsidR="00D50386">
        <w:t>and</w:t>
      </w:r>
      <w:r w:rsidR="009E1907">
        <w:t>er chi</w:t>
      </w:r>
      <w:r w:rsidR="00D50386">
        <w:t>ld</w:t>
      </w:r>
      <w:r w:rsidR="009E1907">
        <w:t xml:space="preserve">ren aged </w:t>
      </w:r>
      <w:r w:rsidR="00D50386">
        <w:t xml:space="preserve">10–13 years </w:t>
      </w:r>
      <w:r w:rsidR="007372A4">
        <w:t xml:space="preserve">were in </w:t>
      </w:r>
      <w:r w:rsidR="00D50386">
        <w:t>detention on an average day, compared to about 11 non-Indigenous children aged 10–13 years in detention on an average day, in 2017–18.</w:t>
      </w:r>
      <w:r w:rsidR="006B7962">
        <w:rPr>
          <w:rStyle w:val="EndnoteReference"/>
        </w:rPr>
        <w:endnoteReference w:id="26"/>
      </w:r>
    </w:p>
    <w:tbl>
      <w:tblPr>
        <w:tblW w:w="5000" w:type="pct"/>
        <w:tblCellMar>
          <w:left w:w="0" w:type="dxa"/>
          <w:right w:w="0" w:type="dxa"/>
        </w:tblCellMar>
        <w:tblLook w:val="0000" w:firstRow="0" w:lastRow="0" w:firstColumn="0" w:lastColumn="0" w:noHBand="0" w:noVBand="0"/>
      </w:tblPr>
      <w:tblGrid>
        <w:gridCol w:w="1609"/>
        <w:gridCol w:w="1162"/>
        <w:gridCol w:w="1063"/>
        <w:gridCol w:w="1065"/>
        <w:gridCol w:w="1063"/>
        <w:gridCol w:w="1065"/>
        <w:gridCol w:w="1065"/>
        <w:gridCol w:w="962"/>
      </w:tblGrid>
      <w:tr w:rsidR="00853772" w:rsidRPr="00827008" w14:paraId="4D00BC5A" w14:textId="77777777" w:rsidTr="003F1CA5">
        <w:trPr>
          <w:trHeight w:val="60"/>
        </w:trPr>
        <w:tc>
          <w:tcPr>
            <w:tcW w:w="5000" w:type="pct"/>
            <w:gridSpan w:val="8"/>
            <w:tcBorders>
              <w:top w:val="single" w:sz="4" w:space="0" w:color="4C4C4C"/>
              <w:left w:val="single" w:sz="6" w:space="0" w:color="4C4C4C"/>
              <w:bottom w:val="single" w:sz="8" w:space="0" w:color="4C4C4C"/>
              <w:right w:val="single" w:sz="6" w:space="0" w:color="4C4C4C"/>
            </w:tcBorders>
            <w:tcMar>
              <w:top w:w="170" w:type="dxa"/>
              <w:left w:w="227" w:type="dxa"/>
              <w:bottom w:w="170" w:type="dxa"/>
              <w:right w:w="227" w:type="dxa"/>
            </w:tcMar>
            <w:vAlign w:val="center"/>
          </w:tcPr>
          <w:p w14:paraId="16D037FE" w14:textId="4A8F4EA4" w:rsidR="00853772" w:rsidRPr="00827008" w:rsidRDefault="00827008" w:rsidP="003F1CA5">
            <w:pPr>
              <w:pStyle w:val="TableHeading"/>
              <w:spacing w:after="0" w:line="240" w:lineRule="auto"/>
              <w:rPr>
                <w:sz w:val="20"/>
                <w:szCs w:val="20"/>
              </w:rPr>
            </w:pPr>
            <w:r>
              <w:rPr>
                <w:sz w:val="20"/>
                <w:szCs w:val="20"/>
              </w:rPr>
              <w:lastRenderedPageBreak/>
              <w:t xml:space="preserve">Table 1: </w:t>
            </w:r>
            <w:r w:rsidR="00853772" w:rsidRPr="00827008">
              <w:rPr>
                <w:sz w:val="20"/>
                <w:szCs w:val="20"/>
              </w:rPr>
              <w:t>Numbers of children under community-based supervision during the year by age, sex and Indigenous status, Australia (2017–18)</w:t>
            </w:r>
          </w:p>
        </w:tc>
      </w:tr>
      <w:tr w:rsidR="00853772" w:rsidRPr="00C874B2" w14:paraId="3F840037" w14:textId="77777777" w:rsidTr="003F1CA5">
        <w:trPr>
          <w:trHeight w:val="60"/>
        </w:trPr>
        <w:tc>
          <w:tcPr>
            <w:tcW w:w="889"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046A190" w14:textId="77777777" w:rsidR="00853772" w:rsidRPr="00C874B2" w:rsidRDefault="00853772" w:rsidP="003F1CA5">
            <w:pPr>
              <w:pStyle w:val="Nessunostileparagrafo"/>
              <w:spacing w:line="240" w:lineRule="auto"/>
              <w:textAlignment w:val="auto"/>
              <w:rPr>
                <w:rFonts w:ascii="Open Sans Condensed" w:hAnsi="Open Sans Condensed" w:cs="Times New Roman"/>
                <w:color w:val="auto"/>
                <w:sz w:val="16"/>
                <w:szCs w:val="16"/>
              </w:rPr>
            </w:pPr>
          </w:p>
        </w:tc>
        <w:tc>
          <w:tcPr>
            <w:tcW w:w="642"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0B0D520" w14:textId="77777777" w:rsidR="00853772" w:rsidRPr="00C874B2" w:rsidRDefault="00853772" w:rsidP="003F1CA5">
            <w:pPr>
              <w:pStyle w:val="TableText"/>
              <w:spacing w:after="0" w:line="240" w:lineRule="auto"/>
              <w:jc w:val="center"/>
              <w:rPr>
                <w:sz w:val="16"/>
                <w:szCs w:val="16"/>
              </w:rPr>
            </w:pPr>
            <w:r w:rsidRPr="00C874B2">
              <w:rPr>
                <w:rStyle w:val="CondensedBold"/>
                <w:sz w:val="16"/>
                <w:szCs w:val="16"/>
              </w:rPr>
              <w:t xml:space="preserve">10-11 </w:t>
            </w:r>
            <w:proofErr w:type="spellStart"/>
            <w:r w:rsidRPr="00C874B2">
              <w:rPr>
                <w:rStyle w:val="CondensedBold"/>
                <w:sz w:val="16"/>
                <w:szCs w:val="16"/>
              </w:rPr>
              <w:t>yrs</w:t>
            </w:r>
            <w:proofErr w:type="spellEnd"/>
          </w:p>
        </w:tc>
        <w:tc>
          <w:tcPr>
            <w:tcW w:w="587"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AECEEDD" w14:textId="77777777" w:rsidR="00853772" w:rsidRPr="00C874B2" w:rsidRDefault="00853772" w:rsidP="003F1CA5">
            <w:pPr>
              <w:pStyle w:val="TableText"/>
              <w:spacing w:after="0" w:line="240" w:lineRule="auto"/>
              <w:jc w:val="center"/>
              <w:rPr>
                <w:sz w:val="16"/>
                <w:szCs w:val="16"/>
              </w:rPr>
            </w:pPr>
            <w:r w:rsidRPr="00C874B2">
              <w:rPr>
                <w:rStyle w:val="CondensedBold"/>
                <w:sz w:val="16"/>
                <w:szCs w:val="16"/>
              </w:rPr>
              <w:t xml:space="preserve">12 </w:t>
            </w:r>
            <w:proofErr w:type="spellStart"/>
            <w:r w:rsidRPr="00C874B2">
              <w:rPr>
                <w:rStyle w:val="CondensedBold"/>
                <w:sz w:val="16"/>
                <w:szCs w:val="16"/>
              </w:rPr>
              <w:t>yrs</w:t>
            </w:r>
            <w:proofErr w:type="spellEnd"/>
          </w:p>
        </w:tc>
        <w:tc>
          <w:tcPr>
            <w:tcW w:w="588"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E945DA4" w14:textId="77777777" w:rsidR="00853772" w:rsidRPr="00C874B2" w:rsidRDefault="00853772" w:rsidP="003F1CA5">
            <w:pPr>
              <w:pStyle w:val="TableText"/>
              <w:spacing w:after="0" w:line="240" w:lineRule="auto"/>
              <w:jc w:val="center"/>
              <w:rPr>
                <w:sz w:val="16"/>
                <w:szCs w:val="16"/>
              </w:rPr>
            </w:pPr>
            <w:r w:rsidRPr="00C874B2">
              <w:rPr>
                <w:rStyle w:val="CondensedBold"/>
                <w:sz w:val="16"/>
                <w:szCs w:val="16"/>
              </w:rPr>
              <w:t xml:space="preserve">13 </w:t>
            </w:r>
            <w:proofErr w:type="spellStart"/>
            <w:r w:rsidRPr="00C874B2">
              <w:rPr>
                <w:rStyle w:val="CondensedBold"/>
                <w:sz w:val="16"/>
                <w:szCs w:val="16"/>
              </w:rPr>
              <w:t>yrs</w:t>
            </w:r>
            <w:proofErr w:type="spellEnd"/>
          </w:p>
        </w:tc>
        <w:tc>
          <w:tcPr>
            <w:tcW w:w="587"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CD92FC1" w14:textId="77777777" w:rsidR="00853772" w:rsidRPr="00C874B2" w:rsidRDefault="00853772" w:rsidP="003F1CA5">
            <w:pPr>
              <w:pStyle w:val="TableText"/>
              <w:spacing w:after="0" w:line="240" w:lineRule="auto"/>
              <w:jc w:val="center"/>
              <w:rPr>
                <w:sz w:val="16"/>
                <w:szCs w:val="16"/>
              </w:rPr>
            </w:pPr>
            <w:r w:rsidRPr="00C874B2">
              <w:rPr>
                <w:rStyle w:val="CondensedBold"/>
                <w:sz w:val="16"/>
                <w:szCs w:val="16"/>
              </w:rPr>
              <w:t xml:space="preserve">14 </w:t>
            </w:r>
            <w:proofErr w:type="spellStart"/>
            <w:r w:rsidRPr="00C874B2">
              <w:rPr>
                <w:rStyle w:val="CondensedBold"/>
                <w:sz w:val="16"/>
                <w:szCs w:val="16"/>
              </w:rPr>
              <w:t>yrs</w:t>
            </w:r>
            <w:proofErr w:type="spellEnd"/>
          </w:p>
        </w:tc>
        <w:tc>
          <w:tcPr>
            <w:tcW w:w="588"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309A40F" w14:textId="77777777" w:rsidR="00853772" w:rsidRPr="00C874B2" w:rsidRDefault="00853772" w:rsidP="003F1CA5">
            <w:pPr>
              <w:pStyle w:val="TableText"/>
              <w:spacing w:after="0" w:line="240" w:lineRule="auto"/>
              <w:jc w:val="center"/>
              <w:rPr>
                <w:sz w:val="16"/>
                <w:szCs w:val="16"/>
              </w:rPr>
            </w:pPr>
            <w:r w:rsidRPr="00C874B2">
              <w:rPr>
                <w:rStyle w:val="CondensedBold"/>
                <w:sz w:val="16"/>
                <w:szCs w:val="16"/>
              </w:rPr>
              <w:t xml:space="preserve">15 </w:t>
            </w:r>
            <w:proofErr w:type="spellStart"/>
            <w:r w:rsidRPr="00C874B2">
              <w:rPr>
                <w:rStyle w:val="CondensedBold"/>
                <w:sz w:val="16"/>
                <w:szCs w:val="16"/>
              </w:rPr>
              <w:t>yrs</w:t>
            </w:r>
            <w:proofErr w:type="spellEnd"/>
          </w:p>
        </w:tc>
        <w:tc>
          <w:tcPr>
            <w:tcW w:w="588"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3E7759E" w14:textId="77777777" w:rsidR="00853772" w:rsidRPr="00C874B2" w:rsidRDefault="00853772" w:rsidP="003F1CA5">
            <w:pPr>
              <w:pStyle w:val="TableText"/>
              <w:spacing w:after="0" w:line="240" w:lineRule="auto"/>
              <w:jc w:val="center"/>
              <w:rPr>
                <w:sz w:val="16"/>
                <w:szCs w:val="16"/>
              </w:rPr>
            </w:pPr>
            <w:r w:rsidRPr="00C874B2">
              <w:rPr>
                <w:rStyle w:val="CondensedBold"/>
                <w:sz w:val="16"/>
                <w:szCs w:val="16"/>
              </w:rPr>
              <w:t xml:space="preserve">16 </w:t>
            </w:r>
            <w:proofErr w:type="spellStart"/>
            <w:r w:rsidRPr="00C874B2">
              <w:rPr>
                <w:rStyle w:val="CondensedBold"/>
                <w:sz w:val="16"/>
                <w:szCs w:val="16"/>
              </w:rPr>
              <w:t>yrs</w:t>
            </w:r>
            <w:proofErr w:type="spellEnd"/>
          </w:p>
        </w:tc>
        <w:tc>
          <w:tcPr>
            <w:tcW w:w="533"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19801A6" w14:textId="77777777" w:rsidR="00853772" w:rsidRPr="00C874B2" w:rsidRDefault="00853772" w:rsidP="003F1CA5">
            <w:pPr>
              <w:pStyle w:val="TableText"/>
              <w:spacing w:after="0" w:line="240" w:lineRule="auto"/>
              <w:jc w:val="center"/>
              <w:rPr>
                <w:sz w:val="16"/>
                <w:szCs w:val="16"/>
              </w:rPr>
            </w:pPr>
            <w:r w:rsidRPr="00C874B2">
              <w:rPr>
                <w:rStyle w:val="CondensedBold"/>
                <w:sz w:val="16"/>
                <w:szCs w:val="16"/>
              </w:rPr>
              <w:t xml:space="preserve">17 </w:t>
            </w:r>
            <w:proofErr w:type="spellStart"/>
            <w:r w:rsidRPr="00C874B2">
              <w:rPr>
                <w:rStyle w:val="CondensedBold"/>
                <w:sz w:val="16"/>
                <w:szCs w:val="16"/>
              </w:rPr>
              <w:t>yrs</w:t>
            </w:r>
            <w:proofErr w:type="spellEnd"/>
          </w:p>
        </w:tc>
      </w:tr>
      <w:tr w:rsidR="00853772" w:rsidRPr="00C874B2" w14:paraId="36568981" w14:textId="77777777" w:rsidTr="003F1CA5">
        <w:trPr>
          <w:trHeight w:val="60"/>
        </w:trPr>
        <w:tc>
          <w:tcPr>
            <w:tcW w:w="88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46091FB0" w14:textId="77777777" w:rsidR="00853772" w:rsidRPr="00C874B2" w:rsidRDefault="00853772" w:rsidP="003F1CA5">
            <w:pPr>
              <w:pStyle w:val="TableText"/>
              <w:spacing w:after="0" w:line="240" w:lineRule="auto"/>
              <w:rPr>
                <w:sz w:val="16"/>
                <w:szCs w:val="16"/>
              </w:rPr>
            </w:pPr>
            <w:r w:rsidRPr="00C874B2">
              <w:rPr>
                <w:sz w:val="16"/>
                <w:szCs w:val="16"/>
              </w:rPr>
              <w:t>Male – Indigenous</w:t>
            </w:r>
          </w:p>
        </w:tc>
        <w:tc>
          <w:tcPr>
            <w:tcW w:w="642"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71182D8" w14:textId="77777777" w:rsidR="00853772" w:rsidRPr="00C874B2" w:rsidRDefault="00853772" w:rsidP="003F1CA5">
            <w:pPr>
              <w:pStyle w:val="TableText"/>
              <w:spacing w:after="0" w:line="240" w:lineRule="auto"/>
              <w:jc w:val="center"/>
              <w:rPr>
                <w:sz w:val="16"/>
                <w:szCs w:val="16"/>
              </w:rPr>
            </w:pPr>
            <w:r w:rsidRPr="00C874B2">
              <w:rPr>
                <w:sz w:val="16"/>
                <w:szCs w:val="16"/>
              </w:rPr>
              <w:t>43</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5D5857E" w14:textId="77777777" w:rsidR="00853772" w:rsidRPr="00C874B2" w:rsidRDefault="00853772" w:rsidP="003F1CA5">
            <w:pPr>
              <w:pStyle w:val="TableText"/>
              <w:spacing w:after="0" w:line="240" w:lineRule="auto"/>
              <w:jc w:val="center"/>
              <w:rPr>
                <w:sz w:val="16"/>
                <w:szCs w:val="16"/>
              </w:rPr>
            </w:pPr>
            <w:r w:rsidRPr="00C874B2">
              <w:rPr>
                <w:sz w:val="16"/>
                <w:szCs w:val="16"/>
              </w:rPr>
              <w:t>98</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B6EF144" w14:textId="77777777" w:rsidR="00853772" w:rsidRPr="00C874B2" w:rsidRDefault="00853772" w:rsidP="003F1CA5">
            <w:pPr>
              <w:pStyle w:val="TableText"/>
              <w:spacing w:after="0" w:line="240" w:lineRule="auto"/>
              <w:jc w:val="center"/>
              <w:rPr>
                <w:sz w:val="16"/>
                <w:szCs w:val="16"/>
              </w:rPr>
            </w:pPr>
            <w:r w:rsidRPr="00C874B2">
              <w:rPr>
                <w:sz w:val="16"/>
                <w:szCs w:val="16"/>
              </w:rPr>
              <w:t>270</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A2A83E9" w14:textId="77777777" w:rsidR="00853772" w:rsidRPr="00C874B2" w:rsidRDefault="00853772" w:rsidP="003F1CA5">
            <w:pPr>
              <w:pStyle w:val="TableText"/>
              <w:spacing w:after="0" w:line="240" w:lineRule="auto"/>
              <w:jc w:val="center"/>
              <w:rPr>
                <w:sz w:val="16"/>
                <w:szCs w:val="16"/>
              </w:rPr>
            </w:pPr>
            <w:r w:rsidRPr="00C874B2">
              <w:rPr>
                <w:sz w:val="16"/>
                <w:szCs w:val="16"/>
              </w:rPr>
              <w:t>474</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C13630E" w14:textId="77777777" w:rsidR="00853772" w:rsidRPr="00C874B2" w:rsidRDefault="00853772" w:rsidP="003F1CA5">
            <w:pPr>
              <w:pStyle w:val="TableText"/>
              <w:spacing w:after="0" w:line="240" w:lineRule="auto"/>
              <w:jc w:val="center"/>
              <w:rPr>
                <w:sz w:val="16"/>
                <w:szCs w:val="16"/>
              </w:rPr>
            </w:pPr>
            <w:r w:rsidRPr="00C874B2">
              <w:rPr>
                <w:sz w:val="16"/>
                <w:szCs w:val="16"/>
              </w:rPr>
              <w:t>657</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ECBC8A8" w14:textId="77777777" w:rsidR="00853772" w:rsidRPr="00C874B2" w:rsidRDefault="00853772" w:rsidP="003F1CA5">
            <w:pPr>
              <w:pStyle w:val="TableText"/>
              <w:spacing w:after="0" w:line="240" w:lineRule="auto"/>
              <w:jc w:val="center"/>
              <w:rPr>
                <w:sz w:val="16"/>
                <w:szCs w:val="16"/>
              </w:rPr>
            </w:pPr>
            <w:r w:rsidRPr="00C874B2">
              <w:rPr>
                <w:sz w:val="16"/>
                <w:szCs w:val="16"/>
              </w:rPr>
              <w:t>729</w:t>
            </w:r>
          </w:p>
        </w:tc>
        <w:tc>
          <w:tcPr>
            <w:tcW w:w="53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4ADDB431" w14:textId="77777777" w:rsidR="00853772" w:rsidRPr="00C874B2" w:rsidRDefault="00853772" w:rsidP="003F1CA5">
            <w:pPr>
              <w:pStyle w:val="TableText"/>
              <w:spacing w:after="0" w:line="240" w:lineRule="auto"/>
              <w:jc w:val="center"/>
              <w:rPr>
                <w:sz w:val="16"/>
                <w:szCs w:val="16"/>
              </w:rPr>
            </w:pPr>
            <w:r w:rsidRPr="00C874B2">
              <w:rPr>
                <w:sz w:val="16"/>
                <w:szCs w:val="16"/>
              </w:rPr>
              <w:t>740</w:t>
            </w:r>
          </w:p>
        </w:tc>
      </w:tr>
      <w:tr w:rsidR="00853772" w:rsidRPr="00C874B2" w14:paraId="32A0BDEC" w14:textId="77777777" w:rsidTr="003F1CA5">
        <w:trPr>
          <w:trHeight w:val="60"/>
        </w:trPr>
        <w:tc>
          <w:tcPr>
            <w:tcW w:w="88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0E5DB34" w14:textId="77777777" w:rsidR="00853772" w:rsidRPr="00C874B2" w:rsidRDefault="00853772" w:rsidP="003F1CA5">
            <w:pPr>
              <w:pStyle w:val="TableText"/>
              <w:spacing w:after="0" w:line="240" w:lineRule="auto"/>
              <w:rPr>
                <w:sz w:val="16"/>
                <w:szCs w:val="16"/>
              </w:rPr>
            </w:pPr>
            <w:r w:rsidRPr="00C874B2">
              <w:rPr>
                <w:sz w:val="16"/>
                <w:szCs w:val="16"/>
              </w:rPr>
              <w:t>Male – Non-Indigenous</w:t>
            </w:r>
          </w:p>
        </w:tc>
        <w:tc>
          <w:tcPr>
            <w:tcW w:w="642"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D171C59" w14:textId="77777777" w:rsidR="00853772" w:rsidRPr="00C874B2" w:rsidRDefault="00853772" w:rsidP="003F1CA5">
            <w:pPr>
              <w:pStyle w:val="TableText"/>
              <w:spacing w:after="0" w:line="240" w:lineRule="auto"/>
              <w:jc w:val="center"/>
              <w:rPr>
                <w:sz w:val="16"/>
                <w:szCs w:val="16"/>
              </w:rPr>
            </w:pPr>
            <w:r w:rsidRPr="00C874B2">
              <w:rPr>
                <w:sz w:val="16"/>
                <w:szCs w:val="16"/>
              </w:rPr>
              <w:t>5</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AA786F4" w14:textId="77777777" w:rsidR="00853772" w:rsidRPr="00C874B2" w:rsidRDefault="00853772" w:rsidP="003F1CA5">
            <w:pPr>
              <w:pStyle w:val="TableText"/>
              <w:spacing w:after="0" w:line="240" w:lineRule="auto"/>
              <w:jc w:val="center"/>
              <w:rPr>
                <w:sz w:val="16"/>
                <w:szCs w:val="16"/>
              </w:rPr>
            </w:pPr>
            <w:r w:rsidRPr="00C874B2">
              <w:rPr>
                <w:sz w:val="16"/>
                <w:szCs w:val="16"/>
              </w:rPr>
              <w:t>37</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7F12BF7" w14:textId="77777777" w:rsidR="00853772" w:rsidRPr="00C874B2" w:rsidRDefault="00853772" w:rsidP="003F1CA5">
            <w:pPr>
              <w:pStyle w:val="TableText"/>
              <w:spacing w:after="0" w:line="240" w:lineRule="auto"/>
              <w:jc w:val="center"/>
              <w:rPr>
                <w:sz w:val="16"/>
                <w:szCs w:val="16"/>
              </w:rPr>
            </w:pPr>
            <w:r w:rsidRPr="00C874B2">
              <w:rPr>
                <w:sz w:val="16"/>
                <w:szCs w:val="16"/>
              </w:rPr>
              <w:t>155</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4A3056CE" w14:textId="77777777" w:rsidR="00853772" w:rsidRPr="00C874B2" w:rsidRDefault="00853772" w:rsidP="003F1CA5">
            <w:pPr>
              <w:pStyle w:val="TableText"/>
              <w:spacing w:after="0" w:line="240" w:lineRule="auto"/>
              <w:jc w:val="center"/>
              <w:rPr>
                <w:sz w:val="16"/>
                <w:szCs w:val="16"/>
              </w:rPr>
            </w:pPr>
            <w:r w:rsidRPr="00C874B2">
              <w:rPr>
                <w:sz w:val="16"/>
                <w:szCs w:val="16"/>
              </w:rPr>
              <w:t>365</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B7EFFE4" w14:textId="77777777" w:rsidR="00853772" w:rsidRPr="00C874B2" w:rsidRDefault="00853772" w:rsidP="003F1CA5">
            <w:pPr>
              <w:pStyle w:val="TableText"/>
              <w:spacing w:after="0" w:line="240" w:lineRule="auto"/>
              <w:jc w:val="center"/>
              <w:rPr>
                <w:sz w:val="16"/>
                <w:szCs w:val="16"/>
              </w:rPr>
            </w:pPr>
            <w:r w:rsidRPr="00C874B2">
              <w:rPr>
                <w:sz w:val="16"/>
                <w:szCs w:val="16"/>
              </w:rPr>
              <w:t>683</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22BAC9E" w14:textId="77777777" w:rsidR="00853772" w:rsidRPr="00C874B2" w:rsidRDefault="00853772" w:rsidP="003F1CA5">
            <w:pPr>
              <w:pStyle w:val="TableText"/>
              <w:spacing w:after="0" w:line="240" w:lineRule="auto"/>
              <w:jc w:val="center"/>
              <w:rPr>
                <w:sz w:val="16"/>
                <w:szCs w:val="16"/>
              </w:rPr>
            </w:pPr>
            <w:r w:rsidRPr="00C874B2">
              <w:rPr>
                <w:sz w:val="16"/>
                <w:szCs w:val="16"/>
              </w:rPr>
              <w:t>927</w:t>
            </w:r>
          </w:p>
        </w:tc>
        <w:tc>
          <w:tcPr>
            <w:tcW w:w="53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089D442" w14:textId="77777777" w:rsidR="00853772" w:rsidRPr="00C874B2" w:rsidRDefault="00853772" w:rsidP="003F1CA5">
            <w:pPr>
              <w:pStyle w:val="TableText"/>
              <w:spacing w:after="0" w:line="240" w:lineRule="auto"/>
              <w:jc w:val="center"/>
              <w:rPr>
                <w:sz w:val="16"/>
                <w:szCs w:val="16"/>
              </w:rPr>
            </w:pPr>
            <w:r w:rsidRPr="00C874B2">
              <w:rPr>
                <w:sz w:val="16"/>
                <w:szCs w:val="16"/>
              </w:rPr>
              <w:t>1,085</w:t>
            </w:r>
          </w:p>
        </w:tc>
      </w:tr>
      <w:tr w:rsidR="00853772" w:rsidRPr="00C874B2" w14:paraId="4AC68701" w14:textId="77777777" w:rsidTr="003F1CA5">
        <w:trPr>
          <w:trHeight w:val="60"/>
        </w:trPr>
        <w:tc>
          <w:tcPr>
            <w:tcW w:w="88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BA2C752" w14:textId="77777777" w:rsidR="00853772" w:rsidRPr="00C874B2" w:rsidRDefault="00853772" w:rsidP="003F1CA5">
            <w:pPr>
              <w:pStyle w:val="TableText"/>
              <w:spacing w:after="0" w:line="240" w:lineRule="auto"/>
              <w:rPr>
                <w:sz w:val="16"/>
                <w:szCs w:val="16"/>
              </w:rPr>
            </w:pPr>
            <w:r w:rsidRPr="00C874B2">
              <w:rPr>
                <w:sz w:val="16"/>
                <w:szCs w:val="16"/>
              </w:rPr>
              <w:t>Female – Indigenous</w:t>
            </w:r>
          </w:p>
        </w:tc>
        <w:tc>
          <w:tcPr>
            <w:tcW w:w="642"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EC584A9" w14:textId="77777777" w:rsidR="00853772" w:rsidRPr="00C874B2" w:rsidRDefault="00853772" w:rsidP="003F1CA5">
            <w:pPr>
              <w:pStyle w:val="TableText"/>
              <w:spacing w:after="0" w:line="240" w:lineRule="auto"/>
              <w:jc w:val="center"/>
              <w:rPr>
                <w:sz w:val="16"/>
                <w:szCs w:val="16"/>
              </w:rPr>
            </w:pPr>
            <w:r w:rsidRPr="00C874B2">
              <w:rPr>
                <w:sz w:val="16"/>
                <w:szCs w:val="16"/>
              </w:rPr>
              <w:t>9</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4A7F0223" w14:textId="77777777" w:rsidR="00853772" w:rsidRPr="00C874B2" w:rsidRDefault="00853772" w:rsidP="003F1CA5">
            <w:pPr>
              <w:pStyle w:val="TableText"/>
              <w:spacing w:after="0" w:line="240" w:lineRule="auto"/>
              <w:jc w:val="center"/>
              <w:rPr>
                <w:sz w:val="16"/>
                <w:szCs w:val="16"/>
              </w:rPr>
            </w:pPr>
            <w:r w:rsidRPr="00C874B2">
              <w:rPr>
                <w:sz w:val="16"/>
                <w:szCs w:val="16"/>
              </w:rPr>
              <w:t>25</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581E225" w14:textId="77777777" w:rsidR="00853772" w:rsidRPr="00C874B2" w:rsidRDefault="00853772" w:rsidP="003F1CA5">
            <w:pPr>
              <w:pStyle w:val="TableText"/>
              <w:spacing w:after="0" w:line="240" w:lineRule="auto"/>
              <w:jc w:val="center"/>
              <w:rPr>
                <w:sz w:val="16"/>
                <w:szCs w:val="16"/>
              </w:rPr>
            </w:pPr>
            <w:r w:rsidRPr="00C874B2">
              <w:rPr>
                <w:sz w:val="16"/>
                <w:szCs w:val="16"/>
              </w:rPr>
              <w:t>84</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2CD485B" w14:textId="77777777" w:rsidR="00853772" w:rsidRPr="00C874B2" w:rsidRDefault="00853772" w:rsidP="003F1CA5">
            <w:pPr>
              <w:pStyle w:val="TableText"/>
              <w:spacing w:after="0" w:line="240" w:lineRule="auto"/>
              <w:jc w:val="center"/>
              <w:rPr>
                <w:sz w:val="16"/>
                <w:szCs w:val="16"/>
              </w:rPr>
            </w:pPr>
            <w:r w:rsidRPr="00C874B2">
              <w:rPr>
                <w:sz w:val="16"/>
                <w:szCs w:val="16"/>
              </w:rPr>
              <w:t>159</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85DBD9F" w14:textId="77777777" w:rsidR="00853772" w:rsidRPr="00C874B2" w:rsidRDefault="00853772" w:rsidP="003F1CA5">
            <w:pPr>
              <w:pStyle w:val="TableText"/>
              <w:spacing w:after="0" w:line="240" w:lineRule="auto"/>
              <w:jc w:val="center"/>
              <w:rPr>
                <w:sz w:val="16"/>
                <w:szCs w:val="16"/>
              </w:rPr>
            </w:pPr>
            <w:r w:rsidRPr="00C874B2">
              <w:rPr>
                <w:sz w:val="16"/>
                <w:szCs w:val="16"/>
              </w:rPr>
              <w:t>220</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F40728D" w14:textId="77777777" w:rsidR="00853772" w:rsidRPr="00C874B2" w:rsidRDefault="00853772" w:rsidP="003F1CA5">
            <w:pPr>
              <w:pStyle w:val="TableText"/>
              <w:spacing w:after="0" w:line="240" w:lineRule="auto"/>
              <w:jc w:val="center"/>
              <w:rPr>
                <w:sz w:val="16"/>
                <w:szCs w:val="16"/>
              </w:rPr>
            </w:pPr>
            <w:r w:rsidRPr="00C874B2">
              <w:rPr>
                <w:sz w:val="16"/>
                <w:szCs w:val="16"/>
              </w:rPr>
              <w:t>198</w:t>
            </w:r>
          </w:p>
        </w:tc>
        <w:tc>
          <w:tcPr>
            <w:tcW w:w="53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6775361" w14:textId="77777777" w:rsidR="00853772" w:rsidRPr="00C874B2" w:rsidRDefault="00853772" w:rsidP="003F1CA5">
            <w:pPr>
              <w:pStyle w:val="TableText"/>
              <w:spacing w:after="0" w:line="240" w:lineRule="auto"/>
              <w:jc w:val="center"/>
              <w:rPr>
                <w:sz w:val="16"/>
                <w:szCs w:val="16"/>
              </w:rPr>
            </w:pPr>
            <w:r w:rsidRPr="00C874B2">
              <w:rPr>
                <w:sz w:val="16"/>
                <w:szCs w:val="16"/>
              </w:rPr>
              <w:t>186</w:t>
            </w:r>
          </w:p>
        </w:tc>
      </w:tr>
      <w:tr w:rsidR="00853772" w:rsidRPr="00C874B2" w14:paraId="46B3E119" w14:textId="77777777" w:rsidTr="003F1CA5">
        <w:trPr>
          <w:trHeight w:val="60"/>
        </w:trPr>
        <w:tc>
          <w:tcPr>
            <w:tcW w:w="88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D36183E" w14:textId="77777777" w:rsidR="00853772" w:rsidRPr="00C874B2" w:rsidRDefault="00853772" w:rsidP="003F1CA5">
            <w:pPr>
              <w:pStyle w:val="TableText"/>
              <w:spacing w:after="0" w:line="240" w:lineRule="auto"/>
              <w:rPr>
                <w:sz w:val="16"/>
                <w:szCs w:val="16"/>
              </w:rPr>
            </w:pPr>
            <w:r w:rsidRPr="00C874B2">
              <w:rPr>
                <w:sz w:val="16"/>
                <w:szCs w:val="16"/>
              </w:rPr>
              <w:t>Female – Non-Indigenous</w:t>
            </w:r>
          </w:p>
        </w:tc>
        <w:tc>
          <w:tcPr>
            <w:tcW w:w="642"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F4CC50F" w14:textId="77777777" w:rsidR="00853772" w:rsidRPr="00C874B2" w:rsidRDefault="00853772" w:rsidP="003F1CA5">
            <w:pPr>
              <w:pStyle w:val="TableText"/>
              <w:spacing w:after="0" w:line="240" w:lineRule="auto"/>
              <w:jc w:val="center"/>
              <w:rPr>
                <w:sz w:val="16"/>
                <w:szCs w:val="16"/>
              </w:rPr>
            </w:pPr>
            <w:r w:rsidRPr="00C874B2">
              <w:rPr>
                <w:sz w:val="16"/>
                <w:szCs w:val="16"/>
              </w:rPr>
              <w:t>3</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F30B5AE" w14:textId="77777777" w:rsidR="00853772" w:rsidRPr="00C874B2" w:rsidRDefault="00853772" w:rsidP="003F1CA5">
            <w:pPr>
              <w:pStyle w:val="TableText"/>
              <w:spacing w:after="0" w:line="240" w:lineRule="auto"/>
              <w:jc w:val="center"/>
              <w:rPr>
                <w:sz w:val="16"/>
                <w:szCs w:val="16"/>
              </w:rPr>
            </w:pPr>
            <w:r w:rsidRPr="00C874B2">
              <w:rPr>
                <w:sz w:val="16"/>
                <w:szCs w:val="16"/>
              </w:rPr>
              <w:t>6</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AB696E6" w14:textId="77777777" w:rsidR="00853772" w:rsidRPr="00C874B2" w:rsidRDefault="00853772" w:rsidP="003F1CA5">
            <w:pPr>
              <w:pStyle w:val="TableText"/>
              <w:spacing w:after="0" w:line="240" w:lineRule="auto"/>
              <w:jc w:val="center"/>
              <w:rPr>
                <w:sz w:val="16"/>
                <w:szCs w:val="16"/>
              </w:rPr>
            </w:pPr>
            <w:r w:rsidRPr="00C874B2">
              <w:rPr>
                <w:sz w:val="16"/>
                <w:szCs w:val="16"/>
              </w:rPr>
              <w:t>34</w:t>
            </w:r>
          </w:p>
        </w:tc>
        <w:tc>
          <w:tcPr>
            <w:tcW w:w="587"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9C7C25B" w14:textId="77777777" w:rsidR="00853772" w:rsidRPr="00C874B2" w:rsidRDefault="00853772" w:rsidP="003F1CA5">
            <w:pPr>
              <w:pStyle w:val="TableText"/>
              <w:spacing w:after="0" w:line="240" w:lineRule="auto"/>
              <w:jc w:val="center"/>
              <w:rPr>
                <w:sz w:val="16"/>
                <w:szCs w:val="16"/>
              </w:rPr>
            </w:pPr>
            <w:r w:rsidRPr="00C874B2">
              <w:rPr>
                <w:sz w:val="16"/>
                <w:szCs w:val="16"/>
              </w:rPr>
              <w:t>136</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F77FDDE" w14:textId="77777777" w:rsidR="00853772" w:rsidRPr="00C874B2" w:rsidRDefault="00853772" w:rsidP="003F1CA5">
            <w:pPr>
              <w:pStyle w:val="TableText"/>
              <w:spacing w:after="0" w:line="240" w:lineRule="auto"/>
              <w:jc w:val="center"/>
              <w:rPr>
                <w:sz w:val="16"/>
                <w:szCs w:val="16"/>
              </w:rPr>
            </w:pPr>
            <w:r w:rsidRPr="00C874B2">
              <w:rPr>
                <w:sz w:val="16"/>
                <w:szCs w:val="16"/>
              </w:rPr>
              <w:t>212</w:t>
            </w:r>
          </w:p>
        </w:tc>
        <w:tc>
          <w:tcPr>
            <w:tcW w:w="58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952FB32" w14:textId="77777777" w:rsidR="00853772" w:rsidRPr="00C874B2" w:rsidRDefault="00853772" w:rsidP="003F1CA5">
            <w:pPr>
              <w:pStyle w:val="TableText"/>
              <w:spacing w:after="0" w:line="240" w:lineRule="auto"/>
              <w:jc w:val="center"/>
              <w:rPr>
                <w:sz w:val="16"/>
                <w:szCs w:val="16"/>
              </w:rPr>
            </w:pPr>
            <w:r w:rsidRPr="00C874B2">
              <w:rPr>
                <w:sz w:val="16"/>
                <w:szCs w:val="16"/>
              </w:rPr>
              <w:t>232</w:t>
            </w:r>
          </w:p>
        </w:tc>
        <w:tc>
          <w:tcPr>
            <w:tcW w:w="53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F7BAD4A" w14:textId="77777777" w:rsidR="00853772" w:rsidRPr="00C874B2" w:rsidRDefault="00853772" w:rsidP="003F1CA5">
            <w:pPr>
              <w:pStyle w:val="TableText"/>
              <w:spacing w:after="0" w:line="240" w:lineRule="auto"/>
              <w:jc w:val="center"/>
              <w:rPr>
                <w:sz w:val="16"/>
                <w:szCs w:val="16"/>
              </w:rPr>
            </w:pPr>
            <w:r w:rsidRPr="00C874B2">
              <w:rPr>
                <w:sz w:val="16"/>
                <w:szCs w:val="16"/>
              </w:rPr>
              <w:t>232</w:t>
            </w:r>
          </w:p>
        </w:tc>
      </w:tr>
    </w:tbl>
    <w:p w14:paraId="18C671E3" w14:textId="3E4065E7" w:rsidR="00853772" w:rsidRPr="00387E4F" w:rsidRDefault="00827008" w:rsidP="00853772">
      <w:pPr>
        <w:rPr>
          <w:rFonts w:cs="Open Sans"/>
          <w:sz w:val="18"/>
          <w:szCs w:val="18"/>
        </w:rPr>
      </w:pPr>
      <w:bookmarkStart w:id="16" w:name="_Hlk17792292"/>
      <w:r>
        <w:rPr>
          <w:rFonts w:cs="Open Sans"/>
          <w:sz w:val="18"/>
          <w:szCs w:val="18"/>
        </w:rPr>
        <w:t>Table 1</w:t>
      </w:r>
      <w:r w:rsidR="00777860">
        <w:rPr>
          <w:rFonts w:cs="Open Sans"/>
          <w:sz w:val="18"/>
          <w:szCs w:val="18"/>
        </w:rPr>
        <w:t xml:space="preserve">: </w:t>
      </w:r>
      <w:r w:rsidR="00853772" w:rsidRPr="00777860">
        <w:rPr>
          <w:rFonts w:cs="Open Sans"/>
          <w:sz w:val="18"/>
          <w:szCs w:val="18"/>
        </w:rPr>
        <w:t>Sourced from the Australian Institute of Health and Welfare, Youth justice, Data, Young people under community-based supervision during the year by age, sex and Indigenous, Australia, 2017-18, Table S40b</w:t>
      </w:r>
      <w:bookmarkEnd w:id="16"/>
      <w:r w:rsidR="00853772" w:rsidRPr="00777860">
        <w:rPr>
          <w:rFonts w:cs="Open Sans"/>
          <w:sz w:val="18"/>
          <w:szCs w:val="18"/>
        </w:rPr>
        <w:t>.</w:t>
      </w:r>
      <w:r w:rsidR="00853772" w:rsidRPr="002B6E5D">
        <w:rPr>
          <w:rStyle w:val="EndnoteReference"/>
          <w:sz w:val="18"/>
          <w:szCs w:val="18"/>
        </w:rPr>
        <w:endnoteReference w:id="27"/>
      </w:r>
    </w:p>
    <w:tbl>
      <w:tblPr>
        <w:tblW w:w="5006" w:type="pct"/>
        <w:tblCellMar>
          <w:left w:w="0" w:type="dxa"/>
          <w:right w:w="0" w:type="dxa"/>
        </w:tblCellMar>
        <w:tblLook w:val="0000" w:firstRow="0" w:lastRow="0" w:firstColumn="0" w:lastColumn="0" w:noHBand="0" w:noVBand="0"/>
      </w:tblPr>
      <w:tblGrid>
        <w:gridCol w:w="1551"/>
        <w:gridCol w:w="1075"/>
        <w:gridCol w:w="1039"/>
        <w:gridCol w:w="916"/>
        <w:gridCol w:w="914"/>
        <w:gridCol w:w="896"/>
        <w:gridCol w:w="994"/>
        <w:gridCol w:w="868"/>
        <w:gridCol w:w="812"/>
      </w:tblGrid>
      <w:tr w:rsidR="00853772" w:rsidRPr="00387E4F" w14:paraId="323DF8CE" w14:textId="77777777" w:rsidTr="00E64D3D">
        <w:trPr>
          <w:trHeight w:val="60"/>
        </w:trPr>
        <w:tc>
          <w:tcPr>
            <w:tcW w:w="5000" w:type="pct"/>
            <w:gridSpan w:val="9"/>
            <w:tcBorders>
              <w:top w:val="single" w:sz="4" w:space="0" w:color="4C4C4C"/>
              <w:left w:val="single" w:sz="6" w:space="0" w:color="4C4C4C"/>
              <w:bottom w:val="single" w:sz="8" w:space="0" w:color="4C4C4C"/>
              <w:right w:val="single" w:sz="6" w:space="0" w:color="4C4C4C"/>
            </w:tcBorders>
            <w:tcMar>
              <w:top w:w="170" w:type="dxa"/>
              <w:left w:w="227" w:type="dxa"/>
              <w:bottom w:w="170" w:type="dxa"/>
              <w:right w:w="227" w:type="dxa"/>
            </w:tcMar>
            <w:vAlign w:val="center"/>
          </w:tcPr>
          <w:p w14:paraId="100BDD85" w14:textId="7975E00F" w:rsidR="00853772" w:rsidRPr="00387E4F" w:rsidRDefault="003F027D" w:rsidP="003F1CA5">
            <w:pPr>
              <w:suppressAutoHyphens/>
              <w:autoSpaceDE w:val="0"/>
              <w:autoSpaceDN w:val="0"/>
              <w:adjustRightInd w:val="0"/>
              <w:spacing w:after="0"/>
              <w:textAlignment w:val="center"/>
              <w:rPr>
                <w:rFonts w:ascii="Open Sans Condensed" w:eastAsiaTheme="minorHAnsi" w:hAnsi="Open Sans Condensed" w:cs="Open Sans Condensed"/>
                <w:b/>
                <w:bCs/>
                <w:color w:val="000000"/>
                <w:sz w:val="20"/>
                <w:szCs w:val="20"/>
                <w:lang w:eastAsia="en-US"/>
              </w:rPr>
            </w:pPr>
            <w:bookmarkStart w:id="17" w:name="_Hlk23189262"/>
            <w:r w:rsidRPr="00387E4F">
              <w:rPr>
                <w:rFonts w:ascii="Open Sans Condensed" w:eastAsiaTheme="minorHAnsi" w:hAnsi="Open Sans Condensed" w:cs="Open Sans Condensed"/>
                <w:b/>
                <w:bCs/>
                <w:color w:val="000000"/>
                <w:sz w:val="20"/>
                <w:szCs w:val="20"/>
                <w:lang w:eastAsia="en-US"/>
              </w:rPr>
              <w:t xml:space="preserve">Table 2: </w:t>
            </w:r>
            <w:r w:rsidR="00853772" w:rsidRPr="00387E4F">
              <w:rPr>
                <w:rFonts w:ascii="Open Sans Condensed" w:eastAsiaTheme="minorHAnsi" w:hAnsi="Open Sans Condensed" w:cs="Open Sans Condensed"/>
                <w:b/>
                <w:bCs/>
                <w:color w:val="000000"/>
                <w:sz w:val="20"/>
                <w:szCs w:val="20"/>
                <w:lang w:eastAsia="en-US"/>
              </w:rPr>
              <w:t>Numbers of children in detention during the year by age, sex and Indigenous status, Australia (2017–18)</w:t>
            </w:r>
          </w:p>
        </w:tc>
      </w:tr>
      <w:tr w:rsidR="00853772" w:rsidRPr="00C874B2" w14:paraId="65F14D3F" w14:textId="77777777" w:rsidTr="00E64D3D">
        <w:trPr>
          <w:trHeight w:val="60"/>
        </w:trPr>
        <w:tc>
          <w:tcPr>
            <w:tcW w:w="856"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E7EC73D" w14:textId="77777777" w:rsidR="00853772" w:rsidRPr="00C874B2" w:rsidRDefault="00853772" w:rsidP="003F1CA5">
            <w:pPr>
              <w:autoSpaceDE w:val="0"/>
              <w:autoSpaceDN w:val="0"/>
              <w:adjustRightInd w:val="0"/>
              <w:spacing w:after="0"/>
              <w:rPr>
                <w:rFonts w:ascii="Open Sans Condensed" w:eastAsiaTheme="minorHAnsi" w:hAnsi="Open Sans Condensed"/>
                <w:sz w:val="16"/>
                <w:szCs w:val="16"/>
                <w:lang w:val="en-US" w:eastAsia="en-US"/>
              </w:rPr>
            </w:pPr>
          </w:p>
        </w:tc>
        <w:tc>
          <w:tcPr>
            <w:tcW w:w="593"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0AE1ED1"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10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c>
          <w:tcPr>
            <w:tcW w:w="573"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2E0FF7C"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11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c>
          <w:tcPr>
            <w:tcW w:w="505"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CB5FD6F"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12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c>
          <w:tcPr>
            <w:tcW w:w="504"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CC84671"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13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c>
          <w:tcPr>
            <w:tcW w:w="494"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A4342F5"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14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c>
          <w:tcPr>
            <w:tcW w:w="548"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16C65AE"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15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c>
          <w:tcPr>
            <w:tcW w:w="479"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46859249"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16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c>
          <w:tcPr>
            <w:tcW w:w="448" w:type="pct"/>
            <w:tcBorders>
              <w:top w:val="single" w:sz="8"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D49DEB4"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ascii="Open Sans Condensed" w:eastAsiaTheme="minorHAnsi" w:hAnsi="Open Sans Condensed" w:cs="Open Sans Condensed"/>
                <w:b/>
                <w:bCs/>
                <w:color w:val="000000"/>
                <w:sz w:val="16"/>
                <w:szCs w:val="16"/>
                <w:lang w:val="en-US" w:eastAsia="en-US"/>
              </w:rPr>
              <w:t xml:space="preserve">17 </w:t>
            </w:r>
            <w:proofErr w:type="spellStart"/>
            <w:r w:rsidRPr="00C874B2">
              <w:rPr>
                <w:rFonts w:ascii="Open Sans Condensed" w:eastAsiaTheme="minorHAnsi" w:hAnsi="Open Sans Condensed" w:cs="Open Sans Condensed"/>
                <w:b/>
                <w:bCs/>
                <w:color w:val="000000"/>
                <w:sz w:val="16"/>
                <w:szCs w:val="16"/>
                <w:lang w:val="en-US" w:eastAsia="en-US"/>
              </w:rPr>
              <w:t>yrs</w:t>
            </w:r>
            <w:proofErr w:type="spellEnd"/>
          </w:p>
        </w:tc>
      </w:tr>
      <w:tr w:rsidR="00853772" w:rsidRPr="00C874B2" w14:paraId="3E2B4847" w14:textId="77777777" w:rsidTr="00E64D3D">
        <w:trPr>
          <w:trHeight w:val="310"/>
        </w:trPr>
        <w:tc>
          <w:tcPr>
            <w:tcW w:w="856"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52D4A04" w14:textId="77777777" w:rsidR="00853772" w:rsidRPr="00C874B2" w:rsidRDefault="00853772" w:rsidP="003F1CA5">
            <w:pPr>
              <w:suppressAutoHyphens/>
              <w:autoSpaceDE w:val="0"/>
              <w:autoSpaceDN w:val="0"/>
              <w:adjustRightInd w:val="0"/>
              <w:spacing w:after="0"/>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Male – Indigenous</w:t>
            </w:r>
          </w:p>
        </w:tc>
        <w:tc>
          <w:tcPr>
            <w:tcW w:w="59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57D7D60"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6</w:t>
            </w:r>
          </w:p>
        </w:tc>
        <w:tc>
          <w:tcPr>
            <w:tcW w:w="57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A3FCAE2"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39</w:t>
            </w:r>
          </w:p>
        </w:tc>
        <w:tc>
          <w:tcPr>
            <w:tcW w:w="505"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C56EF02"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89</w:t>
            </w:r>
          </w:p>
        </w:tc>
        <w:tc>
          <w:tcPr>
            <w:tcW w:w="50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4E1BEE53"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196</w:t>
            </w:r>
          </w:p>
        </w:tc>
        <w:tc>
          <w:tcPr>
            <w:tcW w:w="49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092D4C0"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310</w:t>
            </w:r>
          </w:p>
        </w:tc>
        <w:tc>
          <w:tcPr>
            <w:tcW w:w="5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BF8811F"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410</w:t>
            </w:r>
          </w:p>
        </w:tc>
        <w:tc>
          <w:tcPr>
            <w:tcW w:w="47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477E6504"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463</w:t>
            </w:r>
          </w:p>
        </w:tc>
        <w:tc>
          <w:tcPr>
            <w:tcW w:w="4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6F633BA"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403</w:t>
            </w:r>
          </w:p>
        </w:tc>
      </w:tr>
      <w:tr w:rsidR="00853772" w:rsidRPr="00C874B2" w14:paraId="4DA51EB2" w14:textId="77777777" w:rsidTr="00E64D3D">
        <w:trPr>
          <w:trHeight w:val="60"/>
        </w:trPr>
        <w:tc>
          <w:tcPr>
            <w:tcW w:w="856"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D80A03D" w14:textId="77777777" w:rsidR="00853772" w:rsidRPr="00C874B2" w:rsidRDefault="00853772" w:rsidP="003F1CA5">
            <w:pPr>
              <w:suppressAutoHyphens/>
              <w:autoSpaceDE w:val="0"/>
              <w:autoSpaceDN w:val="0"/>
              <w:adjustRightInd w:val="0"/>
              <w:spacing w:after="0"/>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Male – Non-Indigenous</w:t>
            </w:r>
          </w:p>
        </w:tc>
        <w:tc>
          <w:tcPr>
            <w:tcW w:w="59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A9012D5"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2</w:t>
            </w:r>
          </w:p>
        </w:tc>
        <w:tc>
          <w:tcPr>
            <w:tcW w:w="57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342F6AF1"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6</w:t>
            </w:r>
          </w:p>
        </w:tc>
        <w:tc>
          <w:tcPr>
            <w:tcW w:w="505"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A26792B"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32</w:t>
            </w:r>
          </w:p>
        </w:tc>
        <w:tc>
          <w:tcPr>
            <w:tcW w:w="50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1032363"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106</w:t>
            </w:r>
          </w:p>
        </w:tc>
        <w:tc>
          <w:tcPr>
            <w:tcW w:w="49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07172B9"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222</w:t>
            </w:r>
          </w:p>
        </w:tc>
        <w:tc>
          <w:tcPr>
            <w:tcW w:w="5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B4AC9F3"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379</w:t>
            </w:r>
          </w:p>
        </w:tc>
        <w:tc>
          <w:tcPr>
            <w:tcW w:w="47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F321F3C"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485</w:t>
            </w:r>
          </w:p>
        </w:tc>
        <w:tc>
          <w:tcPr>
            <w:tcW w:w="4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0E5095D"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504</w:t>
            </w:r>
          </w:p>
        </w:tc>
      </w:tr>
      <w:tr w:rsidR="00853772" w:rsidRPr="00C874B2" w14:paraId="77D337E9" w14:textId="77777777" w:rsidTr="00E64D3D">
        <w:trPr>
          <w:trHeight w:val="60"/>
        </w:trPr>
        <w:tc>
          <w:tcPr>
            <w:tcW w:w="856"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2977605" w14:textId="77777777" w:rsidR="00853772" w:rsidRPr="00C874B2" w:rsidRDefault="00853772" w:rsidP="003F1CA5">
            <w:pPr>
              <w:suppressAutoHyphens/>
              <w:autoSpaceDE w:val="0"/>
              <w:autoSpaceDN w:val="0"/>
              <w:adjustRightInd w:val="0"/>
              <w:spacing w:after="0"/>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Female – Indigenous</w:t>
            </w:r>
          </w:p>
        </w:tc>
        <w:tc>
          <w:tcPr>
            <w:tcW w:w="59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797721D"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0</w:t>
            </w:r>
          </w:p>
        </w:tc>
        <w:tc>
          <w:tcPr>
            <w:tcW w:w="57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8018346"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8</w:t>
            </w:r>
          </w:p>
        </w:tc>
        <w:tc>
          <w:tcPr>
            <w:tcW w:w="505"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D15EBDF"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24</w:t>
            </w:r>
          </w:p>
        </w:tc>
        <w:tc>
          <w:tcPr>
            <w:tcW w:w="50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D06A2E1"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55</w:t>
            </w:r>
          </w:p>
        </w:tc>
        <w:tc>
          <w:tcPr>
            <w:tcW w:w="49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2A3558C"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95</w:t>
            </w:r>
          </w:p>
        </w:tc>
        <w:tc>
          <w:tcPr>
            <w:tcW w:w="5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F15C475"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104</w:t>
            </w:r>
          </w:p>
        </w:tc>
        <w:tc>
          <w:tcPr>
            <w:tcW w:w="47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011EAC3A"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96</w:t>
            </w:r>
          </w:p>
        </w:tc>
        <w:tc>
          <w:tcPr>
            <w:tcW w:w="4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0C1D9F5"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72</w:t>
            </w:r>
          </w:p>
        </w:tc>
      </w:tr>
      <w:tr w:rsidR="00853772" w:rsidRPr="00C874B2" w14:paraId="64D47868" w14:textId="77777777" w:rsidTr="00E64D3D">
        <w:trPr>
          <w:trHeight w:val="60"/>
        </w:trPr>
        <w:tc>
          <w:tcPr>
            <w:tcW w:w="856"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D14DBEA" w14:textId="77777777" w:rsidR="00853772" w:rsidRPr="00C874B2" w:rsidRDefault="00853772" w:rsidP="003F1CA5">
            <w:pPr>
              <w:suppressAutoHyphens/>
              <w:autoSpaceDE w:val="0"/>
              <w:autoSpaceDN w:val="0"/>
              <w:adjustRightInd w:val="0"/>
              <w:spacing w:after="0"/>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Female – Non-Indigenous</w:t>
            </w:r>
          </w:p>
        </w:tc>
        <w:tc>
          <w:tcPr>
            <w:tcW w:w="59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445A8C1"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1</w:t>
            </w:r>
          </w:p>
        </w:tc>
        <w:tc>
          <w:tcPr>
            <w:tcW w:w="573"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1F67BAA0"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3</w:t>
            </w:r>
          </w:p>
        </w:tc>
        <w:tc>
          <w:tcPr>
            <w:tcW w:w="505"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96F3CAD"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6</w:t>
            </w:r>
          </w:p>
        </w:tc>
        <w:tc>
          <w:tcPr>
            <w:tcW w:w="50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B77ADA9"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21</w:t>
            </w:r>
          </w:p>
        </w:tc>
        <w:tc>
          <w:tcPr>
            <w:tcW w:w="494"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694E0D0D"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83</w:t>
            </w:r>
          </w:p>
        </w:tc>
        <w:tc>
          <w:tcPr>
            <w:tcW w:w="5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725791D9"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114</w:t>
            </w:r>
          </w:p>
        </w:tc>
        <w:tc>
          <w:tcPr>
            <w:tcW w:w="479"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248321C7"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90</w:t>
            </w:r>
          </w:p>
        </w:tc>
        <w:tc>
          <w:tcPr>
            <w:tcW w:w="448" w:type="pct"/>
            <w:tcBorders>
              <w:top w:val="single" w:sz="4" w:space="0" w:color="4C4C4C"/>
              <w:left w:val="single" w:sz="6" w:space="0" w:color="auto"/>
              <w:bottom w:val="single" w:sz="4" w:space="0" w:color="4C4C4C"/>
              <w:right w:val="single" w:sz="6" w:space="0" w:color="auto"/>
            </w:tcBorders>
            <w:tcMar>
              <w:top w:w="113" w:type="dxa"/>
              <w:left w:w="227" w:type="dxa"/>
              <w:bottom w:w="113" w:type="dxa"/>
              <w:right w:w="227" w:type="dxa"/>
            </w:tcMar>
            <w:vAlign w:val="center"/>
          </w:tcPr>
          <w:p w14:paraId="55B39127" w14:textId="77777777" w:rsidR="00853772" w:rsidRPr="00C874B2" w:rsidRDefault="00853772" w:rsidP="003F1CA5">
            <w:pPr>
              <w:suppressAutoHyphens/>
              <w:autoSpaceDE w:val="0"/>
              <w:autoSpaceDN w:val="0"/>
              <w:adjustRightInd w:val="0"/>
              <w:spacing w:after="0"/>
              <w:jc w:val="center"/>
              <w:textAlignment w:val="center"/>
              <w:rPr>
                <w:rFonts w:eastAsiaTheme="minorHAnsi" w:cs="Open Sans"/>
                <w:color w:val="000000"/>
                <w:sz w:val="16"/>
                <w:szCs w:val="16"/>
                <w:lang w:val="en-US" w:eastAsia="en-US"/>
              </w:rPr>
            </w:pPr>
            <w:r w:rsidRPr="00C874B2">
              <w:rPr>
                <w:rFonts w:eastAsiaTheme="minorHAnsi" w:cs="Open Sans"/>
                <w:color w:val="000000"/>
                <w:sz w:val="16"/>
                <w:szCs w:val="16"/>
                <w:lang w:val="en-US" w:eastAsia="en-US"/>
              </w:rPr>
              <w:t>77</w:t>
            </w:r>
          </w:p>
        </w:tc>
      </w:tr>
    </w:tbl>
    <w:p w14:paraId="461C158F" w14:textId="1D5430FF" w:rsidR="00853772" w:rsidRPr="00926542" w:rsidRDefault="00387E4F" w:rsidP="00926542">
      <w:pPr>
        <w:spacing w:before="100" w:beforeAutospacing="1"/>
        <w:rPr>
          <w:sz w:val="18"/>
          <w:szCs w:val="18"/>
        </w:rPr>
      </w:pPr>
      <w:r>
        <w:rPr>
          <w:rFonts w:cs="Open Sans"/>
          <w:sz w:val="18"/>
          <w:szCs w:val="18"/>
        </w:rPr>
        <w:t>Table</w:t>
      </w:r>
      <w:r w:rsidR="00926542">
        <w:rPr>
          <w:rFonts w:cs="Open Sans"/>
          <w:sz w:val="18"/>
          <w:szCs w:val="18"/>
        </w:rPr>
        <w:t xml:space="preserve"> 2: </w:t>
      </w:r>
      <w:r w:rsidR="00853772" w:rsidRPr="00926542">
        <w:rPr>
          <w:rFonts w:cs="Open Sans"/>
          <w:sz w:val="18"/>
          <w:szCs w:val="18"/>
        </w:rPr>
        <w:t>Sourced from the Australian Institute of Health and Welfare, Youth justice, Data, Young people in detention during the year by age, sex and Indigenous, Australia, 2017–18, Table S78b.</w:t>
      </w:r>
      <w:r w:rsidR="00853772" w:rsidRPr="00AD080A">
        <w:rPr>
          <w:rStyle w:val="EndnoteReference"/>
          <w:sz w:val="18"/>
          <w:szCs w:val="18"/>
        </w:rPr>
        <w:endnoteReference w:id="28"/>
      </w:r>
    </w:p>
    <w:bookmarkEnd w:id="17"/>
    <w:p w14:paraId="0D0C132D" w14:textId="1A00A7A2" w:rsidR="00C368CD" w:rsidRDefault="00C368CD" w:rsidP="00C368CD">
      <w:pPr>
        <w:spacing w:after="160" w:line="259" w:lineRule="auto"/>
      </w:pPr>
      <w:r w:rsidRPr="00B56CB3">
        <w:t>Reasons for overrepresentation of Aboriginal and Torres Strait Islander children in the justice system include legal and policy factors, such as restrictive bail laws</w:t>
      </w:r>
      <w:r w:rsidR="001F6335">
        <w:t xml:space="preserve"> and conditions</w:t>
      </w:r>
      <w:r w:rsidRPr="00B56CB3">
        <w:t xml:space="preserve"> and mandatory sentencing laws,</w:t>
      </w:r>
      <w:r w:rsidRPr="001C7824">
        <w:rPr>
          <w:rStyle w:val="EndnoteReference"/>
        </w:rPr>
        <w:endnoteReference w:id="29"/>
      </w:r>
      <w:r w:rsidRPr="00B56CB3">
        <w:t xml:space="preserve"> and socio-economic factors, </w:t>
      </w:r>
      <w:r w:rsidRPr="00B56CB3">
        <w:lastRenderedPageBreak/>
        <w:t>such as a history of social disadvantage, cultural displacement, trauma and grief, alcohol and other drug misuse, cognitive disabilities and poor health and living conditions.</w:t>
      </w:r>
      <w:r w:rsidRPr="001C7824">
        <w:rPr>
          <w:rStyle w:val="EndnoteReference"/>
        </w:rPr>
        <w:endnoteReference w:id="30"/>
      </w:r>
    </w:p>
    <w:p w14:paraId="60751B96" w14:textId="7A03C8CA" w:rsidR="005948FA" w:rsidRDefault="005948FA" w:rsidP="0099687D">
      <w:pPr>
        <w:pStyle w:val="Heading2"/>
      </w:pPr>
      <w:bookmarkStart w:id="18" w:name="_Toc33622195"/>
      <w:r>
        <w:t xml:space="preserve">Children have </w:t>
      </w:r>
      <w:r w:rsidR="00BF791E">
        <w:t xml:space="preserve">not developed the requisite level of </w:t>
      </w:r>
      <w:r>
        <w:t>maturity b</w:t>
      </w:r>
      <w:r w:rsidR="00BF791E">
        <w:t xml:space="preserve">y </w:t>
      </w:r>
      <w:r>
        <w:t>14</w:t>
      </w:r>
      <w:r w:rsidR="00BF791E">
        <w:t xml:space="preserve"> years</w:t>
      </w:r>
      <w:bookmarkEnd w:id="18"/>
    </w:p>
    <w:p w14:paraId="086B88D0" w14:textId="0806ACD6" w:rsidR="00704BB6" w:rsidRPr="004567D3" w:rsidRDefault="00607B39" w:rsidP="004567D3">
      <w:r>
        <w:t>The current age of criminal responsibility of 10 years does not align with r</w:t>
      </w:r>
      <w:r w:rsidR="00665A5F" w:rsidRPr="000B1777">
        <w:t xml:space="preserve">esearch into brain development. </w:t>
      </w:r>
      <w:r w:rsidR="00665A5F">
        <w:t>C</w:t>
      </w:r>
      <w:r w:rsidR="00665A5F" w:rsidRPr="000B1777">
        <w:t>hildren have not developed the requisite level of maturity to form the necessary intent for full criminal responsibility.</w:t>
      </w:r>
      <w:r w:rsidR="00665A5F" w:rsidRPr="00E40928">
        <w:rPr>
          <w:rStyle w:val="EndnoteReference"/>
          <w:szCs w:val="22"/>
        </w:rPr>
        <w:endnoteReference w:id="31"/>
      </w:r>
      <w:r w:rsidR="00393BB2">
        <w:t xml:space="preserve"> </w:t>
      </w:r>
      <w:r w:rsidR="00221178">
        <w:t xml:space="preserve">Their developmental immaturity </w:t>
      </w:r>
      <w:r w:rsidR="00F62CD3">
        <w:t xml:space="preserve">can affect </w:t>
      </w:r>
      <w:proofErr w:type="gramStart"/>
      <w:r w:rsidR="00F62CD3">
        <w:t>a number of</w:t>
      </w:r>
      <w:proofErr w:type="gramEnd"/>
      <w:r w:rsidR="00F62CD3">
        <w:t xml:space="preserve"> areas of cognitive functioning</w:t>
      </w:r>
      <w:r w:rsidR="00EF08C2">
        <w:t>, such as impulsivity, reasoning and con</w:t>
      </w:r>
      <w:r w:rsidR="00A321C2">
        <w:t>s</w:t>
      </w:r>
      <w:r w:rsidR="00EF08C2">
        <w:t>equential thinking.</w:t>
      </w:r>
      <w:r w:rsidR="004567D3">
        <w:t xml:space="preserve"> </w:t>
      </w:r>
      <w:r w:rsidR="00704BB6">
        <w:rPr>
          <w:rFonts w:cs="Open Sans"/>
          <w:iCs/>
        </w:rPr>
        <w:t>Research indicates that</w:t>
      </w:r>
    </w:p>
    <w:p w14:paraId="206C5906" w14:textId="77777777" w:rsidR="00704BB6" w:rsidRPr="00E40928" w:rsidRDefault="00704BB6" w:rsidP="00553DF0">
      <w:pPr>
        <w:autoSpaceDE w:val="0"/>
        <w:autoSpaceDN w:val="0"/>
        <w:adjustRightInd w:val="0"/>
        <w:spacing w:before="0" w:after="100" w:line="171" w:lineRule="atLeast"/>
        <w:ind w:left="720"/>
        <w:rPr>
          <w:rFonts w:cs="Open Sans"/>
          <w:sz w:val="22"/>
          <w:szCs w:val="22"/>
        </w:rPr>
      </w:pPr>
      <w:r w:rsidRPr="00E40928">
        <w:rPr>
          <w:rFonts w:cs="Open Sans"/>
          <w:sz w:val="22"/>
          <w:szCs w:val="22"/>
        </w:rPr>
        <w:t>The maturation of the prefrontal cortex occurs gradually over adolescence and is near completion by 18 years. This protracted development occurs alongside greater reactivity of the socioemotional systems of the brain and a general increase in dopaminergic activity associated with heightened sensitivity to reward. This creates a window of potential vulnerability in the early</w:t>
      </w:r>
      <w:r w:rsidRPr="00E40928">
        <w:rPr>
          <w:rFonts w:cs="Open Sans"/>
        </w:rPr>
        <w:t xml:space="preserve"> </w:t>
      </w:r>
      <w:r w:rsidRPr="00E40928">
        <w:rPr>
          <w:rFonts w:cs="Open Sans"/>
          <w:sz w:val="22"/>
          <w:szCs w:val="22"/>
        </w:rPr>
        <w:t>to mid-adolescent period during which the likelihood of impulsivity, sensation-seeking and risk-taking behaviours is raised.</w:t>
      </w:r>
      <w:r w:rsidRPr="00E40928">
        <w:rPr>
          <w:rStyle w:val="EndnoteReference"/>
          <w:szCs w:val="22"/>
        </w:rPr>
        <w:endnoteReference w:id="32"/>
      </w:r>
    </w:p>
    <w:p w14:paraId="175F0E41" w14:textId="262BBCC8" w:rsidR="00665A5F" w:rsidRDefault="00442EC1" w:rsidP="00902C77">
      <w:r>
        <w:t>Many c</w:t>
      </w:r>
      <w:r w:rsidR="00665A5F" w:rsidRPr="00E40928">
        <w:t xml:space="preserve">hildren </w:t>
      </w:r>
      <w:r w:rsidR="00FE1EF4">
        <w:t xml:space="preserve">can </w:t>
      </w:r>
      <w:r w:rsidR="00665A5F" w:rsidRPr="00E40928">
        <w:t>lack the capacity to properly engage in the criminal justice system, resulting in a propensity to accept a plea bargain, give false confessions or fail to keep track of court proceedings.</w:t>
      </w:r>
      <w:r w:rsidR="00665A5F" w:rsidRPr="00E40928">
        <w:rPr>
          <w:rStyle w:val="EndnoteReference"/>
        </w:rPr>
        <w:endnoteReference w:id="33"/>
      </w:r>
      <w:r w:rsidR="00665A5F" w:rsidRPr="00E40928">
        <w:t xml:space="preserve"> </w:t>
      </w:r>
    </w:p>
    <w:p w14:paraId="19ABC7CC" w14:textId="27BCCB5A" w:rsidR="005948FA" w:rsidRDefault="005948FA" w:rsidP="0099687D">
      <w:pPr>
        <w:pStyle w:val="Heading2"/>
      </w:pPr>
      <w:bookmarkStart w:id="19" w:name="_Toc33622196"/>
      <w:r>
        <w:t>Younger cohorts commit less serious offences</w:t>
      </w:r>
      <w:bookmarkEnd w:id="19"/>
    </w:p>
    <w:p w14:paraId="02831D2B" w14:textId="77777777" w:rsidR="002D7985" w:rsidRDefault="00665A5F" w:rsidP="002D7985">
      <w:r w:rsidRPr="0041768C">
        <w:t xml:space="preserve">In general, children are more likely than adults to commit less serious offences, and they commit more property </w:t>
      </w:r>
      <w:r w:rsidR="00B430C1">
        <w:t xml:space="preserve">offences </w:t>
      </w:r>
      <w:r w:rsidRPr="0041768C">
        <w:t xml:space="preserve">than </w:t>
      </w:r>
      <w:r w:rsidR="00B430C1">
        <w:t xml:space="preserve">offences to the </w:t>
      </w:r>
      <w:r w:rsidRPr="0041768C">
        <w:t>person.</w:t>
      </w:r>
      <w:r w:rsidR="003230A7">
        <w:rPr>
          <w:rStyle w:val="EndnoteReference"/>
        </w:rPr>
        <w:endnoteReference w:id="34"/>
      </w:r>
      <w:r w:rsidRPr="0041768C">
        <w:t xml:space="preserve"> Research has shown that young people aged 10–14 </w:t>
      </w:r>
      <w:r>
        <w:t xml:space="preserve">years </w:t>
      </w:r>
      <w:r w:rsidRPr="0041768C">
        <w:t xml:space="preserve">are more likely than those aged 15–17 </w:t>
      </w:r>
      <w:r>
        <w:t xml:space="preserve">years </w:t>
      </w:r>
      <w:r w:rsidRPr="0041768C">
        <w:t>to have principal offences of theft, unlawful entry with intent and property damage, and less likely to have principal public order and illicit drug offences.</w:t>
      </w:r>
      <w:r w:rsidRPr="00E40928">
        <w:rPr>
          <w:rStyle w:val="EndnoteReference"/>
          <w:iCs/>
        </w:rPr>
        <w:endnoteReference w:id="35"/>
      </w:r>
    </w:p>
    <w:p w14:paraId="7D3AA854" w14:textId="0568048C" w:rsidR="0072342A" w:rsidRPr="002D7985" w:rsidRDefault="00867847" w:rsidP="002D7985">
      <w:r w:rsidRPr="002F05F2">
        <w:t xml:space="preserve">Further, </w:t>
      </w:r>
      <w:r w:rsidR="00603D91" w:rsidRPr="002F05F2">
        <w:t>chi</w:t>
      </w:r>
      <w:r w:rsidR="00E90DFE" w:rsidRPr="002F05F2">
        <w:t>ld</w:t>
      </w:r>
      <w:r w:rsidR="00603D91" w:rsidRPr="002F05F2">
        <w:t xml:space="preserve">ren aged 10–13 years </w:t>
      </w:r>
      <w:r w:rsidR="00E90DFE" w:rsidRPr="002F05F2">
        <w:t>make up only a small proportion of young</w:t>
      </w:r>
      <w:r w:rsidR="0072342A" w:rsidRPr="002F05F2">
        <w:t xml:space="preserve"> offenders. </w:t>
      </w:r>
      <w:r w:rsidRPr="002F05F2">
        <w:t>Most young people under youth justice supervision on an average day</w:t>
      </w:r>
      <w:r w:rsidRPr="00C35C89">
        <w:rPr>
          <w:rFonts w:cs="Open Sans"/>
          <w:iCs/>
        </w:rPr>
        <w:t xml:space="preserve"> in 2017–2018 were aged 14–17 (81%), about 12% of young people under youth justice supervision were aged 18 and over, and only 7% of young people under </w:t>
      </w:r>
      <w:r w:rsidR="00F06AA0">
        <w:rPr>
          <w:rFonts w:cs="Open Sans"/>
          <w:iCs/>
        </w:rPr>
        <w:t xml:space="preserve">youth justice </w:t>
      </w:r>
      <w:r w:rsidR="00F05D8A">
        <w:rPr>
          <w:rFonts w:cs="Open Sans"/>
          <w:iCs/>
        </w:rPr>
        <w:t xml:space="preserve">supervision </w:t>
      </w:r>
      <w:r w:rsidRPr="00C35C89">
        <w:rPr>
          <w:rFonts w:cs="Open Sans"/>
          <w:iCs/>
        </w:rPr>
        <w:t>were aged 10–13</w:t>
      </w:r>
      <w:r w:rsidR="00983D3E">
        <w:rPr>
          <w:rFonts w:cs="Open Sans"/>
          <w:iCs/>
        </w:rPr>
        <w:t xml:space="preserve"> (411 </w:t>
      </w:r>
      <w:r w:rsidR="00900D90">
        <w:rPr>
          <w:rFonts w:cs="Open Sans"/>
          <w:iCs/>
        </w:rPr>
        <w:t>children</w:t>
      </w:r>
      <w:r w:rsidR="00983D3E">
        <w:rPr>
          <w:rFonts w:cs="Open Sans"/>
          <w:iCs/>
        </w:rPr>
        <w:t>)</w:t>
      </w:r>
      <w:r w:rsidRPr="00C35C89">
        <w:rPr>
          <w:rFonts w:cs="Open Sans"/>
          <w:iCs/>
        </w:rPr>
        <w:t>.</w:t>
      </w:r>
      <w:r>
        <w:rPr>
          <w:rStyle w:val="EndnoteReference"/>
          <w:rFonts w:cs="Open Sans"/>
          <w:iCs/>
        </w:rPr>
        <w:endnoteReference w:id="36"/>
      </w:r>
      <w:r w:rsidRPr="00C35C89">
        <w:rPr>
          <w:rFonts w:cs="Open Sans"/>
          <w:iCs/>
        </w:rPr>
        <w:t xml:space="preserve"> </w:t>
      </w:r>
    </w:p>
    <w:p w14:paraId="4F209D1C" w14:textId="28AA5556" w:rsidR="000F0E10" w:rsidRPr="006E44EA" w:rsidRDefault="003B6774" w:rsidP="001B6B9C">
      <w:r w:rsidRPr="006E44EA">
        <w:lastRenderedPageBreak/>
        <w:t>Research has shown that many young offenders grow out of crim</w:t>
      </w:r>
      <w:r w:rsidR="007A5196">
        <w:t>inal behaviour</w:t>
      </w:r>
      <w:r w:rsidRPr="006E44EA">
        <w:t xml:space="preserve"> and adopt law-abiding lifestyles as young adults. Because they are neither fully developed nor entrenched in the criminal justice system, early interventions can help</w:t>
      </w:r>
      <w:r w:rsidRPr="007602F9">
        <w:t xml:space="preserve"> t</w:t>
      </w:r>
      <w:r w:rsidRPr="00CA2DF3">
        <w:t>o foster de</w:t>
      </w:r>
      <w:r w:rsidR="00BC1CFC">
        <w:t>velopment away</w:t>
      </w:r>
      <w:r w:rsidRPr="00CA2DF3">
        <w:t xml:space="preserve"> from crim</w:t>
      </w:r>
      <w:r w:rsidR="008047A7">
        <w:t>inal</w:t>
      </w:r>
      <w:r w:rsidR="00F06AA0" w:rsidRPr="00E4039A">
        <w:t xml:space="preserve"> behaviours</w:t>
      </w:r>
      <w:r w:rsidRPr="006E44EA">
        <w:t xml:space="preserve">. </w:t>
      </w:r>
    </w:p>
    <w:p w14:paraId="70C5EBF5" w14:textId="6056F181" w:rsidR="000F0E10" w:rsidRDefault="000F0E10" w:rsidP="0099687D">
      <w:pPr>
        <w:pStyle w:val="Heading2"/>
      </w:pPr>
      <w:bookmarkStart w:id="20" w:name="_Toc33622197"/>
      <w:r>
        <w:t>Younger cohorts are more likely to reoffend if they encounter the justice system</w:t>
      </w:r>
      <w:bookmarkEnd w:id="20"/>
    </w:p>
    <w:p w14:paraId="70E19C32" w14:textId="77777777" w:rsidR="00054A4E" w:rsidRDefault="00C0799D" w:rsidP="00054A4E">
      <w:pPr>
        <w:contextualSpacing/>
        <w:outlineLvl w:val="6"/>
      </w:pPr>
      <w:r w:rsidRPr="006E44EA">
        <w:t>A</w:t>
      </w:r>
      <w:r w:rsidR="003B6774" w:rsidRPr="007602F9">
        <w:t xml:space="preserve">s </w:t>
      </w:r>
      <w:r w:rsidR="00F52313" w:rsidRPr="00CA2DF3">
        <w:t xml:space="preserve">one </w:t>
      </w:r>
      <w:r w:rsidR="003B6774" w:rsidRPr="00E4039A">
        <w:t xml:space="preserve">Australian Institute of Criminology </w:t>
      </w:r>
      <w:r w:rsidR="00F52313" w:rsidRPr="006E44EA">
        <w:t xml:space="preserve">study </w:t>
      </w:r>
      <w:r w:rsidR="003B6774" w:rsidRPr="006E44EA">
        <w:t xml:space="preserve">has pointed out, ‘the potential exists for a great deal of harm to be done to juveniles if ineffective or unsuitable interventions are applied by juvenile justice </w:t>
      </w:r>
      <w:proofErr w:type="gramStart"/>
      <w:r w:rsidR="003B6774" w:rsidRPr="006E44EA">
        <w:t>authorities’</w:t>
      </w:r>
      <w:proofErr w:type="gramEnd"/>
      <w:r w:rsidR="003B6774">
        <w:t>.</w:t>
      </w:r>
      <w:r w:rsidR="003B6774">
        <w:rPr>
          <w:rStyle w:val="EndnoteReference"/>
        </w:rPr>
        <w:endnoteReference w:id="37"/>
      </w:r>
      <w:r w:rsidR="003B6774">
        <w:t xml:space="preserve"> </w:t>
      </w:r>
    </w:p>
    <w:p w14:paraId="0E45EFDE" w14:textId="77777777" w:rsidR="00054A4E" w:rsidRDefault="00054A4E" w:rsidP="00054A4E">
      <w:pPr>
        <w:contextualSpacing/>
        <w:outlineLvl w:val="6"/>
      </w:pPr>
    </w:p>
    <w:p w14:paraId="40BBB479" w14:textId="3227D3BE" w:rsidR="00665A5F" w:rsidRDefault="00665A5F" w:rsidP="00054A4E">
      <w:pPr>
        <w:contextualSpacing/>
        <w:outlineLvl w:val="6"/>
      </w:pPr>
      <w:r w:rsidRPr="00E40928">
        <w:t xml:space="preserve">Studies have shown that the younger children are when they encounter the </w:t>
      </w:r>
      <w:r w:rsidR="00E5461E">
        <w:t xml:space="preserve">criminal </w:t>
      </w:r>
      <w:r w:rsidRPr="00E40928">
        <w:t xml:space="preserve">justice system, the more likely they are to reoffend. </w:t>
      </w:r>
      <w:r>
        <w:t>Between 2011 and 2012, c</w:t>
      </w:r>
      <w:r w:rsidRPr="00E40928">
        <w:t xml:space="preserve">hildren who were first subject to supervision under the youth justice system due to offending </w:t>
      </w:r>
      <w:r>
        <w:t>when aged</w:t>
      </w:r>
      <w:r w:rsidRPr="00E40928">
        <w:t xml:space="preserve"> 10</w:t>
      </w:r>
      <w:r>
        <w:t>–</w:t>
      </w:r>
      <w:r w:rsidRPr="00E40928">
        <w:t xml:space="preserve">14 years </w:t>
      </w:r>
      <w:r>
        <w:t>were</w:t>
      </w:r>
      <w:r w:rsidRPr="00E40928">
        <w:t xml:space="preserve"> more likely to experience all types of supervision in their later teens (33% compared to 8% for those first supervised at older ages).</w:t>
      </w:r>
      <w:r w:rsidRPr="00E40928">
        <w:rPr>
          <w:rStyle w:val="EndnoteReference"/>
        </w:rPr>
        <w:endnoteReference w:id="38"/>
      </w:r>
    </w:p>
    <w:p w14:paraId="50AFF4E1" w14:textId="0B6C3752" w:rsidR="00512BB4" w:rsidRDefault="00512BB4" w:rsidP="0099687D">
      <w:pPr>
        <w:pStyle w:val="Heading2"/>
      </w:pPr>
      <w:bookmarkStart w:id="21" w:name="_Toc33622198"/>
      <w:r>
        <w:t>Detention has an adverse impact on children</w:t>
      </w:r>
      <w:bookmarkEnd w:id="21"/>
    </w:p>
    <w:p w14:paraId="4465CD2A" w14:textId="77777777" w:rsidR="00512BB4" w:rsidRDefault="00512BB4" w:rsidP="00512BB4">
      <w:r>
        <w:t>There is increasing evidence that youth detention is not an appropriate environment for younger children.</w:t>
      </w:r>
    </w:p>
    <w:p w14:paraId="107CAB83" w14:textId="77777777" w:rsidR="00512BB4" w:rsidRDefault="00512BB4" w:rsidP="00512BB4">
      <w:r>
        <w:t>As the NT Royal Commission found:</w:t>
      </w:r>
    </w:p>
    <w:p w14:paraId="19CC7F9B" w14:textId="4B13DDCA" w:rsidR="00512BB4" w:rsidRDefault="00512BB4" w:rsidP="00512BB4">
      <w:pPr>
        <w:ind w:left="720"/>
        <w:rPr>
          <w:sz w:val="22"/>
          <w:szCs w:val="22"/>
        </w:rPr>
      </w:pPr>
      <w:r w:rsidRPr="00C46ADE">
        <w:rPr>
          <w:sz w:val="22"/>
          <w:szCs w:val="22"/>
        </w:rPr>
        <w:t>any apparent punishment and deterrent value of detention is far outweighed by its detrimental impacts, particularly for the minority group of pre-teens and young teenagers. The reality of this cohort’s developmental status; the harsh consequences of separation of younger children from parents/carers, siblings and extended family;</w:t>
      </w:r>
      <w:r>
        <w:rPr>
          <w:sz w:val="22"/>
          <w:szCs w:val="22"/>
        </w:rPr>
        <w:t xml:space="preserve"> </w:t>
      </w:r>
      <w:r w:rsidRPr="00C46ADE">
        <w:rPr>
          <w:sz w:val="22"/>
          <w:szCs w:val="22"/>
        </w:rPr>
        <w:t>the inevitable association with older children with more serious offending histories;</w:t>
      </w:r>
      <w:r>
        <w:rPr>
          <w:sz w:val="22"/>
          <w:szCs w:val="22"/>
        </w:rPr>
        <w:t xml:space="preserve"> </w:t>
      </w:r>
      <w:r w:rsidRPr="00C46ADE">
        <w:rPr>
          <w:sz w:val="22"/>
          <w:szCs w:val="22"/>
        </w:rPr>
        <w:t>that youth detention can interrupt the normal pattern of ‘aging out’ of criminal behaviour; and the lack of evidence in support of positive outcomes as a result of time spent in detention are all results of detention that are counter-productive to younger children engaging sustainably in rehabilitation efforts and reducing recidivism.</w:t>
      </w:r>
      <w:r>
        <w:rPr>
          <w:rStyle w:val="EndnoteReference"/>
          <w:szCs w:val="22"/>
        </w:rPr>
        <w:endnoteReference w:id="39"/>
      </w:r>
    </w:p>
    <w:p w14:paraId="55482DEE" w14:textId="77777777" w:rsidR="00512BB4" w:rsidRDefault="00512BB4" w:rsidP="00512BB4">
      <w:r>
        <w:t xml:space="preserve">Given these factors, the Royal Commission recommended that, for children under 14 years, detention should not be a sentencing option, nor should children under 14 years be remanded in detention. Minimum age thresholds for detention are in place in </w:t>
      </w:r>
      <w:proofErr w:type="gramStart"/>
      <w:r>
        <w:t>a number of</w:t>
      </w:r>
      <w:proofErr w:type="gramEnd"/>
      <w:r>
        <w:t xml:space="preserve"> European countries, such as Belgium, Switzerland, Finland and Scotland.</w:t>
      </w:r>
      <w:r>
        <w:rPr>
          <w:rStyle w:val="EndnoteReference"/>
        </w:rPr>
        <w:endnoteReference w:id="40"/>
      </w:r>
    </w:p>
    <w:p w14:paraId="03C4072A" w14:textId="73D5A462" w:rsidR="00512BB4" w:rsidRPr="003C2E1E" w:rsidRDefault="00512BB4" w:rsidP="00512BB4">
      <w:r>
        <w:rPr>
          <w:rFonts w:cs="Open Sans"/>
        </w:rPr>
        <w:lastRenderedPageBreak/>
        <w:t>In 2019 t</w:t>
      </w:r>
      <w:r w:rsidRPr="00E65FDA">
        <w:rPr>
          <w:rFonts w:cs="Open Sans"/>
        </w:rPr>
        <w:t>he Global Study on Children Deprived of Liberty</w:t>
      </w:r>
      <w:r w:rsidR="00160F19">
        <w:rPr>
          <w:rFonts w:cs="Open Sans"/>
        </w:rPr>
        <w:t xml:space="preserve"> </w:t>
      </w:r>
      <w:r w:rsidRPr="00E65FDA">
        <w:rPr>
          <w:rFonts w:cs="Open Sans"/>
        </w:rPr>
        <w:t xml:space="preserve">examined the impact of deprivation of liberty on the health of children. The Study found that children deprived of their liberty are, by and large, distinguished by poor health profiles. Complex health needs are common. Although in some settings the healthcare may be better in detention than in the surrounding community, these benefits </w:t>
      </w:r>
      <w:r w:rsidRPr="003C2E1E">
        <w:t>may be undermined by the detention experience.</w:t>
      </w:r>
      <w:r>
        <w:rPr>
          <w:rStyle w:val="EndnoteReference"/>
        </w:rPr>
        <w:endnoteReference w:id="41"/>
      </w:r>
      <w:r w:rsidRPr="003C2E1E">
        <w:t xml:space="preserve"> The available evidence regarding the longitudinal impacts of justice-related detention on health suggests that experiencing any period of detention during adolescence or young adulthood is associated with poorer general health, severe functional limitations, hypertension, and a higher prevalence of overweight and obesity during adulthood. Additionally, recent US-based research demonstrated that a longer cumulative duration of detention during adolescence and young adulthood was independently associated with</w:t>
      </w:r>
      <w:r>
        <w:t xml:space="preserve"> </w:t>
      </w:r>
      <w:r w:rsidRPr="003C2E1E">
        <w:t>poorer physical and mental health outcomes later in adulthood.</w:t>
      </w:r>
      <w:r>
        <w:rPr>
          <w:rStyle w:val="EndnoteReference"/>
        </w:rPr>
        <w:endnoteReference w:id="42"/>
      </w:r>
    </w:p>
    <w:p w14:paraId="12537668" w14:textId="77777777" w:rsidR="00512BB4" w:rsidRPr="004A6C68" w:rsidRDefault="00512BB4" w:rsidP="00512BB4">
      <w:r>
        <w:t>Further, it is widely recognised that incarceration fosters further criminality. This may be particularly the case for young offenders, who, due to their immaturity, are especially susceptible to being influenced by their peers.</w:t>
      </w:r>
      <w:r>
        <w:rPr>
          <w:rStyle w:val="EndnoteReference"/>
        </w:rPr>
        <w:endnoteReference w:id="43"/>
      </w:r>
      <w:r>
        <w:t xml:space="preserve"> </w:t>
      </w:r>
    </w:p>
    <w:p w14:paraId="2B81F96D" w14:textId="354B5CBD" w:rsidR="005948FA" w:rsidRDefault="005948FA" w:rsidP="0099687D">
      <w:pPr>
        <w:pStyle w:val="Heading2"/>
      </w:pPr>
      <w:bookmarkStart w:id="23" w:name="_Toc33622199"/>
      <w:r>
        <w:t xml:space="preserve">The </w:t>
      </w:r>
      <w:r w:rsidR="00896779">
        <w:t>minimum age of criminal responsibility</w:t>
      </w:r>
      <w:r>
        <w:t xml:space="preserve"> is low compared to other countries</w:t>
      </w:r>
      <w:bookmarkEnd w:id="23"/>
    </w:p>
    <w:p w14:paraId="02B9BB82" w14:textId="76C927D6" w:rsidR="005E3C0E" w:rsidRDefault="00836E69" w:rsidP="000247DE">
      <w:r>
        <w:t xml:space="preserve">Although international comparisons </w:t>
      </w:r>
      <w:r w:rsidR="00BA4F38">
        <w:t xml:space="preserve">are not </w:t>
      </w:r>
      <w:r>
        <w:t xml:space="preserve">in themselves </w:t>
      </w:r>
      <w:r w:rsidR="00BA4F38">
        <w:t xml:space="preserve">a reason for raising the age, </w:t>
      </w:r>
      <w:r w:rsidR="00871A7E">
        <w:t>they sh</w:t>
      </w:r>
      <w:r w:rsidR="00B72091">
        <w:t xml:space="preserve">ow </w:t>
      </w:r>
      <w:r w:rsidR="00523756">
        <w:t xml:space="preserve">that many countries recognise </w:t>
      </w:r>
      <w:r w:rsidR="00C0799D">
        <w:t xml:space="preserve">the </w:t>
      </w:r>
      <w:r w:rsidR="00422C9A">
        <w:t>benefits</w:t>
      </w:r>
      <w:r w:rsidR="006C6115">
        <w:t xml:space="preserve"> </w:t>
      </w:r>
      <w:r w:rsidR="00C0799D">
        <w:t xml:space="preserve">of a higher age, </w:t>
      </w:r>
      <w:r w:rsidR="006C6115">
        <w:t xml:space="preserve">and </w:t>
      </w:r>
      <w:r w:rsidR="00840A9E">
        <w:t xml:space="preserve">that it is possible to have a different approach </w:t>
      </w:r>
      <w:r w:rsidR="005E3C0E">
        <w:t xml:space="preserve">to youth crime without adverse consequences. </w:t>
      </w:r>
    </w:p>
    <w:p w14:paraId="48170ED1" w14:textId="273E1169" w:rsidR="00E32A96" w:rsidRPr="00402234" w:rsidRDefault="000247DE" w:rsidP="004B6C1C">
      <w:r w:rsidRPr="00402234">
        <w:t>Th</w:t>
      </w:r>
      <w:r w:rsidR="005E3C0E" w:rsidRPr="00402234">
        <w:t>e</w:t>
      </w:r>
      <w:r w:rsidRPr="00402234">
        <w:t xml:space="preserve"> minimum age of criminal responsibility </w:t>
      </w:r>
      <w:r w:rsidR="009A2CEC" w:rsidRPr="00402234">
        <w:t xml:space="preserve">(MACR) </w:t>
      </w:r>
      <w:r w:rsidRPr="00402234">
        <w:t>in Australia is low compared with many other countries.</w:t>
      </w:r>
      <w:r w:rsidRPr="00402234">
        <w:rPr>
          <w:rStyle w:val="EndnoteReference"/>
        </w:rPr>
        <w:endnoteReference w:id="44"/>
      </w:r>
      <w:r w:rsidRPr="00402234">
        <w:t xml:space="preserve"> </w:t>
      </w:r>
      <w:r w:rsidR="004B6C1C" w:rsidRPr="00402234">
        <w:t>Although consistent with standards adopted by some other common law countries</w:t>
      </w:r>
      <w:r w:rsidR="00776AA2">
        <w:t>,</w:t>
      </w:r>
      <w:r w:rsidR="004B6C1C" w:rsidRPr="00402234">
        <w:t xml:space="preserve"> such as England, Wales and the USA, the global standard is higher. An international study of 90 countries </w:t>
      </w:r>
      <w:r w:rsidR="00DA3440" w:rsidRPr="00402234">
        <w:t xml:space="preserve">in 2008 </w:t>
      </w:r>
      <w:r w:rsidR="004B6C1C" w:rsidRPr="00402234">
        <w:t>revealed that 68% of those countries had a minimum criminal age of 12 or higher, and the most common minimum age was 14 years.</w:t>
      </w:r>
      <w:r w:rsidR="004B6C1C" w:rsidRPr="00402234">
        <w:rPr>
          <w:rStyle w:val="EndnoteReference"/>
        </w:rPr>
        <w:endnoteReference w:id="45"/>
      </w:r>
      <w:r w:rsidR="004B6C1C" w:rsidRPr="00402234">
        <w:t xml:space="preserve"> </w:t>
      </w:r>
    </w:p>
    <w:p w14:paraId="7443C34C" w14:textId="57EC4998" w:rsidR="00DF5B40" w:rsidRDefault="001C237C" w:rsidP="001C237C">
      <w:r w:rsidRPr="00402234">
        <w:t>Most European countries set their age between 14 and 16 years. For example, the minimum age in Denmark, Finland, Norway and Sweden is 15 years of age.</w:t>
      </w:r>
      <w:r>
        <w:t xml:space="preserve"> The minimum age in Austria, Spain, Hungary</w:t>
      </w:r>
      <w:r w:rsidR="00152664">
        <w:t>, Italy</w:t>
      </w:r>
      <w:r>
        <w:t xml:space="preserve"> and Germany is 14 years of age. The Netherlands and Ireland have a MACR of 12. </w:t>
      </w:r>
    </w:p>
    <w:p w14:paraId="6D4A8437" w14:textId="4A2E6BC7" w:rsidR="00DF5B40" w:rsidRPr="00E97E97" w:rsidRDefault="001C237C" w:rsidP="00DF5B40">
      <w:r>
        <w:t xml:space="preserve">Scotland, which previously had a MACR of 10 years of age, </w:t>
      </w:r>
      <w:r w:rsidR="00AF054E">
        <w:t xml:space="preserve">raised </w:t>
      </w:r>
      <w:r w:rsidR="00C0799D">
        <w:t>it</w:t>
      </w:r>
      <w:r w:rsidR="00D14A9D">
        <w:t xml:space="preserve"> </w:t>
      </w:r>
      <w:r w:rsidR="00D9394A">
        <w:t>to 12 in June 2019</w:t>
      </w:r>
      <w:r w:rsidR="00596437">
        <w:t>.</w:t>
      </w:r>
      <w:r w:rsidR="00DF5B40">
        <w:t xml:space="preserve"> </w:t>
      </w:r>
      <w:r w:rsidR="00DF5B40" w:rsidRPr="00E97E97">
        <w:t xml:space="preserve">The Scottish law provides certain safeguards to ensure that harmful </w:t>
      </w:r>
      <w:r w:rsidR="00DF5B40" w:rsidRPr="00E97E97">
        <w:lastRenderedPageBreak/>
        <w:t xml:space="preserve">behaviour by children under 12 can be responded to in an </w:t>
      </w:r>
      <w:r w:rsidR="00DF5B40">
        <w:t>‘</w:t>
      </w:r>
      <w:r w:rsidR="00DF5B40" w:rsidRPr="00E97E97">
        <w:t>appropriate and meaningful way</w:t>
      </w:r>
      <w:r w:rsidR="00DF5B40">
        <w:t>’</w:t>
      </w:r>
      <w:r w:rsidR="00DF5B40" w:rsidRPr="00E97E97">
        <w:t>, which will not criminalise children.</w:t>
      </w:r>
      <w:r w:rsidR="00DF5B40">
        <w:t xml:space="preserve"> The impact of the </w:t>
      </w:r>
      <w:r w:rsidR="00A3143B">
        <w:t xml:space="preserve">new </w:t>
      </w:r>
      <w:r w:rsidR="00DF5B40">
        <w:t>law will be reviewed by an expert panel after three years.</w:t>
      </w:r>
    </w:p>
    <w:p w14:paraId="240E4769" w14:textId="2C2AC952" w:rsidR="009C7B22" w:rsidRDefault="00990E2C" w:rsidP="00A10F15">
      <w:r>
        <w:t>R</w:t>
      </w:r>
      <w:r w:rsidR="001F2C14" w:rsidRPr="00A10F15">
        <w:t>ecent d</w:t>
      </w:r>
      <w:r w:rsidR="00ED2B8D" w:rsidRPr="00A10F15">
        <w:t xml:space="preserve">ata collected by the Global Study on Children Deprived of Liberty showed that the worldwide average </w:t>
      </w:r>
      <w:r w:rsidR="005145D2" w:rsidRPr="00A10F15">
        <w:t xml:space="preserve">MACR was </w:t>
      </w:r>
      <w:r w:rsidR="00ED2B8D" w:rsidRPr="00A10F15">
        <w:t>11.3 years</w:t>
      </w:r>
      <w:r w:rsidR="005145D2" w:rsidRPr="00A10F15">
        <w:t>,</w:t>
      </w:r>
      <w:r w:rsidR="00ED2B8D" w:rsidRPr="00A10F15">
        <w:t xml:space="preserve"> </w:t>
      </w:r>
      <w:r w:rsidR="00694FF1">
        <w:t>with</w:t>
      </w:r>
      <w:r w:rsidR="00ED2B8D" w:rsidRPr="00A10F15">
        <w:t xml:space="preserve"> </w:t>
      </w:r>
      <w:r w:rsidR="00C50FCE">
        <w:t xml:space="preserve">a </w:t>
      </w:r>
      <w:r w:rsidR="00ED2B8D" w:rsidRPr="00A10F15">
        <w:t xml:space="preserve">median </w:t>
      </w:r>
      <w:r w:rsidR="00C50FCE">
        <w:t>of</w:t>
      </w:r>
      <w:r w:rsidR="009B61BB">
        <w:t xml:space="preserve"> </w:t>
      </w:r>
      <w:r w:rsidR="00ED2B8D" w:rsidRPr="00A10F15">
        <w:t>12 years</w:t>
      </w:r>
      <w:r w:rsidR="005145D2" w:rsidRPr="00A10F15">
        <w:t>, which</w:t>
      </w:r>
      <w:r w:rsidR="00ED2B8D" w:rsidRPr="00A10F15">
        <w:t xml:space="preserve"> fall</w:t>
      </w:r>
      <w:r w:rsidR="00402234">
        <w:t>s</w:t>
      </w:r>
      <w:r w:rsidR="00ED2B8D" w:rsidRPr="00A10F15">
        <w:t xml:space="preserve"> below the minimum of 14 years recommended by the Committee on the Rights of the Child in General Comment 24. Australia’s MACR of 10 is well below </w:t>
      </w:r>
      <w:proofErr w:type="gramStart"/>
      <w:r w:rsidR="00ED2B8D" w:rsidRPr="00A10F15">
        <w:t>both of these</w:t>
      </w:r>
      <w:proofErr w:type="gramEnd"/>
      <w:r w:rsidR="00ED2B8D" w:rsidRPr="00A10F15">
        <w:t xml:space="preserve">. </w:t>
      </w:r>
    </w:p>
    <w:p w14:paraId="16C515D5" w14:textId="6DEE2F2A" w:rsidR="00E32A96" w:rsidRPr="003A08A1" w:rsidRDefault="007953D9" w:rsidP="004B6C1C">
      <w:r>
        <w:t xml:space="preserve">The Global Study </w:t>
      </w:r>
      <w:r w:rsidR="001A290C">
        <w:t xml:space="preserve">also </w:t>
      </w:r>
      <w:r w:rsidR="00356C27">
        <w:t>point</w:t>
      </w:r>
      <w:r w:rsidR="003B69F3">
        <w:t>ed</w:t>
      </w:r>
      <w:r w:rsidR="00356C27">
        <w:t xml:space="preserve"> out a wide variety of responses to setting a lower limit. </w:t>
      </w:r>
      <w:r w:rsidR="00ED2B8D" w:rsidRPr="00A10F15">
        <w:t xml:space="preserve">Most commonly, </w:t>
      </w:r>
      <w:r w:rsidR="00356C27">
        <w:t xml:space="preserve">as in Australia, </w:t>
      </w:r>
      <w:r w:rsidR="00ED2B8D" w:rsidRPr="00A10F15">
        <w:t>a single lower limit is set at</w:t>
      </w:r>
      <w:r w:rsidR="00A10F15">
        <w:t xml:space="preserve"> </w:t>
      </w:r>
      <w:r w:rsidR="00ED2B8D" w:rsidRPr="00A10F15">
        <w:t xml:space="preserve">which point a child may be charged and prosecuted for any criminal offence. However, at least 39 States set different age limits for different offences, usually allowing children to be held criminally responsible for more serious offences at a lower age. </w:t>
      </w:r>
      <w:r w:rsidR="007B1F6E">
        <w:t xml:space="preserve">For example, </w:t>
      </w:r>
      <w:r w:rsidR="008516C0">
        <w:t>i</w:t>
      </w:r>
      <w:r w:rsidR="00C3717C">
        <w:t>n Ireland</w:t>
      </w:r>
      <w:r w:rsidR="00021EEF">
        <w:t xml:space="preserve">, the </w:t>
      </w:r>
      <w:r w:rsidR="001A290C">
        <w:t>MACR</w:t>
      </w:r>
      <w:r w:rsidR="00021EEF">
        <w:t xml:space="preserve"> is 12 but </w:t>
      </w:r>
      <w:r w:rsidR="00CA3B7B">
        <w:t>chi</w:t>
      </w:r>
      <w:r w:rsidR="00B715A0">
        <w:t>ld</w:t>
      </w:r>
      <w:r w:rsidR="00CA3B7B">
        <w:t xml:space="preserve">ren </w:t>
      </w:r>
      <w:r w:rsidR="00195A79">
        <w:t>aged 10 and over can b</w:t>
      </w:r>
      <w:r w:rsidR="00D05FCF">
        <w:t>e</w:t>
      </w:r>
      <w:r w:rsidR="00195A79">
        <w:t xml:space="preserve"> charged with serious offences, including murder, manslaughter</w:t>
      </w:r>
      <w:r w:rsidR="008A79DE">
        <w:t xml:space="preserve"> and aggravated sexual assault. In New Zealand, </w:t>
      </w:r>
      <w:r w:rsidR="00567514">
        <w:t xml:space="preserve">the </w:t>
      </w:r>
      <w:r w:rsidR="00A8154A">
        <w:t>MACR is 10</w:t>
      </w:r>
      <w:r w:rsidR="00C16182">
        <w:t>;</w:t>
      </w:r>
      <w:r w:rsidR="00EB4D40">
        <w:t xml:space="preserve"> however, </w:t>
      </w:r>
      <w:r w:rsidR="00D92834">
        <w:t xml:space="preserve">12–13 years </w:t>
      </w:r>
      <w:proofErr w:type="spellStart"/>
      <w:r w:rsidR="00D92834">
        <w:t>olds</w:t>
      </w:r>
      <w:proofErr w:type="spellEnd"/>
      <w:r w:rsidR="00D92834">
        <w:t xml:space="preserve"> can only be prosecuted for an offence when the maximum penalty is 14 years imprisonment or more</w:t>
      </w:r>
      <w:r w:rsidR="009461B1">
        <w:t xml:space="preserve"> (subject to a presumption of incapacity). </w:t>
      </w:r>
    </w:p>
    <w:p w14:paraId="2CC74F70" w14:textId="0C7FFDF4" w:rsidR="00665A5F" w:rsidRDefault="008C5DDE" w:rsidP="00665A5F">
      <w:r>
        <w:t xml:space="preserve">While </w:t>
      </w:r>
      <w:r w:rsidR="006756C1">
        <w:t xml:space="preserve">carving out </w:t>
      </w:r>
      <w:r w:rsidR="00964303">
        <w:t xml:space="preserve">exceptions to the minimum age of criminal responsibility </w:t>
      </w:r>
      <w:r w:rsidR="00DE5AF7">
        <w:t xml:space="preserve">may help to assuage community concern about </w:t>
      </w:r>
      <w:r w:rsidR="00FD083E">
        <w:t xml:space="preserve">young offenders of serious crimes, the </w:t>
      </w:r>
      <w:r w:rsidR="007575CA">
        <w:t xml:space="preserve">UN </w:t>
      </w:r>
      <w:r w:rsidR="00D67D13">
        <w:t xml:space="preserve">Committee on the Rights of the Child has </w:t>
      </w:r>
      <w:r w:rsidR="00917ABC">
        <w:t xml:space="preserve">indicated concern about this practice: </w:t>
      </w:r>
    </w:p>
    <w:p w14:paraId="0D9283D1" w14:textId="4704E72F" w:rsidR="001F6369" w:rsidRDefault="00174F73" w:rsidP="001A290C">
      <w:pPr>
        <w:ind w:left="720"/>
        <w:rPr>
          <w:sz w:val="22"/>
          <w:szCs w:val="22"/>
        </w:rPr>
      </w:pPr>
      <w:r w:rsidRPr="00917ABC">
        <w:rPr>
          <w:sz w:val="22"/>
          <w:szCs w:val="22"/>
        </w:rPr>
        <w:t>The Committee is concerned about practices that permit the use of a lower minimum age of criminal responsibility in cases where, for example, the child is accused of committing a serious offence. Such practices are usually created to respond to public pressure and are not based on a rational understanding of children’s development. The Committee strongly recommends that States parties abolish such approaches and set one standardized age below which children cannot be held responsible in criminal law, without exception.</w:t>
      </w:r>
      <w:r w:rsidR="00917ABC">
        <w:rPr>
          <w:rStyle w:val="EndnoteReference"/>
          <w:szCs w:val="22"/>
        </w:rPr>
        <w:endnoteReference w:id="46"/>
      </w:r>
    </w:p>
    <w:tbl>
      <w:tblPr>
        <w:tblStyle w:val="TableGrid"/>
        <w:tblW w:w="0" w:type="auto"/>
        <w:tblLook w:val="04A0" w:firstRow="1" w:lastRow="0" w:firstColumn="1" w:lastColumn="0" w:noHBand="0" w:noVBand="1"/>
      </w:tblPr>
      <w:tblGrid>
        <w:gridCol w:w="9060"/>
      </w:tblGrid>
      <w:tr w:rsidR="00037B55" w14:paraId="080A50A0" w14:textId="77777777" w:rsidTr="00037B55">
        <w:tc>
          <w:tcPr>
            <w:tcW w:w="9060" w:type="dxa"/>
          </w:tcPr>
          <w:p w14:paraId="2C0EA10B" w14:textId="77777777" w:rsidR="00037B55" w:rsidRPr="00896779" w:rsidRDefault="00037B55" w:rsidP="00037B55">
            <w:pPr>
              <w:jc w:val="both"/>
              <w:rPr>
                <w:b/>
                <w:bCs/>
              </w:rPr>
            </w:pPr>
            <w:r w:rsidRPr="00896779">
              <w:rPr>
                <w:b/>
                <w:bCs/>
              </w:rPr>
              <w:t>Sweden</w:t>
            </w:r>
          </w:p>
          <w:p w14:paraId="4B72F833" w14:textId="77777777" w:rsidR="002266DE" w:rsidRDefault="00FF58C5" w:rsidP="001B6B9C">
            <w:r w:rsidRPr="00896779">
              <w:t xml:space="preserve">The minimum age of </w:t>
            </w:r>
            <w:r w:rsidR="004A4157" w:rsidRPr="00896779">
              <w:t xml:space="preserve">criminal </w:t>
            </w:r>
            <w:r w:rsidRPr="00896779">
              <w:t xml:space="preserve">responsibility in Sweden </w:t>
            </w:r>
            <w:r w:rsidR="002266DE" w:rsidRPr="00896779">
              <w:t>is 15.</w:t>
            </w:r>
            <w:r w:rsidR="003F160D" w:rsidRPr="00896779">
              <w:t xml:space="preserve"> </w:t>
            </w:r>
            <w:r w:rsidR="00BC2360" w:rsidRPr="00896779">
              <w:t>Offending</w:t>
            </w:r>
            <w:r w:rsidR="00F32CC7" w:rsidRPr="00896779">
              <w:t xml:space="preserve"> by chi</w:t>
            </w:r>
            <w:r w:rsidR="00B30EC5" w:rsidRPr="00896779">
              <w:t>ld</w:t>
            </w:r>
            <w:r w:rsidR="00F32CC7" w:rsidRPr="00896779">
              <w:t>ren is viewed as a welfare issue</w:t>
            </w:r>
            <w:r w:rsidR="0053527D" w:rsidRPr="00896779">
              <w:t>, and social services determine the response to the offending (taking into account the social situation and the previous criminal conduct).</w:t>
            </w:r>
            <w:r w:rsidR="00CA2DF3">
              <w:rPr>
                <w:rStyle w:val="EndnoteReference"/>
              </w:rPr>
              <w:endnoteReference w:id="47"/>
            </w:r>
            <w:r w:rsidR="00B562C1" w:rsidRPr="00896779">
              <w:t xml:space="preserve"> </w:t>
            </w:r>
            <w:r w:rsidR="00482A6A" w:rsidRPr="00896779">
              <w:t xml:space="preserve">For those aged between 15 and 17, the responsibility </w:t>
            </w:r>
            <w:r w:rsidR="00DE2540" w:rsidRPr="00896779">
              <w:t>is divided between social services and the judicial authorities</w:t>
            </w:r>
            <w:r w:rsidR="00F35BE1" w:rsidRPr="00896779">
              <w:t>.</w:t>
            </w:r>
            <w:r w:rsidR="00D75A9A" w:rsidRPr="005C234A">
              <w:rPr>
                <w:rStyle w:val="EndnoteReference"/>
                <w:szCs w:val="20"/>
              </w:rPr>
              <w:endnoteReference w:id="48"/>
            </w:r>
            <w:r w:rsidR="00F35BE1" w:rsidRPr="005C234A">
              <w:rPr>
                <w:sz w:val="20"/>
                <w:szCs w:val="20"/>
              </w:rPr>
              <w:t xml:space="preserve"> </w:t>
            </w:r>
          </w:p>
          <w:p w14:paraId="14A8904D" w14:textId="77777777" w:rsidR="00781A3E" w:rsidRPr="00896779" w:rsidRDefault="00781A3E" w:rsidP="00781A3E">
            <w:pPr>
              <w:rPr>
                <w:b/>
                <w:bCs/>
              </w:rPr>
            </w:pPr>
            <w:r w:rsidRPr="00896779">
              <w:rPr>
                <w:b/>
                <w:bCs/>
              </w:rPr>
              <w:lastRenderedPageBreak/>
              <w:t>Norway</w:t>
            </w:r>
          </w:p>
          <w:p w14:paraId="21B4904C" w14:textId="0D06433D" w:rsidR="00781A3E" w:rsidRDefault="00781A3E" w:rsidP="00781A3E">
            <w:r w:rsidRPr="00896779">
              <w:t>Norway has a minimum age of criminal responsibility of 15 years.</w:t>
            </w:r>
            <w:r>
              <w:t xml:space="preserve"> </w:t>
            </w:r>
            <w:r w:rsidRPr="00896779">
              <w:t>No person can be punished for an offence committed while under the age of 15. Further, a prison sentence can only be imposed on persons under the age of 18 when especially necessary.</w:t>
            </w:r>
          </w:p>
          <w:p w14:paraId="06FB2DE8" w14:textId="77777777" w:rsidR="00781A3E" w:rsidRPr="00896779" w:rsidRDefault="00781A3E" w:rsidP="00781A3E">
            <w:pPr>
              <w:jc w:val="both"/>
              <w:rPr>
                <w:b/>
                <w:bCs/>
              </w:rPr>
            </w:pPr>
            <w:r w:rsidRPr="00896779">
              <w:rPr>
                <w:b/>
                <w:bCs/>
              </w:rPr>
              <w:t>The Netherlands</w:t>
            </w:r>
          </w:p>
          <w:p w14:paraId="6D1CD7F3" w14:textId="77777777" w:rsidR="00781A3E" w:rsidRPr="00896779" w:rsidRDefault="00781A3E" w:rsidP="00781A3E">
            <w:r w:rsidRPr="00896779">
              <w:t xml:space="preserve">The age of criminal responsibility in the Netherlands has stood at 12 years since 1965. Children under 12 years cannot be prosecuted criminally but are still subject to government intervention and prevention measures such as the voluntary </w:t>
            </w:r>
            <w:r>
              <w:t>Halt</w:t>
            </w:r>
            <w:r w:rsidRPr="00896779">
              <w:t xml:space="preserve"> scheme</w:t>
            </w:r>
            <w:r>
              <w:t xml:space="preserve">, </w:t>
            </w:r>
            <w:r w:rsidRPr="00896779">
              <w:t>aimed at diverting children under the age of 12 away from the criminal justice system through conferencing or learning assignments.</w:t>
            </w:r>
            <w:r w:rsidRPr="00F50307">
              <w:rPr>
                <w:rStyle w:val="EndnoteReference"/>
                <w:szCs w:val="20"/>
              </w:rPr>
              <w:endnoteReference w:id="49"/>
            </w:r>
            <w:r w:rsidRPr="00896779">
              <w:t xml:space="preserve"> </w:t>
            </w:r>
          </w:p>
          <w:p w14:paraId="069567BD" w14:textId="77777777" w:rsidR="00781A3E" w:rsidRPr="00896779" w:rsidRDefault="00781A3E" w:rsidP="00781A3E">
            <w:r w:rsidRPr="00896779">
              <w:t xml:space="preserve">In 1995, the Netherlands juvenile criminal law was simplified and modernised by introducing various substitutes to imprisonment for young people.  </w:t>
            </w:r>
          </w:p>
          <w:p w14:paraId="444E32AF" w14:textId="2CB964D9" w:rsidR="00781A3E" w:rsidRPr="00896779" w:rsidRDefault="00781A3E" w:rsidP="00781A3E">
            <w:r w:rsidRPr="00896779">
              <w:t>The number of crimes committed by young people and rates of juvenile recidivism have been reduced, and a 60% decrease in youth crime from 2007 to 2017.</w:t>
            </w:r>
            <w:r>
              <w:rPr>
                <w:rStyle w:val="EndnoteReference"/>
              </w:rPr>
              <w:endnoteReference w:id="50"/>
            </w:r>
            <w:r w:rsidRPr="00896779">
              <w:t xml:space="preserve"> The approach of the Netherlands in diverting children away from the criminal justice system and various sentencing practices appears to play a role in this reduction.</w:t>
            </w:r>
          </w:p>
          <w:p w14:paraId="27108189" w14:textId="77777777" w:rsidR="00781A3E" w:rsidRPr="00896779" w:rsidRDefault="00781A3E" w:rsidP="00781A3E">
            <w:r w:rsidRPr="00896779">
              <w:t xml:space="preserve">Following the 2010 CRC Committee Observations on Norway, a newly formed emphasis was placed on preventative and restorative justice measures for young persons. </w:t>
            </w:r>
          </w:p>
          <w:p w14:paraId="7BFBDAEA" w14:textId="3F463B03" w:rsidR="00781A3E" w:rsidRDefault="00781A3E" w:rsidP="00781A3E">
            <w:pPr>
              <w:rPr>
                <w:sz w:val="22"/>
                <w:szCs w:val="22"/>
              </w:rPr>
            </w:pPr>
            <w:r w:rsidRPr="00896779">
              <w:t xml:space="preserve">There has been a reduction </w:t>
            </w:r>
            <w:r>
              <w:t>i</w:t>
            </w:r>
            <w:r w:rsidRPr="00896779">
              <w:t>n the number of criminal offences in children between the ages of 10 and 14 years in the last 10 to 15 years.</w:t>
            </w:r>
            <w:r>
              <w:rPr>
                <w:rStyle w:val="EndnoteReference"/>
              </w:rPr>
              <w:endnoteReference w:id="51"/>
            </w:r>
          </w:p>
        </w:tc>
      </w:tr>
    </w:tbl>
    <w:p w14:paraId="0917B93F" w14:textId="20604558" w:rsidR="00484D07" w:rsidRDefault="00853772" w:rsidP="0099687D">
      <w:pPr>
        <w:pStyle w:val="Heading1"/>
      </w:pPr>
      <w:bookmarkStart w:id="24" w:name="_Toc33622200"/>
      <w:proofErr w:type="spellStart"/>
      <w:r>
        <w:lastRenderedPageBreak/>
        <w:t>D</w:t>
      </w:r>
      <w:r w:rsidR="00484D07">
        <w:t>oli</w:t>
      </w:r>
      <w:proofErr w:type="spellEnd"/>
      <w:r w:rsidR="00484D07">
        <w:t xml:space="preserve"> </w:t>
      </w:r>
      <w:r w:rsidR="00484D07" w:rsidRPr="001A290C">
        <w:t>incapax</w:t>
      </w:r>
      <w:bookmarkEnd w:id="24"/>
    </w:p>
    <w:p w14:paraId="281EF2C7" w14:textId="2CE3FB03" w:rsidR="00CB1AF5" w:rsidRDefault="00CB1AF5" w:rsidP="00CB1AF5">
      <w:pPr>
        <w:rPr>
          <w:rFonts w:cs="Open Sans"/>
        </w:rPr>
      </w:pPr>
      <w:r w:rsidRPr="00E40928">
        <w:rPr>
          <w:rFonts w:cs="Open Sans"/>
        </w:rPr>
        <w:t xml:space="preserve">In addition to the minimum age, the principle of </w:t>
      </w:r>
      <w:proofErr w:type="spellStart"/>
      <w:r w:rsidRPr="00E40928">
        <w:rPr>
          <w:rFonts w:cs="Open Sans"/>
          <w:iCs/>
        </w:rPr>
        <w:t>doli</w:t>
      </w:r>
      <w:proofErr w:type="spellEnd"/>
      <w:r w:rsidRPr="00E40928">
        <w:rPr>
          <w:rFonts w:cs="Open Sans"/>
          <w:iCs/>
        </w:rPr>
        <w:t xml:space="preserve"> incapax</w:t>
      </w:r>
      <w:r w:rsidRPr="00E40928">
        <w:rPr>
          <w:rFonts w:cs="Open Sans"/>
        </w:rPr>
        <w:t xml:space="preserve"> operates throughout Australia.</w:t>
      </w:r>
      <w:r w:rsidRPr="00E40928">
        <w:rPr>
          <w:rStyle w:val="EndnoteReference"/>
        </w:rPr>
        <w:endnoteReference w:id="52"/>
      </w:r>
      <w:r w:rsidRPr="00E40928">
        <w:rPr>
          <w:rFonts w:cs="Open Sans"/>
        </w:rPr>
        <w:t xml:space="preserve"> The principle of </w:t>
      </w:r>
      <w:proofErr w:type="spellStart"/>
      <w:r w:rsidRPr="00E40928">
        <w:rPr>
          <w:rFonts w:cs="Open Sans"/>
        </w:rPr>
        <w:t>doli</w:t>
      </w:r>
      <w:proofErr w:type="spellEnd"/>
      <w:r w:rsidRPr="00E40928">
        <w:rPr>
          <w:rFonts w:cs="Open Sans"/>
        </w:rPr>
        <w:t xml:space="preserve"> incapax assumes that children aged 10 to 14 years are ‘criminally incapable’ unless proven otherwise.</w:t>
      </w:r>
      <w:r w:rsidRPr="00CF0DFA">
        <w:rPr>
          <w:sz w:val="20"/>
          <w:szCs w:val="20"/>
          <w:vertAlign w:val="superscript"/>
        </w:rPr>
        <w:endnoteReference w:id="53"/>
      </w:r>
    </w:p>
    <w:p w14:paraId="3309A6B7" w14:textId="64528083" w:rsidR="00492EAD" w:rsidRDefault="002F08ED" w:rsidP="00665A5F">
      <w:pPr>
        <w:rPr>
          <w:rFonts w:cs="Open Sans"/>
        </w:rPr>
      </w:pPr>
      <w:r>
        <w:rPr>
          <w:rFonts w:cs="Open Sans"/>
        </w:rPr>
        <w:t>Unlike a criminal prosecution</w:t>
      </w:r>
      <w:r w:rsidR="00492EAD">
        <w:rPr>
          <w:rFonts w:cs="Open Sans"/>
        </w:rPr>
        <w:t xml:space="preserve">, the onus is on the prosecution </w:t>
      </w:r>
      <w:r w:rsidR="0060350C">
        <w:rPr>
          <w:rFonts w:cs="Open Sans"/>
        </w:rPr>
        <w:t xml:space="preserve">to </w:t>
      </w:r>
      <w:r w:rsidR="00C3693F">
        <w:rPr>
          <w:rFonts w:cs="Open Sans"/>
        </w:rPr>
        <w:t>r</w:t>
      </w:r>
      <w:r w:rsidR="0060350C">
        <w:rPr>
          <w:rFonts w:cs="Open Sans"/>
        </w:rPr>
        <w:t xml:space="preserve">ebut the presumption of </w:t>
      </w:r>
      <w:proofErr w:type="spellStart"/>
      <w:r w:rsidR="0060350C">
        <w:rPr>
          <w:rFonts w:cs="Open Sans"/>
        </w:rPr>
        <w:t>doli</w:t>
      </w:r>
      <w:proofErr w:type="spellEnd"/>
      <w:r w:rsidR="0060350C">
        <w:rPr>
          <w:rFonts w:cs="Open Sans"/>
        </w:rPr>
        <w:t xml:space="preserve"> incapax</w:t>
      </w:r>
      <w:r w:rsidR="00C3693F">
        <w:rPr>
          <w:rFonts w:cs="Open Sans"/>
        </w:rPr>
        <w:t>.</w:t>
      </w:r>
      <w:r w:rsidR="00B442E0">
        <w:rPr>
          <w:rFonts w:cs="Open Sans"/>
        </w:rPr>
        <w:t xml:space="preserve"> If the prosecution </w:t>
      </w:r>
      <w:r w:rsidR="007002FC">
        <w:rPr>
          <w:rFonts w:cs="Open Sans"/>
        </w:rPr>
        <w:t>f</w:t>
      </w:r>
      <w:r w:rsidR="00B442E0">
        <w:rPr>
          <w:rFonts w:cs="Open Sans"/>
        </w:rPr>
        <w:t xml:space="preserve">ails to </w:t>
      </w:r>
      <w:r w:rsidR="00421349">
        <w:rPr>
          <w:rFonts w:cs="Open Sans"/>
        </w:rPr>
        <w:t xml:space="preserve">prove beyond reasonable doubt that </w:t>
      </w:r>
      <w:r w:rsidR="00AC4BA5">
        <w:rPr>
          <w:rFonts w:cs="Open Sans"/>
        </w:rPr>
        <w:t xml:space="preserve">the child understood their conduct was seriously wrong by adult </w:t>
      </w:r>
      <w:r w:rsidR="00AC4BA5">
        <w:rPr>
          <w:rFonts w:cs="Open Sans"/>
        </w:rPr>
        <w:lastRenderedPageBreak/>
        <w:t xml:space="preserve">standards </w:t>
      </w:r>
      <w:r w:rsidR="00714842">
        <w:rPr>
          <w:rFonts w:cs="Open Sans"/>
        </w:rPr>
        <w:t>(</w:t>
      </w:r>
      <w:r w:rsidR="00AC4BA5">
        <w:rPr>
          <w:rFonts w:cs="Open Sans"/>
        </w:rPr>
        <w:t>r</w:t>
      </w:r>
      <w:r w:rsidR="00714842">
        <w:rPr>
          <w:rFonts w:cs="Open Sans"/>
        </w:rPr>
        <w:t xml:space="preserve">ather than mischievous or naughty), the child is incapable at law of committing the offence and must be acquitted. The question of whether the presumption of </w:t>
      </w:r>
      <w:proofErr w:type="spellStart"/>
      <w:r w:rsidR="00714842">
        <w:rPr>
          <w:rFonts w:cs="Open Sans"/>
        </w:rPr>
        <w:t>doli</w:t>
      </w:r>
      <w:proofErr w:type="spellEnd"/>
      <w:r w:rsidR="00714842">
        <w:rPr>
          <w:rFonts w:cs="Open Sans"/>
        </w:rPr>
        <w:t xml:space="preserve"> incapax applies should be asked in every matter involving a child between the ages of 10 and 14.</w:t>
      </w:r>
      <w:r w:rsidR="002A1192">
        <w:rPr>
          <w:rStyle w:val="EndnoteReference"/>
          <w:rFonts w:cs="Open Sans"/>
        </w:rPr>
        <w:endnoteReference w:id="54"/>
      </w:r>
    </w:p>
    <w:p w14:paraId="0844F40A" w14:textId="7E979634" w:rsidR="000E79F1" w:rsidRDefault="00E57E1A" w:rsidP="00665A5F">
      <w:pPr>
        <w:rPr>
          <w:rFonts w:cs="Open Sans"/>
        </w:rPr>
      </w:pPr>
      <w:r>
        <w:rPr>
          <w:rFonts w:cs="Open Sans"/>
        </w:rPr>
        <w:t>I</w:t>
      </w:r>
      <w:r w:rsidR="00DE7E1D">
        <w:rPr>
          <w:rFonts w:cs="Open Sans"/>
        </w:rPr>
        <w:t>f</w:t>
      </w:r>
      <w:r w:rsidR="00C85381">
        <w:rPr>
          <w:rFonts w:cs="Open Sans"/>
        </w:rPr>
        <w:t xml:space="preserve"> properly applied</w:t>
      </w:r>
      <w:r w:rsidR="00DE7E1D">
        <w:rPr>
          <w:rFonts w:cs="Open Sans"/>
        </w:rPr>
        <w:t>,</w:t>
      </w:r>
      <w:r w:rsidR="00C85381">
        <w:rPr>
          <w:rFonts w:cs="Open Sans"/>
        </w:rPr>
        <w:t xml:space="preserve"> </w:t>
      </w:r>
      <w:proofErr w:type="spellStart"/>
      <w:r w:rsidR="00C85381">
        <w:rPr>
          <w:rFonts w:cs="Open Sans"/>
        </w:rPr>
        <w:t>doli</w:t>
      </w:r>
      <w:proofErr w:type="spellEnd"/>
      <w:r w:rsidR="00C85381">
        <w:rPr>
          <w:rFonts w:cs="Open Sans"/>
        </w:rPr>
        <w:t xml:space="preserve"> incapax </w:t>
      </w:r>
      <w:r w:rsidR="003D5C12">
        <w:rPr>
          <w:rFonts w:cs="Open Sans"/>
        </w:rPr>
        <w:t xml:space="preserve">may serve to </w:t>
      </w:r>
      <w:r w:rsidR="009816EE">
        <w:rPr>
          <w:rFonts w:cs="Open Sans"/>
        </w:rPr>
        <w:t xml:space="preserve">avoid unnecessary incarceration </w:t>
      </w:r>
      <w:r w:rsidR="00B82013">
        <w:rPr>
          <w:rFonts w:cs="Open Sans"/>
        </w:rPr>
        <w:t xml:space="preserve">of children </w:t>
      </w:r>
      <w:r w:rsidR="009816EE">
        <w:rPr>
          <w:rFonts w:cs="Open Sans"/>
        </w:rPr>
        <w:t>at a young age</w:t>
      </w:r>
      <w:r w:rsidR="00D01938">
        <w:rPr>
          <w:rFonts w:cs="Open Sans"/>
        </w:rPr>
        <w:t xml:space="preserve">. The NT Royal Commission argued that </w:t>
      </w:r>
      <w:r w:rsidR="00057FD0">
        <w:rPr>
          <w:rFonts w:cs="Open Sans"/>
        </w:rPr>
        <w:t>i</w:t>
      </w:r>
      <w:r w:rsidR="00601886">
        <w:rPr>
          <w:rFonts w:cs="Open Sans"/>
        </w:rPr>
        <w:t>f the MACR is raised on</w:t>
      </w:r>
      <w:r w:rsidR="00B07BA1">
        <w:rPr>
          <w:rFonts w:cs="Open Sans"/>
        </w:rPr>
        <w:t>l</w:t>
      </w:r>
      <w:r w:rsidR="00601886">
        <w:rPr>
          <w:rFonts w:cs="Open Sans"/>
        </w:rPr>
        <w:t xml:space="preserve">y to 12, </w:t>
      </w:r>
      <w:proofErr w:type="spellStart"/>
      <w:r w:rsidR="00057FD0">
        <w:rPr>
          <w:rFonts w:cs="Open Sans"/>
        </w:rPr>
        <w:t>doli</w:t>
      </w:r>
      <w:proofErr w:type="spellEnd"/>
      <w:r w:rsidR="00057FD0">
        <w:rPr>
          <w:rFonts w:cs="Open Sans"/>
        </w:rPr>
        <w:t xml:space="preserve"> incapax should be retained </w:t>
      </w:r>
      <w:r w:rsidR="00601886">
        <w:rPr>
          <w:rFonts w:cs="Open Sans"/>
        </w:rPr>
        <w:t xml:space="preserve">in order to provide some protection to 12 and </w:t>
      </w:r>
      <w:proofErr w:type="gramStart"/>
      <w:r w:rsidR="00601886">
        <w:rPr>
          <w:rFonts w:cs="Open Sans"/>
        </w:rPr>
        <w:t>13 year</w:t>
      </w:r>
      <w:r w:rsidR="000227B0">
        <w:rPr>
          <w:rFonts w:cs="Open Sans"/>
        </w:rPr>
        <w:t>-</w:t>
      </w:r>
      <w:r w:rsidR="00601886">
        <w:rPr>
          <w:rFonts w:cs="Open Sans"/>
        </w:rPr>
        <w:t>olds</w:t>
      </w:r>
      <w:proofErr w:type="gramEnd"/>
      <w:r w:rsidR="00601886">
        <w:rPr>
          <w:rFonts w:cs="Open Sans"/>
        </w:rPr>
        <w:t>.</w:t>
      </w:r>
      <w:r w:rsidR="00A57B4D">
        <w:rPr>
          <w:rStyle w:val="EndnoteReference"/>
          <w:rFonts w:cs="Open Sans"/>
        </w:rPr>
        <w:endnoteReference w:id="55"/>
      </w:r>
      <w:r w:rsidR="00E35189">
        <w:rPr>
          <w:rFonts w:cs="Open Sans"/>
        </w:rPr>
        <w:t xml:space="preserve"> </w:t>
      </w:r>
    </w:p>
    <w:p w14:paraId="3E3F9382" w14:textId="2728DA02" w:rsidR="00B46E61" w:rsidRDefault="00471234" w:rsidP="00665A5F">
      <w:pPr>
        <w:rPr>
          <w:rFonts w:cs="Open Sans"/>
        </w:rPr>
      </w:pPr>
      <w:r>
        <w:rPr>
          <w:rFonts w:cs="Open Sans"/>
        </w:rPr>
        <w:t>However, t</w:t>
      </w:r>
      <w:r w:rsidR="001F761C">
        <w:rPr>
          <w:rFonts w:cs="Open Sans"/>
        </w:rPr>
        <w:t xml:space="preserve">he application of </w:t>
      </w:r>
      <w:proofErr w:type="spellStart"/>
      <w:r w:rsidR="001F761C">
        <w:rPr>
          <w:rFonts w:cs="Open Sans"/>
        </w:rPr>
        <w:t>d</w:t>
      </w:r>
      <w:r w:rsidR="00B46E61">
        <w:rPr>
          <w:rFonts w:cs="Open Sans"/>
        </w:rPr>
        <w:t>oli</w:t>
      </w:r>
      <w:proofErr w:type="spellEnd"/>
      <w:r w:rsidR="00B46E61">
        <w:rPr>
          <w:rFonts w:cs="Open Sans"/>
        </w:rPr>
        <w:t xml:space="preserve"> incapax </w:t>
      </w:r>
      <w:r w:rsidR="001F761C">
        <w:rPr>
          <w:rFonts w:cs="Open Sans"/>
        </w:rPr>
        <w:t xml:space="preserve">should reflect </w:t>
      </w:r>
      <w:r w:rsidR="00D30945">
        <w:rPr>
          <w:rFonts w:cs="Open Sans"/>
        </w:rPr>
        <w:t xml:space="preserve">increasing </w:t>
      </w:r>
      <w:r w:rsidR="009266DB">
        <w:rPr>
          <w:rFonts w:cs="Open Sans"/>
        </w:rPr>
        <w:t xml:space="preserve">knowledge </w:t>
      </w:r>
      <w:r w:rsidR="00D30945">
        <w:rPr>
          <w:rFonts w:cs="Open Sans"/>
        </w:rPr>
        <w:t xml:space="preserve">of </w:t>
      </w:r>
      <w:r w:rsidR="00B46E61">
        <w:rPr>
          <w:rFonts w:cs="Open Sans"/>
        </w:rPr>
        <w:t xml:space="preserve">children’s development, </w:t>
      </w:r>
      <w:proofErr w:type="gramStart"/>
      <w:r w:rsidR="001F5699">
        <w:rPr>
          <w:rFonts w:cs="Open Sans"/>
        </w:rPr>
        <w:t xml:space="preserve">in particular </w:t>
      </w:r>
      <w:r w:rsidR="00AA51B4">
        <w:rPr>
          <w:rFonts w:cs="Open Sans"/>
        </w:rPr>
        <w:t>the</w:t>
      </w:r>
      <w:proofErr w:type="gramEnd"/>
      <w:r w:rsidR="00AA51B4">
        <w:rPr>
          <w:rFonts w:cs="Open Sans"/>
        </w:rPr>
        <w:t xml:space="preserve"> knowledge that children’s </w:t>
      </w:r>
      <w:r w:rsidR="00B46E61">
        <w:rPr>
          <w:rFonts w:cs="Open Sans"/>
        </w:rPr>
        <w:t xml:space="preserve">capacity for abstract </w:t>
      </w:r>
      <w:r w:rsidR="00607949">
        <w:rPr>
          <w:rFonts w:cs="Open Sans"/>
        </w:rPr>
        <w:t xml:space="preserve">and consequential </w:t>
      </w:r>
      <w:r w:rsidR="00B46E61">
        <w:rPr>
          <w:rFonts w:cs="Open Sans"/>
        </w:rPr>
        <w:t xml:space="preserve">reasoning matures through adolescence, and </w:t>
      </w:r>
      <w:r w:rsidR="0094677D">
        <w:rPr>
          <w:rFonts w:cs="Open Sans"/>
        </w:rPr>
        <w:t xml:space="preserve">that this capacity </w:t>
      </w:r>
      <w:r w:rsidR="00B46E61">
        <w:rPr>
          <w:rFonts w:cs="Open Sans"/>
        </w:rPr>
        <w:t>develops at a different pace for different children.</w:t>
      </w:r>
      <w:r w:rsidR="00B46E61">
        <w:rPr>
          <w:rStyle w:val="EndnoteReference"/>
          <w:szCs w:val="22"/>
        </w:rPr>
        <w:endnoteReference w:id="56"/>
      </w:r>
    </w:p>
    <w:p w14:paraId="158163F0" w14:textId="4894DCAA" w:rsidR="00B46E61" w:rsidRDefault="00A34DD8" w:rsidP="00B46E61">
      <w:pPr>
        <w:rPr>
          <w:lang w:val="en-US"/>
        </w:rPr>
      </w:pPr>
      <w:r>
        <w:rPr>
          <w:lang w:val="en-US"/>
        </w:rPr>
        <w:t>T</w:t>
      </w:r>
      <w:r w:rsidR="00B46E61">
        <w:rPr>
          <w:lang w:val="en-US"/>
        </w:rPr>
        <w:t xml:space="preserve">he UN Committee on the Rights of the Child has cautioned against systems </w:t>
      </w:r>
      <w:r w:rsidR="00B558F2">
        <w:rPr>
          <w:lang w:val="en-US"/>
        </w:rPr>
        <w:t xml:space="preserve">such as </w:t>
      </w:r>
      <w:proofErr w:type="spellStart"/>
      <w:r w:rsidR="00B558F2">
        <w:rPr>
          <w:lang w:val="en-US"/>
        </w:rPr>
        <w:t>doli</w:t>
      </w:r>
      <w:proofErr w:type="spellEnd"/>
      <w:r w:rsidR="00B558F2">
        <w:rPr>
          <w:lang w:val="en-US"/>
        </w:rPr>
        <w:t xml:space="preserve"> incapax </w:t>
      </w:r>
      <w:r w:rsidR="00B46E61">
        <w:rPr>
          <w:lang w:val="en-US"/>
        </w:rPr>
        <w:t xml:space="preserve">that set a low MACR but have a higher age below which </w:t>
      </w:r>
      <w:proofErr w:type="gramStart"/>
      <w:r w:rsidR="00B46E61">
        <w:rPr>
          <w:lang w:val="en-US"/>
        </w:rPr>
        <w:t>sufficient</w:t>
      </w:r>
      <w:proofErr w:type="gramEnd"/>
      <w:r w:rsidR="00B46E61">
        <w:rPr>
          <w:lang w:val="en-US"/>
        </w:rPr>
        <w:t xml:space="preserve"> maturity must be demonstrated. It points out:</w:t>
      </w:r>
    </w:p>
    <w:p w14:paraId="1FE3AC75" w14:textId="77777777" w:rsidR="00B46E61" w:rsidRPr="00B558F2" w:rsidRDefault="00B46E61" w:rsidP="00B558F2">
      <w:pPr>
        <w:ind w:left="720"/>
        <w:rPr>
          <w:sz w:val="22"/>
          <w:szCs w:val="22"/>
          <w:lang w:val="en-US"/>
        </w:rPr>
      </w:pPr>
      <w:r w:rsidRPr="00B558F2">
        <w:rPr>
          <w:sz w:val="22"/>
          <w:szCs w:val="22"/>
          <w:lang w:val="en-US"/>
        </w:rPr>
        <w:t>Initially devised as a protective system, it has not proved so in practice. Although there is some support for the idea of individualized assessment of criminal responsibility,</w:t>
      </w:r>
      <w:r w:rsidRPr="00B558F2">
        <w:rPr>
          <w:rStyle w:val="FootnoteReference"/>
          <w:rFonts w:ascii="Open Sans" w:hAnsi="Open Sans" w:cs="Open Sans"/>
          <w:sz w:val="22"/>
          <w:szCs w:val="22"/>
          <w:lang w:val="en-US"/>
        </w:rPr>
        <w:t xml:space="preserve"> </w:t>
      </w:r>
      <w:r w:rsidRPr="00B558F2">
        <w:rPr>
          <w:sz w:val="22"/>
          <w:szCs w:val="22"/>
          <w:lang w:val="en-US"/>
        </w:rPr>
        <w:t xml:space="preserve">the Committee has observed that this leaves much to the discretion of the court and results in discriminatory practices. </w:t>
      </w:r>
    </w:p>
    <w:p w14:paraId="7C5BB5CE" w14:textId="758ED3FA" w:rsidR="00B46E61" w:rsidRPr="00B558F2" w:rsidRDefault="00B46E61" w:rsidP="00B558F2">
      <w:pPr>
        <w:ind w:left="720"/>
        <w:rPr>
          <w:sz w:val="22"/>
          <w:szCs w:val="22"/>
          <w:lang w:val="en-US"/>
        </w:rPr>
      </w:pPr>
      <w:r w:rsidRPr="00B558F2">
        <w:rPr>
          <w:sz w:val="22"/>
          <w:szCs w:val="22"/>
          <w:lang w:val="en-US"/>
        </w:rPr>
        <w:t xml:space="preserve">States are urged </w:t>
      </w:r>
      <w:r w:rsidRPr="00B558F2">
        <w:rPr>
          <w:sz w:val="22"/>
          <w:szCs w:val="22"/>
        </w:rPr>
        <w:t>to</w:t>
      </w:r>
      <w:r w:rsidRPr="00B558F2">
        <w:rPr>
          <w:sz w:val="22"/>
          <w:szCs w:val="22"/>
          <w:lang w:val="en-US"/>
        </w:rPr>
        <w:t xml:space="preserve"> set one appropriate minimum age and to ensure that such legal reform does not result in a retrogressive position regarding the minimum age of criminal responsibility.</w:t>
      </w:r>
      <w:r w:rsidR="00B558F2">
        <w:rPr>
          <w:rStyle w:val="EndnoteReference"/>
          <w:szCs w:val="22"/>
          <w:lang w:val="en-US"/>
        </w:rPr>
        <w:endnoteReference w:id="57"/>
      </w:r>
      <w:r w:rsidRPr="00B558F2">
        <w:rPr>
          <w:sz w:val="22"/>
          <w:szCs w:val="22"/>
          <w:lang w:val="en-US"/>
        </w:rPr>
        <w:t xml:space="preserve"> </w:t>
      </w:r>
    </w:p>
    <w:p w14:paraId="1AB7F627" w14:textId="2F2384A6" w:rsidR="00C472A2" w:rsidRPr="00C472A2" w:rsidRDefault="004D0237" w:rsidP="00C472A2">
      <w:pPr>
        <w:rPr>
          <w:rFonts w:cs="Open Sans"/>
          <w:sz w:val="22"/>
          <w:szCs w:val="22"/>
        </w:rPr>
      </w:pPr>
      <w:r>
        <w:rPr>
          <w:rFonts w:cs="Open Sans"/>
        </w:rPr>
        <w:t>In Australia, t</w:t>
      </w:r>
      <w:r w:rsidR="008B05F8">
        <w:rPr>
          <w:rFonts w:cs="Open Sans"/>
        </w:rPr>
        <w:t xml:space="preserve">here have been ongoing </w:t>
      </w:r>
      <w:r w:rsidR="00933408">
        <w:rPr>
          <w:rFonts w:cs="Open Sans"/>
        </w:rPr>
        <w:t xml:space="preserve">questions raised about whether </w:t>
      </w:r>
      <w:proofErr w:type="spellStart"/>
      <w:r w:rsidR="00234451">
        <w:rPr>
          <w:rFonts w:cs="Open Sans"/>
        </w:rPr>
        <w:t>doli</w:t>
      </w:r>
      <w:proofErr w:type="spellEnd"/>
      <w:r w:rsidR="00234451">
        <w:rPr>
          <w:rFonts w:cs="Open Sans"/>
        </w:rPr>
        <w:t xml:space="preserve"> incapax</w:t>
      </w:r>
      <w:r w:rsidR="00933408">
        <w:rPr>
          <w:rFonts w:cs="Open Sans"/>
        </w:rPr>
        <w:t xml:space="preserve"> is </w:t>
      </w:r>
      <w:r w:rsidR="001A3562">
        <w:rPr>
          <w:rFonts w:cs="Open Sans"/>
        </w:rPr>
        <w:t>operating effectively</w:t>
      </w:r>
      <w:r w:rsidR="00C96716">
        <w:rPr>
          <w:rFonts w:cs="Open Sans"/>
        </w:rPr>
        <w:t>.</w:t>
      </w:r>
      <w:r w:rsidR="008B05F8">
        <w:rPr>
          <w:rStyle w:val="EndnoteReference"/>
        </w:rPr>
        <w:endnoteReference w:id="58"/>
      </w:r>
      <w:r w:rsidR="00C96716">
        <w:rPr>
          <w:rFonts w:cs="Open Sans"/>
        </w:rPr>
        <w:t xml:space="preserve"> </w:t>
      </w:r>
      <w:r w:rsidR="001A3562">
        <w:rPr>
          <w:rFonts w:cs="Open Sans"/>
        </w:rPr>
        <w:t>Early on, a</w:t>
      </w:r>
      <w:r w:rsidR="00806B0B">
        <w:rPr>
          <w:rFonts w:cs="Open Sans"/>
        </w:rPr>
        <w:t xml:space="preserve"> </w:t>
      </w:r>
      <w:r w:rsidR="00B32D76">
        <w:rPr>
          <w:rFonts w:cs="Open Sans"/>
        </w:rPr>
        <w:t xml:space="preserve">comprehensive review of </w:t>
      </w:r>
      <w:r w:rsidR="009C6DEC">
        <w:rPr>
          <w:rFonts w:cs="Open Sans"/>
        </w:rPr>
        <w:t>children’s legal rights in 1997</w:t>
      </w:r>
      <w:r w:rsidR="00613677">
        <w:rPr>
          <w:rFonts w:cs="Open Sans"/>
        </w:rPr>
        <w:t xml:space="preserve"> by the Australian Law Reform Commission and the Human Rights and Equal Opportunity Commission</w:t>
      </w:r>
      <w:r w:rsidR="000B4DC4">
        <w:rPr>
          <w:rFonts w:cs="Open Sans"/>
        </w:rPr>
        <w:t xml:space="preserve"> </w:t>
      </w:r>
      <w:r w:rsidR="00806B0B">
        <w:rPr>
          <w:rFonts w:cs="Open Sans"/>
        </w:rPr>
        <w:t xml:space="preserve">acknowledged that </w:t>
      </w:r>
      <w:proofErr w:type="spellStart"/>
      <w:r w:rsidR="0061177E">
        <w:rPr>
          <w:rFonts w:cs="Open Sans"/>
        </w:rPr>
        <w:t>doli</w:t>
      </w:r>
      <w:proofErr w:type="spellEnd"/>
      <w:r w:rsidR="0061177E">
        <w:rPr>
          <w:rFonts w:cs="Open Sans"/>
        </w:rPr>
        <w:t xml:space="preserve"> incapax</w:t>
      </w:r>
      <w:r w:rsidR="00806B0B">
        <w:rPr>
          <w:rFonts w:cs="Open Sans"/>
        </w:rPr>
        <w:t xml:space="preserve"> </w:t>
      </w:r>
      <w:r w:rsidR="00C472A2">
        <w:rPr>
          <w:rFonts w:cs="Open Sans"/>
        </w:rPr>
        <w:t>can be problematic:</w:t>
      </w:r>
    </w:p>
    <w:p w14:paraId="1E6AE4ED" w14:textId="403AF440" w:rsidR="00C472A2" w:rsidRPr="00AE5AC4" w:rsidRDefault="00C472A2" w:rsidP="00C472A2">
      <w:pPr>
        <w:ind w:left="720"/>
        <w:rPr>
          <w:rFonts w:cs="Open Sans"/>
          <w:sz w:val="22"/>
          <w:szCs w:val="22"/>
        </w:rPr>
      </w:pPr>
      <w:r w:rsidRPr="00AE5AC4">
        <w:rPr>
          <w:rFonts w:cs="Open Sans"/>
          <w:color w:val="000000"/>
          <w:spacing w:val="2"/>
          <w:sz w:val="22"/>
          <w:szCs w:val="22"/>
        </w:rPr>
        <w:t>For example, it is often difficult to determine whether a child knew that the relevant act was wrong unless he or she states this during police interview or in court. Therefore, to rebut the presumption, the prosecution has sometimes been permitted to lead highly prejudicial evidence that would ordinarily be inadmissible.</w:t>
      </w:r>
      <w:r w:rsidR="00783702" w:rsidRPr="00AE5AC4">
        <w:rPr>
          <w:rFonts w:cs="Open Sans"/>
          <w:color w:val="000000"/>
          <w:spacing w:val="2"/>
          <w:sz w:val="22"/>
          <w:szCs w:val="22"/>
        </w:rPr>
        <w:t xml:space="preserve"> </w:t>
      </w:r>
      <w:r w:rsidRPr="00AE5AC4">
        <w:rPr>
          <w:rFonts w:cs="Open Sans"/>
          <w:color w:val="000000"/>
          <w:spacing w:val="2"/>
          <w:sz w:val="22"/>
          <w:szCs w:val="22"/>
        </w:rPr>
        <w:t>In these circumstances, the principle may not protect children but be to their disadvantage.</w:t>
      </w:r>
      <w:r w:rsidR="003B7AB5">
        <w:rPr>
          <w:rStyle w:val="EndnoteReference"/>
          <w:rFonts w:cs="Open Sans"/>
          <w:color w:val="000000"/>
          <w:spacing w:val="2"/>
          <w:szCs w:val="22"/>
        </w:rPr>
        <w:endnoteReference w:id="59"/>
      </w:r>
    </w:p>
    <w:p w14:paraId="5162C467" w14:textId="07DE512D" w:rsidR="00783702" w:rsidRDefault="00B82270" w:rsidP="001677C7">
      <w:r>
        <w:t>In June 2019</w:t>
      </w:r>
      <w:r w:rsidR="00723961">
        <w:t xml:space="preserve">, </w:t>
      </w:r>
      <w:r>
        <w:t xml:space="preserve">the then </w:t>
      </w:r>
      <w:r w:rsidR="001E13B7">
        <w:t xml:space="preserve">Law Council </w:t>
      </w:r>
      <w:r w:rsidR="00993B6A">
        <w:t>President</w:t>
      </w:r>
      <w:r w:rsidR="00DD2183">
        <w:t>,</w:t>
      </w:r>
      <w:r w:rsidR="00993B6A">
        <w:t xml:space="preserve"> Ar</w:t>
      </w:r>
      <w:r w:rsidR="00573E55">
        <w:t>t</w:t>
      </w:r>
      <w:r w:rsidR="00993B6A">
        <w:t>hur Moses</w:t>
      </w:r>
      <w:r w:rsidR="00DD2183">
        <w:t>,</w:t>
      </w:r>
      <w:r w:rsidR="00993B6A">
        <w:t xml:space="preserve"> </w:t>
      </w:r>
      <w:r w:rsidR="0061177E">
        <w:t>sug</w:t>
      </w:r>
      <w:r w:rsidR="00723961">
        <w:t>gested</w:t>
      </w:r>
      <w:r w:rsidR="00573E55">
        <w:t xml:space="preserve"> that </w:t>
      </w:r>
      <w:proofErr w:type="spellStart"/>
      <w:r w:rsidR="0042788A">
        <w:t>doli</w:t>
      </w:r>
      <w:proofErr w:type="spellEnd"/>
      <w:r w:rsidR="0042788A">
        <w:t xml:space="preserve"> incapax is extremely difficult to apply in court</w:t>
      </w:r>
      <w:r w:rsidR="00783702">
        <w:t>:</w:t>
      </w:r>
    </w:p>
    <w:p w14:paraId="3DB8535B" w14:textId="69E8BA38" w:rsidR="00665A5F" w:rsidRDefault="0079710A" w:rsidP="00783702">
      <w:pPr>
        <w:ind w:left="720"/>
        <w:rPr>
          <w:sz w:val="22"/>
          <w:szCs w:val="22"/>
        </w:rPr>
      </w:pPr>
      <w:r w:rsidRPr="00783702">
        <w:rPr>
          <w:sz w:val="22"/>
          <w:szCs w:val="22"/>
        </w:rPr>
        <w:lastRenderedPageBreak/>
        <w:t xml:space="preserve">the presumption continues to wreak confusion as to whether the defence or the prosecution bears the burden of </w:t>
      </w:r>
      <w:r w:rsidR="00636DAB" w:rsidRPr="00783702">
        <w:rPr>
          <w:sz w:val="22"/>
          <w:szCs w:val="22"/>
        </w:rPr>
        <w:t>proving that a child knew their conduct to be wrong</w:t>
      </w:r>
      <w:r w:rsidR="00BD334C" w:rsidRPr="00783702">
        <w:rPr>
          <w:sz w:val="22"/>
          <w:szCs w:val="22"/>
        </w:rPr>
        <w:t>. This leads to errors and results in children being held in custody for lengthy periods of time before the presumption can be led or tested in court, and the child acquitted.</w:t>
      </w:r>
      <w:r w:rsidR="00BD334C" w:rsidRPr="00783702">
        <w:rPr>
          <w:sz w:val="22"/>
          <w:szCs w:val="22"/>
          <w:vertAlign w:val="superscript"/>
        </w:rPr>
        <w:endnoteReference w:id="60"/>
      </w:r>
    </w:p>
    <w:p w14:paraId="582C5AF4" w14:textId="016B8C1B" w:rsidR="002432E6" w:rsidRDefault="00F91DFA" w:rsidP="00C472A2">
      <w:pPr>
        <w:rPr>
          <w:rFonts w:cs="Open Sans"/>
        </w:rPr>
      </w:pPr>
      <w:r>
        <w:rPr>
          <w:rFonts w:cs="Open Sans"/>
        </w:rPr>
        <w:t xml:space="preserve">The Commission </w:t>
      </w:r>
      <w:r w:rsidR="00723961">
        <w:rPr>
          <w:rFonts w:cs="Open Sans"/>
        </w:rPr>
        <w:t xml:space="preserve">is </w:t>
      </w:r>
      <w:r w:rsidR="00E27D4B">
        <w:rPr>
          <w:rFonts w:cs="Open Sans"/>
        </w:rPr>
        <w:t xml:space="preserve">also </w:t>
      </w:r>
      <w:r>
        <w:rPr>
          <w:rFonts w:cs="Open Sans"/>
        </w:rPr>
        <w:t>concern</w:t>
      </w:r>
      <w:r w:rsidR="00723961">
        <w:rPr>
          <w:rFonts w:cs="Open Sans"/>
        </w:rPr>
        <w:t>ed</w:t>
      </w:r>
      <w:r>
        <w:rPr>
          <w:rFonts w:cs="Open Sans"/>
        </w:rPr>
        <w:t xml:space="preserve"> that </w:t>
      </w:r>
      <w:r w:rsidR="00A24027">
        <w:rPr>
          <w:rFonts w:cs="Open Sans"/>
        </w:rPr>
        <w:t xml:space="preserve">the principle of </w:t>
      </w:r>
      <w:proofErr w:type="spellStart"/>
      <w:r>
        <w:rPr>
          <w:rFonts w:cs="Open Sans"/>
        </w:rPr>
        <w:t>doli</w:t>
      </w:r>
      <w:proofErr w:type="spellEnd"/>
      <w:r>
        <w:rPr>
          <w:rFonts w:cs="Open Sans"/>
        </w:rPr>
        <w:t xml:space="preserve"> incapax </w:t>
      </w:r>
      <w:r w:rsidR="00782DF1">
        <w:rPr>
          <w:rFonts w:cs="Open Sans"/>
        </w:rPr>
        <w:t>may not be</w:t>
      </w:r>
      <w:r w:rsidR="00D82D0C">
        <w:rPr>
          <w:rFonts w:cs="Open Sans"/>
        </w:rPr>
        <w:t xml:space="preserve"> </w:t>
      </w:r>
      <w:r w:rsidR="00A24027">
        <w:rPr>
          <w:rFonts w:cs="Open Sans"/>
        </w:rPr>
        <w:t xml:space="preserve">routinely applied across Australia, and is failing to </w:t>
      </w:r>
      <w:r w:rsidR="001120CB">
        <w:rPr>
          <w:rFonts w:cs="Open Sans"/>
        </w:rPr>
        <w:t xml:space="preserve">protect </w:t>
      </w:r>
      <w:r w:rsidR="00BA7A28">
        <w:rPr>
          <w:rFonts w:cs="Open Sans"/>
        </w:rPr>
        <w:t xml:space="preserve">children aged 10-14, </w:t>
      </w:r>
      <w:proofErr w:type="gramStart"/>
      <w:r w:rsidR="00BA7A28">
        <w:rPr>
          <w:rFonts w:cs="Open Sans"/>
        </w:rPr>
        <w:t>in particular those</w:t>
      </w:r>
      <w:proofErr w:type="gramEnd"/>
      <w:r w:rsidR="00BA7A28">
        <w:rPr>
          <w:rFonts w:cs="Open Sans"/>
        </w:rPr>
        <w:t xml:space="preserve"> who may have </w:t>
      </w:r>
      <w:r w:rsidR="005C361B">
        <w:rPr>
          <w:rFonts w:cs="Open Sans"/>
        </w:rPr>
        <w:t>cognitive or other difficulties</w:t>
      </w:r>
      <w:r w:rsidR="003D1536">
        <w:rPr>
          <w:rFonts w:cs="Open Sans"/>
        </w:rPr>
        <w:t xml:space="preserve"> or those in rural, regional and remote areas</w:t>
      </w:r>
      <w:r w:rsidR="00976DE4">
        <w:rPr>
          <w:rFonts w:cs="Open Sans"/>
        </w:rPr>
        <w:t xml:space="preserve">. </w:t>
      </w:r>
      <w:r w:rsidR="002432E6">
        <w:rPr>
          <w:rFonts w:cs="Open Sans"/>
        </w:rPr>
        <w:t xml:space="preserve">However, </w:t>
      </w:r>
      <w:r w:rsidR="00B6433D">
        <w:rPr>
          <w:rFonts w:cs="Open Sans"/>
        </w:rPr>
        <w:t xml:space="preserve">there is little research on </w:t>
      </w:r>
      <w:r w:rsidR="00357C09">
        <w:rPr>
          <w:rFonts w:cs="Open Sans"/>
        </w:rPr>
        <w:t xml:space="preserve">how </w:t>
      </w:r>
      <w:r w:rsidR="00933408">
        <w:rPr>
          <w:rFonts w:cs="Open Sans"/>
        </w:rPr>
        <w:t>it operates</w:t>
      </w:r>
      <w:r w:rsidR="005007CB">
        <w:rPr>
          <w:rFonts w:cs="Open Sans"/>
        </w:rPr>
        <w:t xml:space="preserve"> nationally</w:t>
      </w:r>
      <w:r w:rsidR="00933408">
        <w:rPr>
          <w:rFonts w:cs="Open Sans"/>
        </w:rPr>
        <w:t>.</w:t>
      </w:r>
      <w:r w:rsidR="00E27D4B">
        <w:rPr>
          <w:rStyle w:val="EndnoteReference"/>
          <w:rFonts w:cs="Open Sans"/>
        </w:rPr>
        <w:endnoteReference w:id="61"/>
      </w:r>
      <w:r w:rsidR="00933408">
        <w:rPr>
          <w:rFonts w:cs="Open Sans"/>
        </w:rPr>
        <w:t xml:space="preserve"> </w:t>
      </w:r>
      <w:r w:rsidR="00A57274">
        <w:rPr>
          <w:rFonts w:cs="Open Sans"/>
        </w:rPr>
        <w:t>There needs to be a</w:t>
      </w:r>
      <w:r w:rsidR="003746BE">
        <w:rPr>
          <w:rFonts w:cs="Open Sans"/>
        </w:rPr>
        <w:t>n</w:t>
      </w:r>
      <w:r w:rsidR="002432E6">
        <w:rPr>
          <w:rFonts w:cs="Open Sans"/>
        </w:rPr>
        <w:t xml:space="preserve"> evidence-based review of how </w:t>
      </w:r>
      <w:proofErr w:type="spellStart"/>
      <w:r w:rsidR="002432E6">
        <w:rPr>
          <w:rFonts w:cs="Open Sans"/>
        </w:rPr>
        <w:t>doli</w:t>
      </w:r>
      <w:proofErr w:type="spellEnd"/>
      <w:r w:rsidR="002432E6">
        <w:rPr>
          <w:rFonts w:cs="Open Sans"/>
        </w:rPr>
        <w:t xml:space="preserve"> incapax </w:t>
      </w:r>
      <w:r w:rsidR="00B47C86">
        <w:rPr>
          <w:rFonts w:cs="Open Sans"/>
        </w:rPr>
        <w:t>operates in practice</w:t>
      </w:r>
      <w:r w:rsidR="000D2B08">
        <w:rPr>
          <w:rFonts w:cs="Open Sans"/>
        </w:rPr>
        <w:t>, across all jurisdictions</w:t>
      </w:r>
      <w:r w:rsidR="00637342">
        <w:rPr>
          <w:rFonts w:cs="Open Sans"/>
        </w:rPr>
        <w:t>, and whether i</w:t>
      </w:r>
      <w:r w:rsidR="00EC70C2">
        <w:rPr>
          <w:rFonts w:cs="Open Sans"/>
        </w:rPr>
        <w:t xml:space="preserve">t </w:t>
      </w:r>
      <w:r w:rsidR="00637342">
        <w:rPr>
          <w:rFonts w:cs="Open Sans"/>
        </w:rPr>
        <w:t>provide</w:t>
      </w:r>
      <w:r w:rsidR="00EC70C2">
        <w:rPr>
          <w:rFonts w:cs="Open Sans"/>
        </w:rPr>
        <w:t>s  adequate</w:t>
      </w:r>
      <w:r w:rsidR="00637342">
        <w:rPr>
          <w:rFonts w:cs="Open Sans"/>
        </w:rPr>
        <w:t xml:space="preserve"> protection to chi</w:t>
      </w:r>
      <w:r w:rsidR="00CA54E2">
        <w:rPr>
          <w:rFonts w:cs="Open Sans"/>
        </w:rPr>
        <w:t>ld</w:t>
      </w:r>
      <w:r w:rsidR="00637342">
        <w:rPr>
          <w:rFonts w:cs="Open Sans"/>
        </w:rPr>
        <w:t xml:space="preserve">ren who lack the capacity to understand what </w:t>
      </w:r>
      <w:r w:rsidR="00CA54E2">
        <w:rPr>
          <w:rFonts w:cs="Open Sans"/>
        </w:rPr>
        <w:t>they did is seriously wrong.</w:t>
      </w:r>
    </w:p>
    <w:p w14:paraId="60435CC5" w14:textId="29B20BED" w:rsidR="007A7855" w:rsidRDefault="007A7855" w:rsidP="00665A5F">
      <w:pPr>
        <w:rPr>
          <w:rFonts w:cs="Open Sans"/>
        </w:rPr>
      </w:pPr>
      <w:r>
        <w:rPr>
          <w:rFonts w:cs="Open Sans"/>
        </w:rPr>
        <w:t xml:space="preserve">If </w:t>
      </w:r>
      <w:proofErr w:type="spellStart"/>
      <w:r>
        <w:rPr>
          <w:rFonts w:cs="Open Sans"/>
        </w:rPr>
        <w:t>doli</w:t>
      </w:r>
      <w:proofErr w:type="spellEnd"/>
      <w:r>
        <w:rPr>
          <w:rFonts w:cs="Open Sans"/>
        </w:rPr>
        <w:t xml:space="preserve"> incapax</w:t>
      </w:r>
      <w:r w:rsidR="003245E9">
        <w:rPr>
          <w:rFonts w:cs="Open Sans"/>
        </w:rPr>
        <w:t xml:space="preserve"> is </w:t>
      </w:r>
      <w:r w:rsidR="00CE3491">
        <w:rPr>
          <w:rFonts w:cs="Open Sans"/>
        </w:rPr>
        <w:t>retained</w:t>
      </w:r>
      <w:r>
        <w:rPr>
          <w:rFonts w:cs="Open Sans"/>
        </w:rPr>
        <w:t xml:space="preserve">, </w:t>
      </w:r>
      <w:r w:rsidR="009A36A1">
        <w:rPr>
          <w:rFonts w:cs="Open Sans"/>
        </w:rPr>
        <w:t xml:space="preserve">the Commission </w:t>
      </w:r>
      <w:r w:rsidR="00B22090">
        <w:rPr>
          <w:rFonts w:cs="Open Sans"/>
        </w:rPr>
        <w:t xml:space="preserve">recommends </w:t>
      </w:r>
      <w:r w:rsidR="000D6B01">
        <w:rPr>
          <w:rFonts w:cs="Open Sans"/>
        </w:rPr>
        <w:t xml:space="preserve">comprehensive </w:t>
      </w:r>
      <w:r>
        <w:rPr>
          <w:rFonts w:cs="Open Sans"/>
        </w:rPr>
        <w:t xml:space="preserve">education of </w:t>
      </w:r>
      <w:r w:rsidR="0038792A">
        <w:rPr>
          <w:rFonts w:cs="Open Sans"/>
        </w:rPr>
        <w:t>magistrate</w:t>
      </w:r>
      <w:r w:rsidR="00A453DF">
        <w:rPr>
          <w:rFonts w:cs="Open Sans"/>
        </w:rPr>
        <w:t>s</w:t>
      </w:r>
      <w:r w:rsidR="0038792A">
        <w:rPr>
          <w:rFonts w:cs="Open Sans"/>
        </w:rPr>
        <w:t>, prosecut</w:t>
      </w:r>
      <w:r w:rsidR="00A453DF">
        <w:rPr>
          <w:rFonts w:cs="Open Sans"/>
        </w:rPr>
        <w:t>ors</w:t>
      </w:r>
      <w:r w:rsidR="0038792A">
        <w:rPr>
          <w:rFonts w:cs="Open Sans"/>
        </w:rPr>
        <w:t>, defen</w:t>
      </w:r>
      <w:r w:rsidR="00A453DF">
        <w:rPr>
          <w:rFonts w:cs="Open Sans"/>
        </w:rPr>
        <w:t>ders</w:t>
      </w:r>
      <w:r w:rsidR="00F32095">
        <w:rPr>
          <w:rFonts w:cs="Open Sans"/>
        </w:rPr>
        <w:t xml:space="preserve"> and child</w:t>
      </w:r>
      <w:r w:rsidR="00D253BE">
        <w:rPr>
          <w:rFonts w:cs="Open Sans"/>
        </w:rPr>
        <w:t>ren</w:t>
      </w:r>
      <w:r w:rsidR="00F32095">
        <w:rPr>
          <w:rFonts w:cs="Open Sans"/>
        </w:rPr>
        <w:t xml:space="preserve"> </w:t>
      </w:r>
      <w:r w:rsidR="0014589A">
        <w:rPr>
          <w:rFonts w:cs="Open Sans"/>
        </w:rPr>
        <w:t xml:space="preserve">themselves </w:t>
      </w:r>
      <w:r w:rsidR="00357C09">
        <w:rPr>
          <w:rFonts w:cs="Open Sans"/>
        </w:rPr>
        <w:t>take p</w:t>
      </w:r>
      <w:r w:rsidR="00945D1C">
        <w:rPr>
          <w:rFonts w:cs="Open Sans"/>
        </w:rPr>
        <w:t>lace</w:t>
      </w:r>
      <w:r w:rsidR="00812560">
        <w:rPr>
          <w:rFonts w:cs="Open Sans"/>
        </w:rPr>
        <w:t xml:space="preserve">, and the </w:t>
      </w:r>
      <w:r w:rsidR="002550CB">
        <w:rPr>
          <w:rFonts w:cs="Open Sans"/>
        </w:rPr>
        <w:t>provision of adequate resources to apply the test in all cases.</w:t>
      </w:r>
    </w:p>
    <w:tbl>
      <w:tblPr>
        <w:tblStyle w:val="TableGrid"/>
        <w:tblW w:w="0" w:type="auto"/>
        <w:tblLook w:val="04A0" w:firstRow="1" w:lastRow="0" w:firstColumn="1" w:lastColumn="0" w:noHBand="0" w:noVBand="1"/>
      </w:tblPr>
      <w:tblGrid>
        <w:gridCol w:w="9060"/>
      </w:tblGrid>
      <w:tr w:rsidR="00E72960" w14:paraId="4427A7F3" w14:textId="77777777" w:rsidTr="00896779">
        <w:tc>
          <w:tcPr>
            <w:tcW w:w="9060" w:type="dxa"/>
            <w:shd w:val="clear" w:color="auto" w:fill="DEEAF6" w:themeFill="accent1" w:themeFillTint="33"/>
          </w:tcPr>
          <w:p w14:paraId="2C38644E" w14:textId="2EF0EACA" w:rsidR="00945D1C" w:rsidRPr="00896779" w:rsidRDefault="00945D1C" w:rsidP="00945D1C">
            <w:pPr>
              <w:rPr>
                <w:rFonts w:cs="Open Sans"/>
                <w:b/>
                <w:bCs/>
              </w:rPr>
            </w:pPr>
            <w:r w:rsidRPr="00896779">
              <w:rPr>
                <w:rFonts w:cs="Open Sans"/>
                <w:b/>
                <w:bCs/>
              </w:rPr>
              <w:t xml:space="preserve">Recommendation </w:t>
            </w:r>
            <w:r w:rsidR="002550CB" w:rsidRPr="000227B0">
              <w:rPr>
                <w:rFonts w:cs="Open Sans"/>
                <w:b/>
                <w:bCs/>
              </w:rPr>
              <w:t>2</w:t>
            </w:r>
          </w:p>
          <w:p w14:paraId="7ECEE56D" w14:textId="14CD287A" w:rsidR="00E72960" w:rsidRDefault="00945D1C" w:rsidP="00945D1C">
            <w:pPr>
              <w:rPr>
                <w:rFonts w:cs="Open Sans"/>
              </w:rPr>
            </w:pPr>
            <w:r>
              <w:rPr>
                <w:rFonts w:cs="Open Sans"/>
              </w:rPr>
              <w:t>The Australian Government should commission a national r</w:t>
            </w:r>
            <w:r w:rsidR="00E72960" w:rsidRPr="00945D1C">
              <w:rPr>
                <w:rFonts w:cs="Open Sans"/>
              </w:rPr>
              <w:t xml:space="preserve">eview of </w:t>
            </w:r>
            <w:r>
              <w:rPr>
                <w:rFonts w:cs="Open Sans"/>
              </w:rPr>
              <w:t xml:space="preserve">the </w:t>
            </w:r>
            <w:r w:rsidR="00E72960" w:rsidRPr="00945D1C">
              <w:rPr>
                <w:rFonts w:cs="Open Sans"/>
              </w:rPr>
              <w:t xml:space="preserve">operation of </w:t>
            </w:r>
            <w:proofErr w:type="spellStart"/>
            <w:r w:rsidR="00E72960" w:rsidRPr="00945D1C">
              <w:rPr>
                <w:rFonts w:cs="Open Sans"/>
              </w:rPr>
              <w:t>doli</w:t>
            </w:r>
            <w:proofErr w:type="spellEnd"/>
            <w:r w:rsidR="00E72960" w:rsidRPr="00945D1C">
              <w:rPr>
                <w:rFonts w:cs="Open Sans"/>
              </w:rPr>
              <w:t xml:space="preserve"> incapax</w:t>
            </w:r>
            <w:r>
              <w:rPr>
                <w:rFonts w:cs="Open Sans"/>
              </w:rPr>
              <w:t xml:space="preserve"> and its effe</w:t>
            </w:r>
            <w:r w:rsidR="008F45F0">
              <w:rPr>
                <w:rFonts w:cs="Open Sans"/>
              </w:rPr>
              <w:t>c</w:t>
            </w:r>
            <w:r>
              <w:rPr>
                <w:rFonts w:cs="Open Sans"/>
              </w:rPr>
              <w:t>t</w:t>
            </w:r>
            <w:r w:rsidR="008F45F0">
              <w:rPr>
                <w:rFonts w:cs="Open Sans"/>
              </w:rPr>
              <w:t xml:space="preserve">iveness </w:t>
            </w:r>
            <w:r w:rsidR="00DD6E7A">
              <w:rPr>
                <w:rFonts w:cs="Open Sans"/>
              </w:rPr>
              <w:t xml:space="preserve">in </w:t>
            </w:r>
            <w:r w:rsidR="008F45F0">
              <w:rPr>
                <w:rFonts w:cs="Open Sans"/>
              </w:rPr>
              <w:t>provid</w:t>
            </w:r>
            <w:r w:rsidR="00DD6E7A">
              <w:rPr>
                <w:rFonts w:cs="Open Sans"/>
              </w:rPr>
              <w:t>ing</w:t>
            </w:r>
            <w:r w:rsidR="008F45F0">
              <w:rPr>
                <w:rFonts w:cs="Open Sans"/>
              </w:rPr>
              <w:t xml:space="preserve"> protection to children who lack the capacity to understand </w:t>
            </w:r>
            <w:r w:rsidR="00A453DF">
              <w:rPr>
                <w:rFonts w:cs="Open Sans"/>
              </w:rPr>
              <w:t xml:space="preserve">that </w:t>
            </w:r>
            <w:r w:rsidR="008F45F0">
              <w:rPr>
                <w:rFonts w:cs="Open Sans"/>
              </w:rPr>
              <w:t>what they did is seriously wrong</w:t>
            </w:r>
            <w:r w:rsidR="00D71747">
              <w:rPr>
                <w:rFonts w:cs="Open Sans"/>
              </w:rPr>
              <w:t>.</w:t>
            </w:r>
          </w:p>
          <w:p w14:paraId="27AD450C" w14:textId="7FFDCB67" w:rsidR="00461148" w:rsidRPr="000227B0" w:rsidRDefault="00461148" w:rsidP="00945D1C">
            <w:pPr>
              <w:rPr>
                <w:rFonts w:cs="Open Sans"/>
                <w:b/>
                <w:bCs/>
              </w:rPr>
            </w:pPr>
            <w:r w:rsidRPr="000227B0">
              <w:rPr>
                <w:rFonts w:cs="Open Sans"/>
                <w:b/>
                <w:bCs/>
              </w:rPr>
              <w:t>Recommendation 3</w:t>
            </w:r>
          </w:p>
          <w:p w14:paraId="6B28DF46" w14:textId="77777777" w:rsidR="002650C7" w:rsidRDefault="00AD7C2A" w:rsidP="008F45F0">
            <w:pPr>
              <w:rPr>
                <w:rFonts w:cs="Open Sans"/>
              </w:rPr>
            </w:pPr>
            <w:r>
              <w:rPr>
                <w:rFonts w:cs="Open Sans"/>
              </w:rPr>
              <w:t xml:space="preserve">If </w:t>
            </w:r>
            <w:proofErr w:type="spellStart"/>
            <w:r>
              <w:rPr>
                <w:rFonts w:cs="Open Sans"/>
              </w:rPr>
              <w:t>doli</w:t>
            </w:r>
            <w:proofErr w:type="spellEnd"/>
            <w:r>
              <w:rPr>
                <w:rFonts w:cs="Open Sans"/>
              </w:rPr>
              <w:t xml:space="preserve"> incapax is retained, Australian Governments </w:t>
            </w:r>
            <w:r w:rsidR="00D71747">
              <w:rPr>
                <w:rFonts w:cs="Open Sans"/>
              </w:rPr>
              <w:t>should</w:t>
            </w:r>
            <w:r w:rsidR="00A047AD">
              <w:rPr>
                <w:rFonts w:cs="Open Sans"/>
              </w:rPr>
              <w:t>:</w:t>
            </w:r>
          </w:p>
          <w:p w14:paraId="07F90254" w14:textId="6B6C2437" w:rsidR="002650C7" w:rsidRDefault="00AD7C2A" w:rsidP="002650C7">
            <w:pPr>
              <w:pStyle w:val="ListParagraph"/>
              <w:numPr>
                <w:ilvl w:val="0"/>
                <w:numId w:val="49"/>
              </w:numPr>
              <w:rPr>
                <w:rFonts w:cs="Open Sans"/>
              </w:rPr>
            </w:pPr>
            <w:r w:rsidRPr="002650C7">
              <w:rPr>
                <w:rFonts w:cs="Open Sans"/>
              </w:rPr>
              <w:t>fund legal e</w:t>
            </w:r>
            <w:r w:rsidR="008F45F0" w:rsidRPr="002650C7">
              <w:rPr>
                <w:rFonts w:cs="Open Sans"/>
              </w:rPr>
              <w:t>ducation for m</w:t>
            </w:r>
            <w:r w:rsidR="00D55F53" w:rsidRPr="002650C7">
              <w:rPr>
                <w:rFonts w:cs="Open Sans"/>
              </w:rPr>
              <w:t xml:space="preserve">agistrates, prosecution, defence and children </w:t>
            </w:r>
            <w:r w:rsidR="007070B9" w:rsidRPr="002650C7">
              <w:rPr>
                <w:rFonts w:cs="Open Sans"/>
              </w:rPr>
              <w:t xml:space="preserve">in </w:t>
            </w:r>
            <w:r w:rsidR="008F45F0" w:rsidRPr="00E2080B">
              <w:rPr>
                <w:rFonts w:cs="Open Sans"/>
              </w:rPr>
              <w:t xml:space="preserve">the </w:t>
            </w:r>
            <w:r w:rsidR="007070B9" w:rsidRPr="00A041B1">
              <w:rPr>
                <w:rFonts w:cs="Open Sans"/>
              </w:rPr>
              <w:t xml:space="preserve">youth justice system on </w:t>
            </w:r>
            <w:proofErr w:type="spellStart"/>
            <w:r w:rsidR="007D00A4" w:rsidRPr="00A041B1">
              <w:rPr>
                <w:rFonts w:cs="Open Sans"/>
              </w:rPr>
              <w:t>doli</w:t>
            </w:r>
            <w:proofErr w:type="spellEnd"/>
            <w:r w:rsidR="007D00A4" w:rsidRPr="00A041B1">
              <w:rPr>
                <w:rFonts w:cs="Open Sans"/>
              </w:rPr>
              <w:t xml:space="preserve"> incapax</w:t>
            </w:r>
          </w:p>
          <w:p w14:paraId="607D5B62" w14:textId="25D83A88" w:rsidR="00D55F53" w:rsidRPr="00AB2A4E" w:rsidRDefault="00663762" w:rsidP="00AB2A4E">
            <w:pPr>
              <w:pStyle w:val="ListParagraph"/>
              <w:numPr>
                <w:ilvl w:val="0"/>
                <w:numId w:val="49"/>
              </w:numPr>
              <w:rPr>
                <w:rFonts w:cs="Open Sans"/>
              </w:rPr>
            </w:pPr>
            <w:r>
              <w:rPr>
                <w:rFonts w:cs="Open Sans"/>
              </w:rPr>
              <w:t>adequate</w:t>
            </w:r>
            <w:r w:rsidR="00AB2A4E">
              <w:rPr>
                <w:rFonts w:cs="Open Sans"/>
              </w:rPr>
              <w:t>ly</w:t>
            </w:r>
            <w:r>
              <w:rPr>
                <w:rFonts w:cs="Open Sans"/>
              </w:rPr>
              <w:t xml:space="preserve"> </w:t>
            </w:r>
            <w:r w:rsidR="00835043">
              <w:rPr>
                <w:rFonts w:cs="Open Sans"/>
              </w:rPr>
              <w:t xml:space="preserve">resource </w:t>
            </w:r>
            <w:r w:rsidR="005648A5">
              <w:rPr>
                <w:rFonts w:cs="Open Sans"/>
              </w:rPr>
              <w:t xml:space="preserve">the legal system to apply the </w:t>
            </w:r>
            <w:proofErr w:type="spellStart"/>
            <w:r w:rsidR="001B0B9D">
              <w:rPr>
                <w:rFonts w:cs="Open Sans"/>
              </w:rPr>
              <w:t>doli</w:t>
            </w:r>
            <w:proofErr w:type="spellEnd"/>
            <w:r w:rsidR="001B0B9D">
              <w:rPr>
                <w:rFonts w:cs="Open Sans"/>
              </w:rPr>
              <w:t xml:space="preserve"> incapax </w:t>
            </w:r>
            <w:r w:rsidR="005648A5">
              <w:rPr>
                <w:rFonts w:cs="Open Sans"/>
              </w:rPr>
              <w:t>test in all cases</w:t>
            </w:r>
            <w:r w:rsidR="00AB2A4E">
              <w:rPr>
                <w:rFonts w:cs="Open Sans"/>
              </w:rPr>
              <w:t xml:space="preserve"> and </w:t>
            </w:r>
            <w:r w:rsidR="00927874" w:rsidRPr="00AB2A4E">
              <w:rPr>
                <w:rFonts w:cs="Open Sans"/>
              </w:rPr>
              <w:t>e</w:t>
            </w:r>
            <w:r w:rsidR="002E3A98" w:rsidRPr="00AB2A4E">
              <w:rPr>
                <w:rFonts w:cs="Open Sans"/>
              </w:rPr>
              <w:t xml:space="preserve">nsure pretrial assessments of a child’s cognitive </w:t>
            </w:r>
            <w:r w:rsidR="00335B22" w:rsidRPr="00AB2A4E">
              <w:rPr>
                <w:rFonts w:cs="Open Sans"/>
              </w:rPr>
              <w:t xml:space="preserve">and mental </w:t>
            </w:r>
            <w:r w:rsidR="00927874" w:rsidRPr="00AB2A4E">
              <w:rPr>
                <w:rFonts w:cs="Open Sans"/>
              </w:rPr>
              <w:t>capacity</w:t>
            </w:r>
            <w:r w:rsidR="00A4336F">
              <w:rPr>
                <w:rFonts w:cs="Open Sans"/>
              </w:rPr>
              <w:t xml:space="preserve"> are conducted.</w:t>
            </w:r>
          </w:p>
        </w:tc>
      </w:tr>
    </w:tbl>
    <w:p w14:paraId="2A258A03" w14:textId="6B984CE3" w:rsidR="00484D07" w:rsidRDefault="00853772" w:rsidP="0099687D">
      <w:pPr>
        <w:pStyle w:val="Heading1"/>
      </w:pPr>
      <w:bookmarkStart w:id="25" w:name="_Toc33622201"/>
      <w:r>
        <w:lastRenderedPageBreak/>
        <w:t>Early intervention</w:t>
      </w:r>
      <w:r w:rsidR="00FC52D4">
        <w:t xml:space="preserve">, </w:t>
      </w:r>
      <w:r>
        <w:t>rehabilitation</w:t>
      </w:r>
      <w:r w:rsidR="00FC52D4">
        <w:t xml:space="preserve"> and diversion</w:t>
      </w:r>
      <w:bookmarkEnd w:id="25"/>
    </w:p>
    <w:p w14:paraId="1D656570" w14:textId="49444926" w:rsidR="00216E67" w:rsidRPr="00470161" w:rsidRDefault="00663E85" w:rsidP="0099687D">
      <w:pPr>
        <w:pStyle w:val="Heading2"/>
      </w:pPr>
      <w:bookmarkStart w:id="26" w:name="_Toc33622202"/>
      <w:r w:rsidRPr="00470161">
        <w:t>Early intervention</w:t>
      </w:r>
      <w:bookmarkEnd w:id="26"/>
      <w:r w:rsidRPr="00470161">
        <w:t xml:space="preserve"> </w:t>
      </w:r>
    </w:p>
    <w:p w14:paraId="5BB70D7F" w14:textId="43437005" w:rsidR="00E174C6" w:rsidRDefault="00083A81" w:rsidP="000247DE">
      <w:r>
        <w:t xml:space="preserve">As discussed above, </w:t>
      </w:r>
      <w:r w:rsidR="009B163C">
        <w:t xml:space="preserve">there is a strong association between </w:t>
      </w:r>
      <w:r w:rsidR="0089225E">
        <w:t>youth offending and economi</w:t>
      </w:r>
      <w:r w:rsidR="00AA1AE4">
        <w:t>c</w:t>
      </w:r>
      <w:r w:rsidR="0089225E">
        <w:t xml:space="preserve"> and social disadvantage</w:t>
      </w:r>
      <w:r w:rsidR="00AA1AE4">
        <w:t xml:space="preserve">. </w:t>
      </w:r>
      <w:r w:rsidR="009D60B4">
        <w:t xml:space="preserve">The health needs of </w:t>
      </w:r>
      <w:r w:rsidR="00C9520E">
        <w:t>young people in the youth justice system are particularly alarming</w:t>
      </w:r>
      <w:r w:rsidR="00417714">
        <w:t xml:space="preserve">, with </w:t>
      </w:r>
      <w:r w:rsidR="007D27F8">
        <w:t>high rates of cognitive impairment</w:t>
      </w:r>
      <w:r w:rsidR="00B654BA">
        <w:t xml:space="preserve">. </w:t>
      </w:r>
      <w:r w:rsidR="00C9520E">
        <w:t xml:space="preserve"> </w:t>
      </w:r>
    </w:p>
    <w:p w14:paraId="134495DD" w14:textId="57769A00" w:rsidR="00D40999" w:rsidRDefault="000C14C7" w:rsidP="000247DE">
      <w:r>
        <w:t>E</w:t>
      </w:r>
      <w:r w:rsidR="000F2006">
        <w:t xml:space="preserve">arly </w:t>
      </w:r>
      <w:r w:rsidR="005963C5">
        <w:t>health and social interventions</w:t>
      </w:r>
      <w:r w:rsidR="001611DD">
        <w:t xml:space="preserve"> </w:t>
      </w:r>
      <w:r>
        <w:t>are needed t</w:t>
      </w:r>
      <w:r w:rsidR="001611DD">
        <w:t xml:space="preserve">o address these social and economic </w:t>
      </w:r>
      <w:r w:rsidR="00DD2AB0">
        <w:t>risk factors</w:t>
      </w:r>
      <w:r w:rsidR="002A2768">
        <w:t xml:space="preserve">, </w:t>
      </w:r>
      <w:proofErr w:type="gramStart"/>
      <w:r w:rsidR="002A2768">
        <w:t>in particular for</w:t>
      </w:r>
      <w:proofErr w:type="gramEnd"/>
      <w:r w:rsidR="002A2768">
        <w:t xml:space="preserve"> </w:t>
      </w:r>
      <w:r w:rsidR="00123036">
        <w:t>those groups overrepresented in the youth justice system.</w:t>
      </w:r>
      <w:r w:rsidR="00087F40">
        <w:t xml:space="preserve"> The NT Royal Commis</w:t>
      </w:r>
      <w:r w:rsidR="005B3E74">
        <w:t>si</w:t>
      </w:r>
      <w:r w:rsidR="00087F40">
        <w:t>on found that</w:t>
      </w:r>
    </w:p>
    <w:p w14:paraId="047499C9" w14:textId="3415F841" w:rsidR="00454B61" w:rsidRPr="00454B61" w:rsidRDefault="00D40999" w:rsidP="00454B61">
      <w:pPr>
        <w:ind w:left="720"/>
        <w:rPr>
          <w:sz w:val="22"/>
          <w:szCs w:val="22"/>
        </w:rPr>
      </w:pPr>
      <w:r w:rsidRPr="00454B61">
        <w:rPr>
          <w:sz w:val="22"/>
          <w:szCs w:val="22"/>
        </w:rPr>
        <w:t>while there is a ‘paucity of robust evaluation data’ in Australia about the effectiveness of mainstream and Aboriginal-specific prevention and early intervention programs that address criminogenic needs, international analysis of prevention programs has found strong evidence in the capacity of family-based programs, including behavioural parent training, to reduce youth delinquency and antisocial behaviour. There is also strong evidence that family-focused interventions can be built into a public health approach to improving parenting capacity.</w:t>
      </w:r>
      <w:r w:rsidR="00710184" w:rsidRPr="00454B61">
        <w:rPr>
          <w:sz w:val="22"/>
          <w:szCs w:val="22"/>
        </w:rPr>
        <w:t xml:space="preserve"> </w:t>
      </w:r>
      <w:r w:rsidRPr="00454B61">
        <w:rPr>
          <w:sz w:val="22"/>
          <w:szCs w:val="22"/>
        </w:rPr>
        <w:t>School retention and engagement are important factors in reducing the risk of criminal justice involvement.</w:t>
      </w:r>
      <w:r w:rsidR="003F77BF">
        <w:rPr>
          <w:rStyle w:val="EndnoteReference"/>
          <w:szCs w:val="22"/>
        </w:rPr>
        <w:endnoteReference w:id="62"/>
      </w:r>
    </w:p>
    <w:p w14:paraId="1D07AF7A" w14:textId="4C58E4E1" w:rsidR="00D40999" w:rsidRDefault="00454B61" w:rsidP="000247DE">
      <w:r>
        <w:t xml:space="preserve">The </w:t>
      </w:r>
      <w:r w:rsidR="007247F8">
        <w:t xml:space="preserve">Royal </w:t>
      </w:r>
      <w:r>
        <w:t>Commission’s inquiries</w:t>
      </w:r>
      <w:r w:rsidR="00D40999">
        <w:t xml:space="preserve"> established that early intervention efforts</w:t>
      </w:r>
      <w:r w:rsidR="00C57869">
        <w:t xml:space="preserve"> </w:t>
      </w:r>
      <w:r w:rsidR="00D40999">
        <w:t xml:space="preserve">must involve the full spectrum of services engaged with </w:t>
      </w:r>
      <w:r w:rsidR="00AA34D2">
        <w:t xml:space="preserve">children and </w:t>
      </w:r>
      <w:r w:rsidR="00D40999">
        <w:t>young people.</w:t>
      </w:r>
      <w:r w:rsidR="001806BF">
        <w:t xml:space="preserve"> </w:t>
      </w:r>
    </w:p>
    <w:p w14:paraId="3D086AE5" w14:textId="77777777" w:rsidR="0039000A" w:rsidRDefault="0039000A" w:rsidP="0039000A">
      <w:r>
        <w:t>When early intervention fails, and children engage in offending behaviours, responses should still be focused on assessing the therapeutic and basic needs of the children and their families and providing appropriate support to manage these behaviours.</w:t>
      </w:r>
    </w:p>
    <w:p w14:paraId="066AAF58" w14:textId="45586402" w:rsidR="00AF0B5F" w:rsidRDefault="00A05126" w:rsidP="000247DE">
      <w:r>
        <w:t xml:space="preserve">Money spent on </w:t>
      </w:r>
      <w:r w:rsidR="00AA34D2">
        <w:t xml:space="preserve">criminal justice responses to </w:t>
      </w:r>
      <w:r>
        <w:t xml:space="preserve">youth offending, especially detention, </w:t>
      </w:r>
      <w:r w:rsidR="0060702C">
        <w:t>would be better spent on preventing youth offending in the first place.</w:t>
      </w:r>
      <w:r w:rsidR="00B52393">
        <w:t xml:space="preserve"> </w:t>
      </w:r>
      <w:r w:rsidR="00F22BD8">
        <w:t xml:space="preserve">One approach </w:t>
      </w:r>
      <w:r w:rsidR="00D0066E">
        <w:t>which prioritises prevention is the justice reinvestment approach.</w:t>
      </w:r>
    </w:p>
    <w:tbl>
      <w:tblPr>
        <w:tblStyle w:val="TableGrid"/>
        <w:tblW w:w="0" w:type="auto"/>
        <w:tblLook w:val="04A0" w:firstRow="1" w:lastRow="0" w:firstColumn="1" w:lastColumn="0" w:noHBand="0" w:noVBand="1"/>
      </w:tblPr>
      <w:tblGrid>
        <w:gridCol w:w="9060"/>
      </w:tblGrid>
      <w:tr w:rsidR="00AF0B5F" w14:paraId="1DBAB2E5" w14:textId="77777777" w:rsidTr="00AF0B5F">
        <w:tc>
          <w:tcPr>
            <w:tcW w:w="9060" w:type="dxa"/>
          </w:tcPr>
          <w:p w14:paraId="04E0DC43" w14:textId="73A90D9C" w:rsidR="00AF0B5F" w:rsidRPr="00294FFD" w:rsidRDefault="00AF0B5F" w:rsidP="000247DE">
            <w:pPr>
              <w:rPr>
                <w:b/>
                <w:bCs/>
              </w:rPr>
            </w:pPr>
            <w:r w:rsidRPr="00294FFD">
              <w:rPr>
                <w:b/>
                <w:bCs/>
              </w:rPr>
              <w:t>Justice Reinvestment</w:t>
            </w:r>
            <w:r w:rsidR="00294FFD" w:rsidRPr="00294FFD">
              <w:rPr>
                <w:b/>
                <w:bCs/>
              </w:rPr>
              <w:t xml:space="preserve"> in Bourke</w:t>
            </w:r>
          </w:p>
          <w:p w14:paraId="7EE52A9D" w14:textId="1E819BCE" w:rsidR="00B3506E" w:rsidRDefault="00B3506E" w:rsidP="00B3506E">
            <w:bookmarkStart w:id="27" w:name="_Hlk23782843"/>
            <w:r w:rsidRPr="00472ED9">
              <w:t xml:space="preserve">The Senate Legal and Constitutional Affairs Committee, Social Justice Commissioners at the Australian Human Rights Commission and the National Children’s Commissioner, have recommended justice reinvestment strategies </w:t>
            </w:r>
            <w:r w:rsidRPr="00472ED9">
              <w:lastRenderedPageBreak/>
              <w:t>which involve diverting and reinvesting funds used for tertiary services like imprisonment to those designed to address underlying causes of crime and dysfunction, in communities with high rates of offending.</w:t>
            </w:r>
            <w:r w:rsidRPr="00472ED9">
              <w:rPr>
                <w:rStyle w:val="EndnoteReference"/>
              </w:rPr>
              <w:endnoteReference w:id="63"/>
            </w:r>
            <w:r w:rsidRPr="00472ED9">
              <w:t xml:space="preserve"> There are a number of trials and initiatives using justice reinvestment in the Australian Capital Territory, New South Wales, Northern Territory, Queensland and South Australia.</w:t>
            </w:r>
            <w:r w:rsidRPr="00472ED9">
              <w:rPr>
                <w:rStyle w:val="EndnoteReference"/>
              </w:rPr>
              <w:endnoteReference w:id="64"/>
            </w:r>
            <w:r w:rsidRPr="00472ED9">
              <w:t xml:space="preserve"> </w:t>
            </w:r>
          </w:p>
          <w:p w14:paraId="6D42F876" w14:textId="3D42C3C6" w:rsidR="002D58C7" w:rsidRDefault="002D58C7" w:rsidP="00B3506E">
            <w:r w:rsidRPr="00472ED9">
              <w:t>Key elements of justice reinvestment include the need for it to be place-based, data-driven, supported by a centralised strategic body, and with fiscally sound and targeted measures. </w:t>
            </w:r>
          </w:p>
          <w:p w14:paraId="74792D03" w14:textId="79B92BC9" w:rsidR="00CC3924" w:rsidRDefault="0032405E" w:rsidP="00CC3924">
            <w:r>
              <w:t xml:space="preserve">The </w:t>
            </w:r>
            <w:proofErr w:type="spellStart"/>
            <w:r w:rsidR="00D944EF">
              <w:t>Maranguka</w:t>
            </w:r>
            <w:proofErr w:type="spellEnd"/>
            <w:r w:rsidR="00D944EF">
              <w:t xml:space="preserve"> Justice </w:t>
            </w:r>
            <w:r>
              <w:t>Reinvestment Project in Bourke, northwest NSW, is the first major pilot of the program</w:t>
            </w:r>
            <w:r w:rsidR="00C94AEA">
              <w:t xml:space="preserve"> in Australia</w:t>
            </w:r>
            <w:r w:rsidR="00692A35">
              <w:t xml:space="preserve">. </w:t>
            </w:r>
            <w:r w:rsidR="004F640C">
              <w:t>The P</w:t>
            </w:r>
            <w:r w:rsidR="00CC3924" w:rsidRPr="00076339">
              <w:t xml:space="preserve">roject emerged as Bourke was concerned about the number of Aboriginal families experiencing high levels of social disadvantage and rising crime. Bourke has worked for many years to develop a model for improving outcomes and creating better coordinated support for vulnerable families and children through the empowerment of the local Aboriginal community. </w:t>
            </w:r>
          </w:p>
          <w:p w14:paraId="3B5AFD8F" w14:textId="1CF4E0B1" w:rsidR="00FA2A65" w:rsidRDefault="00B127FC" w:rsidP="00CC3924">
            <w:r w:rsidRPr="00472ED9">
              <w:t xml:space="preserve">Since 2012, </w:t>
            </w:r>
            <w:r w:rsidR="002D58C7">
              <w:t xml:space="preserve">the Project </w:t>
            </w:r>
            <w:r w:rsidRPr="00472ED9">
              <w:t xml:space="preserve">has undertaken activities designed to create change within the community and the justice system. Those activities have included: Aboriginal leaders inspiring a grassroots movement for change amongst local community members, facilitating collaboration and alignment across the service system, delivering new community based programs, </w:t>
            </w:r>
            <w:r w:rsidR="003E41AB">
              <w:t>comprehensive health assessments for young children</w:t>
            </w:r>
            <w:r w:rsidR="00665394">
              <w:t xml:space="preserve">, </w:t>
            </w:r>
            <w:r w:rsidRPr="00472ED9">
              <w:t>partnering with agencies such as the police, to evolve their procedures, behaviour and operations</w:t>
            </w:r>
            <w:r w:rsidR="002D7493">
              <w:t xml:space="preserve">, and </w:t>
            </w:r>
            <w:r w:rsidR="0001347F">
              <w:t>working with schools to reduce suspensions and exp</w:t>
            </w:r>
            <w:r w:rsidR="00706C81">
              <w:t>ul</w:t>
            </w:r>
            <w:r w:rsidR="0001347F">
              <w:t>sions</w:t>
            </w:r>
            <w:r w:rsidRPr="00472ED9">
              <w:t>.</w:t>
            </w:r>
          </w:p>
          <w:p w14:paraId="5229F6D8" w14:textId="2BA7F5FD" w:rsidR="004F640C" w:rsidRPr="00472ED9" w:rsidRDefault="00B127FC" w:rsidP="004F640C">
            <w:r w:rsidRPr="00472ED9">
              <w:t>A report by KPMG assesse</w:t>
            </w:r>
            <w:r>
              <w:t>d</w:t>
            </w:r>
            <w:r w:rsidRPr="00472ED9">
              <w:t xml:space="preserve"> the impact achieved in 2017 in Bourke</w:t>
            </w:r>
            <w:r w:rsidR="002D58C7">
              <w:t>,</w:t>
            </w:r>
            <w:r w:rsidR="00364B97">
              <w:rPr>
                <w:rStyle w:val="EndnoteReference"/>
              </w:rPr>
              <w:endnoteReference w:id="65"/>
            </w:r>
            <w:r w:rsidR="002D58C7">
              <w:t xml:space="preserve"> highlighting </w:t>
            </w:r>
            <w:r w:rsidR="004F640C" w:rsidRPr="00472ED9">
              <w:t>improvements in three key areas:</w:t>
            </w:r>
          </w:p>
          <w:p w14:paraId="2EEF9470" w14:textId="77777777" w:rsidR="004F640C" w:rsidRPr="00472ED9" w:rsidRDefault="004F640C" w:rsidP="004F640C">
            <w:pPr>
              <w:pStyle w:val="ListParagraph"/>
              <w:numPr>
                <w:ilvl w:val="0"/>
                <w:numId w:val="43"/>
              </w:numPr>
            </w:pPr>
            <w:r w:rsidRPr="00472ED9">
              <w:t>Family strength: a 23% reduction in police recorded incidence of domestic violence and comparable drops in rates of reoffending</w:t>
            </w:r>
          </w:p>
          <w:p w14:paraId="381E499B" w14:textId="77777777" w:rsidR="004F640C" w:rsidRPr="00472ED9" w:rsidRDefault="004F640C" w:rsidP="004F640C">
            <w:pPr>
              <w:pStyle w:val="ListParagraph"/>
              <w:numPr>
                <w:ilvl w:val="0"/>
                <w:numId w:val="43"/>
              </w:numPr>
            </w:pPr>
            <w:r w:rsidRPr="00472ED9">
              <w:t>Youth development: a 31% increase in year 12 student retention rates and a 38% reduction in charges across the top five juvenile offence categories</w:t>
            </w:r>
          </w:p>
          <w:p w14:paraId="59AB5A79" w14:textId="0A6F47AA" w:rsidR="00AF0B5F" w:rsidRDefault="004F640C" w:rsidP="000247DE">
            <w:pPr>
              <w:pStyle w:val="ListParagraph"/>
              <w:numPr>
                <w:ilvl w:val="0"/>
                <w:numId w:val="43"/>
              </w:numPr>
            </w:pPr>
            <w:r w:rsidRPr="00472ED9">
              <w:t>Adult empowerment: a 14% reduction in bail breaches and 42% reduction in days spent in custody.</w:t>
            </w:r>
            <w:bookmarkEnd w:id="27"/>
          </w:p>
        </w:tc>
      </w:tr>
    </w:tbl>
    <w:p w14:paraId="2765D00D" w14:textId="18694196" w:rsidR="00470161" w:rsidRPr="00470161" w:rsidRDefault="00470161" w:rsidP="00356AA0">
      <w:pPr>
        <w:pStyle w:val="Heading2"/>
      </w:pPr>
      <w:bookmarkStart w:id="28" w:name="_Toc33622203"/>
      <w:r w:rsidRPr="00470161">
        <w:lastRenderedPageBreak/>
        <w:t>Diversionary programs</w:t>
      </w:r>
      <w:bookmarkEnd w:id="28"/>
    </w:p>
    <w:p w14:paraId="1065943E" w14:textId="6A96184F" w:rsidR="000247DE" w:rsidRDefault="00491BFA" w:rsidP="000247DE">
      <w:r>
        <w:t>In keeping with childr</w:t>
      </w:r>
      <w:r w:rsidR="004422C5">
        <w:t>en</w:t>
      </w:r>
      <w:r>
        <w:t>’s rights</w:t>
      </w:r>
      <w:r w:rsidR="004422C5">
        <w:t>,</w:t>
      </w:r>
      <w:r w:rsidR="000252E7">
        <w:t xml:space="preserve"> </w:t>
      </w:r>
      <w:r w:rsidR="004422C5">
        <w:t xml:space="preserve">a </w:t>
      </w:r>
      <w:r w:rsidR="000252E7">
        <w:t>rehabili</w:t>
      </w:r>
      <w:r>
        <w:t>t</w:t>
      </w:r>
      <w:r w:rsidR="000252E7">
        <w:t xml:space="preserve">ative and therapeutic approach </w:t>
      </w:r>
      <w:r w:rsidR="000E6DA9">
        <w:t xml:space="preserve">should be applied to </w:t>
      </w:r>
      <w:r w:rsidR="00D065BB">
        <w:t>all children</w:t>
      </w:r>
      <w:r w:rsidR="005E0176">
        <w:t xml:space="preserve"> who </w:t>
      </w:r>
      <w:r w:rsidR="00C2440F">
        <w:t>engage in criminal behaviour.</w:t>
      </w:r>
      <w:r w:rsidR="00356AA0">
        <w:t xml:space="preserve"> </w:t>
      </w:r>
      <w:r w:rsidR="00C2440F">
        <w:t xml:space="preserve">Children should be </w:t>
      </w:r>
      <w:r w:rsidR="00872C74">
        <w:t>d</w:t>
      </w:r>
      <w:r w:rsidR="00E2746F">
        <w:t>ivert</w:t>
      </w:r>
      <w:r w:rsidR="00872C74">
        <w:t>ed</w:t>
      </w:r>
      <w:r w:rsidR="00E2746F">
        <w:t xml:space="preserve"> away </w:t>
      </w:r>
      <w:r w:rsidR="00127493">
        <w:t xml:space="preserve">from </w:t>
      </w:r>
      <w:r w:rsidR="00C768FA">
        <w:t>the criminal justice system</w:t>
      </w:r>
      <w:r w:rsidR="006D48F5">
        <w:t xml:space="preserve"> wherever possible</w:t>
      </w:r>
      <w:r w:rsidR="00C768FA">
        <w:t xml:space="preserve">, and </w:t>
      </w:r>
      <w:r w:rsidR="00AB5157">
        <w:t xml:space="preserve">from </w:t>
      </w:r>
      <w:proofErr w:type="gramStart"/>
      <w:r w:rsidR="00AB5157">
        <w:t>detention in particular</w:t>
      </w:r>
      <w:proofErr w:type="gramEnd"/>
      <w:r w:rsidR="00AB5157">
        <w:t xml:space="preserve">. </w:t>
      </w:r>
      <w:r w:rsidR="000247DE" w:rsidRPr="00B56CB3">
        <w:t xml:space="preserve">The availability of appropriate diversionary programs is essential </w:t>
      </w:r>
      <w:r w:rsidR="000247DE">
        <w:t xml:space="preserve">to </w:t>
      </w:r>
      <w:r w:rsidR="000247DE" w:rsidRPr="00B56CB3">
        <w:t xml:space="preserve">reducing </w:t>
      </w:r>
      <w:r w:rsidR="000247DE">
        <w:t>the numbers of children in youth</w:t>
      </w:r>
      <w:r w:rsidR="000247DE" w:rsidRPr="00B56CB3">
        <w:t xml:space="preserve"> detention. </w:t>
      </w:r>
    </w:p>
    <w:p w14:paraId="5ABBB050" w14:textId="5AD4A52D" w:rsidR="000247DE" w:rsidRDefault="000247DE" w:rsidP="000247DE">
      <w:r>
        <w:t xml:space="preserve">While all states and territories offer some form of diversion for young offenders, </w:t>
      </w:r>
      <w:r w:rsidRPr="00B56CB3">
        <w:t xml:space="preserve">it </w:t>
      </w:r>
      <w:r>
        <w:t>appears to be</w:t>
      </w:r>
      <w:r w:rsidRPr="00B56CB3">
        <w:t xml:space="preserve"> underutilised for a variety of reasons, including</w:t>
      </w:r>
      <w:r>
        <w:t>:</w:t>
      </w:r>
      <w:r w:rsidRPr="00B56CB3">
        <w:t xml:space="preserve"> </w:t>
      </w:r>
    </w:p>
    <w:p w14:paraId="6D67D1C4" w14:textId="77777777" w:rsidR="000247DE" w:rsidRDefault="000247DE" w:rsidP="000247DE">
      <w:pPr>
        <w:pStyle w:val="ListParagraph"/>
        <w:keepNext/>
        <w:keepLines/>
        <w:widowControl w:val="0"/>
        <w:numPr>
          <w:ilvl w:val="0"/>
          <w:numId w:val="40"/>
        </w:numPr>
      </w:pPr>
      <w:r w:rsidRPr="00B56CB3">
        <w:t>limits to who can access the programs</w:t>
      </w:r>
    </w:p>
    <w:p w14:paraId="42E7364D" w14:textId="77777777" w:rsidR="000247DE" w:rsidRDefault="000247DE" w:rsidP="000247DE">
      <w:pPr>
        <w:pStyle w:val="ListParagraph"/>
        <w:keepNext/>
        <w:keepLines/>
        <w:widowControl w:val="0"/>
        <w:numPr>
          <w:ilvl w:val="0"/>
          <w:numId w:val="40"/>
        </w:numPr>
      </w:pPr>
      <w:r w:rsidRPr="00B56CB3">
        <w:t>insufficient staffing allocated to diversion</w:t>
      </w:r>
    </w:p>
    <w:p w14:paraId="3B1B099B" w14:textId="77777777" w:rsidR="000247DE" w:rsidRDefault="000247DE" w:rsidP="000247DE">
      <w:pPr>
        <w:pStyle w:val="ListParagraph"/>
        <w:keepNext/>
        <w:keepLines/>
        <w:widowControl w:val="0"/>
        <w:numPr>
          <w:ilvl w:val="0"/>
          <w:numId w:val="40"/>
        </w:numPr>
      </w:pPr>
      <w:r w:rsidRPr="00B56CB3">
        <w:t>lack of appropriately funded and culturally appropriate programs.</w:t>
      </w:r>
      <w:r w:rsidRPr="001C7824">
        <w:rPr>
          <w:rStyle w:val="EndnoteReference"/>
        </w:rPr>
        <w:endnoteReference w:id="66"/>
      </w:r>
      <w:r w:rsidRPr="00B56CB3">
        <w:t xml:space="preserve"> </w:t>
      </w:r>
    </w:p>
    <w:p w14:paraId="174C4CCA" w14:textId="1F2F288A" w:rsidR="000247DE" w:rsidRDefault="000247DE" w:rsidP="000247DE">
      <w:r>
        <w:t>For example, t</w:t>
      </w:r>
      <w:r w:rsidRPr="00B56CB3">
        <w:t>he NT Royal Commission showed that</w:t>
      </w:r>
      <w:r w:rsidR="00514E6B">
        <w:t>,</w:t>
      </w:r>
      <w:r w:rsidRPr="00B56CB3">
        <w:t xml:space="preserve"> in 2015–16, only 35% of children apprehended in the N</w:t>
      </w:r>
      <w:r>
        <w:t xml:space="preserve">orthern </w:t>
      </w:r>
      <w:r w:rsidRPr="00B56CB3">
        <w:t>T</w:t>
      </w:r>
      <w:r>
        <w:t>erritory</w:t>
      </w:r>
      <w:r w:rsidRPr="00B56CB3">
        <w:t xml:space="preserve"> were diverted. This is despite evidence that diversion has been successful in reducing recidivism.</w:t>
      </w:r>
      <w:r w:rsidRPr="001C7824">
        <w:rPr>
          <w:rStyle w:val="EndnoteReference"/>
        </w:rPr>
        <w:endnoteReference w:id="67"/>
      </w:r>
      <w:r w:rsidRPr="00B56CB3">
        <w:t xml:space="preserve"> </w:t>
      </w:r>
    </w:p>
    <w:p w14:paraId="652A8DD0" w14:textId="77777777" w:rsidR="000247DE" w:rsidRDefault="000247DE" w:rsidP="000247DE">
      <w:pPr>
        <w:rPr>
          <w:lang w:val="en"/>
        </w:rPr>
      </w:pPr>
      <w:r w:rsidRPr="00B56CB3">
        <w:t>Nationwide, research also shows</w:t>
      </w:r>
      <w:r>
        <w:t xml:space="preserve"> that </w:t>
      </w:r>
      <w:r w:rsidRPr="00B56CB3">
        <w:t xml:space="preserve">Aboriginal </w:t>
      </w:r>
      <w:r>
        <w:t xml:space="preserve">and Torres Strait Islander </w:t>
      </w:r>
      <w:r w:rsidRPr="00B56CB3">
        <w:t>children are less likely to be diverted than non-Indigenous children.</w:t>
      </w:r>
      <w:r w:rsidRPr="001C7824">
        <w:rPr>
          <w:rStyle w:val="EndnoteReference"/>
        </w:rPr>
        <w:endnoteReference w:id="68"/>
      </w:r>
      <w:r>
        <w:t xml:space="preserve"> </w:t>
      </w:r>
      <w:r w:rsidRPr="00B56CB3">
        <w:rPr>
          <w:lang w:val="en"/>
        </w:rPr>
        <w:t>Given the level of contact of Aboriginal and Torres Strait Islander peoples with criminal justice processes, and the integral role that juvenile offending plays in this, diversionary processes are particularly important for ensuring lasting reductions in the rates of Aboriginal and Torres Strait Islander overrepresentation in detention.</w:t>
      </w:r>
      <w:r w:rsidRPr="001C7824">
        <w:rPr>
          <w:rStyle w:val="EndnoteReference"/>
        </w:rPr>
        <w:endnoteReference w:id="69"/>
      </w:r>
    </w:p>
    <w:p w14:paraId="76FCFCC9" w14:textId="54F83B10" w:rsidR="0046181A" w:rsidRPr="006D3CED" w:rsidRDefault="000247DE" w:rsidP="000247DE">
      <w:r w:rsidRPr="00697750">
        <w:t>In its Concluding Observations (2019), the Committee on the Rights of the Child urged the Australian Government to actively promote non-judicial measures, such as diversion, mediation and counselling, for children accused of criminal offences and, wherever possible, the use of non-custodial sentences, such as probation or community service.</w:t>
      </w:r>
      <w:r w:rsidRPr="00697750">
        <w:rPr>
          <w:rStyle w:val="EndnoteReference"/>
        </w:rPr>
        <w:endnoteReference w:id="70"/>
      </w:r>
    </w:p>
    <w:tbl>
      <w:tblPr>
        <w:tblStyle w:val="TableGrid"/>
        <w:tblW w:w="0" w:type="auto"/>
        <w:tblLook w:val="04A0" w:firstRow="1" w:lastRow="0" w:firstColumn="1" w:lastColumn="0" w:noHBand="0" w:noVBand="1"/>
      </w:tblPr>
      <w:tblGrid>
        <w:gridCol w:w="9060"/>
      </w:tblGrid>
      <w:tr w:rsidR="002C3FCE" w14:paraId="187F5DE8" w14:textId="77777777" w:rsidTr="00896779">
        <w:tc>
          <w:tcPr>
            <w:tcW w:w="9060" w:type="dxa"/>
            <w:shd w:val="clear" w:color="auto" w:fill="DEEAF6" w:themeFill="accent1" w:themeFillTint="33"/>
          </w:tcPr>
          <w:p w14:paraId="267E41CE" w14:textId="795CAC6E" w:rsidR="00247CF2" w:rsidRPr="00896779" w:rsidRDefault="00247CF2" w:rsidP="002C3FCE">
            <w:pPr>
              <w:rPr>
                <w:rFonts w:cs="Open Sans"/>
                <w:b/>
                <w:bCs/>
              </w:rPr>
            </w:pPr>
            <w:r w:rsidRPr="00896779">
              <w:rPr>
                <w:rFonts w:cs="Open Sans"/>
                <w:b/>
                <w:bCs/>
              </w:rPr>
              <w:t>Recommendation</w:t>
            </w:r>
            <w:r w:rsidR="006D48F5" w:rsidRPr="00896779">
              <w:rPr>
                <w:rFonts w:cs="Open Sans"/>
                <w:b/>
                <w:bCs/>
              </w:rPr>
              <w:t xml:space="preserve"> </w:t>
            </w:r>
            <w:r w:rsidR="00461148" w:rsidRPr="000227B0">
              <w:rPr>
                <w:rFonts w:cs="Open Sans"/>
                <w:b/>
                <w:bCs/>
              </w:rPr>
              <w:t>4</w:t>
            </w:r>
          </w:p>
          <w:p w14:paraId="2CD24EA0" w14:textId="18B236C2" w:rsidR="002C3FCE" w:rsidRDefault="002C3FCE" w:rsidP="002C3FCE">
            <w:pPr>
              <w:rPr>
                <w:rFonts w:cs="Open Sans"/>
              </w:rPr>
            </w:pPr>
            <w:r w:rsidRPr="00ED3D21">
              <w:rPr>
                <w:rFonts w:cs="Open Sans"/>
              </w:rPr>
              <w:t>Australi</w:t>
            </w:r>
            <w:r>
              <w:rPr>
                <w:rFonts w:cs="Open Sans"/>
              </w:rPr>
              <w:t xml:space="preserve">an Governments should </w:t>
            </w:r>
            <w:r w:rsidRPr="00ED3D21">
              <w:rPr>
                <w:rFonts w:cs="Open Sans"/>
              </w:rPr>
              <w:t xml:space="preserve">expand the availability and range of diversionary programs for young offenders, including community-controlled and </w:t>
            </w:r>
            <w:proofErr w:type="gramStart"/>
            <w:r w:rsidRPr="00ED3D21">
              <w:rPr>
                <w:rFonts w:cs="Open Sans"/>
              </w:rPr>
              <w:t>culturally-safe</w:t>
            </w:r>
            <w:proofErr w:type="gramEnd"/>
            <w:r w:rsidRPr="00ED3D21">
              <w:rPr>
                <w:rFonts w:cs="Open Sans"/>
              </w:rPr>
              <w:t xml:space="preserve"> programs</w:t>
            </w:r>
            <w:r>
              <w:rPr>
                <w:rFonts w:cs="Open Sans"/>
              </w:rPr>
              <w:t>.</w:t>
            </w:r>
          </w:p>
          <w:p w14:paraId="07EB60BC" w14:textId="4EE21304" w:rsidR="00C818F1" w:rsidRPr="000227B0" w:rsidRDefault="00C818F1" w:rsidP="002C3FCE">
            <w:pPr>
              <w:rPr>
                <w:rFonts w:cs="Open Sans"/>
                <w:b/>
                <w:bCs/>
              </w:rPr>
            </w:pPr>
            <w:r w:rsidRPr="000227B0">
              <w:rPr>
                <w:rFonts w:cs="Open Sans"/>
                <w:b/>
                <w:bCs/>
              </w:rPr>
              <w:lastRenderedPageBreak/>
              <w:t>Recommendation 5</w:t>
            </w:r>
          </w:p>
          <w:p w14:paraId="05408D74" w14:textId="60B3D65A" w:rsidR="002C3FCE" w:rsidRPr="002C3FCE" w:rsidRDefault="002C3FCE" w:rsidP="002C3FCE">
            <w:pPr>
              <w:rPr>
                <w:rFonts w:cs="Open Sans"/>
              </w:rPr>
            </w:pPr>
            <w:r w:rsidRPr="00ED3D21">
              <w:rPr>
                <w:rFonts w:cs="Open Sans"/>
              </w:rPr>
              <w:t>Australi</w:t>
            </w:r>
            <w:r>
              <w:rPr>
                <w:rFonts w:cs="Open Sans"/>
              </w:rPr>
              <w:t xml:space="preserve">an Governments should better implement the principle of detention as a last resort by </w:t>
            </w:r>
            <w:r w:rsidRPr="00ED3D21">
              <w:rPr>
                <w:rFonts w:cs="Open Sans"/>
              </w:rPr>
              <w:t>identify</w:t>
            </w:r>
            <w:r>
              <w:rPr>
                <w:rFonts w:cs="Open Sans"/>
              </w:rPr>
              <w:t>ing</w:t>
            </w:r>
            <w:r w:rsidRPr="00ED3D21">
              <w:rPr>
                <w:rFonts w:cs="Open Sans"/>
              </w:rPr>
              <w:t xml:space="preserve"> and remov</w:t>
            </w:r>
            <w:r>
              <w:rPr>
                <w:rFonts w:cs="Open Sans"/>
              </w:rPr>
              <w:t>ing</w:t>
            </w:r>
            <w:r w:rsidRPr="00ED3D21">
              <w:rPr>
                <w:rFonts w:cs="Open Sans"/>
              </w:rPr>
              <w:t xml:space="preserve"> barriers for young offenders accessing diversionary programs, </w:t>
            </w:r>
            <w:proofErr w:type="gramStart"/>
            <w:r w:rsidRPr="00ED3D21">
              <w:rPr>
                <w:rFonts w:cs="Open Sans"/>
              </w:rPr>
              <w:t>in particular for</w:t>
            </w:r>
            <w:proofErr w:type="gramEnd"/>
            <w:r w:rsidRPr="00ED3D21">
              <w:rPr>
                <w:rFonts w:cs="Open Sans"/>
              </w:rPr>
              <w:t xml:space="preserve"> Aboriginal and Torres Strait Islander children</w:t>
            </w:r>
            <w:r>
              <w:rPr>
                <w:rFonts w:cs="Open Sans"/>
              </w:rPr>
              <w:t xml:space="preserve">. </w:t>
            </w:r>
          </w:p>
        </w:tc>
      </w:tr>
      <w:bookmarkEnd w:id="11"/>
    </w:tbl>
    <w:p w14:paraId="05FFE13F" w14:textId="77777777" w:rsidR="00C86324" w:rsidRDefault="00C86324" w:rsidP="00356AA0">
      <w:pPr>
        <w:pStyle w:val="Heading1"/>
        <w:numPr>
          <w:ilvl w:val="0"/>
          <w:numId w:val="0"/>
        </w:numPr>
      </w:pPr>
    </w:p>
    <w:sectPr w:rsidR="00C86324"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31BD" w14:textId="77777777" w:rsidR="003E380E" w:rsidRDefault="003E380E" w:rsidP="00F14C6D">
      <w:r>
        <w:separator/>
      </w:r>
    </w:p>
  </w:endnote>
  <w:endnote w:type="continuationSeparator" w:id="0">
    <w:p w14:paraId="68EE9BC0" w14:textId="77777777" w:rsidR="003E380E" w:rsidRDefault="003E380E" w:rsidP="00F14C6D">
      <w:r>
        <w:continuationSeparator/>
      </w:r>
    </w:p>
  </w:endnote>
  <w:endnote w:type="continuationNotice" w:id="1">
    <w:p w14:paraId="5C6E514E" w14:textId="77777777" w:rsidR="003E380E" w:rsidRDefault="003E380E">
      <w:pPr>
        <w:spacing w:before="0" w:after="0"/>
      </w:pPr>
    </w:p>
  </w:endnote>
  <w:endnote w:id="2">
    <w:p w14:paraId="400ADE58" w14:textId="000C1CC8" w:rsidR="001A5C2E" w:rsidRDefault="001A5C2E">
      <w:pPr>
        <w:pStyle w:val="EndnoteText"/>
      </w:pPr>
      <w:r>
        <w:rPr>
          <w:rStyle w:val="EndnoteReference"/>
        </w:rPr>
        <w:endnoteRef/>
      </w:r>
      <w:r>
        <w:t xml:space="preserve"> </w:t>
      </w:r>
      <w:r w:rsidR="00797DF8">
        <w:rPr>
          <w:rFonts w:cs="Arial"/>
          <w:i/>
        </w:rPr>
        <w:t>Convention on the Rights of the Child</w:t>
      </w:r>
      <w:r w:rsidR="00797DF8">
        <w:rPr>
          <w:rFonts w:cs="Arial"/>
        </w:rPr>
        <w:t>, opened for signature 20 November 1989, 1577 UNTS 3 (entered into force 2 September 1990) art 40</w:t>
      </w:r>
      <w:r w:rsidR="00FD5287">
        <w:rPr>
          <w:rFonts w:cs="Arial"/>
        </w:rPr>
        <w:t>(1).</w:t>
      </w:r>
    </w:p>
  </w:endnote>
  <w:endnote w:id="3">
    <w:p w14:paraId="3EF622F6" w14:textId="77777777" w:rsidR="000247DE" w:rsidRDefault="000247DE" w:rsidP="000247DE">
      <w:pPr>
        <w:pStyle w:val="EndnoteText"/>
      </w:pPr>
      <w:r>
        <w:rPr>
          <w:rStyle w:val="EndnoteReference"/>
        </w:rPr>
        <w:endnoteRef/>
      </w:r>
      <w:r>
        <w:t xml:space="preserve"> United Nations Committee on the Rights of the Child, </w:t>
      </w:r>
      <w:r w:rsidRPr="00DD04B7">
        <w:rPr>
          <w:i/>
          <w:iCs/>
        </w:rPr>
        <w:t>General comment No 24 (2019) on children’s rights in the child justice system</w:t>
      </w:r>
      <w:r>
        <w:t xml:space="preserve">, UN Doc CRC/C/GC/24 (18 September 2019) para 22. </w:t>
      </w:r>
    </w:p>
  </w:endnote>
  <w:endnote w:id="4">
    <w:p w14:paraId="25BE0766" w14:textId="77777777" w:rsidR="000C59B1" w:rsidRDefault="000C59B1" w:rsidP="000C59B1">
      <w:pPr>
        <w:pStyle w:val="EndnoteText"/>
      </w:pPr>
      <w:r>
        <w:rPr>
          <w:rStyle w:val="EndnoteReference"/>
        </w:rPr>
        <w:endnoteRef/>
      </w:r>
      <w:r>
        <w:t xml:space="preserve"> United Nations Committee on the Rights of the Child, </w:t>
      </w:r>
      <w:r w:rsidRPr="00DD04B7">
        <w:rPr>
          <w:i/>
          <w:iCs/>
        </w:rPr>
        <w:t>General comment No 24 (2019) on children’s rights in the child justice system</w:t>
      </w:r>
      <w:r>
        <w:t xml:space="preserve">, UN Doc CRC/C/GC/24 (18 September 2019) para 22. </w:t>
      </w:r>
    </w:p>
  </w:endnote>
  <w:endnote w:id="5">
    <w:p w14:paraId="03A81029" w14:textId="77777777" w:rsidR="000247DE" w:rsidRDefault="000247DE" w:rsidP="000247DE">
      <w:pPr>
        <w:pStyle w:val="EndnoteText"/>
      </w:pPr>
      <w:r>
        <w:rPr>
          <w:rStyle w:val="EndnoteReference"/>
        </w:rPr>
        <w:endnoteRef/>
      </w:r>
      <w:r>
        <w:t xml:space="preserve"> </w:t>
      </w:r>
      <w:r w:rsidRPr="00E95C30">
        <w:rPr>
          <w:rFonts w:cs="Open Sans"/>
          <w:szCs w:val="24"/>
        </w:rPr>
        <w:t xml:space="preserve">United Nations Committee on the Rights of the Child, </w:t>
      </w:r>
      <w:r w:rsidRPr="00E95C30">
        <w:rPr>
          <w:rFonts w:cs="Open Sans"/>
          <w:i/>
          <w:iCs/>
          <w:szCs w:val="24"/>
        </w:rPr>
        <w:t>Concluding Observations on the Combined Fifth and Sixth Periodic Reports of Australia</w:t>
      </w:r>
      <w:r w:rsidRPr="00E95C30">
        <w:rPr>
          <w:rFonts w:cs="Open Sans"/>
          <w:szCs w:val="24"/>
        </w:rPr>
        <w:t>, 82nd Sess, UN Doc CRC/C/AUS/CO/5-6 (30 September 2019) para 49(a).</w:t>
      </w:r>
    </w:p>
  </w:endnote>
  <w:endnote w:id="6">
    <w:p w14:paraId="3EB90812" w14:textId="77777777" w:rsidR="008074B9" w:rsidRDefault="008074B9" w:rsidP="008074B9">
      <w:pPr>
        <w:pStyle w:val="EndnoteText"/>
      </w:pPr>
      <w:r>
        <w:rPr>
          <w:rStyle w:val="EndnoteReference"/>
        </w:rPr>
        <w:endnoteRef/>
      </w:r>
      <w:r>
        <w:t xml:space="preserve"> Report of the Independent Expert leading the United Nations global study on children deprived of liberty, General Assembly, 74</w:t>
      </w:r>
      <w:r w:rsidRPr="00182C4B">
        <w:rPr>
          <w:vertAlign w:val="superscript"/>
        </w:rPr>
        <w:t>th</w:t>
      </w:r>
      <w:r>
        <w:t xml:space="preserve"> session (11 July 2019), </w:t>
      </w:r>
      <w:hyperlink r:id="rId1" w:history="1">
        <w:r w:rsidRPr="00AB7404">
          <w:rPr>
            <w:rStyle w:val="Hyperlink"/>
          </w:rPr>
          <w:t>https://undocs.org/en/A/74/136</w:t>
        </w:r>
      </w:hyperlink>
      <w:r>
        <w:t xml:space="preserve">. </w:t>
      </w:r>
    </w:p>
  </w:endnote>
  <w:endnote w:id="7">
    <w:p w14:paraId="31CC8FFE" w14:textId="77777777" w:rsidR="0099687D" w:rsidRDefault="0099687D" w:rsidP="0099687D">
      <w:pPr>
        <w:pStyle w:val="EndnoteText"/>
        <w:rPr>
          <w:rFonts w:cs="Open Sans"/>
        </w:rPr>
      </w:pPr>
      <w:r>
        <w:rPr>
          <w:rStyle w:val="EndnoteReference"/>
        </w:rPr>
        <w:endnoteRef/>
      </w:r>
      <w:r>
        <w:rPr>
          <w:rFonts w:cs="Open Sans"/>
        </w:rPr>
        <w:t xml:space="preserve"> </w:t>
      </w:r>
      <w:r>
        <w:rPr>
          <w:rFonts w:cs="Open Sans"/>
          <w:i/>
        </w:rPr>
        <w:t>Children (Criminal Proceedings) Act 1987</w:t>
      </w:r>
      <w:r>
        <w:rPr>
          <w:rFonts w:cs="Open Sans"/>
        </w:rPr>
        <w:t xml:space="preserve"> (NSW), s 5; </w:t>
      </w:r>
      <w:r>
        <w:rPr>
          <w:rFonts w:cs="Open Sans"/>
          <w:i/>
        </w:rPr>
        <w:t>Criminal Code Act 1995</w:t>
      </w:r>
      <w:r>
        <w:rPr>
          <w:rFonts w:cs="Open Sans"/>
        </w:rPr>
        <w:t xml:space="preserve"> (Cth), </w:t>
      </w:r>
      <w:r>
        <w:rPr>
          <w:rFonts w:cs="Open Sans"/>
          <w:i/>
        </w:rPr>
        <w:t>The Criminal Code</w:t>
      </w:r>
      <w:r>
        <w:rPr>
          <w:rFonts w:cs="Open Sans"/>
        </w:rPr>
        <w:t xml:space="preserve"> Part 7.1; </w:t>
      </w:r>
      <w:r>
        <w:rPr>
          <w:rFonts w:cs="Open Sans"/>
          <w:i/>
        </w:rPr>
        <w:t>Criminal Code 2002</w:t>
      </w:r>
      <w:r>
        <w:rPr>
          <w:rFonts w:cs="Open Sans"/>
        </w:rPr>
        <w:t xml:space="preserve"> (ACT), s 25; </w:t>
      </w:r>
      <w:r>
        <w:rPr>
          <w:rFonts w:cs="Open Sans"/>
          <w:i/>
        </w:rPr>
        <w:t>Criminal Code Act</w:t>
      </w:r>
      <w:r>
        <w:rPr>
          <w:rFonts w:cs="Open Sans"/>
        </w:rPr>
        <w:t xml:space="preserve"> (NT), s 38(1); </w:t>
      </w:r>
      <w:r>
        <w:rPr>
          <w:rFonts w:cs="Open Sans"/>
          <w:i/>
        </w:rPr>
        <w:t xml:space="preserve">Criminal Code Act 1899 </w:t>
      </w:r>
      <w:r>
        <w:rPr>
          <w:rFonts w:cs="Open Sans"/>
        </w:rPr>
        <w:t xml:space="preserve">(Qld), s 29(1); </w:t>
      </w:r>
      <w:r>
        <w:rPr>
          <w:rFonts w:cs="Open Sans"/>
          <w:i/>
        </w:rPr>
        <w:t>Young Offenders Act 1993</w:t>
      </w:r>
      <w:r>
        <w:rPr>
          <w:rFonts w:cs="Open Sans"/>
        </w:rPr>
        <w:t xml:space="preserve"> (SA); </w:t>
      </w:r>
      <w:r>
        <w:rPr>
          <w:rFonts w:cs="Open Sans"/>
          <w:i/>
        </w:rPr>
        <w:t>Criminal Code Act 1924</w:t>
      </w:r>
      <w:r>
        <w:rPr>
          <w:rFonts w:cs="Open Sans"/>
        </w:rPr>
        <w:t xml:space="preserve"> (Tas), s 18(1); </w:t>
      </w:r>
      <w:r>
        <w:rPr>
          <w:rFonts w:cs="Open Sans"/>
          <w:i/>
        </w:rPr>
        <w:t>Children, Youth and Families Act 2005</w:t>
      </w:r>
      <w:r>
        <w:rPr>
          <w:rFonts w:cs="Open Sans"/>
        </w:rPr>
        <w:t xml:space="preserve"> (Vic), s 344; </w:t>
      </w:r>
      <w:r>
        <w:rPr>
          <w:rFonts w:cs="Open Sans"/>
          <w:i/>
        </w:rPr>
        <w:t>Criminal Code Act Compilation Act 1913</w:t>
      </w:r>
      <w:r>
        <w:rPr>
          <w:rFonts w:cs="Open Sans"/>
        </w:rPr>
        <w:t xml:space="preserve"> (WA), 29.   </w:t>
      </w:r>
    </w:p>
  </w:endnote>
  <w:endnote w:id="8">
    <w:p w14:paraId="437C15BC" w14:textId="77777777" w:rsidR="00665A5F" w:rsidRPr="00C26424" w:rsidRDefault="00665A5F" w:rsidP="00665A5F">
      <w:pPr>
        <w:pStyle w:val="EndnoteText"/>
        <w:rPr>
          <w:rFonts w:cs="Open Sans"/>
        </w:rPr>
      </w:pPr>
      <w:r w:rsidRPr="00C26424">
        <w:rPr>
          <w:rStyle w:val="EndnoteReference"/>
        </w:rPr>
        <w:endnoteRef/>
      </w:r>
      <w:r w:rsidRPr="00C26424">
        <w:rPr>
          <w:rFonts w:cs="Open Sans"/>
        </w:rPr>
        <w:t xml:space="preserve"> Sally Parnell, Jesuit Social Services, </w:t>
      </w:r>
      <w:r w:rsidRPr="00C26424">
        <w:rPr>
          <w:rFonts w:cs="Open Sans"/>
          <w:i/>
        </w:rPr>
        <w:t>Too Much Too Young: Raise The Age of Criminal Responsibility, Letter to Attorneys–General</w:t>
      </w:r>
      <w:r w:rsidRPr="00C26424">
        <w:rPr>
          <w:rFonts w:cs="Open Sans"/>
        </w:rPr>
        <w:t xml:space="preserve"> (2015) &lt;</w:t>
      </w:r>
      <w:r w:rsidRPr="00861417">
        <w:rPr>
          <w:rFonts w:cs="Open Sans"/>
        </w:rPr>
        <w:t>http://jss.org.au/wp-content/uploads/2016/01/Letter_to_AGs_Age_of_Criminal_responsibility.pdf</w:t>
      </w:r>
      <w:r w:rsidRPr="00C26424">
        <w:rPr>
          <w:rFonts w:cs="Open Sans"/>
        </w:rPr>
        <w:t>&gt;.</w:t>
      </w:r>
    </w:p>
  </w:endnote>
  <w:endnote w:id="9">
    <w:p w14:paraId="07D7A412" w14:textId="7D469B87" w:rsidR="00EA5FA4" w:rsidRDefault="00EA5FA4" w:rsidP="00B00BDA">
      <w:pPr>
        <w:pStyle w:val="EndnoteText"/>
      </w:pPr>
      <w:r>
        <w:rPr>
          <w:rStyle w:val="EndnoteReference"/>
        </w:rPr>
        <w:endnoteRef/>
      </w:r>
      <w:r>
        <w:t xml:space="preserve"> </w:t>
      </w:r>
      <w:r w:rsidR="00B00BDA">
        <w:t xml:space="preserve">Kelly Richards, ‘What makes juvenile offenders different from adult offenders?’ (Australian Institute of Criminology February 2011) 409 </w:t>
      </w:r>
      <w:r w:rsidR="00B00BDA" w:rsidRPr="006B35A7">
        <w:rPr>
          <w:i/>
          <w:iCs/>
        </w:rPr>
        <w:t>Trends &amp; issues in crime and criminal justice</w:t>
      </w:r>
      <w:r w:rsidR="00B00BDA">
        <w:t xml:space="preserve"> </w:t>
      </w:r>
      <w:r w:rsidR="001576B4">
        <w:t>4.</w:t>
      </w:r>
    </w:p>
  </w:endnote>
  <w:endnote w:id="10">
    <w:p w14:paraId="47D66E87" w14:textId="69C3EA08" w:rsidR="00016BFB" w:rsidRDefault="00016BFB">
      <w:pPr>
        <w:pStyle w:val="EndnoteText"/>
      </w:pPr>
      <w:r>
        <w:rPr>
          <w:rStyle w:val="EndnoteReference"/>
        </w:rPr>
        <w:endnoteRef/>
      </w:r>
      <w:r>
        <w:t xml:space="preserve"> </w:t>
      </w:r>
      <w:r w:rsidR="008C3272">
        <w:t>Chris Cun</w:t>
      </w:r>
      <w:r w:rsidR="00C65BA9">
        <w:t>n</w:t>
      </w:r>
      <w:r w:rsidR="008C3272">
        <w:t>een</w:t>
      </w:r>
      <w:r w:rsidR="00416E44">
        <w:t>, ‘Arguments for raising the minimum age of criminal responsibility’</w:t>
      </w:r>
      <w:r w:rsidR="0032590C">
        <w:t>, Research Report, Comparative Youth Penalty Project</w:t>
      </w:r>
      <w:r w:rsidR="00C65BA9">
        <w:t xml:space="preserve">, UNSW (2017). </w:t>
      </w:r>
    </w:p>
  </w:endnote>
  <w:endnote w:id="11">
    <w:p w14:paraId="20A96AB3" w14:textId="77777777" w:rsidR="009713F3" w:rsidRDefault="009713F3" w:rsidP="009713F3">
      <w:pPr>
        <w:pStyle w:val="EndnoteText"/>
      </w:pPr>
      <w:r>
        <w:rPr>
          <w:rStyle w:val="EndnoteReference"/>
        </w:rPr>
        <w:endnoteRef/>
      </w:r>
      <w:r>
        <w:t xml:space="preserve"> Australian Human Rights Commission, </w:t>
      </w:r>
      <w:r w:rsidRPr="006471F6">
        <w:rPr>
          <w:i/>
          <w:iCs/>
        </w:rPr>
        <w:t>Information concerning Australia’s compliance with Convention on the Rights of Persons with Disabilities</w:t>
      </w:r>
      <w:r>
        <w:t xml:space="preserve"> (25 July 2019) &lt;</w:t>
      </w:r>
      <w:r w:rsidRPr="00861417">
        <w:t>www.humanrights.gov.au/about/news/disability-discrimination-commissioner-reports-un</w:t>
      </w:r>
      <w:r>
        <w:t>&gt;.</w:t>
      </w:r>
    </w:p>
  </w:endnote>
  <w:endnote w:id="12">
    <w:p w14:paraId="1E6F195D" w14:textId="77777777" w:rsidR="009713F3" w:rsidRPr="00345271" w:rsidRDefault="009713F3" w:rsidP="009713F3">
      <w:pPr>
        <w:pStyle w:val="EndnoteText"/>
        <w:rPr>
          <w:rFonts w:cs="Open Sans"/>
          <w:highlight w:val="yellow"/>
        </w:rPr>
      </w:pPr>
      <w:r w:rsidRPr="00345271">
        <w:rPr>
          <w:rStyle w:val="EndnoteReference"/>
          <w:sz w:val="18"/>
          <w:szCs w:val="18"/>
        </w:rPr>
        <w:endnoteRef/>
      </w:r>
      <w:r w:rsidRPr="00345271">
        <w:rPr>
          <w:rFonts w:cs="Open Sans"/>
          <w:sz w:val="18"/>
          <w:szCs w:val="18"/>
        </w:rPr>
        <w:t xml:space="preserve"> </w:t>
      </w:r>
      <w:r w:rsidRPr="00345271">
        <w:rPr>
          <w:rFonts w:cs="Open Sans"/>
        </w:rPr>
        <w:t xml:space="preserve">Justice Health and Forensic Mental Health Network and Juvenile Justice NSW, </w:t>
      </w:r>
      <w:r w:rsidRPr="00345271">
        <w:rPr>
          <w:rFonts w:cs="Open Sans"/>
          <w:i/>
        </w:rPr>
        <w:t xml:space="preserve">Young people in custody health survey </w:t>
      </w:r>
      <w:r w:rsidRPr="00345271">
        <w:rPr>
          <w:rFonts w:cs="Open Sans"/>
        </w:rPr>
        <w:t xml:space="preserve">(2015) </w:t>
      </w:r>
      <w:r>
        <w:rPr>
          <w:rFonts w:cs="Open Sans"/>
        </w:rPr>
        <w:t>65 &lt;</w:t>
      </w:r>
      <w:r w:rsidRPr="00861417">
        <w:rPr>
          <w:rFonts w:cs="Open Sans"/>
          <w:iCs/>
        </w:rPr>
        <w:t>www.justicehealth.nsw.gov.au/publications/research-publications</w:t>
      </w:r>
      <w:r>
        <w:rPr>
          <w:rFonts w:cs="Open Sans"/>
          <w:iCs/>
        </w:rPr>
        <w:t>&gt;.</w:t>
      </w:r>
      <w:hyperlink w:history="1"/>
    </w:p>
  </w:endnote>
  <w:endnote w:id="13">
    <w:p w14:paraId="7D6B888E" w14:textId="77777777" w:rsidR="009713F3" w:rsidRPr="00A748F0" w:rsidRDefault="009713F3" w:rsidP="009713F3">
      <w:pPr>
        <w:pStyle w:val="EndnoteText"/>
      </w:pPr>
      <w:r>
        <w:rPr>
          <w:rStyle w:val="EndnoteReference"/>
        </w:rPr>
        <w:endnoteRef/>
      </w:r>
      <w:r>
        <w:t xml:space="preserve"> </w:t>
      </w:r>
      <w:r w:rsidRPr="00345271">
        <w:rPr>
          <w:rFonts w:cs="Open Sans"/>
        </w:rPr>
        <w:t>Carol Bower, Rochelle Watkins and Raewyn Mutch, ‘Fetal Alcohol Spectrum Disorder and Youth Justice: A Prevalence Study Among Young People Sentenced to Detention in Western Australia’ (2018)</w:t>
      </w:r>
      <w:r>
        <w:rPr>
          <w:rFonts w:cs="Open Sans"/>
        </w:rPr>
        <w:t xml:space="preserve"> 8 </w:t>
      </w:r>
      <w:r w:rsidRPr="00EC0665">
        <w:rPr>
          <w:rFonts w:cs="Open Sans"/>
          <w:i/>
          <w:iCs/>
        </w:rPr>
        <w:t>BMJ Open</w:t>
      </w:r>
      <w:r w:rsidRPr="00345271">
        <w:rPr>
          <w:rFonts w:cs="Open Sans"/>
        </w:rPr>
        <w:t xml:space="preserve"> &lt;</w:t>
      </w:r>
      <w:r w:rsidRPr="00861417">
        <w:rPr>
          <w:rFonts w:cs="Open Sans"/>
        </w:rPr>
        <w:t>https://bmjopen.bmj.com/content/8/2/e019605</w:t>
      </w:r>
      <w:r w:rsidRPr="00A748F0">
        <w:rPr>
          <w:rStyle w:val="Hyperlink"/>
          <w:rFonts w:cs="Open Sans"/>
        </w:rPr>
        <w:t>&gt;</w:t>
      </w:r>
      <w:r w:rsidRPr="00A748F0">
        <w:rPr>
          <w:rFonts w:cs="Open Sans"/>
        </w:rPr>
        <w:t>.</w:t>
      </w:r>
    </w:p>
  </w:endnote>
  <w:endnote w:id="14">
    <w:p w14:paraId="2162ABBF" w14:textId="77777777" w:rsidR="009713F3" w:rsidRDefault="009713F3" w:rsidP="009713F3">
      <w:pPr>
        <w:pStyle w:val="EndnoteText"/>
      </w:pPr>
      <w:r w:rsidRPr="00A748F0">
        <w:rPr>
          <w:rStyle w:val="EndnoteReference"/>
        </w:rPr>
        <w:endnoteRef/>
      </w:r>
      <w:r w:rsidRPr="00A748F0">
        <w:t xml:space="preserve"> </w:t>
      </w:r>
      <w:r w:rsidRPr="00A748F0">
        <w:rPr>
          <w:rFonts w:cs="Open Sans"/>
        </w:rPr>
        <w:t xml:space="preserve">Carol Bower, Rochelle Watkins and Raewyn Mutch, ‘Fetal Alcohol Spectrum Disorder and Youth Justice: A Prevalence Study Among Young People Sentenced to Detention in Western Australia’ (2018) 8 </w:t>
      </w:r>
      <w:r w:rsidRPr="00A748F0">
        <w:rPr>
          <w:rFonts w:cs="Open Sans"/>
          <w:i/>
          <w:iCs/>
        </w:rPr>
        <w:t>BMJ Open</w:t>
      </w:r>
      <w:r w:rsidRPr="00A748F0">
        <w:rPr>
          <w:rFonts w:cs="Open Sans"/>
        </w:rPr>
        <w:t xml:space="preserve"> &lt;https://bmjopen.bmj.com/content/8/2/e019605</w:t>
      </w:r>
      <w:r w:rsidRPr="00A748F0">
        <w:rPr>
          <w:rStyle w:val="Hyperlink"/>
          <w:rFonts w:cs="Open Sans"/>
        </w:rPr>
        <w:t>&gt;</w:t>
      </w:r>
      <w:r w:rsidRPr="00A748F0">
        <w:rPr>
          <w:rFonts w:cs="Open Sans"/>
        </w:rPr>
        <w:t>.</w:t>
      </w:r>
    </w:p>
  </w:endnote>
  <w:endnote w:id="15">
    <w:p w14:paraId="043A01D5" w14:textId="77777777" w:rsidR="000D169F" w:rsidRPr="00345271" w:rsidRDefault="000D169F" w:rsidP="000D169F">
      <w:pPr>
        <w:pStyle w:val="EndnoteText"/>
        <w:rPr>
          <w:rFonts w:cs="Open Sans"/>
          <w:highlight w:val="yellow"/>
        </w:rPr>
      </w:pPr>
      <w:r w:rsidRPr="00E8194B">
        <w:rPr>
          <w:rStyle w:val="EndnoteReference"/>
        </w:rPr>
        <w:endnoteRef/>
      </w:r>
      <w:r w:rsidRPr="00E8194B">
        <w:rPr>
          <w:rFonts w:cs="Open Sans"/>
        </w:rPr>
        <w:t xml:space="preserve"> </w:t>
      </w:r>
      <w:r w:rsidRPr="00E8194B">
        <w:rPr>
          <w:rFonts w:cs="Open Sans"/>
          <w:lang w:val="en-US"/>
        </w:rPr>
        <w:t xml:space="preserve">Senate Standing Committee on Community Affairs, </w:t>
      </w:r>
      <w:r w:rsidRPr="00E8194B">
        <w:rPr>
          <w:rStyle w:val="Emphasis"/>
          <w:rFonts w:cs="Open Sans"/>
          <w:lang w:val="en-US"/>
        </w:rPr>
        <w:t>Protecting vulnerable children: A national challenge</w:t>
      </w:r>
      <w:r w:rsidRPr="00E8194B">
        <w:rPr>
          <w:rFonts w:cs="Open Sans"/>
          <w:lang w:val="en-US"/>
        </w:rPr>
        <w:t xml:space="preserve"> (2005) chapter 5 &lt;</w:t>
      </w:r>
      <w:r w:rsidRPr="00861417">
        <w:rPr>
          <w:rFonts w:cs="Open Sans"/>
          <w:lang w:val="en-US"/>
        </w:rPr>
        <w:t>www.aph.gov.au/Parliamentary_Business/Committees/Senate/Community_Affairs/Completed_inquiries/2004-07/inst_care/report2/c06</w:t>
      </w:r>
      <w:r w:rsidRPr="00345271">
        <w:rPr>
          <w:rFonts w:cs="Open Sans"/>
          <w:sz w:val="18"/>
          <w:szCs w:val="18"/>
          <w:lang w:val="en-US"/>
        </w:rPr>
        <w:t>&gt;.</w:t>
      </w:r>
    </w:p>
  </w:endnote>
  <w:endnote w:id="16">
    <w:p w14:paraId="70400EEB" w14:textId="77777777" w:rsidR="00FE7EC0" w:rsidRPr="008E309D" w:rsidRDefault="00FE7EC0" w:rsidP="00FE7EC0">
      <w:pPr>
        <w:pStyle w:val="EndnoteText"/>
        <w:rPr>
          <w:lang w:val="en-US"/>
        </w:rPr>
      </w:pPr>
      <w:r>
        <w:rPr>
          <w:rStyle w:val="EndnoteReference"/>
        </w:rPr>
        <w:endnoteRef/>
      </w:r>
      <w:r>
        <w:t xml:space="preserve"> United Nations </w:t>
      </w:r>
      <w:r w:rsidRPr="00DA01C9">
        <w:rPr>
          <w:lang w:val="en-US"/>
        </w:rPr>
        <w:t xml:space="preserve">Committee on the Rights of Persons with Disabilities, </w:t>
      </w:r>
      <w:r w:rsidRPr="00DA01C9">
        <w:rPr>
          <w:i/>
          <w:iCs/>
          <w:lang w:val="en-US"/>
        </w:rPr>
        <w:t xml:space="preserve">Concluding </w:t>
      </w:r>
      <w:r>
        <w:rPr>
          <w:i/>
          <w:iCs/>
          <w:lang w:val="en-US"/>
        </w:rPr>
        <w:t>O</w:t>
      </w:r>
      <w:r w:rsidRPr="00DA01C9">
        <w:rPr>
          <w:i/>
          <w:iCs/>
          <w:lang w:val="en-US"/>
        </w:rPr>
        <w:t xml:space="preserve">bservations on the </w:t>
      </w:r>
      <w:r>
        <w:rPr>
          <w:i/>
          <w:iCs/>
          <w:lang w:val="en-US"/>
        </w:rPr>
        <w:t>C</w:t>
      </w:r>
      <w:r w:rsidRPr="00DA01C9">
        <w:rPr>
          <w:i/>
          <w:iCs/>
          <w:lang w:val="en-US"/>
        </w:rPr>
        <w:t xml:space="preserve">ombined </w:t>
      </w:r>
      <w:r>
        <w:rPr>
          <w:i/>
          <w:iCs/>
          <w:lang w:val="en-US"/>
        </w:rPr>
        <w:t>S</w:t>
      </w:r>
      <w:r w:rsidRPr="00DA01C9">
        <w:rPr>
          <w:i/>
          <w:iCs/>
          <w:lang w:val="en-US"/>
        </w:rPr>
        <w:t xml:space="preserve">econd and </w:t>
      </w:r>
      <w:r>
        <w:rPr>
          <w:i/>
          <w:iCs/>
          <w:lang w:val="en-US"/>
        </w:rPr>
        <w:t>T</w:t>
      </w:r>
      <w:r w:rsidRPr="00DA01C9">
        <w:rPr>
          <w:i/>
          <w:iCs/>
          <w:lang w:val="en-US"/>
        </w:rPr>
        <w:t xml:space="preserve">hird </w:t>
      </w:r>
      <w:r>
        <w:rPr>
          <w:i/>
          <w:iCs/>
          <w:lang w:val="en-US"/>
        </w:rPr>
        <w:t>R</w:t>
      </w:r>
      <w:r w:rsidRPr="00DA01C9">
        <w:rPr>
          <w:i/>
          <w:iCs/>
          <w:lang w:val="en-US"/>
        </w:rPr>
        <w:t>eports of Australia</w:t>
      </w:r>
      <w:r>
        <w:rPr>
          <w:lang w:val="en-US"/>
        </w:rPr>
        <w:t xml:space="preserve">, UN Doc </w:t>
      </w:r>
      <w:r w:rsidRPr="00DA01C9">
        <w:rPr>
          <w:lang w:val="en-US"/>
        </w:rPr>
        <w:t>CRPD/C/AUS/CO/2-3</w:t>
      </w:r>
      <w:r>
        <w:rPr>
          <w:lang w:val="en-US"/>
        </w:rPr>
        <w:t xml:space="preserve"> </w:t>
      </w:r>
      <w:r w:rsidRPr="00DA01C9">
        <w:rPr>
          <w:lang w:val="en-US"/>
        </w:rPr>
        <w:t>(Advance unedited version</w:t>
      </w:r>
      <w:r>
        <w:rPr>
          <w:lang w:val="en-US"/>
        </w:rPr>
        <w:t xml:space="preserve">, </w:t>
      </w:r>
      <w:r w:rsidRPr="00DA01C9">
        <w:rPr>
          <w:lang w:val="en-US"/>
        </w:rPr>
        <w:t>23 September 2019) para 25(d).</w:t>
      </w:r>
    </w:p>
  </w:endnote>
  <w:endnote w:id="17">
    <w:p w14:paraId="79B56361" w14:textId="77777777" w:rsidR="00926542" w:rsidRPr="00946697" w:rsidRDefault="00926542" w:rsidP="00926542">
      <w:pPr>
        <w:pStyle w:val="EndnoteText"/>
        <w:rPr>
          <w:rFonts w:cs="Open Sans"/>
        </w:rPr>
      </w:pPr>
      <w:r w:rsidRPr="00946697">
        <w:rPr>
          <w:rStyle w:val="EndnoteReference"/>
        </w:rPr>
        <w:endnoteRef/>
      </w:r>
      <w:r w:rsidRPr="00946697">
        <w:rPr>
          <w:rFonts w:cs="Open Sans"/>
        </w:rPr>
        <w:t xml:space="preserve"> </w:t>
      </w:r>
      <w:r w:rsidRPr="00946697">
        <w:rPr>
          <w:rStyle w:val="EndnoteTextChar"/>
        </w:rPr>
        <w:t>Australian Law Reform Commission, Pathways to Justice: Inquiry into the Incarceration Rate of Aboriginal and Torres Strait Islander Peoples (ALRC Report 133, 2018) 487 &lt;</w:t>
      </w:r>
      <w:r w:rsidRPr="003E307D">
        <w:rPr>
          <w:rFonts w:cs="Open Sans"/>
        </w:rPr>
        <w:t>www.alrc.gov.au/publications/indigenous-incarceration-report133</w:t>
      </w:r>
      <w:r w:rsidRPr="00946697">
        <w:rPr>
          <w:rStyle w:val="EndnoteTextChar"/>
        </w:rPr>
        <w:t>&gt;.</w:t>
      </w:r>
    </w:p>
  </w:endnote>
  <w:endnote w:id="18">
    <w:p w14:paraId="3EB266AA" w14:textId="77777777" w:rsidR="00926542" w:rsidRPr="00946697" w:rsidRDefault="00926542" w:rsidP="00926542">
      <w:pPr>
        <w:pStyle w:val="EndnoteText"/>
        <w:rPr>
          <w:rFonts w:cs="Open Sans"/>
        </w:rPr>
      </w:pPr>
      <w:r w:rsidRPr="00946697">
        <w:rPr>
          <w:rStyle w:val="EndnoteReference"/>
        </w:rPr>
        <w:endnoteRef/>
      </w:r>
      <w:r w:rsidRPr="00946697">
        <w:rPr>
          <w:rStyle w:val="EndnoteReference"/>
        </w:rPr>
        <w:t xml:space="preserve"> </w:t>
      </w:r>
      <w:r w:rsidRPr="00946697">
        <w:rPr>
          <w:rStyle w:val="EndnoteTextChar"/>
        </w:rPr>
        <w:t>Australian Law Reform Commission, Pathways to Justice: Inquiry into the Incarceration Rate of Aboriginal and Torres Strait Islander Peoples (ALRC Report 133, 2018) 487 &lt;</w:t>
      </w:r>
      <w:r w:rsidRPr="003E307D">
        <w:rPr>
          <w:rFonts w:cs="Open Sans"/>
        </w:rPr>
        <w:t>www.alrc.gov.au/publications/indigenous-incarceration-report133</w:t>
      </w:r>
      <w:r w:rsidRPr="00946697">
        <w:rPr>
          <w:rStyle w:val="EndnoteTextChar"/>
        </w:rPr>
        <w:t>&gt;.</w:t>
      </w:r>
    </w:p>
  </w:endnote>
  <w:endnote w:id="19">
    <w:p w14:paraId="0AD74EE7" w14:textId="6B8201E1" w:rsidR="000F3754" w:rsidRDefault="000F3754">
      <w:pPr>
        <w:pStyle w:val="EndnoteText"/>
      </w:pPr>
      <w:r>
        <w:rPr>
          <w:rStyle w:val="EndnoteReference"/>
        </w:rPr>
        <w:endnoteRef/>
      </w:r>
      <w:r>
        <w:t xml:space="preserve"> </w:t>
      </w:r>
      <w:r w:rsidR="00C06BA0">
        <w:t xml:space="preserve">Susan Baidawi &amp; Rosemary Sheehan, </w:t>
      </w:r>
      <w:r w:rsidR="00C06BA0" w:rsidRPr="00273F9B">
        <w:rPr>
          <w:i/>
          <w:iCs/>
        </w:rPr>
        <w:t>Cross-over kids: effective responses to chi</w:t>
      </w:r>
      <w:r w:rsidR="003268FE" w:rsidRPr="00273F9B">
        <w:rPr>
          <w:i/>
          <w:iCs/>
        </w:rPr>
        <w:t>ld</w:t>
      </w:r>
      <w:r w:rsidR="00C06BA0" w:rsidRPr="00273F9B">
        <w:rPr>
          <w:i/>
          <w:iCs/>
        </w:rPr>
        <w:t>ren and young people in the youth justice and statutory Child Protection systems</w:t>
      </w:r>
      <w:r w:rsidR="007D1C2F" w:rsidRPr="00273F9B">
        <w:rPr>
          <w:i/>
          <w:iCs/>
        </w:rPr>
        <w:t>. Report to the Criminology Research Advisory Council</w:t>
      </w:r>
      <w:r w:rsidR="003319ED">
        <w:t xml:space="preserve"> </w:t>
      </w:r>
      <w:r w:rsidR="00D86018">
        <w:t>(December 2019)</w:t>
      </w:r>
      <w:r w:rsidR="0082584A">
        <w:t xml:space="preserve"> </w:t>
      </w:r>
      <w:hyperlink r:id="rId2" w:anchor="a03" w:history="1">
        <w:r w:rsidR="0082584A">
          <w:rPr>
            <w:rStyle w:val="Hyperlink"/>
          </w:rPr>
          <w:t>https://crg.aic.gov.au/reports/201920.html#a03</w:t>
        </w:r>
      </w:hyperlink>
      <w:r w:rsidR="0082584A">
        <w:t xml:space="preserve">. </w:t>
      </w:r>
    </w:p>
  </w:endnote>
  <w:endnote w:id="20">
    <w:p w14:paraId="0A5AB6B9" w14:textId="1FEE920A" w:rsidR="00665A5F" w:rsidRPr="00C26424" w:rsidRDefault="00665A5F" w:rsidP="00665A5F">
      <w:pPr>
        <w:pStyle w:val="EndnoteText"/>
        <w:rPr>
          <w:rFonts w:cs="Open Sans"/>
        </w:rPr>
      </w:pPr>
      <w:r w:rsidRPr="00C26424">
        <w:rPr>
          <w:rStyle w:val="EndnoteReference"/>
        </w:rPr>
        <w:endnoteRef/>
      </w:r>
      <w:r w:rsidRPr="00C26424">
        <w:rPr>
          <w:rFonts w:cs="Open Sans"/>
        </w:rPr>
        <w:t xml:space="preserve"> Thomas Crofts, ‘A Brighter Tomorrow: Raise the Age of Criminal Responsibility’ (2015) 27 (1) </w:t>
      </w:r>
      <w:r w:rsidRPr="00C26424">
        <w:rPr>
          <w:rFonts w:cs="Open Sans"/>
          <w:i/>
        </w:rPr>
        <w:t xml:space="preserve">Current Issues in Criminal Justice </w:t>
      </w:r>
      <w:r w:rsidRPr="00C26424">
        <w:rPr>
          <w:rFonts w:cs="Open Sans"/>
        </w:rPr>
        <w:t>123, 131</w:t>
      </w:r>
      <w:r w:rsidR="00D27828">
        <w:rPr>
          <w:rFonts w:cs="Open Sans"/>
        </w:rPr>
        <w:t xml:space="preserve"> </w:t>
      </w:r>
      <w:r w:rsidRPr="00C26424">
        <w:rPr>
          <w:rFonts w:cs="Open Sans"/>
        </w:rPr>
        <w:t>&lt;</w:t>
      </w:r>
      <w:r w:rsidRPr="00861417">
        <w:rPr>
          <w:rFonts w:cs="Open Sans"/>
        </w:rPr>
        <w:t>www.austlii.edu.au/au/journals/CICrimJust/2015/15.html</w:t>
      </w:r>
      <w:r w:rsidRPr="00C26424">
        <w:rPr>
          <w:rFonts w:cs="Open Sans"/>
        </w:rPr>
        <w:t>&gt;.</w:t>
      </w:r>
    </w:p>
  </w:endnote>
  <w:endnote w:id="21">
    <w:p w14:paraId="7BE96F02" w14:textId="77777777" w:rsidR="009713F3" w:rsidRPr="00345271" w:rsidRDefault="009713F3" w:rsidP="009713F3">
      <w:pPr>
        <w:pStyle w:val="EndnoteText"/>
        <w:rPr>
          <w:rFonts w:cs="Open Sans"/>
        </w:rPr>
      </w:pPr>
      <w:r w:rsidRPr="00345271">
        <w:rPr>
          <w:rStyle w:val="EndnoteReference"/>
        </w:rPr>
        <w:endnoteRef/>
      </w:r>
      <w:r w:rsidRPr="00345271">
        <w:rPr>
          <w:rFonts w:cs="Open Sans"/>
        </w:rPr>
        <w:t xml:space="preserve"> Australian Institute of Health and Welfare, </w:t>
      </w:r>
      <w:r w:rsidRPr="00345271">
        <w:rPr>
          <w:rFonts w:cs="Open Sans"/>
          <w:i/>
        </w:rPr>
        <w:t>Youth Justice in Australia 2016</w:t>
      </w:r>
      <w:r>
        <w:rPr>
          <w:rFonts w:cs="Open Sans"/>
          <w:i/>
        </w:rPr>
        <w:t>–</w:t>
      </w:r>
      <w:r w:rsidRPr="00345271">
        <w:rPr>
          <w:rFonts w:cs="Open Sans"/>
          <w:i/>
        </w:rPr>
        <w:t>2017</w:t>
      </w:r>
      <w:r w:rsidRPr="00345271">
        <w:rPr>
          <w:rFonts w:cs="Open Sans"/>
        </w:rPr>
        <w:t xml:space="preserve"> (</w:t>
      </w:r>
      <w:r>
        <w:rPr>
          <w:rFonts w:cs="Open Sans"/>
        </w:rPr>
        <w:t xml:space="preserve">Report, </w:t>
      </w:r>
      <w:r w:rsidRPr="00345271">
        <w:rPr>
          <w:rFonts w:cs="Open Sans"/>
        </w:rPr>
        <w:t>2018) v &lt;</w:t>
      </w:r>
      <w:r w:rsidRPr="00861417">
        <w:rPr>
          <w:rFonts w:cs="Open Sans"/>
        </w:rPr>
        <w:t>www.aihw.gov.au/reports/youth-justice/youth-justice-in-australia-2016-17/contents/table-of-contents</w:t>
      </w:r>
      <w:r w:rsidRPr="00345271">
        <w:rPr>
          <w:rFonts w:cs="Open Sans"/>
        </w:rPr>
        <w:t>&gt;.</w:t>
      </w:r>
    </w:p>
  </w:endnote>
  <w:endnote w:id="22">
    <w:p w14:paraId="4554AB78" w14:textId="77777777" w:rsidR="009713F3" w:rsidRDefault="009713F3" w:rsidP="009713F3">
      <w:pPr>
        <w:pStyle w:val="EndnoteText"/>
      </w:pPr>
      <w:r>
        <w:rPr>
          <w:rStyle w:val="EndnoteReference"/>
        </w:rPr>
        <w:endnoteRef/>
      </w:r>
      <w:r>
        <w:t xml:space="preserve"> Australian Institute of Health and Welfare, </w:t>
      </w:r>
      <w:r w:rsidRPr="00834FCA">
        <w:rPr>
          <w:i/>
          <w:iCs/>
        </w:rPr>
        <w:t>Youth Justice in Australia 2017</w:t>
      </w:r>
      <w:r>
        <w:rPr>
          <w:i/>
          <w:iCs/>
        </w:rPr>
        <w:t>–</w:t>
      </w:r>
      <w:r w:rsidRPr="00834FCA">
        <w:rPr>
          <w:i/>
          <w:iCs/>
        </w:rPr>
        <w:t>18</w:t>
      </w:r>
      <w:r>
        <w:t xml:space="preserve"> (Report, 2019) 9 &lt;</w:t>
      </w:r>
      <w:r w:rsidRPr="00861417">
        <w:rPr>
          <w:rFonts w:cs="Open Sans"/>
        </w:rPr>
        <w:t>www.aihw.gov.au/reports-data/health-welfare-services/youth-justice/overview</w:t>
      </w:r>
    </w:p>
  </w:endnote>
  <w:endnote w:id="23">
    <w:p w14:paraId="5C42EB4A" w14:textId="77777777" w:rsidR="009713F3" w:rsidRPr="00345271" w:rsidRDefault="009713F3" w:rsidP="009713F3">
      <w:pPr>
        <w:pStyle w:val="EndnoteText"/>
        <w:rPr>
          <w:rFonts w:cs="Open Sans"/>
          <w:highlight w:val="yellow"/>
          <w:lang w:val="en-US"/>
        </w:rPr>
      </w:pPr>
      <w:r w:rsidRPr="00345271">
        <w:rPr>
          <w:rStyle w:val="EndnoteReference"/>
        </w:rPr>
        <w:endnoteRef/>
      </w:r>
      <w:r w:rsidRPr="00345271">
        <w:rPr>
          <w:rFonts w:cs="Open Sans"/>
        </w:rPr>
        <w:t xml:space="preserve"> Evidence to </w:t>
      </w:r>
      <w:r w:rsidRPr="00345271">
        <w:rPr>
          <w:rFonts w:cs="Open Sans"/>
          <w:lang w:val="en-US"/>
        </w:rPr>
        <w:t>Northern Territory Estimates Committee 2018, Northern Territory Legislative Assembly, Darwin, 20 June 2018, 62 (Ms Kerr, Territory Families) &lt;</w:t>
      </w:r>
      <w:r w:rsidRPr="00861417">
        <w:rPr>
          <w:rFonts w:cs="Open Sans"/>
          <w:lang w:val="en-US"/>
        </w:rPr>
        <w:t>https://parliament.nt.gov.au/committees/previous/estimates/estimates-committee-2018</w:t>
      </w:r>
      <w:r>
        <w:rPr>
          <w:rFonts w:cs="Open Sans"/>
          <w:lang w:val="en-US"/>
        </w:rPr>
        <w:t>&gt;.</w:t>
      </w:r>
    </w:p>
  </w:endnote>
  <w:endnote w:id="24">
    <w:p w14:paraId="5A1EF0AE" w14:textId="77777777" w:rsidR="009713F3" w:rsidRPr="00946697" w:rsidRDefault="009713F3" w:rsidP="009713F3">
      <w:pPr>
        <w:pStyle w:val="EndnoteText"/>
        <w:rPr>
          <w:rFonts w:cs="Open Sans"/>
        </w:rPr>
      </w:pPr>
      <w:r w:rsidRPr="00946697">
        <w:rPr>
          <w:rStyle w:val="EndnoteReference"/>
        </w:rPr>
        <w:endnoteRef/>
      </w:r>
      <w:r w:rsidRPr="00946697">
        <w:rPr>
          <w:rFonts w:cs="Open Sans"/>
        </w:rPr>
        <w:t xml:space="preserve"> Australian Institute of Health and Welfare, </w:t>
      </w:r>
      <w:r w:rsidRPr="00946697">
        <w:rPr>
          <w:rFonts w:cs="Open Sans"/>
          <w:i/>
        </w:rPr>
        <w:t>Youth Justice in Australia 2017–2018</w:t>
      </w:r>
      <w:r w:rsidRPr="00946697">
        <w:rPr>
          <w:rFonts w:cs="Open Sans"/>
        </w:rPr>
        <w:t xml:space="preserve"> (</w:t>
      </w:r>
      <w:r>
        <w:rPr>
          <w:rFonts w:cs="Open Sans"/>
        </w:rPr>
        <w:t xml:space="preserve">Report, </w:t>
      </w:r>
      <w:r w:rsidRPr="00946697">
        <w:rPr>
          <w:rFonts w:cs="Open Sans"/>
        </w:rPr>
        <w:t>2019) 10 &lt;</w:t>
      </w:r>
      <w:r w:rsidRPr="003E307D">
        <w:rPr>
          <w:rFonts w:cs="Open Sans"/>
        </w:rPr>
        <w:t>www.aihw.gov.au/reports-data/health-welfare-services/youth-justice/overview</w:t>
      </w:r>
      <w:r>
        <w:rPr>
          <w:rFonts w:cs="Open Sans"/>
        </w:rPr>
        <w:t>&gt;.</w:t>
      </w:r>
    </w:p>
  </w:endnote>
  <w:endnote w:id="25">
    <w:p w14:paraId="700433E7" w14:textId="734FF8C3" w:rsidR="009713F3" w:rsidRPr="00946697" w:rsidRDefault="009713F3" w:rsidP="009713F3">
      <w:pPr>
        <w:pStyle w:val="EndnoteText"/>
        <w:rPr>
          <w:rFonts w:cs="Open Sans"/>
        </w:rPr>
      </w:pPr>
      <w:r w:rsidRPr="00946697">
        <w:rPr>
          <w:rStyle w:val="EndnoteReference"/>
        </w:rPr>
        <w:endnoteRef/>
      </w:r>
      <w:r w:rsidRPr="00946697">
        <w:rPr>
          <w:rFonts w:cs="Open Sans"/>
        </w:rPr>
        <w:t xml:space="preserve">Australian Institute of Health and Welfare, </w:t>
      </w:r>
      <w:r w:rsidRPr="00946697">
        <w:rPr>
          <w:rFonts w:cs="Open Sans"/>
          <w:i/>
          <w:iCs/>
        </w:rPr>
        <w:t xml:space="preserve">Bulletin 145, December 2018: Youth detention population in Australia 2018 </w:t>
      </w:r>
      <w:r w:rsidRPr="00946697">
        <w:rPr>
          <w:rFonts w:cs="Open Sans"/>
        </w:rPr>
        <w:t>(</w:t>
      </w:r>
      <w:r>
        <w:rPr>
          <w:rFonts w:cs="Open Sans"/>
        </w:rPr>
        <w:t xml:space="preserve">Report, </w:t>
      </w:r>
      <w:r w:rsidRPr="00946697">
        <w:rPr>
          <w:rFonts w:cs="Open Sans"/>
        </w:rPr>
        <w:t>2018) 20 &lt;</w:t>
      </w:r>
      <w:r w:rsidRPr="003E307D">
        <w:rPr>
          <w:rFonts w:cs="Open Sans"/>
        </w:rPr>
        <w:t>www.aihw.gov.au/reports-data/health-welfare-services/youth-justice/data</w:t>
      </w:r>
      <w:r>
        <w:rPr>
          <w:rFonts w:cs="Open Sans"/>
        </w:rPr>
        <w:t>&gt;</w:t>
      </w:r>
      <w:r w:rsidRPr="00946697">
        <w:rPr>
          <w:rFonts w:cs="Open Sans"/>
        </w:rPr>
        <w:t xml:space="preserve">; Australian Institute of Health and Welfare, </w:t>
      </w:r>
      <w:r w:rsidRPr="00946697">
        <w:rPr>
          <w:rFonts w:cs="Open Sans"/>
          <w:i/>
          <w:iCs/>
        </w:rPr>
        <w:t>Table</w:t>
      </w:r>
      <w:r w:rsidR="006B7962">
        <w:rPr>
          <w:rFonts w:cs="Open Sans"/>
          <w:i/>
          <w:iCs/>
        </w:rPr>
        <w:t xml:space="preserve"> </w:t>
      </w:r>
      <w:r w:rsidRPr="00946697">
        <w:rPr>
          <w:rFonts w:cs="Open Sans"/>
          <w:i/>
          <w:iCs/>
        </w:rPr>
        <w:t xml:space="preserve">S78b: Young people in detention during the year by age, sex and Indigenous, Australia, 2017-18 </w:t>
      </w:r>
      <w:r>
        <w:rPr>
          <w:rFonts w:cs="Open Sans"/>
        </w:rPr>
        <w:t>(</w:t>
      </w:r>
      <w:r w:rsidRPr="00946697">
        <w:rPr>
          <w:rFonts w:cs="Open Sans"/>
        </w:rPr>
        <w:t>2018) &lt;www.aihw.gov.au/reports-data/health-welfare-services/youth-justice/data&gt;.</w:t>
      </w:r>
    </w:p>
  </w:endnote>
  <w:endnote w:id="26">
    <w:p w14:paraId="5BB3FFAC" w14:textId="678F64B8" w:rsidR="006B7962" w:rsidRPr="006B7962" w:rsidRDefault="006B7962" w:rsidP="006B7962">
      <w:pPr>
        <w:pStyle w:val="EndnoteText"/>
        <w:rPr>
          <w:rFonts w:cs="Open Sans"/>
        </w:rPr>
      </w:pPr>
      <w:r>
        <w:rPr>
          <w:rStyle w:val="EndnoteReference"/>
        </w:rPr>
        <w:endnoteRef/>
      </w:r>
      <w:r>
        <w:t xml:space="preserve"> </w:t>
      </w:r>
      <w:r w:rsidRPr="00946697">
        <w:rPr>
          <w:rFonts w:cs="Open Sans"/>
        </w:rPr>
        <w:t xml:space="preserve">Australian Institute of Health and Welfare, </w:t>
      </w:r>
      <w:r w:rsidRPr="00946697">
        <w:rPr>
          <w:rFonts w:cs="Open Sans"/>
          <w:i/>
          <w:iCs/>
        </w:rPr>
        <w:t>Table</w:t>
      </w:r>
      <w:r>
        <w:rPr>
          <w:rFonts w:cs="Open Sans"/>
          <w:i/>
          <w:iCs/>
        </w:rPr>
        <w:t xml:space="preserve"> </w:t>
      </w:r>
      <w:r w:rsidRPr="00946697">
        <w:rPr>
          <w:rFonts w:cs="Open Sans"/>
          <w:i/>
          <w:iCs/>
        </w:rPr>
        <w:t>S78</w:t>
      </w:r>
      <w:r>
        <w:rPr>
          <w:rFonts w:cs="Open Sans"/>
          <w:i/>
          <w:iCs/>
        </w:rPr>
        <w:t>a</w:t>
      </w:r>
      <w:r w:rsidRPr="00946697">
        <w:rPr>
          <w:rFonts w:cs="Open Sans"/>
          <w:i/>
          <w:iCs/>
        </w:rPr>
        <w:t xml:space="preserve">: Young people in detention during the year by age, sex and Indigenous, Australia, 2017-18 </w:t>
      </w:r>
      <w:r>
        <w:rPr>
          <w:rFonts w:cs="Open Sans"/>
        </w:rPr>
        <w:t>(</w:t>
      </w:r>
      <w:r w:rsidRPr="00946697">
        <w:rPr>
          <w:rFonts w:cs="Open Sans"/>
        </w:rPr>
        <w:t>2018) &lt;www.aihw.gov.au/reports-data/health-welfare-services/youth-justice/data&gt;.</w:t>
      </w:r>
    </w:p>
  </w:endnote>
  <w:endnote w:id="27">
    <w:p w14:paraId="3E73D861" w14:textId="77777777" w:rsidR="00853772" w:rsidRPr="00946697" w:rsidRDefault="00853772" w:rsidP="00853772">
      <w:pPr>
        <w:pStyle w:val="EndnoteText"/>
        <w:rPr>
          <w:rFonts w:cs="Open Sans"/>
        </w:rPr>
      </w:pPr>
      <w:r w:rsidRPr="00946697">
        <w:rPr>
          <w:rStyle w:val="EndnoteReference"/>
        </w:rPr>
        <w:endnoteRef/>
      </w:r>
      <w:r w:rsidRPr="00946697">
        <w:rPr>
          <w:rFonts w:cs="Open Sans"/>
        </w:rPr>
        <w:t xml:space="preserve"> </w:t>
      </w:r>
      <w:r w:rsidRPr="00957DBC">
        <w:rPr>
          <w:rFonts w:cs="Open Sans"/>
        </w:rPr>
        <w:t xml:space="preserve">These numbers do not include children whose Indigenous status was not collected or recorded. </w:t>
      </w:r>
      <w:r>
        <w:rPr>
          <w:rFonts w:cs="Open Sans"/>
        </w:rPr>
        <w:t>According to AIHW, ‘n</w:t>
      </w:r>
      <w:r w:rsidRPr="00957DBC">
        <w:rPr>
          <w:rFonts w:cs="Open Sans"/>
        </w:rPr>
        <w:t>ationally, the proportion of young people with ‘not stated’ Indigenous status ranged from 0.0% to 1.2% each quarter between the June quarter 2014 and the June quarter 2018</w:t>
      </w:r>
      <w:r>
        <w:rPr>
          <w:rFonts w:cs="Open Sans"/>
        </w:rPr>
        <w:t>’:</w:t>
      </w:r>
      <w:r w:rsidRPr="00957DBC">
        <w:rPr>
          <w:rFonts w:cs="Open Sans"/>
        </w:rPr>
        <w:t xml:space="preserve"> Australian</w:t>
      </w:r>
      <w:r w:rsidRPr="00946697">
        <w:rPr>
          <w:rFonts w:cs="Open Sans"/>
        </w:rPr>
        <w:t xml:space="preserve"> Institute of Health and Welfare, </w:t>
      </w:r>
      <w:r w:rsidRPr="00946697">
        <w:rPr>
          <w:rFonts w:cs="Open Sans"/>
          <w:i/>
          <w:iCs/>
        </w:rPr>
        <w:t xml:space="preserve">Bulletin 145, December 2018: Youth detention population in Australia 2018 </w:t>
      </w:r>
      <w:r w:rsidRPr="00946697">
        <w:rPr>
          <w:rFonts w:cs="Open Sans"/>
        </w:rPr>
        <w:t>(2018) 20 &lt;</w:t>
      </w:r>
      <w:r w:rsidRPr="003E307D">
        <w:rPr>
          <w:rFonts w:cs="Open Sans"/>
        </w:rPr>
        <w:t>www.aihw.gov.au/reports-data/health-welfare-services/youth-justice/data</w:t>
      </w:r>
      <w:r w:rsidRPr="00946697">
        <w:rPr>
          <w:rFonts w:cs="Open Sans"/>
        </w:rPr>
        <w:t>&gt;.</w:t>
      </w:r>
    </w:p>
  </w:endnote>
  <w:endnote w:id="28">
    <w:p w14:paraId="7D40DB60" w14:textId="77777777" w:rsidR="00853772" w:rsidRPr="00946697" w:rsidRDefault="00853772" w:rsidP="00853772">
      <w:pPr>
        <w:pStyle w:val="EndnoteText"/>
        <w:rPr>
          <w:rFonts w:cs="Open Sans"/>
        </w:rPr>
      </w:pPr>
      <w:r w:rsidRPr="00946697">
        <w:rPr>
          <w:rStyle w:val="EndnoteReference"/>
        </w:rPr>
        <w:endnoteRef/>
      </w:r>
      <w:r w:rsidRPr="00946697">
        <w:rPr>
          <w:rFonts w:cs="Open Sans"/>
        </w:rPr>
        <w:t xml:space="preserve"> </w:t>
      </w:r>
      <w:r w:rsidRPr="00957DBC">
        <w:rPr>
          <w:rFonts w:cs="Open Sans"/>
        </w:rPr>
        <w:t xml:space="preserve">These numbers do not include children whose Indigenous status was not collected or recorded. </w:t>
      </w:r>
      <w:r>
        <w:rPr>
          <w:rFonts w:cs="Open Sans"/>
        </w:rPr>
        <w:t>According to AIHW, ‘n</w:t>
      </w:r>
      <w:r w:rsidRPr="00957DBC">
        <w:rPr>
          <w:rFonts w:cs="Open Sans"/>
        </w:rPr>
        <w:t>ationally, the proportion of young people with ‘not stated’ Indigenous status ranged from 0.0% to 1.2% each quarter between the June quarter 2014 and the June quarter 2018</w:t>
      </w:r>
      <w:r>
        <w:rPr>
          <w:rFonts w:cs="Open Sans"/>
        </w:rPr>
        <w:t>’:</w:t>
      </w:r>
      <w:r w:rsidRPr="00957DBC">
        <w:rPr>
          <w:rFonts w:cs="Open Sans"/>
        </w:rPr>
        <w:t xml:space="preserve"> Australian</w:t>
      </w:r>
      <w:r w:rsidRPr="00946697">
        <w:rPr>
          <w:rFonts w:cs="Open Sans"/>
        </w:rPr>
        <w:t xml:space="preserve"> Institute of Health and Welfare, </w:t>
      </w:r>
      <w:r w:rsidRPr="00946697">
        <w:rPr>
          <w:rFonts w:cs="Open Sans"/>
          <w:i/>
          <w:iCs/>
        </w:rPr>
        <w:t xml:space="preserve">Bulletin 145, December 2018: Youth detention population in Australia 2018 </w:t>
      </w:r>
      <w:r w:rsidRPr="00946697">
        <w:rPr>
          <w:rFonts w:cs="Open Sans"/>
        </w:rPr>
        <w:t>(2018) 20 &lt;</w:t>
      </w:r>
      <w:r w:rsidRPr="003E307D">
        <w:rPr>
          <w:rFonts w:cs="Open Sans"/>
        </w:rPr>
        <w:t>www.aihw.gov.au/reports-data/health-welfare-services/youth-justice/data</w:t>
      </w:r>
      <w:r w:rsidRPr="00946697">
        <w:rPr>
          <w:rFonts w:cs="Open Sans"/>
        </w:rPr>
        <w:t>&gt;.</w:t>
      </w:r>
    </w:p>
  </w:endnote>
  <w:endnote w:id="29">
    <w:p w14:paraId="2CBD6336" w14:textId="77777777" w:rsidR="00C368CD" w:rsidRPr="00345271" w:rsidRDefault="00C368CD" w:rsidP="00C368CD">
      <w:pPr>
        <w:pStyle w:val="EndnoteText"/>
        <w:rPr>
          <w:rFonts w:cs="Open Sans"/>
        </w:rPr>
      </w:pPr>
      <w:r w:rsidRPr="00345271">
        <w:rPr>
          <w:rStyle w:val="EndnoteReference"/>
        </w:rPr>
        <w:endnoteRef/>
      </w:r>
      <w:r w:rsidRPr="00345271">
        <w:rPr>
          <w:rFonts w:cs="Open Sans"/>
        </w:rPr>
        <w:t xml:space="preserve"> Australian Human Rights Commission, </w:t>
      </w:r>
      <w:r w:rsidRPr="00345271">
        <w:rPr>
          <w:rFonts w:cs="Open Sans"/>
          <w:i/>
        </w:rPr>
        <w:t>Information concerning Australia’s compliance with the International Convention on the Elimination of All Forms of Racial Discrimination</w:t>
      </w:r>
      <w:r w:rsidRPr="00345271">
        <w:rPr>
          <w:rFonts w:cs="Open Sans"/>
        </w:rPr>
        <w:t xml:space="preserve"> (30 October 2017) 19 &lt;</w:t>
      </w:r>
      <w:r w:rsidRPr="00861417">
        <w:rPr>
          <w:rFonts w:cs="Open Sans"/>
        </w:rPr>
        <w:t>https://www.humanrights.gov.au/submissions/submission-cerd-2017</w:t>
      </w:r>
      <w:r w:rsidRPr="00345271">
        <w:rPr>
          <w:rFonts w:cs="Open Sans"/>
        </w:rPr>
        <w:t>&gt;.</w:t>
      </w:r>
    </w:p>
  </w:endnote>
  <w:endnote w:id="30">
    <w:p w14:paraId="7893C829" w14:textId="77777777" w:rsidR="00C368CD" w:rsidRPr="00345271" w:rsidRDefault="00C368CD" w:rsidP="00C368CD">
      <w:pPr>
        <w:pStyle w:val="EndnoteText"/>
        <w:rPr>
          <w:rFonts w:cs="Open Sans"/>
        </w:rPr>
      </w:pPr>
      <w:r w:rsidRPr="00345271">
        <w:rPr>
          <w:rStyle w:val="EndnoteReference"/>
        </w:rPr>
        <w:endnoteRef/>
      </w:r>
      <w:r w:rsidRPr="00345271">
        <w:rPr>
          <w:rFonts w:cs="Open Sans"/>
        </w:rPr>
        <w:t xml:space="preserve"> Aboriginal and Torres Strait Islander Social Justice Commissioner, </w:t>
      </w:r>
      <w:r w:rsidRPr="00345271">
        <w:rPr>
          <w:rFonts w:cs="Open Sans"/>
          <w:i/>
        </w:rPr>
        <w:t>Social Justice Report 2009</w:t>
      </w:r>
      <w:r w:rsidRPr="00345271">
        <w:rPr>
          <w:rFonts w:cs="Open Sans"/>
        </w:rPr>
        <w:t xml:space="preserve"> (2009) 45 &lt;</w:t>
      </w:r>
      <w:r w:rsidRPr="00861417">
        <w:rPr>
          <w:rFonts w:cs="Open Sans"/>
        </w:rPr>
        <w:t>www.humanrights.gov.au/our-work/aboriginal-and-torres-strait-islander-social-justice/publications/social-justice-report-0</w:t>
      </w:r>
      <w:r w:rsidRPr="00345271">
        <w:rPr>
          <w:rFonts w:cs="Open Sans"/>
        </w:rPr>
        <w:t>&gt;.</w:t>
      </w:r>
    </w:p>
  </w:endnote>
  <w:endnote w:id="31">
    <w:p w14:paraId="5520A07C" w14:textId="77777777" w:rsidR="00665A5F" w:rsidRPr="00C26424" w:rsidRDefault="00665A5F" w:rsidP="00665A5F">
      <w:pPr>
        <w:pStyle w:val="EndnoteText"/>
        <w:rPr>
          <w:rFonts w:cs="Open Sans"/>
        </w:rPr>
      </w:pPr>
      <w:r w:rsidRPr="00C26424">
        <w:rPr>
          <w:rStyle w:val="EndnoteReference"/>
        </w:rPr>
        <w:endnoteRef/>
      </w:r>
      <w:r w:rsidRPr="00C26424">
        <w:rPr>
          <w:rFonts w:cs="Open Sans"/>
        </w:rPr>
        <w:t xml:space="preserve"> Elly Farmer, ‘The age of criminal responsibility: developmental science and human rights perspectives’ (2011) 6(2) </w:t>
      </w:r>
      <w:r w:rsidRPr="00C26424">
        <w:rPr>
          <w:rFonts w:cs="Open Sans"/>
          <w:i/>
        </w:rPr>
        <w:t>Journal of Children’s Services,</w:t>
      </w:r>
      <w:r w:rsidRPr="00C26424">
        <w:rPr>
          <w:rFonts w:cs="Open Sans"/>
        </w:rPr>
        <w:t xml:space="preserve"> 86, 87.</w:t>
      </w:r>
    </w:p>
  </w:endnote>
  <w:endnote w:id="32">
    <w:p w14:paraId="779FFD43" w14:textId="77777777" w:rsidR="00704BB6" w:rsidRPr="00C26424" w:rsidRDefault="00704BB6" w:rsidP="00704BB6">
      <w:pPr>
        <w:pStyle w:val="EndnoteText"/>
        <w:rPr>
          <w:rFonts w:cs="Open Sans"/>
        </w:rPr>
      </w:pPr>
      <w:r w:rsidRPr="00C26424">
        <w:rPr>
          <w:rStyle w:val="EndnoteReference"/>
          <w:rFonts w:cs="Open Sans"/>
        </w:rPr>
        <w:endnoteRef/>
      </w:r>
      <w:r w:rsidRPr="00C26424">
        <w:rPr>
          <w:rFonts w:cs="Open Sans"/>
        </w:rPr>
        <w:t xml:space="preserve"> Elly Farmer, ‘The age of criminal responsibility: developmental science and human rights perspectives’ (2011) 6(2) </w:t>
      </w:r>
      <w:r w:rsidRPr="00C26424">
        <w:rPr>
          <w:rFonts w:cs="Open Sans"/>
          <w:i/>
        </w:rPr>
        <w:t>Journal of Children’s Services,</w:t>
      </w:r>
      <w:r w:rsidRPr="00C26424">
        <w:rPr>
          <w:rFonts w:cs="Open Sans"/>
        </w:rPr>
        <w:t xml:space="preserve"> 86, 87.</w:t>
      </w:r>
    </w:p>
  </w:endnote>
  <w:endnote w:id="33">
    <w:p w14:paraId="5FB9A79C" w14:textId="06459EAB" w:rsidR="00665A5F" w:rsidRPr="00C26424" w:rsidRDefault="00665A5F" w:rsidP="00665A5F">
      <w:pPr>
        <w:pStyle w:val="EndnoteText"/>
        <w:rPr>
          <w:rFonts w:cs="Open Sans"/>
        </w:rPr>
      </w:pPr>
      <w:r w:rsidRPr="00C26424">
        <w:rPr>
          <w:rStyle w:val="EndnoteReference"/>
        </w:rPr>
        <w:endnoteRef/>
      </w:r>
      <w:r w:rsidRPr="00C26424">
        <w:rPr>
          <w:rFonts w:cs="Open Sans"/>
        </w:rPr>
        <w:t xml:space="preserve"> Elly Farmer, ‘The age of criminal responsibility: developmental science and human rights perspectives’ (2011) 6(2) </w:t>
      </w:r>
      <w:r w:rsidRPr="00C26424">
        <w:rPr>
          <w:rFonts w:cs="Open Sans"/>
          <w:i/>
        </w:rPr>
        <w:t>Journal of Children’s Services</w:t>
      </w:r>
      <w:r w:rsidRPr="00C26424">
        <w:rPr>
          <w:rFonts w:cs="Open Sans"/>
        </w:rPr>
        <w:t xml:space="preserve"> 86, 86-95.</w:t>
      </w:r>
    </w:p>
  </w:endnote>
  <w:endnote w:id="34">
    <w:p w14:paraId="4D27B040" w14:textId="3E3F1B9D" w:rsidR="003230A7" w:rsidRPr="006B35A7" w:rsidRDefault="003230A7">
      <w:pPr>
        <w:pStyle w:val="EndnoteText"/>
      </w:pPr>
      <w:r>
        <w:rPr>
          <w:rStyle w:val="EndnoteReference"/>
        </w:rPr>
        <w:endnoteRef/>
      </w:r>
      <w:r>
        <w:t xml:space="preserve"> </w:t>
      </w:r>
      <w:r w:rsidR="00AA74B3">
        <w:t>Kelly Richards, ‘What makes juvenile offenders different from adult offenders?’</w:t>
      </w:r>
      <w:r w:rsidR="00C1688A">
        <w:t xml:space="preserve"> (</w:t>
      </w:r>
      <w:r w:rsidR="006B35A7">
        <w:t>Austr</w:t>
      </w:r>
      <w:r w:rsidR="00AC3EA7">
        <w:t>al</w:t>
      </w:r>
      <w:r w:rsidR="006B35A7">
        <w:t>ian Institute of Criminology</w:t>
      </w:r>
      <w:r w:rsidR="00AC3EA7">
        <w:t xml:space="preserve"> </w:t>
      </w:r>
      <w:r w:rsidR="00C1688A">
        <w:t xml:space="preserve">February 2011) </w:t>
      </w:r>
      <w:r w:rsidR="000A64C2">
        <w:t xml:space="preserve">409 </w:t>
      </w:r>
      <w:r w:rsidR="008A41CF" w:rsidRPr="006B35A7">
        <w:rPr>
          <w:i/>
          <w:iCs/>
        </w:rPr>
        <w:t>Trends &amp; issues in crime and criminal justice</w:t>
      </w:r>
      <w:r w:rsidR="006B35A7">
        <w:t xml:space="preserve"> </w:t>
      </w:r>
      <w:r w:rsidR="00082CDD">
        <w:t>3.</w:t>
      </w:r>
    </w:p>
  </w:endnote>
  <w:endnote w:id="35">
    <w:p w14:paraId="70600175" w14:textId="77777777" w:rsidR="00665A5F" w:rsidRDefault="00665A5F" w:rsidP="00665A5F">
      <w:pPr>
        <w:pStyle w:val="EndnoteText"/>
      </w:pPr>
      <w:r>
        <w:rPr>
          <w:rStyle w:val="EndnoteReference"/>
        </w:rPr>
        <w:endnoteRef/>
      </w:r>
      <w:r>
        <w:t xml:space="preserve"> </w:t>
      </w:r>
      <w:r w:rsidRPr="00C26424">
        <w:rPr>
          <w:rFonts w:cs="Open Sans"/>
        </w:rPr>
        <w:t xml:space="preserve">Australian Institute of Health and Welfare, </w:t>
      </w:r>
      <w:r w:rsidRPr="00C26424">
        <w:rPr>
          <w:rFonts w:cs="Open Sans"/>
          <w:i/>
        </w:rPr>
        <w:t>Young people aged 10–14 in the youth justice system 2011–2012</w:t>
      </w:r>
      <w:r w:rsidRPr="00C26424">
        <w:rPr>
          <w:rFonts w:cs="Open Sans"/>
        </w:rPr>
        <w:t xml:space="preserve"> (</w:t>
      </w:r>
      <w:r>
        <w:rPr>
          <w:rFonts w:cs="Open Sans"/>
        </w:rPr>
        <w:t xml:space="preserve">Report, </w:t>
      </w:r>
      <w:r w:rsidRPr="00C26424">
        <w:rPr>
          <w:rFonts w:cs="Open Sans"/>
        </w:rPr>
        <w:t xml:space="preserve">2013) </w:t>
      </w:r>
      <w:r>
        <w:rPr>
          <w:rFonts w:cs="Open Sans"/>
        </w:rPr>
        <w:t>7</w:t>
      </w:r>
      <w:r w:rsidRPr="00C26424">
        <w:rPr>
          <w:rFonts w:cs="Open Sans"/>
        </w:rPr>
        <w:t xml:space="preserve"> &lt;</w:t>
      </w:r>
      <w:r w:rsidRPr="00861417">
        <w:rPr>
          <w:rFonts w:cs="Open Sans"/>
        </w:rPr>
        <w:t>www.aihw.gov.au/publication-detail/?id=60129543944</w:t>
      </w:r>
      <w:r w:rsidRPr="00C26424">
        <w:rPr>
          <w:rFonts w:cs="Open Sans"/>
        </w:rPr>
        <w:t>&gt;.</w:t>
      </w:r>
    </w:p>
  </w:endnote>
  <w:endnote w:id="36">
    <w:p w14:paraId="4007EFE0" w14:textId="77777777" w:rsidR="00867847" w:rsidRDefault="00867847" w:rsidP="00867847">
      <w:pPr>
        <w:pStyle w:val="EndnoteText"/>
      </w:pPr>
      <w:r>
        <w:rPr>
          <w:rStyle w:val="EndnoteReference"/>
        </w:rPr>
        <w:endnoteRef/>
      </w:r>
      <w:r>
        <w:t xml:space="preserve"> </w:t>
      </w:r>
      <w:r>
        <w:fldChar w:fldCharType="begin"/>
      </w:r>
      <w:r>
        <w:instrText xml:space="preserve"> ADDIN ZOTERO_ITEM CSL_CITATION {"citationID":"nazRKkus","properties":{"formattedCitation":"Australian Institute of Health and Welfare, {\\i{}Youth Justice in Australia 2017-2018} (2019) 8.","plainCitation":"Australian Institute of Health and Welfare, Youth Justice in Australia 2017-2018 (2019) 8.","noteIndex":21},"citationItems":[{"id":5362,"uris":["http://zotero.org/groups/1703699/items/W73MTN4S"],"uri":["http://zotero.org/groups/1703699/items/W73MTN4S"],"itemData":{"id":5362,"type":"bill","title":"Australian Institute of Health and Welfare, &lt;i&gt;Youth justice in Australia 2017-2018&lt;/i&gt; (2019)"},"locator":"8"}],"schema":"https://github.com/citation-style-language/schema/raw/master/csl-citation.json"} </w:instrText>
      </w:r>
      <w:r>
        <w:fldChar w:fldCharType="separate"/>
      </w:r>
      <w:r w:rsidRPr="00D05798">
        <w:rPr>
          <w:rFonts w:cs="Open Sans"/>
          <w:szCs w:val="24"/>
        </w:rPr>
        <w:t xml:space="preserve">Australian Institute of Health and Welfare, </w:t>
      </w:r>
      <w:r w:rsidRPr="00D05798">
        <w:rPr>
          <w:rFonts w:cs="Open Sans"/>
          <w:i/>
          <w:iCs/>
          <w:szCs w:val="24"/>
        </w:rPr>
        <w:t>Youth Justice in Australia 2017-2018</w:t>
      </w:r>
      <w:r w:rsidRPr="00D05798">
        <w:rPr>
          <w:rFonts w:cs="Open Sans"/>
          <w:szCs w:val="24"/>
        </w:rPr>
        <w:t xml:space="preserve"> (2019) 8.</w:t>
      </w:r>
      <w:r>
        <w:fldChar w:fldCharType="end"/>
      </w:r>
    </w:p>
  </w:endnote>
  <w:endnote w:id="37">
    <w:p w14:paraId="0B939D76" w14:textId="77777777" w:rsidR="003B6774" w:rsidRDefault="003B6774" w:rsidP="003B6774">
      <w:pPr>
        <w:pStyle w:val="EndnoteText"/>
      </w:pPr>
      <w:r>
        <w:rPr>
          <w:rStyle w:val="EndnoteReference"/>
        </w:rPr>
        <w:endnoteRef/>
      </w:r>
      <w:r>
        <w:t xml:space="preserve"> Kelly Richards, ‘What makes juvenile offenders different from adult offenders?’ (Australian Institute of Criminology February 2011) 409 </w:t>
      </w:r>
      <w:r w:rsidRPr="006B35A7">
        <w:rPr>
          <w:i/>
          <w:iCs/>
        </w:rPr>
        <w:t>Trends &amp; issues in crime and criminal justice</w:t>
      </w:r>
      <w:r>
        <w:t xml:space="preserve"> 4.</w:t>
      </w:r>
    </w:p>
  </w:endnote>
  <w:endnote w:id="38">
    <w:p w14:paraId="2E24D406" w14:textId="77777777" w:rsidR="00665A5F" w:rsidRPr="00C26424" w:rsidRDefault="00665A5F" w:rsidP="00665A5F">
      <w:pPr>
        <w:pStyle w:val="EndnoteText"/>
        <w:rPr>
          <w:rFonts w:cs="Open Sans"/>
        </w:rPr>
      </w:pPr>
      <w:r w:rsidRPr="00C26424">
        <w:rPr>
          <w:rStyle w:val="EndnoteReference"/>
        </w:rPr>
        <w:endnoteRef/>
      </w:r>
      <w:r w:rsidRPr="00C26424">
        <w:rPr>
          <w:rFonts w:cs="Open Sans"/>
        </w:rPr>
        <w:t xml:space="preserve"> Australian Institute of Health and Welfare, </w:t>
      </w:r>
      <w:r w:rsidRPr="00C26424">
        <w:rPr>
          <w:rFonts w:cs="Open Sans"/>
          <w:i/>
        </w:rPr>
        <w:t>Young people aged 10–14 in the youth justice system 2011–2012</w:t>
      </w:r>
      <w:r w:rsidRPr="00C26424">
        <w:rPr>
          <w:rFonts w:cs="Open Sans"/>
        </w:rPr>
        <w:t xml:space="preserve"> (</w:t>
      </w:r>
      <w:r>
        <w:rPr>
          <w:rFonts w:cs="Open Sans"/>
        </w:rPr>
        <w:t xml:space="preserve">Report, </w:t>
      </w:r>
      <w:r w:rsidRPr="00C26424">
        <w:rPr>
          <w:rFonts w:cs="Open Sans"/>
        </w:rPr>
        <w:t>2013) vi &lt;</w:t>
      </w:r>
      <w:r w:rsidRPr="00861417">
        <w:rPr>
          <w:rFonts w:cs="Open Sans"/>
        </w:rPr>
        <w:t>www.aihw.gov.au/publication-detail/?id=60129543944</w:t>
      </w:r>
      <w:r w:rsidRPr="00C26424">
        <w:rPr>
          <w:rFonts w:cs="Open Sans"/>
        </w:rPr>
        <w:t xml:space="preserve">&gt;. </w:t>
      </w:r>
    </w:p>
  </w:endnote>
  <w:endnote w:id="39">
    <w:p w14:paraId="7874F7F5" w14:textId="1E95BA89" w:rsidR="00512BB4" w:rsidRDefault="00512BB4" w:rsidP="00675DEC">
      <w:pPr>
        <w:pStyle w:val="EndnoteText"/>
      </w:pPr>
      <w:r>
        <w:rPr>
          <w:rStyle w:val="EndnoteReference"/>
        </w:rPr>
        <w:endnoteRef/>
      </w:r>
      <w:r>
        <w:t xml:space="preserve"> </w:t>
      </w:r>
      <w:bookmarkStart w:id="22" w:name="_Hlk23348793"/>
      <w:r w:rsidR="00E2080B" w:rsidRPr="00414AEB">
        <w:rPr>
          <w:rFonts w:cs="Open Sans"/>
          <w:i/>
          <w:iCs/>
        </w:rPr>
        <w:t>Royal Commission and Board of Inquiry into the Protection and Detention of Children in the Northern Territory</w:t>
      </w:r>
      <w:r w:rsidR="00E2080B">
        <w:rPr>
          <w:rFonts w:cs="Open Sans"/>
        </w:rPr>
        <w:t xml:space="preserve"> </w:t>
      </w:r>
      <w:r w:rsidR="00E2080B" w:rsidRPr="00EB49B5">
        <w:rPr>
          <w:rFonts w:cs="Open Sans"/>
        </w:rPr>
        <w:t>(</w:t>
      </w:r>
      <w:r w:rsidR="00E2080B" w:rsidRPr="005743AC">
        <w:rPr>
          <w:rFonts w:cs="Open Sans"/>
          <w:iCs/>
        </w:rPr>
        <w:t>Final Report</w:t>
      </w:r>
      <w:r w:rsidR="00E2080B">
        <w:rPr>
          <w:rFonts w:cs="Open Sans"/>
          <w:iCs/>
        </w:rPr>
        <w:t>,</w:t>
      </w:r>
      <w:r w:rsidR="00E2080B" w:rsidRPr="00EB49B5">
        <w:rPr>
          <w:rFonts w:cs="Open Sans"/>
          <w:i/>
        </w:rPr>
        <w:t xml:space="preserve"> </w:t>
      </w:r>
      <w:r w:rsidR="00E2080B" w:rsidRPr="00EB49B5">
        <w:rPr>
          <w:rFonts w:cs="Open Sans"/>
        </w:rPr>
        <w:t xml:space="preserve">2017) </w:t>
      </w:r>
      <w:r w:rsidR="00E2080B">
        <w:rPr>
          <w:rFonts w:cs="Open Sans"/>
        </w:rPr>
        <w:t>Chapter 27</w:t>
      </w:r>
      <w:r w:rsidR="00E2080B" w:rsidRPr="00EB49B5">
        <w:rPr>
          <w:rFonts w:cs="Open Sans"/>
        </w:rPr>
        <w:t xml:space="preserve">, </w:t>
      </w:r>
      <w:r w:rsidR="00E2080B">
        <w:rPr>
          <w:rFonts w:cs="Open Sans"/>
        </w:rPr>
        <w:t>419.</w:t>
      </w:r>
      <w:r w:rsidR="00E2080B" w:rsidRPr="00EB49B5">
        <w:rPr>
          <w:rFonts w:cs="Open Sans"/>
        </w:rPr>
        <w:t xml:space="preserve"> </w:t>
      </w:r>
      <w:bookmarkEnd w:id="22"/>
    </w:p>
  </w:endnote>
  <w:endnote w:id="40">
    <w:p w14:paraId="3A5957FB" w14:textId="1D588AB8" w:rsidR="00512BB4" w:rsidRDefault="00512BB4" w:rsidP="00512BB4">
      <w:pPr>
        <w:pStyle w:val="EndnoteText"/>
      </w:pPr>
      <w:r>
        <w:rPr>
          <w:rStyle w:val="EndnoteReference"/>
        </w:rPr>
        <w:endnoteRef/>
      </w:r>
      <w:r w:rsidR="00E2080B">
        <w:t xml:space="preserve"> </w:t>
      </w:r>
      <w:r w:rsidR="00E2080B" w:rsidRPr="00414AEB">
        <w:rPr>
          <w:rFonts w:cs="Open Sans"/>
          <w:i/>
          <w:iCs/>
        </w:rPr>
        <w:t>Royal Commission and Board of Inquiry into the Protection and Detention of Children in the Northern Territory</w:t>
      </w:r>
      <w:r w:rsidR="00E2080B">
        <w:rPr>
          <w:rFonts w:cs="Open Sans"/>
        </w:rPr>
        <w:t xml:space="preserve"> </w:t>
      </w:r>
      <w:r w:rsidR="00E2080B" w:rsidRPr="00EB49B5">
        <w:rPr>
          <w:rFonts w:cs="Open Sans"/>
        </w:rPr>
        <w:t>(</w:t>
      </w:r>
      <w:r w:rsidR="00E2080B" w:rsidRPr="005743AC">
        <w:rPr>
          <w:rFonts w:cs="Open Sans"/>
          <w:iCs/>
        </w:rPr>
        <w:t>Final Report</w:t>
      </w:r>
      <w:r w:rsidR="00E2080B">
        <w:rPr>
          <w:rFonts w:cs="Open Sans"/>
          <w:iCs/>
        </w:rPr>
        <w:t>,</w:t>
      </w:r>
      <w:r w:rsidR="00E2080B" w:rsidRPr="00EB49B5">
        <w:rPr>
          <w:rFonts w:cs="Open Sans"/>
          <w:i/>
        </w:rPr>
        <w:t xml:space="preserve"> </w:t>
      </w:r>
      <w:r w:rsidR="00E2080B" w:rsidRPr="00EB49B5">
        <w:rPr>
          <w:rFonts w:cs="Open Sans"/>
        </w:rPr>
        <w:t xml:space="preserve">2017) </w:t>
      </w:r>
      <w:r w:rsidR="00E2080B">
        <w:rPr>
          <w:rFonts w:cs="Open Sans"/>
        </w:rPr>
        <w:t>Chapter 27</w:t>
      </w:r>
      <w:r w:rsidR="00E2080B" w:rsidRPr="00EB49B5">
        <w:rPr>
          <w:rFonts w:cs="Open Sans"/>
        </w:rPr>
        <w:t xml:space="preserve">, </w:t>
      </w:r>
      <w:r w:rsidR="00E2080B">
        <w:rPr>
          <w:rFonts w:cs="Open Sans"/>
        </w:rPr>
        <w:t>418.</w:t>
      </w:r>
      <w:r w:rsidR="00E2080B" w:rsidRPr="00EB49B5">
        <w:rPr>
          <w:rFonts w:cs="Open Sans"/>
        </w:rPr>
        <w:t xml:space="preserve"> </w:t>
      </w:r>
    </w:p>
  </w:endnote>
  <w:endnote w:id="41">
    <w:p w14:paraId="10911A45" w14:textId="77777777" w:rsidR="00512BB4" w:rsidRDefault="00512BB4" w:rsidP="00512BB4">
      <w:pPr>
        <w:pStyle w:val="EndnoteText"/>
      </w:pPr>
      <w:r>
        <w:rPr>
          <w:rStyle w:val="EndnoteReference"/>
        </w:rPr>
        <w:endnoteRef/>
      </w:r>
      <w:r>
        <w:t xml:space="preserve">  Manfred Nowak, United Nations Global Study on Children Deprived of Liberty (November 2019) 178 </w:t>
      </w:r>
      <w:hyperlink r:id="rId3" w:history="1">
        <w:r>
          <w:rPr>
            <w:rStyle w:val="Hyperlink"/>
          </w:rPr>
          <w:t>https://omnibook.com/view/e0623280-5656-42f8-9edf-5872f8f08562/page/3</w:t>
        </w:r>
      </w:hyperlink>
      <w:r>
        <w:t>.</w:t>
      </w:r>
    </w:p>
  </w:endnote>
  <w:endnote w:id="42">
    <w:p w14:paraId="29A973A1" w14:textId="77777777" w:rsidR="00512BB4" w:rsidRDefault="00512BB4" w:rsidP="00512BB4">
      <w:pPr>
        <w:pStyle w:val="EndnoteText"/>
      </w:pPr>
      <w:r>
        <w:rPr>
          <w:rStyle w:val="EndnoteReference"/>
        </w:rPr>
        <w:endnoteRef/>
      </w:r>
      <w:r>
        <w:t xml:space="preserve"> Manfred Nowak, United Nations Global Study on Children Deprived of Liberty (November 2019) 137 </w:t>
      </w:r>
      <w:hyperlink r:id="rId4" w:history="1">
        <w:r>
          <w:rPr>
            <w:rStyle w:val="Hyperlink"/>
          </w:rPr>
          <w:t>https://omnibook.com/view/e0623280-5656-42f8-9edf-5872f8f08562/page/3</w:t>
        </w:r>
      </w:hyperlink>
      <w:r>
        <w:t>.</w:t>
      </w:r>
    </w:p>
  </w:endnote>
  <w:endnote w:id="43">
    <w:p w14:paraId="0CD3BC06" w14:textId="2C5F0F3D" w:rsidR="00512BB4" w:rsidRDefault="00512BB4" w:rsidP="00B558F2">
      <w:pPr>
        <w:pStyle w:val="EndnoteText"/>
      </w:pPr>
      <w:r>
        <w:rPr>
          <w:rStyle w:val="EndnoteReference"/>
        </w:rPr>
        <w:endnoteRef/>
      </w:r>
      <w:r>
        <w:t xml:space="preserve"> Kelly Richards, ‘What makes juvenile offenders different from adult offenders?’ (Australian Institute of Criminology February 2011) 409 </w:t>
      </w:r>
      <w:r w:rsidRPr="006B35A7">
        <w:rPr>
          <w:i/>
          <w:iCs/>
        </w:rPr>
        <w:t>Trends &amp; issues in crime and criminal justice</w:t>
      </w:r>
      <w:r>
        <w:t xml:space="preserve"> 7.</w:t>
      </w:r>
    </w:p>
  </w:endnote>
  <w:endnote w:id="44">
    <w:p w14:paraId="6F819F4C" w14:textId="77777777" w:rsidR="000247DE" w:rsidRPr="00345271" w:rsidRDefault="000247DE" w:rsidP="000247DE">
      <w:pPr>
        <w:pStyle w:val="EndnoteText"/>
        <w:rPr>
          <w:rFonts w:cs="Open Sans"/>
        </w:rPr>
      </w:pPr>
      <w:r w:rsidRPr="00345271">
        <w:rPr>
          <w:rStyle w:val="EndnoteReference"/>
        </w:rPr>
        <w:endnoteRef/>
      </w:r>
      <w:r w:rsidRPr="00345271">
        <w:rPr>
          <w:rFonts w:cs="Open Sans"/>
        </w:rPr>
        <w:t xml:space="preserve"> Australian Human Rights Commission, </w:t>
      </w:r>
      <w:r w:rsidRPr="00345271">
        <w:rPr>
          <w:rFonts w:cs="Open Sans"/>
          <w:i/>
        </w:rPr>
        <w:t>Children’s Rights Report 2016</w:t>
      </w:r>
      <w:r w:rsidRPr="00345271">
        <w:rPr>
          <w:rFonts w:cs="Open Sans"/>
        </w:rPr>
        <w:t xml:space="preserve"> (2016) 189 &lt;</w:t>
      </w:r>
      <w:r w:rsidRPr="00861417">
        <w:rPr>
          <w:rFonts w:cs="Open Sans"/>
        </w:rPr>
        <w:t>www.humanrights.gov.au/our-work/childrens-rights/projects/childrens-rights-reports</w:t>
      </w:r>
      <w:r w:rsidRPr="00345271">
        <w:rPr>
          <w:rFonts w:cs="Open Sans"/>
        </w:rPr>
        <w:t>&gt;.</w:t>
      </w:r>
    </w:p>
  </w:endnote>
  <w:endnote w:id="45">
    <w:p w14:paraId="4B86387A" w14:textId="77777777" w:rsidR="004B6C1C" w:rsidRPr="004A1DF6" w:rsidRDefault="004B6C1C" w:rsidP="004B6C1C">
      <w:pPr>
        <w:pStyle w:val="EndnoteText"/>
      </w:pPr>
      <w:r w:rsidRPr="004A1DF6">
        <w:rPr>
          <w:rStyle w:val="EndnoteReference"/>
        </w:rPr>
        <w:endnoteRef/>
      </w:r>
      <w:r w:rsidRPr="004A1DF6">
        <w:t xml:space="preserve"> Neal Hazel, Cross-national comparison of youth justice, Youth Justice Board for England and Wales, United Kingdom (2008). </w:t>
      </w:r>
      <w:hyperlink r:id="rId5" w:history="1">
        <w:r w:rsidRPr="004A1DF6">
          <w:rPr>
            <w:rStyle w:val="Hyperlink"/>
          </w:rPr>
          <w:t>https://www.google.com/search?source=hp&amp;ei=eU5bXaS_G8f-9QPYlJ_wAg&amp;q=Neal+Hazel%2C+cross+national+comparison+of+youth+justice&amp;oq=Neal+Hazel%2C+cross+national+comparison+of+youth+justice&amp;gs_l=psy-ab.3..33i160.1859.30290..30547...20.0..0.227.11053.2j74j2......0....1..gws-wiz.....0..0i131j0j0i22i30j33i21j0i3j0i10j0i22i10i30.MdxZSjRbr4k&amp;ved=0ahUKEwjk37LRp5DkAhVHf30KHVjKBy4Q4dUDCAc&amp;uact=5</w:t>
        </w:r>
      </w:hyperlink>
    </w:p>
  </w:endnote>
  <w:endnote w:id="46">
    <w:p w14:paraId="4E21C43E" w14:textId="5FE465A3" w:rsidR="00917ABC" w:rsidRDefault="00917ABC">
      <w:pPr>
        <w:pStyle w:val="EndnoteText"/>
      </w:pPr>
      <w:r>
        <w:rPr>
          <w:rStyle w:val="EndnoteReference"/>
        </w:rPr>
        <w:endnoteRef/>
      </w:r>
      <w:r>
        <w:t xml:space="preserve"> </w:t>
      </w:r>
      <w:r w:rsidR="002137BE">
        <w:t xml:space="preserve">United Nations Committee on the Rights of the Child, </w:t>
      </w:r>
      <w:r w:rsidR="002137BE" w:rsidRPr="00DD04B7">
        <w:rPr>
          <w:i/>
          <w:iCs/>
        </w:rPr>
        <w:t>General comment No 24 (2019) on children’s rights in the child justice system</w:t>
      </w:r>
      <w:r w:rsidR="002137BE">
        <w:t>, UN Doc CRC/C/GC/24 (18 September 2019) para 25.</w:t>
      </w:r>
    </w:p>
  </w:endnote>
  <w:endnote w:id="47">
    <w:p w14:paraId="0474C351" w14:textId="1158C396" w:rsidR="00CA2DF3" w:rsidRDefault="00CA2DF3">
      <w:pPr>
        <w:pStyle w:val="EndnoteText"/>
      </w:pPr>
      <w:r>
        <w:rPr>
          <w:rStyle w:val="EndnoteReference"/>
        </w:rPr>
        <w:endnoteRef/>
      </w:r>
      <w:r>
        <w:t xml:space="preserve"> Sophie Anderson, </w:t>
      </w:r>
      <w:r w:rsidR="005415CE" w:rsidRPr="001B6B9C">
        <w:rPr>
          <w:i/>
          <w:iCs/>
        </w:rPr>
        <w:t>Keeping youth away from crime: searching for best European practices</w:t>
      </w:r>
      <w:r w:rsidR="007410D8" w:rsidRPr="001B6B9C">
        <w:rPr>
          <w:i/>
          <w:iCs/>
        </w:rPr>
        <w:t>, Sweden. National Report</w:t>
      </w:r>
      <w:r w:rsidR="007410D8">
        <w:t xml:space="preserve"> (</w:t>
      </w:r>
      <w:r w:rsidR="00162B88">
        <w:t>2014)</w:t>
      </w:r>
      <w:r w:rsidR="00AA665A">
        <w:t xml:space="preserve"> 4–5.</w:t>
      </w:r>
    </w:p>
  </w:endnote>
  <w:endnote w:id="48">
    <w:p w14:paraId="75CC5C6E" w14:textId="372E18F3" w:rsidR="00D75A9A" w:rsidRDefault="00D75A9A">
      <w:pPr>
        <w:pStyle w:val="EndnoteText"/>
      </w:pPr>
      <w:r>
        <w:rPr>
          <w:rStyle w:val="EndnoteReference"/>
        </w:rPr>
        <w:endnoteRef/>
      </w:r>
      <w:r>
        <w:t xml:space="preserve"> Ilona Kronberga and Sanita Sle</w:t>
      </w:r>
      <w:r w:rsidR="002A6BEE">
        <w:t xml:space="preserve">, </w:t>
      </w:r>
      <w:r w:rsidR="002A6BEE" w:rsidRPr="00637CC1">
        <w:rPr>
          <w:i/>
          <w:iCs/>
        </w:rPr>
        <w:t>Keeping youth away from crime</w:t>
      </w:r>
      <w:r w:rsidR="00EE465E" w:rsidRPr="00637CC1">
        <w:rPr>
          <w:i/>
          <w:iCs/>
        </w:rPr>
        <w:t>: searching for the best European practices</w:t>
      </w:r>
      <w:r w:rsidR="00CE5E37" w:rsidRPr="00637CC1">
        <w:rPr>
          <w:i/>
          <w:iCs/>
        </w:rPr>
        <w:t xml:space="preserve"> Summary</w:t>
      </w:r>
      <w:r w:rsidR="00CE5E37">
        <w:t xml:space="preserve"> (</w:t>
      </w:r>
      <w:r w:rsidR="006C0386">
        <w:t>2015)</w:t>
      </w:r>
      <w:r w:rsidR="00CF110A">
        <w:t xml:space="preserve"> </w:t>
      </w:r>
      <w:r w:rsidR="00637CC1">
        <w:t>47.</w:t>
      </w:r>
    </w:p>
  </w:endnote>
  <w:endnote w:id="49">
    <w:p w14:paraId="5F5EB298" w14:textId="77777777" w:rsidR="00781A3E" w:rsidRDefault="00781A3E" w:rsidP="00781A3E">
      <w:pPr>
        <w:pStyle w:val="EndnoteText"/>
      </w:pPr>
      <w:r>
        <w:rPr>
          <w:rStyle w:val="EndnoteReference"/>
        </w:rPr>
        <w:endnoteRef/>
      </w:r>
      <w:r>
        <w:t xml:space="preserve"> PJP Tak, The Dutch criminal justice system (2008) 124; Jennifer Rubin et al, ‘Interventions to reduce anti-social behaviour and crime: A review of effectiveness and costs’ (Report, RAND Corporation, 2006) 18.</w:t>
      </w:r>
    </w:p>
  </w:endnote>
  <w:endnote w:id="50">
    <w:p w14:paraId="4EF66249" w14:textId="77777777" w:rsidR="00781A3E" w:rsidRDefault="00781A3E" w:rsidP="00781A3E">
      <w:pPr>
        <w:pStyle w:val="EndnoteText"/>
      </w:pPr>
      <w:r>
        <w:rPr>
          <w:rStyle w:val="EndnoteReference"/>
        </w:rPr>
        <w:endnoteRef/>
      </w:r>
      <w:r>
        <w:t xml:space="preserve"> Bert Berghuis and Jaap De Waard, ‘Declining juvenile crime—explanations for the international downturn’ (2017) 43(1) Justitiele Verkenningen 1.</w:t>
      </w:r>
    </w:p>
  </w:endnote>
  <w:endnote w:id="51">
    <w:p w14:paraId="0452BE8E" w14:textId="77777777" w:rsidR="00781A3E" w:rsidRDefault="00781A3E" w:rsidP="00781A3E">
      <w:pPr>
        <w:pStyle w:val="EndnoteText"/>
      </w:pPr>
      <w:r>
        <w:rPr>
          <w:rStyle w:val="EndnoteReference"/>
        </w:rPr>
        <w:endnoteRef/>
      </w:r>
      <w:r>
        <w:t xml:space="preserve"> Norway statistics, ‘Reported crime and police criminal proceedings 2018’, Strasak (Report 2019).</w:t>
      </w:r>
    </w:p>
  </w:endnote>
  <w:endnote w:id="52">
    <w:p w14:paraId="3383E562" w14:textId="77777777" w:rsidR="00CB1AF5" w:rsidRDefault="00CB1AF5" w:rsidP="00CB1AF5">
      <w:pPr>
        <w:pStyle w:val="EndnoteText"/>
      </w:pPr>
      <w:r>
        <w:rPr>
          <w:rStyle w:val="EndnoteReference"/>
        </w:rPr>
        <w:endnoteRef/>
      </w:r>
      <w:r>
        <w:t xml:space="preserve"> </w:t>
      </w:r>
      <w:r>
        <w:rPr>
          <w:rFonts w:cs="Arial"/>
          <w:i/>
        </w:rPr>
        <w:t>The Queen v M</w:t>
      </w:r>
      <w:r>
        <w:rPr>
          <w:rFonts w:cs="Arial"/>
        </w:rPr>
        <w:t xml:space="preserve"> (1977) 16 SASR 589, 590 (Bray CJ) for South Australia; </w:t>
      </w:r>
      <w:r>
        <w:rPr>
          <w:rFonts w:cs="Arial"/>
          <w:i/>
        </w:rPr>
        <w:t>R v CRH</w:t>
      </w:r>
      <w:r>
        <w:rPr>
          <w:rFonts w:cs="Arial"/>
        </w:rPr>
        <w:t xml:space="preserve"> Unreported BC 9606725 (18 December 1996) (Newman J) or </w:t>
      </w:r>
      <w:r>
        <w:rPr>
          <w:rFonts w:cs="Arial"/>
          <w:i/>
        </w:rPr>
        <w:t>DK v Rooney</w:t>
      </w:r>
      <w:r>
        <w:rPr>
          <w:rFonts w:cs="Arial"/>
        </w:rPr>
        <w:t xml:space="preserve"> (Unreported, BC 9607716, 3 July 1996, McInerney J for New South Wales; </w:t>
      </w:r>
      <w:r>
        <w:rPr>
          <w:rFonts w:cs="Arial"/>
          <w:i/>
        </w:rPr>
        <w:t xml:space="preserve">R (A Child) v Witty </w:t>
      </w:r>
      <w:r>
        <w:rPr>
          <w:rFonts w:cs="Arial"/>
        </w:rPr>
        <w:t xml:space="preserve">(1993) 66 A Crim R 462 (Harper J) for Victoria.   </w:t>
      </w:r>
    </w:p>
  </w:endnote>
  <w:endnote w:id="53">
    <w:p w14:paraId="6603A263" w14:textId="77777777" w:rsidR="00CB1AF5" w:rsidRDefault="00CB1AF5" w:rsidP="00CB1AF5">
      <w:pPr>
        <w:pStyle w:val="EndnoteText"/>
        <w:rPr>
          <w:rFonts w:cs="Open Sans"/>
        </w:rPr>
      </w:pPr>
      <w:r>
        <w:rPr>
          <w:rStyle w:val="EndnoteReference"/>
        </w:rPr>
        <w:endnoteRef/>
      </w:r>
      <w:r>
        <w:rPr>
          <w:rFonts w:cs="Open Sans"/>
        </w:rPr>
        <w:t xml:space="preserve"> Neal Hazel, Youth Justice Board for England and Wales,</w:t>
      </w:r>
      <w:r>
        <w:rPr>
          <w:rFonts w:cs="Open Sans"/>
          <w:i/>
        </w:rPr>
        <w:t xml:space="preserve"> Cross-national comparison of youth justice </w:t>
      </w:r>
      <w:r>
        <w:rPr>
          <w:rFonts w:cs="Open Sans"/>
        </w:rPr>
        <w:t>(2008) &lt;</w:t>
      </w:r>
      <w:r w:rsidRPr="00861417">
        <w:t>https://dera.ioe.ac.uk/7996/1/Cross_national_final.pdf</w:t>
      </w:r>
      <w:r>
        <w:rPr>
          <w:rFonts w:cs="Open Sans"/>
        </w:rPr>
        <w:t>&gt;.</w:t>
      </w:r>
    </w:p>
  </w:endnote>
  <w:endnote w:id="54">
    <w:p w14:paraId="4A496A23" w14:textId="7F51D699" w:rsidR="002A1192" w:rsidRDefault="002A1192">
      <w:pPr>
        <w:pStyle w:val="EndnoteText"/>
      </w:pPr>
      <w:r>
        <w:rPr>
          <w:rStyle w:val="EndnoteReference"/>
        </w:rPr>
        <w:endnoteRef/>
      </w:r>
      <w:r>
        <w:t xml:space="preserve"> </w:t>
      </w:r>
      <w:r w:rsidR="001814A5">
        <w:t xml:space="preserve">Marie Shaw and Brittany Armstrong, </w:t>
      </w:r>
      <w:r w:rsidR="00A2747D">
        <w:t xml:space="preserve">Law Society of South Australia, </w:t>
      </w:r>
      <w:r w:rsidR="001814A5">
        <w:t>‘</w:t>
      </w:r>
      <w:r w:rsidR="00A2747D">
        <w:t>The presum</w:t>
      </w:r>
      <w:r w:rsidR="00A42E66">
        <w:t>p</w:t>
      </w:r>
      <w:r w:rsidR="00A2747D">
        <w:t>tion of doli incapax</w:t>
      </w:r>
      <w:r w:rsidR="001814A5">
        <w:t>’</w:t>
      </w:r>
      <w:r w:rsidR="00A42E66">
        <w:t xml:space="preserve"> (Paper, 31 January 2019).</w:t>
      </w:r>
    </w:p>
  </w:endnote>
  <w:endnote w:id="55">
    <w:p w14:paraId="15837E6D" w14:textId="556776B7" w:rsidR="00A57B4D" w:rsidRDefault="00A57B4D">
      <w:pPr>
        <w:pStyle w:val="EndnoteText"/>
      </w:pPr>
      <w:r>
        <w:rPr>
          <w:rStyle w:val="EndnoteReference"/>
        </w:rPr>
        <w:endnoteRef/>
      </w:r>
      <w:r>
        <w:t xml:space="preserve"> </w:t>
      </w:r>
      <w:r w:rsidR="00E2080B" w:rsidRPr="00414AEB">
        <w:rPr>
          <w:rFonts w:cs="Open Sans"/>
          <w:i/>
          <w:iCs/>
        </w:rPr>
        <w:t>Royal Commission and Board of Inquiry into the Protection and Detention of Children in the Northern Territory</w:t>
      </w:r>
      <w:r w:rsidR="00E2080B">
        <w:rPr>
          <w:rFonts w:cs="Open Sans"/>
        </w:rPr>
        <w:t xml:space="preserve"> </w:t>
      </w:r>
      <w:r w:rsidR="00E2080B" w:rsidRPr="00EB49B5">
        <w:rPr>
          <w:rFonts w:cs="Open Sans"/>
        </w:rPr>
        <w:t>(</w:t>
      </w:r>
      <w:r w:rsidR="00E2080B" w:rsidRPr="005743AC">
        <w:rPr>
          <w:rFonts w:cs="Open Sans"/>
          <w:iCs/>
        </w:rPr>
        <w:t>Final Report</w:t>
      </w:r>
      <w:r w:rsidR="00E2080B">
        <w:rPr>
          <w:rFonts w:cs="Open Sans"/>
          <w:iCs/>
        </w:rPr>
        <w:t>,</w:t>
      </w:r>
      <w:r w:rsidR="00E2080B" w:rsidRPr="00EB49B5">
        <w:rPr>
          <w:rFonts w:cs="Open Sans"/>
          <w:i/>
        </w:rPr>
        <w:t xml:space="preserve"> </w:t>
      </w:r>
      <w:r w:rsidR="00E2080B" w:rsidRPr="00EB49B5">
        <w:rPr>
          <w:rFonts w:cs="Open Sans"/>
        </w:rPr>
        <w:t xml:space="preserve">2017) </w:t>
      </w:r>
      <w:r w:rsidR="00E2080B">
        <w:rPr>
          <w:rFonts w:cs="Open Sans"/>
        </w:rPr>
        <w:t>Chapter 27.</w:t>
      </w:r>
    </w:p>
  </w:endnote>
  <w:endnote w:id="56">
    <w:p w14:paraId="3DC6D665" w14:textId="77777777" w:rsidR="00B46E61" w:rsidRDefault="00B46E61" w:rsidP="00B46E61">
      <w:pPr>
        <w:pStyle w:val="EndnoteText"/>
      </w:pPr>
      <w:r>
        <w:rPr>
          <w:rStyle w:val="EndnoteReference"/>
        </w:rPr>
        <w:endnoteRef/>
      </w:r>
      <w:r>
        <w:t xml:space="preserve"> Tim Bateman, Keeping up (tough) appearances: the age of criminal responsibility, </w:t>
      </w:r>
      <w:r w:rsidRPr="00424626">
        <w:rPr>
          <w:i/>
          <w:iCs/>
        </w:rPr>
        <w:t>Criminal Justice Matters</w:t>
      </w:r>
      <w:r>
        <w:t>, 102 (1) (2015) 36.</w:t>
      </w:r>
    </w:p>
  </w:endnote>
  <w:endnote w:id="57">
    <w:p w14:paraId="036704DA" w14:textId="2BD37BB6" w:rsidR="00B558F2" w:rsidRDefault="00B558F2" w:rsidP="001D05EA">
      <w:pPr>
        <w:pStyle w:val="EndnoteText"/>
      </w:pPr>
      <w:r>
        <w:rPr>
          <w:rStyle w:val="EndnoteReference"/>
        </w:rPr>
        <w:endnoteRef/>
      </w:r>
      <w:r>
        <w:t xml:space="preserve"> </w:t>
      </w:r>
      <w:r w:rsidR="001D05EA">
        <w:t xml:space="preserve">United Nations Committee on the Rights of the Child, </w:t>
      </w:r>
      <w:r w:rsidR="001D05EA" w:rsidRPr="00DD04B7">
        <w:rPr>
          <w:i/>
          <w:iCs/>
        </w:rPr>
        <w:t>General comment No 24 (2019) on children’s rights in the child justice system</w:t>
      </w:r>
      <w:r w:rsidR="001D05EA">
        <w:t xml:space="preserve">, UN Doc CRC/C/GC/24 (18 September 2019) para 26, 27. </w:t>
      </w:r>
    </w:p>
  </w:endnote>
  <w:endnote w:id="58">
    <w:p w14:paraId="4BCC88A9" w14:textId="0CC5BF6A" w:rsidR="008B05F8" w:rsidRDefault="008B05F8" w:rsidP="008B05F8">
      <w:pPr>
        <w:pStyle w:val="EndnoteText"/>
      </w:pPr>
      <w:r w:rsidRPr="00903408">
        <w:rPr>
          <w:rStyle w:val="EndnoteReference"/>
        </w:rPr>
        <w:endnoteRef/>
      </w:r>
      <w:r w:rsidRPr="00903408">
        <w:t xml:space="preserve"> </w:t>
      </w:r>
      <w:r w:rsidRPr="000227B0">
        <w:t>W</w:t>
      </w:r>
      <w:r w:rsidR="00903408" w:rsidRPr="000227B0">
        <w:t>endy</w:t>
      </w:r>
      <w:r w:rsidRPr="000227B0">
        <w:t xml:space="preserve"> O’Brien and K</w:t>
      </w:r>
      <w:r w:rsidR="00903408" w:rsidRPr="000227B0">
        <w:t>ate</w:t>
      </w:r>
      <w:r w:rsidRPr="000227B0">
        <w:t xml:space="preserve"> Fitzgibbon</w:t>
      </w:r>
      <w:r w:rsidRPr="00903408">
        <w:t xml:space="preserve">, The Minimum Age of Criminal Responsibility in Victoria (Australia): Examining Stakeholders’ Views and the Need for Principled reform’, </w:t>
      </w:r>
      <w:r w:rsidRPr="00D724F4">
        <w:rPr>
          <w:i/>
          <w:iCs/>
        </w:rPr>
        <w:t>Youth Justice</w:t>
      </w:r>
      <w:r>
        <w:t xml:space="preserve"> 17(2) 134–152; Office of the SA Guardian, ‘Doli incapax—an odd word with profound significance for South Australian children’ (2019) </w:t>
      </w:r>
      <w:hyperlink r:id="rId6" w:history="1">
        <w:r>
          <w:rPr>
            <w:rStyle w:val="Hyperlink"/>
          </w:rPr>
          <w:t>http://www.gcyp.sa.gov.au/doli-incapax-and-odd-word-with-profound-significance-for-south-australian-children/</w:t>
        </w:r>
      </w:hyperlink>
      <w:r>
        <w:t>.</w:t>
      </w:r>
    </w:p>
  </w:endnote>
  <w:endnote w:id="59">
    <w:p w14:paraId="30B90535" w14:textId="39FA1AAA" w:rsidR="003B7AB5" w:rsidRDefault="003B7AB5">
      <w:pPr>
        <w:pStyle w:val="EndnoteText"/>
      </w:pPr>
      <w:r>
        <w:rPr>
          <w:rStyle w:val="EndnoteReference"/>
        </w:rPr>
        <w:endnoteRef/>
      </w:r>
      <w:r>
        <w:t xml:space="preserve"> </w:t>
      </w:r>
      <w:r w:rsidR="00746A1D">
        <w:t xml:space="preserve">Australian Law Reform Commission, </w:t>
      </w:r>
      <w:r w:rsidR="00746A1D" w:rsidRPr="001904D3">
        <w:rPr>
          <w:i/>
          <w:iCs/>
        </w:rPr>
        <w:t>Seen and heard</w:t>
      </w:r>
      <w:r w:rsidR="003A3596" w:rsidRPr="001904D3">
        <w:rPr>
          <w:i/>
          <w:iCs/>
        </w:rPr>
        <w:t>: priority for chi</w:t>
      </w:r>
      <w:r w:rsidR="001904D3" w:rsidRPr="001904D3">
        <w:rPr>
          <w:i/>
          <w:iCs/>
        </w:rPr>
        <w:t>ld</w:t>
      </w:r>
      <w:r w:rsidR="003A3596" w:rsidRPr="001904D3">
        <w:rPr>
          <w:i/>
          <w:iCs/>
        </w:rPr>
        <w:t>ren in the legal process</w:t>
      </w:r>
      <w:r w:rsidR="00617FA8">
        <w:t xml:space="preserve"> (</w:t>
      </w:r>
      <w:r w:rsidR="001904D3">
        <w:t>1997)</w:t>
      </w:r>
      <w:r w:rsidR="00746A1D">
        <w:t xml:space="preserve"> para </w:t>
      </w:r>
      <w:r w:rsidR="002B2937">
        <w:t>18.19</w:t>
      </w:r>
      <w:r w:rsidR="00696FEF">
        <w:t xml:space="preserve"> </w:t>
      </w:r>
      <w:hyperlink r:id="rId7" w:history="1">
        <w:r w:rsidR="00696FEF">
          <w:rPr>
            <w:rStyle w:val="Hyperlink"/>
          </w:rPr>
          <w:t>https://www.alrc.gov.au/publication/seen-and-heard-priority-for-children-in-the-legal-process-alrc-report-84/</w:t>
        </w:r>
      </w:hyperlink>
      <w:r w:rsidR="00696FEF">
        <w:t>.</w:t>
      </w:r>
    </w:p>
  </w:endnote>
  <w:endnote w:id="60">
    <w:p w14:paraId="1A69A63D" w14:textId="5B6CC3F8" w:rsidR="00BD334C" w:rsidRDefault="00BD334C">
      <w:pPr>
        <w:pStyle w:val="EndnoteText"/>
      </w:pPr>
      <w:r>
        <w:rPr>
          <w:rStyle w:val="EndnoteReference"/>
        </w:rPr>
        <w:endnoteRef/>
      </w:r>
      <w:r>
        <w:t xml:space="preserve"> </w:t>
      </w:r>
      <w:r w:rsidR="00920FA8">
        <w:t>Law Council of Australia</w:t>
      </w:r>
      <w:r w:rsidR="00630DAD">
        <w:t xml:space="preserve">, Commonwealth, states and territories must lift minimum age of criminal responsibility to 14 years, remove doli incapax (Media Release, 26 June 2019) </w:t>
      </w:r>
      <w:hyperlink r:id="rId8" w:history="1">
        <w:r w:rsidR="00A16296">
          <w:rPr>
            <w:rStyle w:val="Hyperlink"/>
          </w:rPr>
          <w:t>https://www.lawcouncil.asn.au/media/media-releases/commonwealth-states-and-territories-must-lift-minimum-age-of-criminal-responsibility-to-14-years-remove-doli-incapax</w:t>
        </w:r>
      </w:hyperlink>
      <w:r w:rsidR="00A16296">
        <w:t xml:space="preserve">. </w:t>
      </w:r>
    </w:p>
  </w:endnote>
  <w:endnote w:id="61">
    <w:p w14:paraId="5530D59D" w14:textId="2BBD628F" w:rsidR="00E27D4B" w:rsidRDefault="00E27D4B">
      <w:pPr>
        <w:pStyle w:val="EndnoteText"/>
      </w:pPr>
      <w:r>
        <w:rPr>
          <w:rStyle w:val="EndnoteReference"/>
        </w:rPr>
        <w:endnoteRef/>
      </w:r>
      <w:r>
        <w:t xml:space="preserve"> Chris Cunneen, ‘Arguments for raising the minimum age of criminal responsibility’, Research Report, Comparative Youth Penalty Project, UNSW (2017).</w:t>
      </w:r>
    </w:p>
  </w:endnote>
  <w:endnote w:id="62">
    <w:p w14:paraId="49E1A855" w14:textId="6C6FBB5B" w:rsidR="003F77BF" w:rsidRDefault="003F77BF">
      <w:pPr>
        <w:pStyle w:val="EndnoteText"/>
      </w:pPr>
      <w:r>
        <w:rPr>
          <w:rStyle w:val="EndnoteReference"/>
        </w:rPr>
        <w:endnoteRef/>
      </w:r>
      <w:r w:rsidR="00E2080B">
        <w:t xml:space="preserve"> </w:t>
      </w:r>
      <w:r w:rsidR="00E2080B" w:rsidRPr="00414AEB">
        <w:rPr>
          <w:rFonts w:cs="Open Sans"/>
          <w:i/>
          <w:iCs/>
        </w:rPr>
        <w:t>Royal Commission and Board of Inquiry into the Protection and Detention of Children in the Northern Territory</w:t>
      </w:r>
      <w:r w:rsidR="00E2080B">
        <w:rPr>
          <w:rFonts w:cs="Open Sans"/>
        </w:rPr>
        <w:t xml:space="preserve"> </w:t>
      </w:r>
      <w:r w:rsidR="00E2080B" w:rsidRPr="00EB49B5">
        <w:rPr>
          <w:rFonts w:cs="Open Sans"/>
        </w:rPr>
        <w:t>(</w:t>
      </w:r>
      <w:r w:rsidR="00E2080B" w:rsidRPr="005743AC">
        <w:rPr>
          <w:rFonts w:cs="Open Sans"/>
          <w:iCs/>
        </w:rPr>
        <w:t>Final Report</w:t>
      </w:r>
      <w:r w:rsidR="00E2080B">
        <w:rPr>
          <w:rFonts w:cs="Open Sans"/>
          <w:iCs/>
        </w:rPr>
        <w:t>,</w:t>
      </w:r>
      <w:r w:rsidR="00E2080B" w:rsidRPr="00EB49B5">
        <w:rPr>
          <w:rFonts w:cs="Open Sans"/>
          <w:i/>
        </w:rPr>
        <w:t xml:space="preserve"> </w:t>
      </w:r>
      <w:r w:rsidR="00E2080B" w:rsidRPr="00EB49B5">
        <w:rPr>
          <w:rFonts w:cs="Open Sans"/>
        </w:rPr>
        <w:t xml:space="preserve">2017) </w:t>
      </w:r>
      <w:r w:rsidR="00E2080B">
        <w:rPr>
          <w:rFonts w:cs="Open Sans"/>
        </w:rPr>
        <w:t>Chapter 27</w:t>
      </w:r>
      <w:r w:rsidR="00E2080B" w:rsidRPr="00EB49B5">
        <w:rPr>
          <w:rFonts w:cs="Open Sans"/>
        </w:rPr>
        <w:t xml:space="preserve">, </w:t>
      </w:r>
      <w:r w:rsidR="00E2080B">
        <w:rPr>
          <w:rFonts w:cs="Open Sans"/>
        </w:rPr>
        <w:t>412.</w:t>
      </w:r>
      <w:r w:rsidR="00E2080B" w:rsidRPr="00EB49B5">
        <w:rPr>
          <w:rFonts w:cs="Open Sans"/>
        </w:rPr>
        <w:t xml:space="preserve"> </w:t>
      </w:r>
      <w:r>
        <w:t xml:space="preserve"> </w:t>
      </w:r>
    </w:p>
  </w:endnote>
  <w:endnote w:id="63">
    <w:p w14:paraId="38A0B96E" w14:textId="77777777" w:rsidR="00B3506E" w:rsidRPr="00946697" w:rsidRDefault="00B3506E" w:rsidP="00B3506E">
      <w:pPr>
        <w:pStyle w:val="EndnoteText"/>
        <w:rPr>
          <w:rFonts w:cs="Open Sans"/>
        </w:rPr>
      </w:pPr>
      <w:r w:rsidRPr="00946697">
        <w:rPr>
          <w:rStyle w:val="EndnoteReference"/>
        </w:rPr>
        <w:endnoteRef/>
      </w:r>
      <w:r w:rsidRPr="00946697">
        <w:rPr>
          <w:rFonts w:cs="Open Sans"/>
        </w:rPr>
        <w:t xml:space="preserve"> Senate Legal and Constitutional Affairs Committee, </w:t>
      </w:r>
      <w:r w:rsidRPr="00946697">
        <w:rPr>
          <w:rFonts w:cs="Open Sans"/>
          <w:i/>
        </w:rPr>
        <w:t xml:space="preserve">Value of a justice reinvestment approach to criminal justice in Australia </w:t>
      </w:r>
      <w:r w:rsidRPr="00946697">
        <w:rPr>
          <w:rFonts w:cs="Open Sans"/>
        </w:rPr>
        <w:t>(2013) 124 &lt;</w:t>
      </w:r>
      <w:r w:rsidRPr="003E307D">
        <w:rPr>
          <w:rFonts w:cs="Open Sans"/>
        </w:rPr>
        <w:t>www.aph.gov.au/Parliamentary_Business/Committees/Senate/Legal_and_Constitutional_Affairs/Completed_inquiries/2010-13/justicereinvestment/report/index</w:t>
      </w:r>
      <w:r w:rsidRPr="00946697">
        <w:rPr>
          <w:rFonts w:cs="Open Sans"/>
        </w:rPr>
        <w:t xml:space="preserve">&gt;; Australian Human Rights Commission, </w:t>
      </w:r>
      <w:r w:rsidRPr="00946697">
        <w:rPr>
          <w:rFonts w:cs="Open Sans"/>
          <w:i/>
        </w:rPr>
        <w:t>Social Justice and Native Title Report 2014</w:t>
      </w:r>
      <w:r w:rsidRPr="00946697">
        <w:rPr>
          <w:rFonts w:cs="Open Sans"/>
        </w:rPr>
        <w:t xml:space="preserve"> (2014) 12 &lt;</w:t>
      </w:r>
      <w:r w:rsidRPr="003E307D">
        <w:rPr>
          <w:rFonts w:cs="Open Sans"/>
        </w:rPr>
        <w:t>www.humanrights.gov.au/our-work/aboriginal-and-torres-strait-islander-social-justice/publications/social-justice-and-nati-0</w:t>
      </w:r>
      <w:r w:rsidRPr="00946697">
        <w:rPr>
          <w:rFonts w:cs="Open Sans"/>
        </w:rPr>
        <w:t>&gt;.</w:t>
      </w:r>
    </w:p>
  </w:endnote>
  <w:endnote w:id="64">
    <w:p w14:paraId="08F67620" w14:textId="77777777" w:rsidR="00B3506E" w:rsidRPr="00AD080A" w:rsidRDefault="00B3506E" w:rsidP="00B3506E">
      <w:pPr>
        <w:pStyle w:val="EndnoteText"/>
        <w:rPr>
          <w:rFonts w:cs="Open Sans"/>
        </w:rPr>
      </w:pPr>
      <w:r w:rsidRPr="00946697">
        <w:rPr>
          <w:rStyle w:val="EndnoteReference"/>
        </w:rPr>
        <w:endnoteRef/>
      </w:r>
      <w:r w:rsidRPr="00946697">
        <w:rPr>
          <w:rFonts w:cs="Open Sans"/>
        </w:rPr>
        <w:t xml:space="preserve"> </w:t>
      </w:r>
      <w:r w:rsidRPr="00946697">
        <w:t xml:space="preserve">Australian Law Reform Commission, </w:t>
      </w:r>
      <w:r w:rsidRPr="00946697">
        <w:rPr>
          <w:i/>
        </w:rPr>
        <w:t>Pathways to Justice: Inquiry into the Incarceration Rate of Aboriginal and Torres Strait Islander Peoples</w:t>
      </w:r>
      <w:r w:rsidRPr="00946697">
        <w:t xml:space="preserve"> (ALRC Report 133, 2018) </w:t>
      </w:r>
      <w:r w:rsidRPr="00946697">
        <w:rPr>
          <w:rFonts w:cs="Open Sans"/>
        </w:rPr>
        <w:t xml:space="preserve">135–6 </w:t>
      </w:r>
      <w:r w:rsidRPr="00946697">
        <w:t>&lt;</w:t>
      </w:r>
      <w:r w:rsidRPr="003E307D">
        <w:rPr>
          <w:rFonts w:cs="Open Sans"/>
        </w:rPr>
        <w:t>www.alrc.gov.au/publications/indigenous-incarceration-report133</w:t>
      </w:r>
      <w:r w:rsidRPr="00946697">
        <w:t>&gt;.</w:t>
      </w:r>
    </w:p>
  </w:endnote>
  <w:endnote w:id="65">
    <w:p w14:paraId="6594C246" w14:textId="53A398B2" w:rsidR="00364B97" w:rsidRDefault="00364B97">
      <w:pPr>
        <w:pStyle w:val="EndnoteText"/>
      </w:pPr>
      <w:r>
        <w:rPr>
          <w:rStyle w:val="EndnoteReference"/>
        </w:rPr>
        <w:endnoteRef/>
      </w:r>
      <w:r>
        <w:t xml:space="preserve"> </w:t>
      </w:r>
      <w:r w:rsidR="00F61090">
        <w:t>KPMG</w:t>
      </w:r>
      <w:r w:rsidR="004049DF">
        <w:t xml:space="preserve">, Maranguka Justice Reinvestment Project Impact Assessment (27 November 2018) </w:t>
      </w:r>
      <w:hyperlink r:id="rId9" w:history="1">
        <w:r w:rsidR="004049DF" w:rsidRPr="005841A8">
          <w:rPr>
            <w:rStyle w:val="Hyperlink"/>
          </w:rPr>
          <w:t>http://www.justreinvest.org.au/impact-of-maranguka-justice-reinvestment/</w:t>
        </w:r>
      </w:hyperlink>
      <w:r w:rsidR="00BE208F">
        <w:t>.</w:t>
      </w:r>
    </w:p>
  </w:endnote>
  <w:endnote w:id="66">
    <w:p w14:paraId="146D45A0" w14:textId="77777777" w:rsidR="000247DE" w:rsidRPr="00345271" w:rsidRDefault="000247DE" w:rsidP="000247DE">
      <w:pPr>
        <w:pStyle w:val="EndnoteText"/>
        <w:rPr>
          <w:rFonts w:cs="Open Sans"/>
          <w:highlight w:val="yellow"/>
        </w:rPr>
      </w:pPr>
      <w:r w:rsidRPr="00345271">
        <w:rPr>
          <w:rStyle w:val="EndnoteReference"/>
        </w:rPr>
        <w:endnoteRef/>
      </w:r>
      <w:r w:rsidRPr="00345271">
        <w:rPr>
          <w:rFonts w:cs="Open Sans"/>
        </w:rPr>
        <w:t xml:space="preserve"> </w:t>
      </w:r>
      <w:r w:rsidRPr="00D17F7A">
        <w:rPr>
          <w:rFonts w:cs="Open Sans"/>
          <w:i/>
          <w:iCs/>
        </w:rPr>
        <w:t>Royal Commission and Board of Inquiry into the Protection and Detention of Children in the Northern Territory</w:t>
      </w:r>
      <w:r>
        <w:rPr>
          <w:rFonts w:cs="Open Sans"/>
          <w:i/>
          <w:iCs/>
        </w:rPr>
        <w:t xml:space="preserve"> </w:t>
      </w:r>
      <w:r w:rsidRPr="00345271">
        <w:rPr>
          <w:rFonts w:cs="Open Sans"/>
        </w:rPr>
        <w:t>(</w:t>
      </w:r>
      <w:r>
        <w:rPr>
          <w:rFonts w:cs="Open Sans"/>
        </w:rPr>
        <w:t xml:space="preserve">Final Report, </w:t>
      </w:r>
      <w:r w:rsidRPr="00345271">
        <w:rPr>
          <w:rFonts w:cs="Open Sans"/>
        </w:rPr>
        <w:t>2017) vol 2B, 249–277</w:t>
      </w:r>
      <w:r>
        <w:rPr>
          <w:rFonts w:cs="Open Sans"/>
        </w:rPr>
        <w:t>.</w:t>
      </w:r>
    </w:p>
  </w:endnote>
  <w:endnote w:id="67">
    <w:p w14:paraId="3F14C379" w14:textId="77777777" w:rsidR="000247DE" w:rsidRPr="00345271" w:rsidRDefault="000247DE" w:rsidP="000247DE">
      <w:pPr>
        <w:pStyle w:val="EndnoteText"/>
        <w:rPr>
          <w:rFonts w:cs="Open Sans"/>
        </w:rPr>
      </w:pPr>
      <w:r w:rsidRPr="00345271">
        <w:rPr>
          <w:rStyle w:val="EndnoteReference"/>
        </w:rPr>
        <w:endnoteRef/>
      </w:r>
      <w:r w:rsidRPr="00345271">
        <w:rPr>
          <w:rFonts w:cs="Open Sans"/>
        </w:rPr>
        <w:t xml:space="preserve"> </w:t>
      </w:r>
      <w:r w:rsidRPr="00ED7D1E">
        <w:rPr>
          <w:rFonts w:cs="Open Sans"/>
          <w:i/>
          <w:iCs/>
        </w:rPr>
        <w:t>Royal Commission and Board of Inquiry into the Protection and Detention of Children in the Northern Territory</w:t>
      </w:r>
      <w:r w:rsidRPr="00345271">
        <w:rPr>
          <w:rFonts w:cs="Open Sans"/>
        </w:rPr>
        <w:t>, (</w:t>
      </w:r>
      <w:r w:rsidRPr="00ED7D1E">
        <w:rPr>
          <w:rFonts w:cs="Open Sans"/>
          <w:iCs/>
        </w:rPr>
        <w:t>Final Report, 2017</w:t>
      </w:r>
      <w:r w:rsidRPr="00345271">
        <w:rPr>
          <w:rFonts w:cs="Open Sans"/>
        </w:rPr>
        <w:t>) vol 2B, 259</w:t>
      </w:r>
      <w:r>
        <w:rPr>
          <w:rFonts w:cs="Open Sans"/>
        </w:rPr>
        <w:t>.</w:t>
      </w:r>
    </w:p>
  </w:endnote>
  <w:endnote w:id="68">
    <w:p w14:paraId="1A9BC337" w14:textId="77777777" w:rsidR="000247DE" w:rsidRPr="00345271" w:rsidRDefault="000247DE" w:rsidP="000247DE">
      <w:pPr>
        <w:pStyle w:val="EndnoteText"/>
        <w:rPr>
          <w:rFonts w:cs="Open Sans"/>
          <w:highlight w:val="yellow"/>
        </w:rPr>
      </w:pPr>
      <w:r w:rsidRPr="00345271">
        <w:rPr>
          <w:rStyle w:val="EndnoteReference"/>
        </w:rPr>
        <w:endnoteRef/>
      </w:r>
      <w:r w:rsidRPr="00345271">
        <w:rPr>
          <w:rFonts w:cs="Open Sans"/>
        </w:rPr>
        <w:t xml:space="preserve"> </w:t>
      </w:r>
      <w:r w:rsidRPr="00ED7D1E">
        <w:rPr>
          <w:rFonts w:cs="Open Sans"/>
          <w:i/>
          <w:iCs/>
        </w:rPr>
        <w:t>Royal Commission and Board of Inquiry into the Protection and Detention of Children in the Northern Territory</w:t>
      </w:r>
      <w:r w:rsidRPr="00345271">
        <w:rPr>
          <w:rFonts w:cs="Open Sans"/>
        </w:rPr>
        <w:t>, (</w:t>
      </w:r>
      <w:r w:rsidRPr="00ED7D1E">
        <w:rPr>
          <w:rFonts w:cs="Open Sans"/>
          <w:iCs/>
        </w:rPr>
        <w:t>Final Report, 2017</w:t>
      </w:r>
      <w:r w:rsidRPr="00345271">
        <w:rPr>
          <w:rFonts w:cs="Open Sans"/>
        </w:rPr>
        <w:t>) vol 2B, 278</w:t>
      </w:r>
      <w:r>
        <w:rPr>
          <w:rFonts w:cs="Open Sans"/>
        </w:rPr>
        <w:t>.</w:t>
      </w:r>
    </w:p>
  </w:endnote>
  <w:endnote w:id="69">
    <w:p w14:paraId="649CC8AE" w14:textId="77777777" w:rsidR="000247DE" w:rsidRPr="00345271" w:rsidRDefault="000247DE" w:rsidP="000247DE">
      <w:pPr>
        <w:pStyle w:val="EndnoteText"/>
        <w:rPr>
          <w:rFonts w:cs="Open Sans"/>
          <w:highlight w:val="yellow"/>
        </w:rPr>
      </w:pPr>
      <w:r w:rsidRPr="00345271">
        <w:rPr>
          <w:rStyle w:val="EndnoteReference"/>
        </w:rPr>
        <w:endnoteRef/>
      </w:r>
      <w:r w:rsidRPr="00345271">
        <w:rPr>
          <w:rFonts w:cs="Open Sans"/>
        </w:rPr>
        <w:t xml:space="preserve"> Human Rights and Equal Opportunity Commission, </w:t>
      </w:r>
      <w:r w:rsidRPr="00345271">
        <w:rPr>
          <w:rFonts w:cs="Open Sans"/>
          <w:i/>
        </w:rPr>
        <w:t>Social Justice Report</w:t>
      </w:r>
      <w:r w:rsidRPr="00345271">
        <w:rPr>
          <w:rFonts w:cs="Open Sans"/>
        </w:rPr>
        <w:t xml:space="preserve"> (2001) 188 &lt;</w:t>
      </w:r>
      <w:r w:rsidRPr="00861417">
        <w:rPr>
          <w:rFonts w:cs="Open Sans"/>
        </w:rPr>
        <w:t>www.humanrights.gov.au/our-work/aboriginal-and-torres-strait-islander-social-justice/publications/social-justice-report</w:t>
      </w:r>
      <w:r w:rsidRPr="00BB2517">
        <w:rPr>
          <w:rFonts w:cs="Open Sans"/>
        </w:rPr>
        <w:t>-5</w:t>
      </w:r>
      <w:r w:rsidRPr="00BB2517">
        <w:rPr>
          <w:rStyle w:val="Hyperlink"/>
          <w:rFonts w:cs="Open Sans"/>
          <w:color w:val="auto"/>
        </w:rPr>
        <w:t>&gt;</w:t>
      </w:r>
      <w:r w:rsidRPr="00BB2517">
        <w:rPr>
          <w:rFonts w:cs="Open Sans"/>
        </w:rPr>
        <w:t>.</w:t>
      </w:r>
    </w:p>
  </w:endnote>
  <w:endnote w:id="70">
    <w:p w14:paraId="6DCBA1C9" w14:textId="77777777" w:rsidR="000247DE" w:rsidRDefault="000247DE" w:rsidP="000247DE">
      <w:pPr>
        <w:pStyle w:val="EndnoteText"/>
      </w:pPr>
      <w:r>
        <w:rPr>
          <w:rStyle w:val="EndnoteReference"/>
        </w:rPr>
        <w:endnoteRef/>
      </w:r>
      <w:r>
        <w:t xml:space="preserve"> </w:t>
      </w:r>
      <w:r w:rsidRPr="00E95C30">
        <w:rPr>
          <w:rFonts w:cs="Open Sans"/>
          <w:szCs w:val="24"/>
        </w:rPr>
        <w:t xml:space="preserve">United Nations Committee on the Rights of the Child, </w:t>
      </w:r>
      <w:r w:rsidRPr="00E95C30">
        <w:rPr>
          <w:rFonts w:cs="Open Sans"/>
          <w:i/>
          <w:iCs/>
          <w:szCs w:val="24"/>
        </w:rPr>
        <w:t>Concluding Observations on the Combined Fifth and Sixth Periodic Reports of Australia</w:t>
      </w:r>
      <w:r w:rsidRPr="00E95C30">
        <w:rPr>
          <w:rFonts w:cs="Open Sans"/>
          <w:szCs w:val="24"/>
        </w:rPr>
        <w:t xml:space="preserve">, 82nd </w:t>
      </w:r>
      <w:r>
        <w:rPr>
          <w:rFonts w:cs="Open Sans"/>
          <w:szCs w:val="24"/>
        </w:rPr>
        <w:t>s</w:t>
      </w:r>
      <w:r w:rsidRPr="00E95C30">
        <w:rPr>
          <w:rFonts w:cs="Open Sans"/>
          <w:szCs w:val="24"/>
        </w:rPr>
        <w:t>ess, UN Doc CRC/C/AUS/CO/5-6 (30 September 2019) para 48(d).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Calibr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Condense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2513" w14:textId="77777777" w:rsidR="00AC636D" w:rsidRPr="000465F1" w:rsidRDefault="00AC636D" w:rsidP="000465F1">
    <w:pPr>
      <w:pStyle w:val="Footer"/>
    </w:pPr>
    <w:r w:rsidRPr="000465F1">
      <w:t>ABN 47 996 232 602</w:t>
    </w:r>
  </w:p>
  <w:p w14:paraId="052AF211" w14:textId="77777777" w:rsidR="00AC636D" w:rsidRPr="000465F1" w:rsidRDefault="00AC636D" w:rsidP="000465F1">
    <w:pPr>
      <w:pStyle w:val="Footer"/>
    </w:pPr>
    <w:r w:rsidRPr="000465F1">
      <w:t>Level 3, 175 Pitt Street, Sydney NSW 2000</w:t>
    </w:r>
  </w:p>
  <w:p w14:paraId="5B953770" w14:textId="77777777" w:rsidR="00AC636D" w:rsidRPr="000465F1" w:rsidRDefault="00AC636D" w:rsidP="000465F1">
    <w:pPr>
      <w:pStyle w:val="Footer"/>
    </w:pPr>
    <w:r w:rsidRPr="000465F1">
      <w:t>GPO Box 5218, Sydney NSW 2001</w:t>
    </w:r>
  </w:p>
  <w:p w14:paraId="067CA58C" w14:textId="77777777" w:rsidR="00AC636D" w:rsidRPr="000465F1" w:rsidRDefault="00AC636D" w:rsidP="000465F1">
    <w:pPr>
      <w:pStyle w:val="Footer"/>
    </w:pPr>
    <w:r w:rsidRPr="000465F1">
      <w:t>General enquiries 1300 369 711</w:t>
    </w:r>
  </w:p>
  <w:p w14:paraId="76E7A7E0" w14:textId="77777777" w:rsidR="00AC636D" w:rsidRPr="000465F1" w:rsidRDefault="00A7615D" w:rsidP="000465F1">
    <w:pPr>
      <w:pStyle w:val="Footer"/>
    </w:pPr>
    <w:r>
      <w:t xml:space="preserve">National Information Service </w:t>
    </w:r>
    <w:r w:rsidR="00AC636D" w:rsidRPr="000465F1">
      <w:t>1300 656 419</w:t>
    </w:r>
  </w:p>
  <w:p w14:paraId="3020292C"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8D154"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56D62"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D02074">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4372"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D02074">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631C7" w14:textId="77777777" w:rsidR="003E380E" w:rsidRDefault="003E380E" w:rsidP="00F14C6D">
      <w:r>
        <w:separator/>
      </w:r>
    </w:p>
  </w:footnote>
  <w:footnote w:type="continuationSeparator" w:id="0">
    <w:p w14:paraId="3AB74BD4" w14:textId="77777777" w:rsidR="003E380E" w:rsidRDefault="003E380E" w:rsidP="00F14C6D">
      <w:r>
        <w:continuationSeparator/>
      </w:r>
    </w:p>
  </w:footnote>
  <w:footnote w:type="continuationNotice" w:id="1">
    <w:p w14:paraId="78F52530" w14:textId="77777777" w:rsidR="003E380E" w:rsidRDefault="003E380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B5AC" w14:textId="09DC8682" w:rsidR="00BF6406" w:rsidRPr="000465F1" w:rsidRDefault="00BF6406" w:rsidP="000465F1">
    <w:pPr>
      <w:pStyle w:val="Header"/>
    </w:pPr>
    <w:r w:rsidRPr="000465F1">
      <w:t>Australian Human Rights Commission</w:t>
    </w:r>
  </w:p>
  <w:p w14:paraId="713C7361"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DEDC4" w14:textId="6C20D5E2" w:rsidR="00B34946" w:rsidRPr="000465F1" w:rsidRDefault="00B34946" w:rsidP="000465F1">
    <w:r w:rsidRPr="000465F1">
      <w:t>Australian Human Rights Commission</w:t>
    </w:r>
  </w:p>
  <w:p w14:paraId="6EA75AF5" w14:textId="77777777" w:rsidR="00B34946" w:rsidRPr="000465F1" w:rsidRDefault="00B34946"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64F92" w14:textId="3DB8D750" w:rsidR="00CC2AA0" w:rsidRDefault="00E301F5" w:rsidP="002012F7">
    <w:pPr>
      <w:pStyle w:val="Header"/>
    </w:pPr>
    <w:r>
      <w:pict w14:anchorId="7D324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2" o:spid="_x0000_s2066" type="#_x0000_t75" style="position:absolute;left:0;text-align:left;margin-left:-70.9pt;margin-top:-109.05pt;width:595.1pt;height:869.4pt;z-index:-251658752;mso-position-horizontal-relative:margin;mso-position-vertical-relative:margin" o:allowincell="f">
          <v:imagedata r:id="rId1" o:title="report watermark"/>
          <w10:wrap anchorx="margin" anchory="margin"/>
        </v:shape>
      </w:pict>
    </w:r>
  </w:p>
  <w:p w14:paraId="631795D0" w14:textId="77777777" w:rsidR="008B3899" w:rsidRDefault="008B3899" w:rsidP="002012F7">
    <w:pPr>
      <w:pStyle w:val="Header"/>
    </w:pPr>
  </w:p>
  <w:p w14:paraId="1ADB3D7B"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3F64" w14:textId="77777777" w:rsidR="0015239E" w:rsidRPr="000465F1" w:rsidRDefault="0015239E" w:rsidP="0015239E">
    <w:pPr>
      <w:pStyle w:val="Header"/>
    </w:pPr>
    <w:r w:rsidRPr="000465F1">
      <w:t>Australian Human Rights Commission</w:t>
    </w:r>
  </w:p>
  <w:p w14:paraId="7DE8E5F9" w14:textId="77777777" w:rsidR="0015239E" w:rsidRPr="000465F1" w:rsidRDefault="0015239E"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48EE" w14:textId="2AAED951" w:rsidR="00C60314" w:rsidRPr="000465F1" w:rsidRDefault="00BF6406" w:rsidP="00C60314">
    <w:pPr>
      <w:pStyle w:val="Header"/>
    </w:pPr>
    <w:bookmarkStart w:id="29" w:name="_Hlk514672172"/>
    <w:bookmarkStart w:id="30" w:name="_Hlk514672173"/>
    <w:r w:rsidRPr="000465F1">
      <w:t>Australian Human Rights Commission</w:t>
    </w:r>
  </w:p>
  <w:bookmarkEnd w:id="29"/>
  <w:bookmarkEnd w:id="30"/>
  <w:p w14:paraId="61601487" w14:textId="7E7EEE3A" w:rsidR="002F5E96" w:rsidRPr="00EE3E3B" w:rsidRDefault="00AC68D5" w:rsidP="002F5E96">
    <w:pPr>
      <w:pStyle w:val="HeaderDocumentDate"/>
      <w:rPr>
        <w:sz w:val="20"/>
        <w:szCs w:val="20"/>
      </w:rPr>
    </w:pPr>
    <w:r w:rsidRPr="00EE3E3B">
      <w:rPr>
        <w:rStyle w:val="HeaderDocumentTitle"/>
        <w:sz w:val="20"/>
        <w:szCs w:val="20"/>
      </w:rPr>
      <w:t>Review of age of criminal responsibility</w:t>
    </w:r>
    <w:r w:rsidR="00C60314">
      <w:rPr>
        <w:rStyle w:val="HeaderDocumentTitle"/>
        <w:sz w:val="20"/>
        <w:szCs w:val="20"/>
      </w:rPr>
      <w:t xml:space="preserve">, </w:t>
    </w:r>
    <w:r w:rsidR="00A13AFF">
      <w:rPr>
        <w:rStyle w:val="HeaderDocumentTitle"/>
        <w:sz w:val="20"/>
        <w:szCs w:val="20"/>
      </w:rPr>
      <w:t>26 February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3DD7" w14:textId="77777777" w:rsidR="0063009F" w:rsidRPr="000465F1" w:rsidRDefault="0063009F" w:rsidP="0063009F">
    <w:pPr>
      <w:pStyle w:val="Header"/>
    </w:pPr>
    <w:r w:rsidRPr="000465F1">
      <w:t>Australian Human Rights Commission</w:t>
    </w:r>
  </w:p>
  <w:p w14:paraId="04978C73" w14:textId="383A1B54" w:rsidR="00EE3E3B" w:rsidRPr="00EE3E3B" w:rsidRDefault="00EE3E3B" w:rsidP="00EE3E3B">
    <w:pPr>
      <w:pStyle w:val="HeaderDocumentDate"/>
      <w:rPr>
        <w:sz w:val="20"/>
        <w:szCs w:val="20"/>
      </w:rPr>
    </w:pPr>
    <w:r w:rsidRPr="00EE3E3B">
      <w:rPr>
        <w:rStyle w:val="HeaderDocumentTitle"/>
        <w:sz w:val="20"/>
        <w:szCs w:val="20"/>
      </w:rPr>
      <w:t xml:space="preserve">Review of </w:t>
    </w:r>
    <w:r w:rsidR="00242D4F">
      <w:rPr>
        <w:rStyle w:val="HeaderDocumentTitle"/>
        <w:sz w:val="20"/>
        <w:szCs w:val="20"/>
      </w:rPr>
      <w:t xml:space="preserve">the </w:t>
    </w:r>
    <w:r w:rsidRPr="00EE3E3B">
      <w:rPr>
        <w:rStyle w:val="HeaderDocumentTitle"/>
        <w:sz w:val="20"/>
        <w:szCs w:val="20"/>
      </w:rPr>
      <w:t>age of criminal responsibility</w:t>
    </w:r>
    <w:r w:rsidR="00973AAB">
      <w:rPr>
        <w:rStyle w:val="HeaderDocumentTitle"/>
        <w:sz w:val="20"/>
        <w:szCs w:val="20"/>
      </w:rPr>
      <w:t>, 26 February 2020</w:t>
    </w:r>
  </w:p>
  <w:p w14:paraId="309D5758" w14:textId="3D2978D1" w:rsidR="0063009F" w:rsidRPr="000465F1" w:rsidRDefault="0063009F"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56F1F88"/>
    <w:multiLevelType w:val="hybridMultilevel"/>
    <w:tmpl w:val="B2F02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0226E3"/>
    <w:multiLevelType w:val="hybridMultilevel"/>
    <w:tmpl w:val="02B8C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485D44"/>
    <w:multiLevelType w:val="hybridMultilevel"/>
    <w:tmpl w:val="7D024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EF2666A"/>
    <w:multiLevelType w:val="hybridMultilevel"/>
    <w:tmpl w:val="6640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700BF5"/>
    <w:multiLevelType w:val="hybridMultilevel"/>
    <w:tmpl w:val="F198D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34B95A52"/>
    <w:multiLevelType w:val="hybridMultilevel"/>
    <w:tmpl w:val="7A38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6230B4"/>
    <w:multiLevelType w:val="hybridMultilevel"/>
    <w:tmpl w:val="6BC4D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3528A5"/>
    <w:multiLevelType w:val="hybridMultilevel"/>
    <w:tmpl w:val="0ECC2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3"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FA2203E"/>
    <w:multiLevelType w:val="hybridMultilevel"/>
    <w:tmpl w:val="2320D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15:restartNumberingAfterBreak="0">
    <w:nsid w:val="7217345F"/>
    <w:multiLevelType w:val="hybridMultilevel"/>
    <w:tmpl w:val="34143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93C3E07"/>
    <w:multiLevelType w:val="hybridMultilevel"/>
    <w:tmpl w:val="6CF2DF5C"/>
    <w:lvl w:ilvl="0" w:tplc="69B263C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37"/>
  </w:num>
  <w:num w:numId="4">
    <w:abstractNumId w:val="2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5"/>
  </w:num>
  <w:num w:numId="18">
    <w:abstractNumId w:val="26"/>
  </w:num>
  <w:num w:numId="19">
    <w:abstractNumId w:val="18"/>
  </w:num>
  <w:num w:numId="20">
    <w:abstractNumId w:val="41"/>
  </w:num>
  <w:num w:numId="21">
    <w:abstractNumId w:val="30"/>
  </w:num>
  <w:num w:numId="22">
    <w:abstractNumId w:val="27"/>
  </w:num>
  <w:num w:numId="23">
    <w:abstractNumId w:val="43"/>
  </w:num>
  <w:num w:numId="24">
    <w:abstractNumId w:val="13"/>
  </w:num>
  <w:num w:numId="25">
    <w:abstractNumId w:val="42"/>
  </w:num>
  <w:num w:numId="26">
    <w:abstractNumId w:val="31"/>
  </w:num>
  <w:num w:numId="27">
    <w:abstractNumId w:val="14"/>
  </w:num>
  <w:num w:numId="28">
    <w:abstractNumId w:val="19"/>
  </w:num>
  <w:num w:numId="29">
    <w:abstractNumId w:val="34"/>
  </w:num>
  <w:num w:numId="30">
    <w:abstractNumId w:val="3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9"/>
  </w:num>
  <w:num w:numId="36">
    <w:abstractNumId w:val="16"/>
  </w:num>
  <w:num w:numId="37">
    <w:abstractNumId w:val="10"/>
  </w:num>
  <w:num w:numId="38">
    <w:abstractNumId w:val="9"/>
    <w:lvlOverride w:ilvl="0">
      <w:startOverride w:val="1"/>
    </w:lvlOverride>
  </w:num>
  <w:num w:numId="39">
    <w:abstractNumId w:val="21"/>
  </w:num>
  <w:num w:numId="40">
    <w:abstractNumId w:val="25"/>
  </w:num>
  <w:num w:numId="41">
    <w:abstractNumId w:val="11"/>
  </w:num>
  <w:num w:numId="42">
    <w:abstractNumId w:val="28"/>
  </w:num>
  <w:num w:numId="43">
    <w:abstractNumId w:val="38"/>
  </w:num>
  <w:num w:numId="44">
    <w:abstractNumId w:val="17"/>
  </w:num>
  <w:num w:numId="45">
    <w:abstractNumId w:val="15"/>
  </w:num>
  <w:num w:numId="46">
    <w:abstractNumId w:val="44"/>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18"/>
    <w:rsid w:val="000015EC"/>
    <w:rsid w:val="00002267"/>
    <w:rsid w:val="000024E4"/>
    <w:rsid w:val="00003EA5"/>
    <w:rsid w:val="00005646"/>
    <w:rsid w:val="000057FB"/>
    <w:rsid w:val="000059DB"/>
    <w:rsid w:val="0001347F"/>
    <w:rsid w:val="000161C2"/>
    <w:rsid w:val="00016BFB"/>
    <w:rsid w:val="00021EEF"/>
    <w:rsid w:val="000227B0"/>
    <w:rsid w:val="00023CDB"/>
    <w:rsid w:val="0002476A"/>
    <w:rsid w:val="000247D9"/>
    <w:rsid w:val="000247DE"/>
    <w:rsid w:val="000252E7"/>
    <w:rsid w:val="00030783"/>
    <w:rsid w:val="0003147E"/>
    <w:rsid w:val="00031DF6"/>
    <w:rsid w:val="00031F3D"/>
    <w:rsid w:val="00033177"/>
    <w:rsid w:val="000360B1"/>
    <w:rsid w:val="00036BE4"/>
    <w:rsid w:val="00037B55"/>
    <w:rsid w:val="00041026"/>
    <w:rsid w:val="0004140B"/>
    <w:rsid w:val="0004157C"/>
    <w:rsid w:val="00041A8F"/>
    <w:rsid w:val="00042359"/>
    <w:rsid w:val="0004292C"/>
    <w:rsid w:val="000430B8"/>
    <w:rsid w:val="00044001"/>
    <w:rsid w:val="000443EA"/>
    <w:rsid w:val="00045712"/>
    <w:rsid w:val="00045C4B"/>
    <w:rsid w:val="000465F1"/>
    <w:rsid w:val="000470D9"/>
    <w:rsid w:val="000472F6"/>
    <w:rsid w:val="00050790"/>
    <w:rsid w:val="0005193E"/>
    <w:rsid w:val="000526E9"/>
    <w:rsid w:val="00054A4E"/>
    <w:rsid w:val="00056D94"/>
    <w:rsid w:val="0005748D"/>
    <w:rsid w:val="000579B1"/>
    <w:rsid w:val="00057FD0"/>
    <w:rsid w:val="00061C6C"/>
    <w:rsid w:val="0006220A"/>
    <w:rsid w:val="000628E1"/>
    <w:rsid w:val="0006315D"/>
    <w:rsid w:val="0006452D"/>
    <w:rsid w:val="000702CE"/>
    <w:rsid w:val="000702F5"/>
    <w:rsid w:val="000705F2"/>
    <w:rsid w:val="00072EDA"/>
    <w:rsid w:val="000751AA"/>
    <w:rsid w:val="0007633B"/>
    <w:rsid w:val="00076890"/>
    <w:rsid w:val="00077825"/>
    <w:rsid w:val="0008057B"/>
    <w:rsid w:val="00082CDD"/>
    <w:rsid w:val="00083A81"/>
    <w:rsid w:val="00084E49"/>
    <w:rsid w:val="00087F40"/>
    <w:rsid w:val="000919C5"/>
    <w:rsid w:val="00091F4C"/>
    <w:rsid w:val="00095B92"/>
    <w:rsid w:val="000975C1"/>
    <w:rsid w:val="000A01B8"/>
    <w:rsid w:val="000A1C40"/>
    <w:rsid w:val="000A1DB8"/>
    <w:rsid w:val="000A1E07"/>
    <w:rsid w:val="000A33D5"/>
    <w:rsid w:val="000A48AC"/>
    <w:rsid w:val="000A520E"/>
    <w:rsid w:val="000A64C2"/>
    <w:rsid w:val="000B0603"/>
    <w:rsid w:val="000B0A5D"/>
    <w:rsid w:val="000B1589"/>
    <w:rsid w:val="000B241E"/>
    <w:rsid w:val="000B4DC4"/>
    <w:rsid w:val="000B5605"/>
    <w:rsid w:val="000B5B68"/>
    <w:rsid w:val="000C14C7"/>
    <w:rsid w:val="000C1BE8"/>
    <w:rsid w:val="000C5608"/>
    <w:rsid w:val="000C5690"/>
    <w:rsid w:val="000C59B1"/>
    <w:rsid w:val="000C5DA6"/>
    <w:rsid w:val="000C7681"/>
    <w:rsid w:val="000C7D1B"/>
    <w:rsid w:val="000D169F"/>
    <w:rsid w:val="000D2B08"/>
    <w:rsid w:val="000D4942"/>
    <w:rsid w:val="000D5D46"/>
    <w:rsid w:val="000D5EE7"/>
    <w:rsid w:val="000D6B01"/>
    <w:rsid w:val="000E130A"/>
    <w:rsid w:val="000E4837"/>
    <w:rsid w:val="000E6DA9"/>
    <w:rsid w:val="000E79F1"/>
    <w:rsid w:val="000F0E10"/>
    <w:rsid w:val="000F2006"/>
    <w:rsid w:val="000F3754"/>
    <w:rsid w:val="000F5918"/>
    <w:rsid w:val="001070CD"/>
    <w:rsid w:val="00107ECA"/>
    <w:rsid w:val="001120CB"/>
    <w:rsid w:val="001121B7"/>
    <w:rsid w:val="00120D45"/>
    <w:rsid w:val="00123036"/>
    <w:rsid w:val="00124629"/>
    <w:rsid w:val="00124855"/>
    <w:rsid w:val="00126E53"/>
    <w:rsid w:val="00126F94"/>
    <w:rsid w:val="00127493"/>
    <w:rsid w:val="001319E5"/>
    <w:rsid w:val="001330EB"/>
    <w:rsid w:val="00134774"/>
    <w:rsid w:val="00135629"/>
    <w:rsid w:val="00140274"/>
    <w:rsid w:val="001412D0"/>
    <w:rsid w:val="00143C73"/>
    <w:rsid w:val="001455F1"/>
    <w:rsid w:val="0014589A"/>
    <w:rsid w:val="00147A4F"/>
    <w:rsid w:val="00151263"/>
    <w:rsid w:val="00151EB2"/>
    <w:rsid w:val="0015239E"/>
    <w:rsid w:val="00152664"/>
    <w:rsid w:val="00156022"/>
    <w:rsid w:val="001576B4"/>
    <w:rsid w:val="001602FC"/>
    <w:rsid w:val="00160961"/>
    <w:rsid w:val="00160F19"/>
    <w:rsid w:val="001611DD"/>
    <w:rsid w:val="001615DB"/>
    <w:rsid w:val="0016266F"/>
    <w:rsid w:val="00162A8D"/>
    <w:rsid w:val="00162B88"/>
    <w:rsid w:val="00165E3C"/>
    <w:rsid w:val="00167621"/>
    <w:rsid w:val="001677C7"/>
    <w:rsid w:val="00171F99"/>
    <w:rsid w:val="00173FB5"/>
    <w:rsid w:val="00174D9A"/>
    <w:rsid w:val="00174E82"/>
    <w:rsid w:val="00174F73"/>
    <w:rsid w:val="00177BDB"/>
    <w:rsid w:val="001806BF"/>
    <w:rsid w:val="001814A5"/>
    <w:rsid w:val="00181B55"/>
    <w:rsid w:val="001877FC"/>
    <w:rsid w:val="001904D3"/>
    <w:rsid w:val="001919E9"/>
    <w:rsid w:val="00192BAC"/>
    <w:rsid w:val="00195508"/>
    <w:rsid w:val="00195A79"/>
    <w:rsid w:val="00195EDE"/>
    <w:rsid w:val="001A0EC9"/>
    <w:rsid w:val="001A290C"/>
    <w:rsid w:val="001A3562"/>
    <w:rsid w:val="001A3D5B"/>
    <w:rsid w:val="001A3FC2"/>
    <w:rsid w:val="001A5C2E"/>
    <w:rsid w:val="001A5FEF"/>
    <w:rsid w:val="001A616A"/>
    <w:rsid w:val="001B0353"/>
    <w:rsid w:val="001B0B9D"/>
    <w:rsid w:val="001B0F6D"/>
    <w:rsid w:val="001B3A05"/>
    <w:rsid w:val="001B4DBC"/>
    <w:rsid w:val="001B5B20"/>
    <w:rsid w:val="001B6B9C"/>
    <w:rsid w:val="001C04F6"/>
    <w:rsid w:val="001C0648"/>
    <w:rsid w:val="001C0BB6"/>
    <w:rsid w:val="001C1F8B"/>
    <w:rsid w:val="001C237C"/>
    <w:rsid w:val="001C2EB5"/>
    <w:rsid w:val="001C4931"/>
    <w:rsid w:val="001D05EA"/>
    <w:rsid w:val="001D1DDC"/>
    <w:rsid w:val="001D72F8"/>
    <w:rsid w:val="001E13B7"/>
    <w:rsid w:val="001E3EA6"/>
    <w:rsid w:val="001E5676"/>
    <w:rsid w:val="001E7C09"/>
    <w:rsid w:val="001F2BBB"/>
    <w:rsid w:val="001F2C14"/>
    <w:rsid w:val="001F30D5"/>
    <w:rsid w:val="001F4610"/>
    <w:rsid w:val="001F52FD"/>
    <w:rsid w:val="001F5697"/>
    <w:rsid w:val="001F5699"/>
    <w:rsid w:val="001F62CC"/>
    <w:rsid w:val="001F6335"/>
    <w:rsid w:val="001F6369"/>
    <w:rsid w:val="001F761C"/>
    <w:rsid w:val="001F775D"/>
    <w:rsid w:val="001F7EFF"/>
    <w:rsid w:val="00200677"/>
    <w:rsid w:val="0020083A"/>
    <w:rsid w:val="00200ED6"/>
    <w:rsid w:val="002012F7"/>
    <w:rsid w:val="00201984"/>
    <w:rsid w:val="002027F6"/>
    <w:rsid w:val="002068EB"/>
    <w:rsid w:val="00211BEA"/>
    <w:rsid w:val="002127CA"/>
    <w:rsid w:val="002128C5"/>
    <w:rsid w:val="00212A10"/>
    <w:rsid w:val="002137BE"/>
    <w:rsid w:val="00214692"/>
    <w:rsid w:val="00214CE9"/>
    <w:rsid w:val="00216E67"/>
    <w:rsid w:val="00221178"/>
    <w:rsid w:val="00222BEC"/>
    <w:rsid w:val="00223819"/>
    <w:rsid w:val="0022550C"/>
    <w:rsid w:val="002266DE"/>
    <w:rsid w:val="002317A0"/>
    <w:rsid w:val="002317A3"/>
    <w:rsid w:val="00231D61"/>
    <w:rsid w:val="00231ED1"/>
    <w:rsid w:val="0023259F"/>
    <w:rsid w:val="00234451"/>
    <w:rsid w:val="00234610"/>
    <w:rsid w:val="002354F8"/>
    <w:rsid w:val="00236CF5"/>
    <w:rsid w:val="00241523"/>
    <w:rsid w:val="00242548"/>
    <w:rsid w:val="00242624"/>
    <w:rsid w:val="00242D4F"/>
    <w:rsid w:val="002432E6"/>
    <w:rsid w:val="00244795"/>
    <w:rsid w:val="0024557E"/>
    <w:rsid w:val="00245D21"/>
    <w:rsid w:val="002471FD"/>
    <w:rsid w:val="00247886"/>
    <w:rsid w:val="00247CF2"/>
    <w:rsid w:val="00250A88"/>
    <w:rsid w:val="00252E9F"/>
    <w:rsid w:val="002530B0"/>
    <w:rsid w:val="002550CB"/>
    <w:rsid w:val="00257BFF"/>
    <w:rsid w:val="002632EA"/>
    <w:rsid w:val="00263B67"/>
    <w:rsid w:val="00264C7C"/>
    <w:rsid w:val="002650C7"/>
    <w:rsid w:val="00271BF8"/>
    <w:rsid w:val="00272032"/>
    <w:rsid w:val="00273235"/>
    <w:rsid w:val="00273AF8"/>
    <w:rsid w:val="00273F9B"/>
    <w:rsid w:val="002761BB"/>
    <w:rsid w:val="0027645C"/>
    <w:rsid w:val="002834C6"/>
    <w:rsid w:val="0028506A"/>
    <w:rsid w:val="002850B0"/>
    <w:rsid w:val="002863D7"/>
    <w:rsid w:val="00286C8C"/>
    <w:rsid w:val="002873B4"/>
    <w:rsid w:val="00292AB5"/>
    <w:rsid w:val="002937AB"/>
    <w:rsid w:val="00294E23"/>
    <w:rsid w:val="00294FFD"/>
    <w:rsid w:val="002964AC"/>
    <w:rsid w:val="00296CC6"/>
    <w:rsid w:val="00296E67"/>
    <w:rsid w:val="002A1192"/>
    <w:rsid w:val="002A16E8"/>
    <w:rsid w:val="002A23B1"/>
    <w:rsid w:val="002A2768"/>
    <w:rsid w:val="002A43C2"/>
    <w:rsid w:val="002A6BEE"/>
    <w:rsid w:val="002A6D06"/>
    <w:rsid w:val="002B06A2"/>
    <w:rsid w:val="002B084C"/>
    <w:rsid w:val="002B1B65"/>
    <w:rsid w:val="002B2937"/>
    <w:rsid w:val="002B33B2"/>
    <w:rsid w:val="002C02DB"/>
    <w:rsid w:val="002C07F1"/>
    <w:rsid w:val="002C1866"/>
    <w:rsid w:val="002C1BA4"/>
    <w:rsid w:val="002C2702"/>
    <w:rsid w:val="002C3FCE"/>
    <w:rsid w:val="002D07E5"/>
    <w:rsid w:val="002D3054"/>
    <w:rsid w:val="002D4D2E"/>
    <w:rsid w:val="002D58C7"/>
    <w:rsid w:val="002D7493"/>
    <w:rsid w:val="002D7985"/>
    <w:rsid w:val="002E0644"/>
    <w:rsid w:val="002E111E"/>
    <w:rsid w:val="002E1A33"/>
    <w:rsid w:val="002E1BAE"/>
    <w:rsid w:val="002E22DF"/>
    <w:rsid w:val="002E23CA"/>
    <w:rsid w:val="002E2AAA"/>
    <w:rsid w:val="002E3A98"/>
    <w:rsid w:val="002E5A1B"/>
    <w:rsid w:val="002F05F2"/>
    <w:rsid w:val="002F0815"/>
    <w:rsid w:val="002F08ED"/>
    <w:rsid w:val="002F2B53"/>
    <w:rsid w:val="002F2C00"/>
    <w:rsid w:val="002F4CE1"/>
    <w:rsid w:val="002F5E96"/>
    <w:rsid w:val="002F67D8"/>
    <w:rsid w:val="0030053D"/>
    <w:rsid w:val="00300CD1"/>
    <w:rsid w:val="00300F22"/>
    <w:rsid w:val="00304A37"/>
    <w:rsid w:val="00306D1E"/>
    <w:rsid w:val="0031040E"/>
    <w:rsid w:val="00310ED4"/>
    <w:rsid w:val="003110D4"/>
    <w:rsid w:val="00312301"/>
    <w:rsid w:val="0031492A"/>
    <w:rsid w:val="00315BC0"/>
    <w:rsid w:val="00316C1A"/>
    <w:rsid w:val="003230A7"/>
    <w:rsid w:val="00323C73"/>
    <w:rsid w:val="0032405E"/>
    <w:rsid w:val="003245E9"/>
    <w:rsid w:val="00324681"/>
    <w:rsid w:val="0032590C"/>
    <w:rsid w:val="003268FE"/>
    <w:rsid w:val="00327071"/>
    <w:rsid w:val="0032765E"/>
    <w:rsid w:val="003279A8"/>
    <w:rsid w:val="003310A5"/>
    <w:rsid w:val="00331141"/>
    <w:rsid w:val="003319ED"/>
    <w:rsid w:val="00331A7A"/>
    <w:rsid w:val="00335813"/>
    <w:rsid w:val="00335B22"/>
    <w:rsid w:val="00336743"/>
    <w:rsid w:val="00336845"/>
    <w:rsid w:val="00336E3A"/>
    <w:rsid w:val="00341A41"/>
    <w:rsid w:val="00341ACB"/>
    <w:rsid w:val="003423F4"/>
    <w:rsid w:val="003445CD"/>
    <w:rsid w:val="00344758"/>
    <w:rsid w:val="00344CA7"/>
    <w:rsid w:val="003452B0"/>
    <w:rsid w:val="00347142"/>
    <w:rsid w:val="0035014F"/>
    <w:rsid w:val="003502DE"/>
    <w:rsid w:val="00350D1B"/>
    <w:rsid w:val="003526A6"/>
    <w:rsid w:val="003548C5"/>
    <w:rsid w:val="00354974"/>
    <w:rsid w:val="00354ED3"/>
    <w:rsid w:val="003565A8"/>
    <w:rsid w:val="003566EA"/>
    <w:rsid w:val="00356AA0"/>
    <w:rsid w:val="00356C27"/>
    <w:rsid w:val="00357C09"/>
    <w:rsid w:val="003615D4"/>
    <w:rsid w:val="00364B97"/>
    <w:rsid w:val="00364E52"/>
    <w:rsid w:val="00366301"/>
    <w:rsid w:val="00370B93"/>
    <w:rsid w:val="00372C79"/>
    <w:rsid w:val="00374237"/>
    <w:rsid w:val="003746BE"/>
    <w:rsid w:val="00374E8D"/>
    <w:rsid w:val="00380852"/>
    <w:rsid w:val="0038143D"/>
    <w:rsid w:val="00385366"/>
    <w:rsid w:val="0038792A"/>
    <w:rsid w:val="00387E4F"/>
    <w:rsid w:val="0039000A"/>
    <w:rsid w:val="00390463"/>
    <w:rsid w:val="00390961"/>
    <w:rsid w:val="00393BB2"/>
    <w:rsid w:val="0039417A"/>
    <w:rsid w:val="00394CA9"/>
    <w:rsid w:val="0039528C"/>
    <w:rsid w:val="003A08A1"/>
    <w:rsid w:val="003A168E"/>
    <w:rsid w:val="003A1BB5"/>
    <w:rsid w:val="003A3596"/>
    <w:rsid w:val="003A48B7"/>
    <w:rsid w:val="003A5963"/>
    <w:rsid w:val="003B0C20"/>
    <w:rsid w:val="003B3229"/>
    <w:rsid w:val="003B45A0"/>
    <w:rsid w:val="003B50D0"/>
    <w:rsid w:val="003B62EC"/>
    <w:rsid w:val="003B6774"/>
    <w:rsid w:val="003B6932"/>
    <w:rsid w:val="003B69F3"/>
    <w:rsid w:val="003B7435"/>
    <w:rsid w:val="003B7AB5"/>
    <w:rsid w:val="003C080A"/>
    <w:rsid w:val="003C141C"/>
    <w:rsid w:val="003C1641"/>
    <w:rsid w:val="003C2CCE"/>
    <w:rsid w:val="003C2E1E"/>
    <w:rsid w:val="003C39AD"/>
    <w:rsid w:val="003C711A"/>
    <w:rsid w:val="003D0FAA"/>
    <w:rsid w:val="003D1536"/>
    <w:rsid w:val="003D1879"/>
    <w:rsid w:val="003D1D25"/>
    <w:rsid w:val="003D349E"/>
    <w:rsid w:val="003D44BC"/>
    <w:rsid w:val="003D529E"/>
    <w:rsid w:val="003D5C12"/>
    <w:rsid w:val="003D7A43"/>
    <w:rsid w:val="003E12DA"/>
    <w:rsid w:val="003E37DC"/>
    <w:rsid w:val="003E380E"/>
    <w:rsid w:val="003E41AB"/>
    <w:rsid w:val="003E5DEF"/>
    <w:rsid w:val="003F027D"/>
    <w:rsid w:val="003F033B"/>
    <w:rsid w:val="003F160D"/>
    <w:rsid w:val="003F3DC4"/>
    <w:rsid w:val="003F5762"/>
    <w:rsid w:val="003F6382"/>
    <w:rsid w:val="003F77BF"/>
    <w:rsid w:val="0040124D"/>
    <w:rsid w:val="00401AF0"/>
    <w:rsid w:val="00401D27"/>
    <w:rsid w:val="004021B0"/>
    <w:rsid w:val="00402234"/>
    <w:rsid w:val="00402E5E"/>
    <w:rsid w:val="0040497E"/>
    <w:rsid w:val="004049DF"/>
    <w:rsid w:val="00405465"/>
    <w:rsid w:val="00406C80"/>
    <w:rsid w:val="00407D6D"/>
    <w:rsid w:val="00411969"/>
    <w:rsid w:val="00414EAA"/>
    <w:rsid w:val="00416E44"/>
    <w:rsid w:val="00417714"/>
    <w:rsid w:val="00421349"/>
    <w:rsid w:val="00422417"/>
    <w:rsid w:val="00422462"/>
    <w:rsid w:val="00422C9A"/>
    <w:rsid w:val="00422CA4"/>
    <w:rsid w:val="00424233"/>
    <w:rsid w:val="00424626"/>
    <w:rsid w:val="00426914"/>
    <w:rsid w:val="0042788A"/>
    <w:rsid w:val="004334C6"/>
    <w:rsid w:val="00433CB0"/>
    <w:rsid w:val="00433DFD"/>
    <w:rsid w:val="00437082"/>
    <w:rsid w:val="0044103F"/>
    <w:rsid w:val="0044113A"/>
    <w:rsid w:val="00441146"/>
    <w:rsid w:val="00441D2E"/>
    <w:rsid w:val="004422C5"/>
    <w:rsid w:val="00442B13"/>
    <w:rsid w:val="00442EC1"/>
    <w:rsid w:val="004433A5"/>
    <w:rsid w:val="00445CB5"/>
    <w:rsid w:val="0044763A"/>
    <w:rsid w:val="0045086A"/>
    <w:rsid w:val="00450B43"/>
    <w:rsid w:val="00450F56"/>
    <w:rsid w:val="0045183C"/>
    <w:rsid w:val="00452615"/>
    <w:rsid w:val="0045348C"/>
    <w:rsid w:val="00454B61"/>
    <w:rsid w:val="004567D3"/>
    <w:rsid w:val="00460EE0"/>
    <w:rsid w:val="00461148"/>
    <w:rsid w:val="0046181A"/>
    <w:rsid w:val="00462BC5"/>
    <w:rsid w:val="004633B8"/>
    <w:rsid w:val="00463638"/>
    <w:rsid w:val="00466426"/>
    <w:rsid w:val="0046708A"/>
    <w:rsid w:val="0047004D"/>
    <w:rsid w:val="00470161"/>
    <w:rsid w:val="00471234"/>
    <w:rsid w:val="004712FB"/>
    <w:rsid w:val="00471BB7"/>
    <w:rsid w:val="00471BE2"/>
    <w:rsid w:val="00472EFF"/>
    <w:rsid w:val="004739E8"/>
    <w:rsid w:val="00474063"/>
    <w:rsid w:val="00474F8E"/>
    <w:rsid w:val="00476793"/>
    <w:rsid w:val="004768D2"/>
    <w:rsid w:val="00480ED2"/>
    <w:rsid w:val="00481B2A"/>
    <w:rsid w:val="00482091"/>
    <w:rsid w:val="00482A6A"/>
    <w:rsid w:val="004846BB"/>
    <w:rsid w:val="00484D07"/>
    <w:rsid w:val="0048681A"/>
    <w:rsid w:val="00487328"/>
    <w:rsid w:val="00490049"/>
    <w:rsid w:val="00491BFA"/>
    <w:rsid w:val="00492EAD"/>
    <w:rsid w:val="004931D3"/>
    <w:rsid w:val="00493943"/>
    <w:rsid w:val="0049490B"/>
    <w:rsid w:val="004A187B"/>
    <w:rsid w:val="004A2D3C"/>
    <w:rsid w:val="004A351F"/>
    <w:rsid w:val="004A4157"/>
    <w:rsid w:val="004A4881"/>
    <w:rsid w:val="004A57A2"/>
    <w:rsid w:val="004A6C68"/>
    <w:rsid w:val="004A6FF0"/>
    <w:rsid w:val="004B01F3"/>
    <w:rsid w:val="004B0CF5"/>
    <w:rsid w:val="004B50E9"/>
    <w:rsid w:val="004B575B"/>
    <w:rsid w:val="004B5E85"/>
    <w:rsid w:val="004B5F53"/>
    <w:rsid w:val="004B6370"/>
    <w:rsid w:val="004B6C1C"/>
    <w:rsid w:val="004C055A"/>
    <w:rsid w:val="004C1ABF"/>
    <w:rsid w:val="004C1FE7"/>
    <w:rsid w:val="004C217E"/>
    <w:rsid w:val="004C372E"/>
    <w:rsid w:val="004C5592"/>
    <w:rsid w:val="004C6ABF"/>
    <w:rsid w:val="004C7412"/>
    <w:rsid w:val="004C76D5"/>
    <w:rsid w:val="004D0237"/>
    <w:rsid w:val="004D04BF"/>
    <w:rsid w:val="004D3573"/>
    <w:rsid w:val="004D4BE2"/>
    <w:rsid w:val="004D748C"/>
    <w:rsid w:val="004E0DFF"/>
    <w:rsid w:val="004E0FE6"/>
    <w:rsid w:val="004E2EA0"/>
    <w:rsid w:val="004E3568"/>
    <w:rsid w:val="004E4662"/>
    <w:rsid w:val="004E4A92"/>
    <w:rsid w:val="004E6B6D"/>
    <w:rsid w:val="004E7503"/>
    <w:rsid w:val="004F1C7C"/>
    <w:rsid w:val="004F484B"/>
    <w:rsid w:val="004F48C4"/>
    <w:rsid w:val="004F49C8"/>
    <w:rsid w:val="004F4E6A"/>
    <w:rsid w:val="004F640C"/>
    <w:rsid w:val="004F6BD2"/>
    <w:rsid w:val="004F76D1"/>
    <w:rsid w:val="005003B0"/>
    <w:rsid w:val="005007CB"/>
    <w:rsid w:val="00502556"/>
    <w:rsid w:val="0050418C"/>
    <w:rsid w:val="005048F0"/>
    <w:rsid w:val="0050643C"/>
    <w:rsid w:val="0050778D"/>
    <w:rsid w:val="00510390"/>
    <w:rsid w:val="005123F0"/>
    <w:rsid w:val="00512BB4"/>
    <w:rsid w:val="00512D25"/>
    <w:rsid w:val="00513540"/>
    <w:rsid w:val="00513941"/>
    <w:rsid w:val="00513B70"/>
    <w:rsid w:val="00513E5D"/>
    <w:rsid w:val="005145D2"/>
    <w:rsid w:val="0051487E"/>
    <w:rsid w:val="00514E6B"/>
    <w:rsid w:val="00523756"/>
    <w:rsid w:val="005249C0"/>
    <w:rsid w:val="00527218"/>
    <w:rsid w:val="00527503"/>
    <w:rsid w:val="0053051D"/>
    <w:rsid w:val="0053067C"/>
    <w:rsid w:val="005319D2"/>
    <w:rsid w:val="0053527D"/>
    <w:rsid w:val="005415CE"/>
    <w:rsid w:val="00542055"/>
    <w:rsid w:val="00545398"/>
    <w:rsid w:val="00553DF0"/>
    <w:rsid w:val="00564208"/>
    <w:rsid w:val="005648A5"/>
    <w:rsid w:val="005666CE"/>
    <w:rsid w:val="00567514"/>
    <w:rsid w:val="00571CEB"/>
    <w:rsid w:val="00572DC5"/>
    <w:rsid w:val="00573E55"/>
    <w:rsid w:val="00574357"/>
    <w:rsid w:val="005766CD"/>
    <w:rsid w:val="005839E8"/>
    <w:rsid w:val="00584938"/>
    <w:rsid w:val="00591951"/>
    <w:rsid w:val="00593C21"/>
    <w:rsid w:val="005948FA"/>
    <w:rsid w:val="005963C5"/>
    <w:rsid w:val="00596437"/>
    <w:rsid w:val="005A0964"/>
    <w:rsid w:val="005A39DB"/>
    <w:rsid w:val="005A4F9F"/>
    <w:rsid w:val="005B36F6"/>
    <w:rsid w:val="005B3E74"/>
    <w:rsid w:val="005B53EE"/>
    <w:rsid w:val="005B5A2B"/>
    <w:rsid w:val="005C08AA"/>
    <w:rsid w:val="005C11B6"/>
    <w:rsid w:val="005C17FF"/>
    <w:rsid w:val="005C230A"/>
    <w:rsid w:val="005C234A"/>
    <w:rsid w:val="005C2C96"/>
    <w:rsid w:val="005C2ECF"/>
    <w:rsid w:val="005C361B"/>
    <w:rsid w:val="005C3926"/>
    <w:rsid w:val="005C5D41"/>
    <w:rsid w:val="005C62B2"/>
    <w:rsid w:val="005C7065"/>
    <w:rsid w:val="005C7C57"/>
    <w:rsid w:val="005D1F34"/>
    <w:rsid w:val="005D383D"/>
    <w:rsid w:val="005D5B27"/>
    <w:rsid w:val="005D6057"/>
    <w:rsid w:val="005E0176"/>
    <w:rsid w:val="005E01DE"/>
    <w:rsid w:val="005E0DBE"/>
    <w:rsid w:val="005E2325"/>
    <w:rsid w:val="005E2A74"/>
    <w:rsid w:val="005E2C72"/>
    <w:rsid w:val="005E3C0E"/>
    <w:rsid w:val="005E6643"/>
    <w:rsid w:val="005F516F"/>
    <w:rsid w:val="00601180"/>
    <w:rsid w:val="0060130E"/>
    <w:rsid w:val="00601886"/>
    <w:rsid w:val="00602118"/>
    <w:rsid w:val="0060350C"/>
    <w:rsid w:val="00603D91"/>
    <w:rsid w:val="0060620F"/>
    <w:rsid w:val="0060702C"/>
    <w:rsid w:val="00607949"/>
    <w:rsid w:val="00607B39"/>
    <w:rsid w:val="006100AA"/>
    <w:rsid w:val="0061177E"/>
    <w:rsid w:val="00612AA6"/>
    <w:rsid w:val="00613677"/>
    <w:rsid w:val="00613C35"/>
    <w:rsid w:val="00614658"/>
    <w:rsid w:val="00616135"/>
    <w:rsid w:val="00616F88"/>
    <w:rsid w:val="00617FA8"/>
    <w:rsid w:val="00621A4F"/>
    <w:rsid w:val="00622508"/>
    <w:rsid w:val="00623ACB"/>
    <w:rsid w:val="006258A2"/>
    <w:rsid w:val="00625E3C"/>
    <w:rsid w:val="0063009F"/>
    <w:rsid w:val="0063087B"/>
    <w:rsid w:val="00630DAD"/>
    <w:rsid w:val="00633D2A"/>
    <w:rsid w:val="0063461C"/>
    <w:rsid w:val="00634DAD"/>
    <w:rsid w:val="00634ED5"/>
    <w:rsid w:val="006356C5"/>
    <w:rsid w:val="00635D1B"/>
    <w:rsid w:val="00636DAB"/>
    <w:rsid w:val="00637342"/>
    <w:rsid w:val="00637CC1"/>
    <w:rsid w:val="00644834"/>
    <w:rsid w:val="00645804"/>
    <w:rsid w:val="00645C3A"/>
    <w:rsid w:val="006460EA"/>
    <w:rsid w:val="00647A69"/>
    <w:rsid w:val="00650E26"/>
    <w:rsid w:val="00652013"/>
    <w:rsid w:val="00654793"/>
    <w:rsid w:val="00654E4D"/>
    <w:rsid w:val="00657C4E"/>
    <w:rsid w:val="00661D32"/>
    <w:rsid w:val="006628A6"/>
    <w:rsid w:val="00663167"/>
    <w:rsid w:val="00663352"/>
    <w:rsid w:val="00663762"/>
    <w:rsid w:val="00663D46"/>
    <w:rsid w:val="00663E85"/>
    <w:rsid w:val="00665394"/>
    <w:rsid w:val="00665A5F"/>
    <w:rsid w:val="0067068D"/>
    <w:rsid w:val="00670FD3"/>
    <w:rsid w:val="006756C1"/>
    <w:rsid w:val="00675828"/>
    <w:rsid w:val="00675D95"/>
    <w:rsid w:val="00675DEC"/>
    <w:rsid w:val="00677589"/>
    <w:rsid w:val="006812E0"/>
    <w:rsid w:val="00682C06"/>
    <w:rsid w:val="0068324E"/>
    <w:rsid w:val="00687F0C"/>
    <w:rsid w:val="00690798"/>
    <w:rsid w:val="00692A35"/>
    <w:rsid w:val="00694831"/>
    <w:rsid w:val="00694A26"/>
    <w:rsid w:val="00694FF1"/>
    <w:rsid w:val="00696318"/>
    <w:rsid w:val="00696FEF"/>
    <w:rsid w:val="00697750"/>
    <w:rsid w:val="006A1992"/>
    <w:rsid w:val="006A3ADA"/>
    <w:rsid w:val="006A6BB3"/>
    <w:rsid w:val="006B35A7"/>
    <w:rsid w:val="006B3DE1"/>
    <w:rsid w:val="006B3E05"/>
    <w:rsid w:val="006B5929"/>
    <w:rsid w:val="006B6317"/>
    <w:rsid w:val="006B7962"/>
    <w:rsid w:val="006C0386"/>
    <w:rsid w:val="006C0642"/>
    <w:rsid w:val="006C090E"/>
    <w:rsid w:val="006C0CEE"/>
    <w:rsid w:val="006C2C34"/>
    <w:rsid w:val="006C6115"/>
    <w:rsid w:val="006C73FB"/>
    <w:rsid w:val="006C7CDC"/>
    <w:rsid w:val="006D0407"/>
    <w:rsid w:val="006D0508"/>
    <w:rsid w:val="006D37DD"/>
    <w:rsid w:val="006D3CED"/>
    <w:rsid w:val="006D4040"/>
    <w:rsid w:val="006D48F5"/>
    <w:rsid w:val="006D5998"/>
    <w:rsid w:val="006D5C2F"/>
    <w:rsid w:val="006D5EE5"/>
    <w:rsid w:val="006D7580"/>
    <w:rsid w:val="006D78B1"/>
    <w:rsid w:val="006D7C0E"/>
    <w:rsid w:val="006E1DF9"/>
    <w:rsid w:val="006E33D4"/>
    <w:rsid w:val="006E44EA"/>
    <w:rsid w:val="006E59EE"/>
    <w:rsid w:val="006E6D3B"/>
    <w:rsid w:val="006E6EA7"/>
    <w:rsid w:val="006F0B08"/>
    <w:rsid w:val="006F1FE2"/>
    <w:rsid w:val="006F28E3"/>
    <w:rsid w:val="006F7600"/>
    <w:rsid w:val="007002FC"/>
    <w:rsid w:val="00702864"/>
    <w:rsid w:val="00702A14"/>
    <w:rsid w:val="00704BB6"/>
    <w:rsid w:val="00706C81"/>
    <w:rsid w:val="007070B9"/>
    <w:rsid w:val="00707E50"/>
    <w:rsid w:val="00710184"/>
    <w:rsid w:val="007120FC"/>
    <w:rsid w:val="00714387"/>
    <w:rsid w:val="00714842"/>
    <w:rsid w:val="00714FF5"/>
    <w:rsid w:val="00720A9F"/>
    <w:rsid w:val="0072342A"/>
    <w:rsid w:val="00723961"/>
    <w:rsid w:val="007242D4"/>
    <w:rsid w:val="007247F8"/>
    <w:rsid w:val="00724DD4"/>
    <w:rsid w:val="00730BD2"/>
    <w:rsid w:val="00732BB7"/>
    <w:rsid w:val="0073477E"/>
    <w:rsid w:val="00736D61"/>
    <w:rsid w:val="007372A4"/>
    <w:rsid w:val="007406AF"/>
    <w:rsid w:val="007410D8"/>
    <w:rsid w:val="0074294B"/>
    <w:rsid w:val="00743B03"/>
    <w:rsid w:val="007447E5"/>
    <w:rsid w:val="00746A1D"/>
    <w:rsid w:val="007471A6"/>
    <w:rsid w:val="00750360"/>
    <w:rsid w:val="007540BF"/>
    <w:rsid w:val="00756783"/>
    <w:rsid w:val="007575CA"/>
    <w:rsid w:val="00757C7C"/>
    <w:rsid w:val="007602F9"/>
    <w:rsid w:val="00762326"/>
    <w:rsid w:val="007637A8"/>
    <w:rsid w:val="00763B48"/>
    <w:rsid w:val="007649A9"/>
    <w:rsid w:val="00765B58"/>
    <w:rsid w:val="007670C6"/>
    <w:rsid w:val="00770903"/>
    <w:rsid w:val="00770DCB"/>
    <w:rsid w:val="00771513"/>
    <w:rsid w:val="00775485"/>
    <w:rsid w:val="00776AA2"/>
    <w:rsid w:val="00776CFC"/>
    <w:rsid w:val="007774B6"/>
    <w:rsid w:val="00777860"/>
    <w:rsid w:val="00781A3E"/>
    <w:rsid w:val="00782031"/>
    <w:rsid w:val="00782DF1"/>
    <w:rsid w:val="00782F07"/>
    <w:rsid w:val="00783532"/>
    <w:rsid w:val="00783702"/>
    <w:rsid w:val="007846B5"/>
    <w:rsid w:val="00785981"/>
    <w:rsid w:val="007953D9"/>
    <w:rsid w:val="0079710A"/>
    <w:rsid w:val="00797DF8"/>
    <w:rsid w:val="007A38EA"/>
    <w:rsid w:val="007A4421"/>
    <w:rsid w:val="007A5196"/>
    <w:rsid w:val="007A7855"/>
    <w:rsid w:val="007A7BE6"/>
    <w:rsid w:val="007B06EA"/>
    <w:rsid w:val="007B1F6E"/>
    <w:rsid w:val="007B60EB"/>
    <w:rsid w:val="007C0F22"/>
    <w:rsid w:val="007C1DE1"/>
    <w:rsid w:val="007C7A15"/>
    <w:rsid w:val="007D00A4"/>
    <w:rsid w:val="007D0763"/>
    <w:rsid w:val="007D11DE"/>
    <w:rsid w:val="007D1C2F"/>
    <w:rsid w:val="007D27F8"/>
    <w:rsid w:val="007D2F00"/>
    <w:rsid w:val="007D357D"/>
    <w:rsid w:val="007D61E6"/>
    <w:rsid w:val="007D7A57"/>
    <w:rsid w:val="007E08A8"/>
    <w:rsid w:val="007E0C99"/>
    <w:rsid w:val="007E3F81"/>
    <w:rsid w:val="007E411C"/>
    <w:rsid w:val="007E5B88"/>
    <w:rsid w:val="007F030E"/>
    <w:rsid w:val="007F0D0B"/>
    <w:rsid w:val="007F482B"/>
    <w:rsid w:val="007F6839"/>
    <w:rsid w:val="008000A2"/>
    <w:rsid w:val="008007A8"/>
    <w:rsid w:val="008013D4"/>
    <w:rsid w:val="008022EB"/>
    <w:rsid w:val="00802369"/>
    <w:rsid w:val="008030C2"/>
    <w:rsid w:val="008042D9"/>
    <w:rsid w:val="0080451A"/>
    <w:rsid w:val="008047A7"/>
    <w:rsid w:val="0080669D"/>
    <w:rsid w:val="0080693D"/>
    <w:rsid w:val="00806B0B"/>
    <w:rsid w:val="008074B9"/>
    <w:rsid w:val="00807858"/>
    <w:rsid w:val="00811C36"/>
    <w:rsid w:val="00811F09"/>
    <w:rsid w:val="00812560"/>
    <w:rsid w:val="00814FC0"/>
    <w:rsid w:val="00817C73"/>
    <w:rsid w:val="00821F3D"/>
    <w:rsid w:val="00823005"/>
    <w:rsid w:val="0082312B"/>
    <w:rsid w:val="008235F7"/>
    <w:rsid w:val="00824E95"/>
    <w:rsid w:val="0082584A"/>
    <w:rsid w:val="00825BAA"/>
    <w:rsid w:val="00825EC2"/>
    <w:rsid w:val="00826F5A"/>
    <w:rsid w:val="00827008"/>
    <w:rsid w:val="00827046"/>
    <w:rsid w:val="00831D92"/>
    <w:rsid w:val="00831DF4"/>
    <w:rsid w:val="00835043"/>
    <w:rsid w:val="00835362"/>
    <w:rsid w:val="008354AD"/>
    <w:rsid w:val="00836E69"/>
    <w:rsid w:val="00840A9E"/>
    <w:rsid w:val="0084247F"/>
    <w:rsid w:val="00843823"/>
    <w:rsid w:val="008440A2"/>
    <w:rsid w:val="008449B9"/>
    <w:rsid w:val="00845401"/>
    <w:rsid w:val="00847191"/>
    <w:rsid w:val="00847233"/>
    <w:rsid w:val="0085155A"/>
    <w:rsid w:val="008516C0"/>
    <w:rsid w:val="00853101"/>
    <w:rsid w:val="00853772"/>
    <w:rsid w:val="00854B9E"/>
    <w:rsid w:val="00861772"/>
    <w:rsid w:val="00861C5B"/>
    <w:rsid w:val="00861EE5"/>
    <w:rsid w:val="0086254F"/>
    <w:rsid w:val="0086378F"/>
    <w:rsid w:val="0086446C"/>
    <w:rsid w:val="00865BFB"/>
    <w:rsid w:val="00867847"/>
    <w:rsid w:val="00871268"/>
    <w:rsid w:val="00871A7E"/>
    <w:rsid w:val="008724DE"/>
    <w:rsid w:val="00872C74"/>
    <w:rsid w:val="00873153"/>
    <w:rsid w:val="008758D9"/>
    <w:rsid w:val="00875B66"/>
    <w:rsid w:val="00877376"/>
    <w:rsid w:val="00882B0A"/>
    <w:rsid w:val="00884C15"/>
    <w:rsid w:val="00886E70"/>
    <w:rsid w:val="008873EF"/>
    <w:rsid w:val="0089057F"/>
    <w:rsid w:val="00890EED"/>
    <w:rsid w:val="0089225E"/>
    <w:rsid w:val="00896779"/>
    <w:rsid w:val="00896D2E"/>
    <w:rsid w:val="0089760D"/>
    <w:rsid w:val="008A003A"/>
    <w:rsid w:val="008A2674"/>
    <w:rsid w:val="008A3462"/>
    <w:rsid w:val="008A3D57"/>
    <w:rsid w:val="008A41CF"/>
    <w:rsid w:val="008A4B9D"/>
    <w:rsid w:val="008A583C"/>
    <w:rsid w:val="008A62D0"/>
    <w:rsid w:val="008A72D3"/>
    <w:rsid w:val="008A79DE"/>
    <w:rsid w:val="008B05F8"/>
    <w:rsid w:val="008B23BC"/>
    <w:rsid w:val="008B34D8"/>
    <w:rsid w:val="008B3899"/>
    <w:rsid w:val="008B4CEE"/>
    <w:rsid w:val="008B788C"/>
    <w:rsid w:val="008C208C"/>
    <w:rsid w:val="008C2ADD"/>
    <w:rsid w:val="008C3272"/>
    <w:rsid w:val="008C3DAD"/>
    <w:rsid w:val="008C3E94"/>
    <w:rsid w:val="008C5DDE"/>
    <w:rsid w:val="008D5B76"/>
    <w:rsid w:val="008D6AAF"/>
    <w:rsid w:val="008E328C"/>
    <w:rsid w:val="008E3D60"/>
    <w:rsid w:val="008E3F4C"/>
    <w:rsid w:val="008E53EF"/>
    <w:rsid w:val="008E68CA"/>
    <w:rsid w:val="008F062E"/>
    <w:rsid w:val="008F1627"/>
    <w:rsid w:val="008F45F0"/>
    <w:rsid w:val="008F51B0"/>
    <w:rsid w:val="00900D90"/>
    <w:rsid w:val="0090165F"/>
    <w:rsid w:val="00901B82"/>
    <w:rsid w:val="00902C77"/>
    <w:rsid w:val="00903408"/>
    <w:rsid w:val="00903846"/>
    <w:rsid w:val="00903BA8"/>
    <w:rsid w:val="00904025"/>
    <w:rsid w:val="0090473E"/>
    <w:rsid w:val="0090680C"/>
    <w:rsid w:val="00907513"/>
    <w:rsid w:val="00912B09"/>
    <w:rsid w:val="009145CC"/>
    <w:rsid w:val="00916CE8"/>
    <w:rsid w:val="00917307"/>
    <w:rsid w:val="00917530"/>
    <w:rsid w:val="00917ABC"/>
    <w:rsid w:val="00920C68"/>
    <w:rsid w:val="00920FA8"/>
    <w:rsid w:val="00920FF6"/>
    <w:rsid w:val="009229B4"/>
    <w:rsid w:val="0092438A"/>
    <w:rsid w:val="00926542"/>
    <w:rsid w:val="009266DB"/>
    <w:rsid w:val="00927874"/>
    <w:rsid w:val="00927DB3"/>
    <w:rsid w:val="00930C6C"/>
    <w:rsid w:val="009320D7"/>
    <w:rsid w:val="00932EEC"/>
    <w:rsid w:val="00933408"/>
    <w:rsid w:val="00936E42"/>
    <w:rsid w:val="00940654"/>
    <w:rsid w:val="009430FD"/>
    <w:rsid w:val="009432CF"/>
    <w:rsid w:val="00944B49"/>
    <w:rsid w:val="0094522C"/>
    <w:rsid w:val="00945D1C"/>
    <w:rsid w:val="009461B1"/>
    <w:rsid w:val="0094677D"/>
    <w:rsid w:val="00947EB9"/>
    <w:rsid w:val="009533C5"/>
    <w:rsid w:val="00953547"/>
    <w:rsid w:val="0095405A"/>
    <w:rsid w:val="00954718"/>
    <w:rsid w:val="00957F0B"/>
    <w:rsid w:val="00962F68"/>
    <w:rsid w:val="00964303"/>
    <w:rsid w:val="009652D5"/>
    <w:rsid w:val="00966C2F"/>
    <w:rsid w:val="0096742A"/>
    <w:rsid w:val="009713F3"/>
    <w:rsid w:val="00973AAB"/>
    <w:rsid w:val="0097512B"/>
    <w:rsid w:val="00975304"/>
    <w:rsid w:val="0097623C"/>
    <w:rsid w:val="00976DE4"/>
    <w:rsid w:val="0097723E"/>
    <w:rsid w:val="009816EE"/>
    <w:rsid w:val="00981EBD"/>
    <w:rsid w:val="00982404"/>
    <w:rsid w:val="0098385B"/>
    <w:rsid w:val="00983D3E"/>
    <w:rsid w:val="009855C0"/>
    <w:rsid w:val="009860A4"/>
    <w:rsid w:val="00987803"/>
    <w:rsid w:val="00990E2C"/>
    <w:rsid w:val="009913CD"/>
    <w:rsid w:val="0099236E"/>
    <w:rsid w:val="00992851"/>
    <w:rsid w:val="00993B6A"/>
    <w:rsid w:val="00994DF0"/>
    <w:rsid w:val="0099687D"/>
    <w:rsid w:val="009A01D9"/>
    <w:rsid w:val="009A053A"/>
    <w:rsid w:val="009A11BF"/>
    <w:rsid w:val="009A1259"/>
    <w:rsid w:val="009A222A"/>
    <w:rsid w:val="009A2CEC"/>
    <w:rsid w:val="009A36A1"/>
    <w:rsid w:val="009A58DF"/>
    <w:rsid w:val="009A6CC8"/>
    <w:rsid w:val="009B163C"/>
    <w:rsid w:val="009B2531"/>
    <w:rsid w:val="009B40BE"/>
    <w:rsid w:val="009B61BB"/>
    <w:rsid w:val="009B69ED"/>
    <w:rsid w:val="009C4D84"/>
    <w:rsid w:val="009C66F4"/>
    <w:rsid w:val="009C6DEC"/>
    <w:rsid w:val="009C6E5B"/>
    <w:rsid w:val="009C7B22"/>
    <w:rsid w:val="009D07D7"/>
    <w:rsid w:val="009D2AAA"/>
    <w:rsid w:val="009D32CC"/>
    <w:rsid w:val="009D60B4"/>
    <w:rsid w:val="009D67F6"/>
    <w:rsid w:val="009D6FAE"/>
    <w:rsid w:val="009D705A"/>
    <w:rsid w:val="009E08D1"/>
    <w:rsid w:val="009E0FE1"/>
    <w:rsid w:val="009E11B8"/>
    <w:rsid w:val="009E1225"/>
    <w:rsid w:val="009E1907"/>
    <w:rsid w:val="009E4BD0"/>
    <w:rsid w:val="009E5C60"/>
    <w:rsid w:val="009E77FE"/>
    <w:rsid w:val="009E7CF7"/>
    <w:rsid w:val="009F0713"/>
    <w:rsid w:val="009F083C"/>
    <w:rsid w:val="009F2764"/>
    <w:rsid w:val="009F3333"/>
    <w:rsid w:val="009F36EE"/>
    <w:rsid w:val="009F6B8E"/>
    <w:rsid w:val="009F6BB7"/>
    <w:rsid w:val="009F7C8F"/>
    <w:rsid w:val="00A0406E"/>
    <w:rsid w:val="00A041B1"/>
    <w:rsid w:val="00A047AD"/>
    <w:rsid w:val="00A05126"/>
    <w:rsid w:val="00A10F15"/>
    <w:rsid w:val="00A11307"/>
    <w:rsid w:val="00A11727"/>
    <w:rsid w:val="00A1235C"/>
    <w:rsid w:val="00A13AF3"/>
    <w:rsid w:val="00A13AFF"/>
    <w:rsid w:val="00A14640"/>
    <w:rsid w:val="00A15CFE"/>
    <w:rsid w:val="00A16296"/>
    <w:rsid w:val="00A16922"/>
    <w:rsid w:val="00A16D79"/>
    <w:rsid w:val="00A16F77"/>
    <w:rsid w:val="00A21388"/>
    <w:rsid w:val="00A220BF"/>
    <w:rsid w:val="00A24027"/>
    <w:rsid w:val="00A2747D"/>
    <w:rsid w:val="00A27791"/>
    <w:rsid w:val="00A27ABE"/>
    <w:rsid w:val="00A3143B"/>
    <w:rsid w:val="00A321C2"/>
    <w:rsid w:val="00A34DD8"/>
    <w:rsid w:val="00A355F9"/>
    <w:rsid w:val="00A35959"/>
    <w:rsid w:val="00A36A58"/>
    <w:rsid w:val="00A41355"/>
    <w:rsid w:val="00A4204D"/>
    <w:rsid w:val="00A42E66"/>
    <w:rsid w:val="00A4336F"/>
    <w:rsid w:val="00A437B6"/>
    <w:rsid w:val="00A43B92"/>
    <w:rsid w:val="00A453DF"/>
    <w:rsid w:val="00A45ED7"/>
    <w:rsid w:val="00A46B1C"/>
    <w:rsid w:val="00A46DB5"/>
    <w:rsid w:val="00A5145D"/>
    <w:rsid w:val="00A534C0"/>
    <w:rsid w:val="00A54251"/>
    <w:rsid w:val="00A54F9B"/>
    <w:rsid w:val="00A57274"/>
    <w:rsid w:val="00A572DD"/>
    <w:rsid w:val="00A57B4D"/>
    <w:rsid w:val="00A6179E"/>
    <w:rsid w:val="00A61B96"/>
    <w:rsid w:val="00A63C30"/>
    <w:rsid w:val="00A64316"/>
    <w:rsid w:val="00A7004E"/>
    <w:rsid w:val="00A7175C"/>
    <w:rsid w:val="00A7615D"/>
    <w:rsid w:val="00A769D2"/>
    <w:rsid w:val="00A76B4A"/>
    <w:rsid w:val="00A77262"/>
    <w:rsid w:val="00A804D9"/>
    <w:rsid w:val="00A8154A"/>
    <w:rsid w:val="00A85651"/>
    <w:rsid w:val="00A8573B"/>
    <w:rsid w:val="00A90BC3"/>
    <w:rsid w:val="00A92915"/>
    <w:rsid w:val="00A92CF3"/>
    <w:rsid w:val="00A92F92"/>
    <w:rsid w:val="00A93163"/>
    <w:rsid w:val="00A96892"/>
    <w:rsid w:val="00A97197"/>
    <w:rsid w:val="00AA1AE4"/>
    <w:rsid w:val="00AA2051"/>
    <w:rsid w:val="00AA34D2"/>
    <w:rsid w:val="00AA376B"/>
    <w:rsid w:val="00AA3F3A"/>
    <w:rsid w:val="00AA51B4"/>
    <w:rsid w:val="00AA6043"/>
    <w:rsid w:val="00AA665A"/>
    <w:rsid w:val="00AA6B0D"/>
    <w:rsid w:val="00AA70C4"/>
    <w:rsid w:val="00AA74B3"/>
    <w:rsid w:val="00AB2A4E"/>
    <w:rsid w:val="00AB3C0D"/>
    <w:rsid w:val="00AB5157"/>
    <w:rsid w:val="00AB7C8F"/>
    <w:rsid w:val="00AC072B"/>
    <w:rsid w:val="00AC16F2"/>
    <w:rsid w:val="00AC2192"/>
    <w:rsid w:val="00AC3EA7"/>
    <w:rsid w:val="00AC4BA5"/>
    <w:rsid w:val="00AC636D"/>
    <w:rsid w:val="00AC68D5"/>
    <w:rsid w:val="00AC7461"/>
    <w:rsid w:val="00AD0BDF"/>
    <w:rsid w:val="00AD1D76"/>
    <w:rsid w:val="00AD60C7"/>
    <w:rsid w:val="00AD645F"/>
    <w:rsid w:val="00AD6BA5"/>
    <w:rsid w:val="00AD786B"/>
    <w:rsid w:val="00AD7C2A"/>
    <w:rsid w:val="00AE1F5A"/>
    <w:rsid w:val="00AE5AC4"/>
    <w:rsid w:val="00AE690E"/>
    <w:rsid w:val="00AE75EE"/>
    <w:rsid w:val="00AF054E"/>
    <w:rsid w:val="00AF0B5F"/>
    <w:rsid w:val="00AF42CF"/>
    <w:rsid w:val="00AF7162"/>
    <w:rsid w:val="00B000AC"/>
    <w:rsid w:val="00B00BDA"/>
    <w:rsid w:val="00B00F61"/>
    <w:rsid w:val="00B04194"/>
    <w:rsid w:val="00B04C0E"/>
    <w:rsid w:val="00B0532D"/>
    <w:rsid w:val="00B07B59"/>
    <w:rsid w:val="00B07BA1"/>
    <w:rsid w:val="00B11159"/>
    <w:rsid w:val="00B127FC"/>
    <w:rsid w:val="00B13D13"/>
    <w:rsid w:val="00B13F03"/>
    <w:rsid w:val="00B2044A"/>
    <w:rsid w:val="00B22090"/>
    <w:rsid w:val="00B237FB"/>
    <w:rsid w:val="00B24B1D"/>
    <w:rsid w:val="00B26C33"/>
    <w:rsid w:val="00B271B3"/>
    <w:rsid w:val="00B277E0"/>
    <w:rsid w:val="00B308B7"/>
    <w:rsid w:val="00B30EC5"/>
    <w:rsid w:val="00B32D76"/>
    <w:rsid w:val="00B33C47"/>
    <w:rsid w:val="00B34946"/>
    <w:rsid w:val="00B3506E"/>
    <w:rsid w:val="00B430C1"/>
    <w:rsid w:val="00B442E0"/>
    <w:rsid w:val="00B45432"/>
    <w:rsid w:val="00B46E61"/>
    <w:rsid w:val="00B47C86"/>
    <w:rsid w:val="00B50E44"/>
    <w:rsid w:val="00B51398"/>
    <w:rsid w:val="00B519FD"/>
    <w:rsid w:val="00B520BC"/>
    <w:rsid w:val="00B52393"/>
    <w:rsid w:val="00B52BEB"/>
    <w:rsid w:val="00B539CC"/>
    <w:rsid w:val="00B53ADA"/>
    <w:rsid w:val="00B558F2"/>
    <w:rsid w:val="00B560EF"/>
    <w:rsid w:val="00B562C1"/>
    <w:rsid w:val="00B60D0E"/>
    <w:rsid w:val="00B6234A"/>
    <w:rsid w:val="00B62DEA"/>
    <w:rsid w:val="00B63D24"/>
    <w:rsid w:val="00B6433D"/>
    <w:rsid w:val="00B65345"/>
    <w:rsid w:val="00B654BA"/>
    <w:rsid w:val="00B715A0"/>
    <w:rsid w:val="00B72091"/>
    <w:rsid w:val="00B7295B"/>
    <w:rsid w:val="00B82013"/>
    <w:rsid w:val="00B82270"/>
    <w:rsid w:val="00B84DC6"/>
    <w:rsid w:val="00B924AD"/>
    <w:rsid w:val="00B924E6"/>
    <w:rsid w:val="00B92E94"/>
    <w:rsid w:val="00BA0526"/>
    <w:rsid w:val="00BA262D"/>
    <w:rsid w:val="00BA4BD4"/>
    <w:rsid w:val="00BA4F38"/>
    <w:rsid w:val="00BA5208"/>
    <w:rsid w:val="00BA5698"/>
    <w:rsid w:val="00BA5BE9"/>
    <w:rsid w:val="00BA7020"/>
    <w:rsid w:val="00BA7A28"/>
    <w:rsid w:val="00BB0F09"/>
    <w:rsid w:val="00BB2517"/>
    <w:rsid w:val="00BB3A8E"/>
    <w:rsid w:val="00BB46C4"/>
    <w:rsid w:val="00BB477C"/>
    <w:rsid w:val="00BB6F74"/>
    <w:rsid w:val="00BB77B9"/>
    <w:rsid w:val="00BB7AF3"/>
    <w:rsid w:val="00BC0991"/>
    <w:rsid w:val="00BC1CFC"/>
    <w:rsid w:val="00BC2360"/>
    <w:rsid w:val="00BC3F2E"/>
    <w:rsid w:val="00BC4A71"/>
    <w:rsid w:val="00BC5170"/>
    <w:rsid w:val="00BC545B"/>
    <w:rsid w:val="00BC549B"/>
    <w:rsid w:val="00BC6B52"/>
    <w:rsid w:val="00BC6DE7"/>
    <w:rsid w:val="00BC79EB"/>
    <w:rsid w:val="00BC7F82"/>
    <w:rsid w:val="00BD334C"/>
    <w:rsid w:val="00BD3547"/>
    <w:rsid w:val="00BD408B"/>
    <w:rsid w:val="00BD41F7"/>
    <w:rsid w:val="00BD5B07"/>
    <w:rsid w:val="00BD7FCF"/>
    <w:rsid w:val="00BE208F"/>
    <w:rsid w:val="00BE60B8"/>
    <w:rsid w:val="00BF1FA9"/>
    <w:rsid w:val="00BF2EC4"/>
    <w:rsid w:val="00BF52F0"/>
    <w:rsid w:val="00BF6406"/>
    <w:rsid w:val="00BF7621"/>
    <w:rsid w:val="00BF791E"/>
    <w:rsid w:val="00C00139"/>
    <w:rsid w:val="00C00877"/>
    <w:rsid w:val="00C04783"/>
    <w:rsid w:val="00C04DCA"/>
    <w:rsid w:val="00C057E6"/>
    <w:rsid w:val="00C064DC"/>
    <w:rsid w:val="00C06BA0"/>
    <w:rsid w:val="00C0799D"/>
    <w:rsid w:val="00C13871"/>
    <w:rsid w:val="00C1465C"/>
    <w:rsid w:val="00C149BD"/>
    <w:rsid w:val="00C16182"/>
    <w:rsid w:val="00C1688A"/>
    <w:rsid w:val="00C229BE"/>
    <w:rsid w:val="00C2411F"/>
    <w:rsid w:val="00C2440F"/>
    <w:rsid w:val="00C24450"/>
    <w:rsid w:val="00C24FF3"/>
    <w:rsid w:val="00C25BDA"/>
    <w:rsid w:val="00C26DAE"/>
    <w:rsid w:val="00C27EE8"/>
    <w:rsid w:val="00C310BC"/>
    <w:rsid w:val="00C3138E"/>
    <w:rsid w:val="00C31F71"/>
    <w:rsid w:val="00C329E4"/>
    <w:rsid w:val="00C33104"/>
    <w:rsid w:val="00C332D4"/>
    <w:rsid w:val="00C34972"/>
    <w:rsid w:val="00C35C89"/>
    <w:rsid w:val="00C35FC3"/>
    <w:rsid w:val="00C368CD"/>
    <w:rsid w:val="00C3693F"/>
    <w:rsid w:val="00C3717C"/>
    <w:rsid w:val="00C41F92"/>
    <w:rsid w:val="00C42107"/>
    <w:rsid w:val="00C44FB5"/>
    <w:rsid w:val="00C45EAD"/>
    <w:rsid w:val="00C4658A"/>
    <w:rsid w:val="00C46ADE"/>
    <w:rsid w:val="00C472A2"/>
    <w:rsid w:val="00C500A4"/>
    <w:rsid w:val="00C50FCE"/>
    <w:rsid w:val="00C51011"/>
    <w:rsid w:val="00C51D51"/>
    <w:rsid w:val="00C54D06"/>
    <w:rsid w:val="00C560AC"/>
    <w:rsid w:val="00C569EA"/>
    <w:rsid w:val="00C57653"/>
    <w:rsid w:val="00C576F0"/>
    <w:rsid w:val="00C5781C"/>
    <w:rsid w:val="00C57869"/>
    <w:rsid w:val="00C60314"/>
    <w:rsid w:val="00C60343"/>
    <w:rsid w:val="00C630F4"/>
    <w:rsid w:val="00C640FF"/>
    <w:rsid w:val="00C64D28"/>
    <w:rsid w:val="00C65BA9"/>
    <w:rsid w:val="00C72241"/>
    <w:rsid w:val="00C754F7"/>
    <w:rsid w:val="00C768FA"/>
    <w:rsid w:val="00C8149F"/>
    <w:rsid w:val="00C818F1"/>
    <w:rsid w:val="00C85381"/>
    <w:rsid w:val="00C854D4"/>
    <w:rsid w:val="00C8607F"/>
    <w:rsid w:val="00C86324"/>
    <w:rsid w:val="00C8692E"/>
    <w:rsid w:val="00C874B2"/>
    <w:rsid w:val="00C90556"/>
    <w:rsid w:val="00C94AEA"/>
    <w:rsid w:val="00C9520E"/>
    <w:rsid w:val="00C96716"/>
    <w:rsid w:val="00CA0D78"/>
    <w:rsid w:val="00CA2466"/>
    <w:rsid w:val="00CA2DF3"/>
    <w:rsid w:val="00CA3B7B"/>
    <w:rsid w:val="00CA4855"/>
    <w:rsid w:val="00CA54E2"/>
    <w:rsid w:val="00CA5ABA"/>
    <w:rsid w:val="00CA5D90"/>
    <w:rsid w:val="00CA6B46"/>
    <w:rsid w:val="00CB08BD"/>
    <w:rsid w:val="00CB1AF5"/>
    <w:rsid w:val="00CB21C1"/>
    <w:rsid w:val="00CB24FE"/>
    <w:rsid w:val="00CB4185"/>
    <w:rsid w:val="00CB5583"/>
    <w:rsid w:val="00CB74C7"/>
    <w:rsid w:val="00CB7945"/>
    <w:rsid w:val="00CC2AA0"/>
    <w:rsid w:val="00CC3924"/>
    <w:rsid w:val="00CD2259"/>
    <w:rsid w:val="00CD4554"/>
    <w:rsid w:val="00CD4D0A"/>
    <w:rsid w:val="00CD58FD"/>
    <w:rsid w:val="00CD78ED"/>
    <w:rsid w:val="00CE1AB6"/>
    <w:rsid w:val="00CE291E"/>
    <w:rsid w:val="00CE2F9E"/>
    <w:rsid w:val="00CE3491"/>
    <w:rsid w:val="00CE5E37"/>
    <w:rsid w:val="00CF09CB"/>
    <w:rsid w:val="00CF110A"/>
    <w:rsid w:val="00CF2380"/>
    <w:rsid w:val="00CF3E3F"/>
    <w:rsid w:val="00CF6130"/>
    <w:rsid w:val="00CF6981"/>
    <w:rsid w:val="00D0066E"/>
    <w:rsid w:val="00D01938"/>
    <w:rsid w:val="00D02074"/>
    <w:rsid w:val="00D03307"/>
    <w:rsid w:val="00D059CF"/>
    <w:rsid w:val="00D05FCF"/>
    <w:rsid w:val="00D065BB"/>
    <w:rsid w:val="00D11426"/>
    <w:rsid w:val="00D13459"/>
    <w:rsid w:val="00D14A9D"/>
    <w:rsid w:val="00D14F4F"/>
    <w:rsid w:val="00D17341"/>
    <w:rsid w:val="00D21877"/>
    <w:rsid w:val="00D24C08"/>
    <w:rsid w:val="00D253BE"/>
    <w:rsid w:val="00D26236"/>
    <w:rsid w:val="00D27828"/>
    <w:rsid w:val="00D30945"/>
    <w:rsid w:val="00D30967"/>
    <w:rsid w:val="00D30DEE"/>
    <w:rsid w:val="00D31A72"/>
    <w:rsid w:val="00D31B3D"/>
    <w:rsid w:val="00D33995"/>
    <w:rsid w:val="00D343FA"/>
    <w:rsid w:val="00D40999"/>
    <w:rsid w:val="00D418FF"/>
    <w:rsid w:val="00D41DDE"/>
    <w:rsid w:val="00D42729"/>
    <w:rsid w:val="00D42EAA"/>
    <w:rsid w:val="00D45096"/>
    <w:rsid w:val="00D4616A"/>
    <w:rsid w:val="00D461BD"/>
    <w:rsid w:val="00D50386"/>
    <w:rsid w:val="00D51F2D"/>
    <w:rsid w:val="00D5554C"/>
    <w:rsid w:val="00D55F53"/>
    <w:rsid w:val="00D57D50"/>
    <w:rsid w:val="00D635CC"/>
    <w:rsid w:val="00D63C13"/>
    <w:rsid w:val="00D65802"/>
    <w:rsid w:val="00D65C76"/>
    <w:rsid w:val="00D662AD"/>
    <w:rsid w:val="00D67473"/>
    <w:rsid w:val="00D67D13"/>
    <w:rsid w:val="00D714F8"/>
    <w:rsid w:val="00D71747"/>
    <w:rsid w:val="00D71EC4"/>
    <w:rsid w:val="00D724F4"/>
    <w:rsid w:val="00D734C7"/>
    <w:rsid w:val="00D735A4"/>
    <w:rsid w:val="00D7542B"/>
    <w:rsid w:val="00D75A9A"/>
    <w:rsid w:val="00D77D69"/>
    <w:rsid w:val="00D82D0C"/>
    <w:rsid w:val="00D8351F"/>
    <w:rsid w:val="00D85DD7"/>
    <w:rsid w:val="00D85ECF"/>
    <w:rsid w:val="00D86018"/>
    <w:rsid w:val="00D92834"/>
    <w:rsid w:val="00D92D88"/>
    <w:rsid w:val="00D92F45"/>
    <w:rsid w:val="00D9394A"/>
    <w:rsid w:val="00D944EF"/>
    <w:rsid w:val="00D94DAE"/>
    <w:rsid w:val="00DA01EC"/>
    <w:rsid w:val="00DA0C88"/>
    <w:rsid w:val="00DA1D32"/>
    <w:rsid w:val="00DA2F73"/>
    <w:rsid w:val="00DA3440"/>
    <w:rsid w:val="00DA3AF1"/>
    <w:rsid w:val="00DA3CBC"/>
    <w:rsid w:val="00DA7A55"/>
    <w:rsid w:val="00DB0EA7"/>
    <w:rsid w:val="00DB26C8"/>
    <w:rsid w:val="00DB29DB"/>
    <w:rsid w:val="00DB5FE5"/>
    <w:rsid w:val="00DB72E0"/>
    <w:rsid w:val="00DC08CF"/>
    <w:rsid w:val="00DC307B"/>
    <w:rsid w:val="00DC343B"/>
    <w:rsid w:val="00DC462F"/>
    <w:rsid w:val="00DC499A"/>
    <w:rsid w:val="00DD0E29"/>
    <w:rsid w:val="00DD2183"/>
    <w:rsid w:val="00DD2AB0"/>
    <w:rsid w:val="00DD306F"/>
    <w:rsid w:val="00DD6A21"/>
    <w:rsid w:val="00DD6E7A"/>
    <w:rsid w:val="00DE18A7"/>
    <w:rsid w:val="00DE2540"/>
    <w:rsid w:val="00DE2EFB"/>
    <w:rsid w:val="00DE3026"/>
    <w:rsid w:val="00DE3A97"/>
    <w:rsid w:val="00DE5AF7"/>
    <w:rsid w:val="00DE60CA"/>
    <w:rsid w:val="00DE6DEA"/>
    <w:rsid w:val="00DE7D28"/>
    <w:rsid w:val="00DE7E1D"/>
    <w:rsid w:val="00DF1CBC"/>
    <w:rsid w:val="00DF1E9D"/>
    <w:rsid w:val="00DF5B40"/>
    <w:rsid w:val="00DF68DB"/>
    <w:rsid w:val="00E024BE"/>
    <w:rsid w:val="00E02517"/>
    <w:rsid w:val="00E06692"/>
    <w:rsid w:val="00E06726"/>
    <w:rsid w:val="00E14833"/>
    <w:rsid w:val="00E15FB8"/>
    <w:rsid w:val="00E1675F"/>
    <w:rsid w:val="00E17014"/>
    <w:rsid w:val="00E171BE"/>
    <w:rsid w:val="00E174C6"/>
    <w:rsid w:val="00E200D2"/>
    <w:rsid w:val="00E20617"/>
    <w:rsid w:val="00E2080B"/>
    <w:rsid w:val="00E23E95"/>
    <w:rsid w:val="00E24FA3"/>
    <w:rsid w:val="00E267D6"/>
    <w:rsid w:val="00E26B28"/>
    <w:rsid w:val="00E27260"/>
    <w:rsid w:val="00E2746F"/>
    <w:rsid w:val="00E27D4B"/>
    <w:rsid w:val="00E301F5"/>
    <w:rsid w:val="00E30C8F"/>
    <w:rsid w:val="00E31465"/>
    <w:rsid w:val="00E328CD"/>
    <w:rsid w:val="00E32A96"/>
    <w:rsid w:val="00E33E98"/>
    <w:rsid w:val="00E3489E"/>
    <w:rsid w:val="00E35189"/>
    <w:rsid w:val="00E362F0"/>
    <w:rsid w:val="00E36B95"/>
    <w:rsid w:val="00E371C4"/>
    <w:rsid w:val="00E3721A"/>
    <w:rsid w:val="00E37494"/>
    <w:rsid w:val="00E4003F"/>
    <w:rsid w:val="00E4039A"/>
    <w:rsid w:val="00E41D95"/>
    <w:rsid w:val="00E42B37"/>
    <w:rsid w:val="00E458F6"/>
    <w:rsid w:val="00E45954"/>
    <w:rsid w:val="00E46704"/>
    <w:rsid w:val="00E53546"/>
    <w:rsid w:val="00E5385F"/>
    <w:rsid w:val="00E5461E"/>
    <w:rsid w:val="00E55F24"/>
    <w:rsid w:val="00E56BBC"/>
    <w:rsid w:val="00E573E1"/>
    <w:rsid w:val="00E57990"/>
    <w:rsid w:val="00E57E1A"/>
    <w:rsid w:val="00E62B0B"/>
    <w:rsid w:val="00E64D3D"/>
    <w:rsid w:val="00E65FDA"/>
    <w:rsid w:val="00E66D06"/>
    <w:rsid w:val="00E72960"/>
    <w:rsid w:val="00E74D78"/>
    <w:rsid w:val="00E8099E"/>
    <w:rsid w:val="00E81B77"/>
    <w:rsid w:val="00E82473"/>
    <w:rsid w:val="00E83757"/>
    <w:rsid w:val="00E8396F"/>
    <w:rsid w:val="00E83CC8"/>
    <w:rsid w:val="00E86620"/>
    <w:rsid w:val="00E90410"/>
    <w:rsid w:val="00E90DFE"/>
    <w:rsid w:val="00E91519"/>
    <w:rsid w:val="00E922D1"/>
    <w:rsid w:val="00E9416A"/>
    <w:rsid w:val="00E95FFC"/>
    <w:rsid w:val="00E96DBE"/>
    <w:rsid w:val="00E974BC"/>
    <w:rsid w:val="00E97E97"/>
    <w:rsid w:val="00EA27A7"/>
    <w:rsid w:val="00EA44D9"/>
    <w:rsid w:val="00EA5FA4"/>
    <w:rsid w:val="00EB2B86"/>
    <w:rsid w:val="00EB3A89"/>
    <w:rsid w:val="00EB4881"/>
    <w:rsid w:val="00EB4D40"/>
    <w:rsid w:val="00EB6A76"/>
    <w:rsid w:val="00EB6FBB"/>
    <w:rsid w:val="00EB71D6"/>
    <w:rsid w:val="00EC3CD4"/>
    <w:rsid w:val="00EC5543"/>
    <w:rsid w:val="00EC6AEE"/>
    <w:rsid w:val="00EC70C2"/>
    <w:rsid w:val="00ED0DF0"/>
    <w:rsid w:val="00ED2B8D"/>
    <w:rsid w:val="00ED43B2"/>
    <w:rsid w:val="00ED4FAE"/>
    <w:rsid w:val="00EE2D07"/>
    <w:rsid w:val="00EE3DDD"/>
    <w:rsid w:val="00EE3E3B"/>
    <w:rsid w:val="00EE465E"/>
    <w:rsid w:val="00EE5422"/>
    <w:rsid w:val="00EE6D35"/>
    <w:rsid w:val="00EF08C2"/>
    <w:rsid w:val="00EF2E32"/>
    <w:rsid w:val="00EF55AA"/>
    <w:rsid w:val="00EF71E0"/>
    <w:rsid w:val="00F00BA2"/>
    <w:rsid w:val="00F01BD6"/>
    <w:rsid w:val="00F02194"/>
    <w:rsid w:val="00F02638"/>
    <w:rsid w:val="00F03D70"/>
    <w:rsid w:val="00F05D8A"/>
    <w:rsid w:val="00F05F51"/>
    <w:rsid w:val="00F0692A"/>
    <w:rsid w:val="00F06AA0"/>
    <w:rsid w:val="00F0799D"/>
    <w:rsid w:val="00F100A3"/>
    <w:rsid w:val="00F107A0"/>
    <w:rsid w:val="00F109B6"/>
    <w:rsid w:val="00F10AE9"/>
    <w:rsid w:val="00F127A8"/>
    <w:rsid w:val="00F14201"/>
    <w:rsid w:val="00F14A26"/>
    <w:rsid w:val="00F14C6D"/>
    <w:rsid w:val="00F220A5"/>
    <w:rsid w:val="00F2264A"/>
    <w:rsid w:val="00F22BD8"/>
    <w:rsid w:val="00F22C3C"/>
    <w:rsid w:val="00F22DC0"/>
    <w:rsid w:val="00F2321D"/>
    <w:rsid w:val="00F25C18"/>
    <w:rsid w:val="00F267F0"/>
    <w:rsid w:val="00F3006B"/>
    <w:rsid w:val="00F30119"/>
    <w:rsid w:val="00F32095"/>
    <w:rsid w:val="00F32CC7"/>
    <w:rsid w:val="00F34362"/>
    <w:rsid w:val="00F348F6"/>
    <w:rsid w:val="00F34BC9"/>
    <w:rsid w:val="00F35BE1"/>
    <w:rsid w:val="00F37790"/>
    <w:rsid w:val="00F40F98"/>
    <w:rsid w:val="00F4253B"/>
    <w:rsid w:val="00F463F3"/>
    <w:rsid w:val="00F50186"/>
    <w:rsid w:val="00F50307"/>
    <w:rsid w:val="00F513AE"/>
    <w:rsid w:val="00F52313"/>
    <w:rsid w:val="00F53D66"/>
    <w:rsid w:val="00F5635E"/>
    <w:rsid w:val="00F60D68"/>
    <w:rsid w:val="00F61090"/>
    <w:rsid w:val="00F62BD8"/>
    <w:rsid w:val="00F62CD3"/>
    <w:rsid w:val="00F63D27"/>
    <w:rsid w:val="00F73859"/>
    <w:rsid w:val="00F7481A"/>
    <w:rsid w:val="00F77F43"/>
    <w:rsid w:val="00F8294F"/>
    <w:rsid w:val="00F8302E"/>
    <w:rsid w:val="00F85503"/>
    <w:rsid w:val="00F85EFA"/>
    <w:rsid w:val="00F86080"/>
    <w:rsid w:val="00F86DAB"/>
    <w:rsid w:val="00F91BC2"/>
    <w:rsid w:val="00F91DFA"/>
    <w:rsid w:val="00F922C3"/>
    <w:rsid w:val="00F9660C"/>
    <w:rsid w:val="00F96A28"/>
    <w:rsid w:val="00FA2A65"/>
    <w:rsid w:val="00FA359B"/>
    <w:rsid w:val="00FA4916"/>
    <w:rsid w:val="00FA76E9"/>
    <w:rsid w:val="00FA7E5C"/>
    <w:rsid w:val="00FB0CD0"/>
    <w:rsid w:val="00FB13D2"/>
    <w:rsid w:val="00FB193D"/>
    <w:rsid w:val="00FB2144"/>
    <w:rsid w:val="00FB2534"/>
    <w:rsid w:val="00FB3422"/>
    <w:rsid w:val="00FB4C7F"/>
    <w:rsid w:val="00FB6B51"/>
    <w:rsid w:val="00FC1305"/>
    <w:rsid w:val="00FC16C3"/>
    <w:rsid w:val="00FC1894"/>
    <w:rsid w:val="00FC368D"/>
    <w:rsid w:val="00FC52D4"/>
    <w:rsid w:val="00FC7A81"/>
    <w:rsid w:val="00FD01B5"/>
    <w:rsid w:val="00FD083E"/>
    <w:rsid w:val="00FD0A4A"/>
    <w:rsid w:val="00FD465A"/>
    <w:rsid w:val="00FD5287"/>
    <w:rsid w:val="00FD552D"/>
    <w:rsid w:val="00FD5BF0"/>
    <w:rsid w:val="00FE193F"/>
    <w:rsid w:val="00FE197F"/>
    <w:rsid w:val="00FE1EF4"/>
    <w:rsid w:val="00FE28E5"/>
    <w:rsid w:val="00FE7920"/>
    <w:rsid w:val="00FE7EC0"/>
    <w:rsid w:val="00FF58C5"/>
    <w:rsid w:val="00FF5F5F"/>
    <w:rsid w:val="00FF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4:docId w14:val="2A36509B"/>
  <w15:chartTrackingRefBased/>
  <w15:docId w15:val="{4BFF3F3F-5E24-4EA9-A90E-ECB20FE2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footnote reference" w:qFormat="1"/>
    <w:lsdException w:name="endnote reference" w:locked="0" w:uiPriority="99" w:qFormat="1"/>
    <w:lsdException w:name="endnote text" w:locked="0" w:uiPriority="99" w:qFormat="1"/>
    <w:lsdException w:name="List Bullet" w:qFormat="1"/>
    <w:lsdException w:name="List Number" w:qFormat="1"/>
    <w:lsdException w:name="Default Paragraph Font" w:locked="0" w:uiPriority="1"/>
    <w:lsdException w:name="List Continue 4" w:locked="0"/>
    <w:lsdException w:name="Hyperlink" w:locked="0" w:uiPriority="99"/>
    <w:lsdException w:name="Strong" w:locked="0"/>
    <w:lsdException w:name="Emphasis" w:uiPriority="20" w:qFormat="1"/>
    <w:lsdException w:name="HTML Top of Form" w:locked="0"/>
    <w:lsdException w:name="HTML Bottom of Form" w:locked="0"/>
    <w:lsdException w:name="Normal (Web)" w:uiPriority="99"/>
    <w:lsdException w:name="HTML Keyboard"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2"/>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2"/>
      </w:numPr>
      <w:spacing w:before="200"/>
      <w:outlineLvl w:val="4"/>
    </w:pPr>
  </w:style>
  <w:style w:type="paragraph" w:styleId="Heading6">
    <w:name w:val="heading 6"/>
    <w:basedOn w:val="Normal"/>
    <w:next w:val="Normal"/>
    <w:link w:val="Heading6Char"/>
    <w:locked/>
    <w:rsid w:val="005C2ECF"/>
    <w:pPr>
      <w:keepNext/>
      <w:keepLines/>
      <w:numPr>
        <w:ilvl w:val="5"/>
        <w:numId w:val="2"/>
      </w:numPr>
      <w:spacing w:before="200"/>
      <w:outlineLvl w:val="5"/>
    </w:pPr>
    <w:rPr>
      <w:i/>
      <w:iCs/>
    </w:rPr>
  </w:style>
  <w:style w:type="paragraph" w:styleId="Heading7">
    <w:name w:val="heading 7"/>
    <w:basedOn w:val="Normal"/>
    <w:next w:val="Normal"/>
    <w:link w:val="Heading7Char"/>
    <w:locked/>
    <w:rsid w:val="005C2ECF"/>
    <w:pPr>
      <w:keepNext/>
      <w:keepLines/>
      <w:numPr>
        <w:ilvl w:val="6"/>
        <w:numId w:val="2"/>
      </w:numPr>
      <w:spacing w:before="200"/>
      <w:outlineLvl w:val="6"/>
    </w:pPr>
    <w:rPr>
      <w:i/>
      <w:iCs/>
    </w:rPr>
  </w:style>
  <w:style w:type="paragraph" w:styleId="Heading8">
    <w:name w:val="heading 8"/>
    <w:basedOn w:val="Normal"/>
    <w:next w:val="Normal"/>
    <w:link w:val="Heading8Char"/>
    <w:locked/>
    <w:rsid w:val="005C2ECF"/>
    <w:pPr>
      <w:keepNext/>
      <w:keepLines/>
      <w:numPr>
        <w:ilvl w:val="7"/>
        <w:numId w:val="2"/>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2"/>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7"/>
      </w:numPr>
      <w:spacing w:before="0"/>
    </w:pPr>
  </w:style>
  <w:style w:type="paragraph" w:styleId="ListBullet2">
    <w:name w:val="List Bullet 2"/>
    <w:basedOn w:val="Normal"/>
    <w:semiHidden/>
    <w:locked/>
    <w:rsid w:val="005C2ECF"/>
    <w:pPr>
      <w:numPr>
        <w:numId w:val="8"/>
      </w:numPr>
    </w:pPr>
  </w:style>
  <w:style w:type="paragraph" w:styleId="ListBullet3">
    <w:name w:val="List Bullet 3"/>
    <w:basedOn w:val="Normal"/>
    <w:semiHidden/>
    <w:locked/>
    <w:rsid w:val="005C2ECF"/>
    <w:pPr>
      <w:numPr>
        <w:numId w:val="9"/>
      </w:numPr>
    </w:pPr>
  </w:style>
  <w:style w:type="paragraph" w:styleId="ListBullet4">
    <w:name w:val="List Bullet 4"/>
    <w:basedOn w:val="Normal"/>
    <w:semiHidden/>
    <w:locked/>
    <w:rsid w:val="005C2ECF"/>
    <w:pPr>
      <w:numPr>
        <w:numId w:val="10"/>
      </w:numPr>
    </w:pPr>
  </w:style>
  <w:style w:type="paragraph" w:styleId="ListBullet5">
    <w:name w:val="List Bullet 5"/>
    <w:basedOn w:val="Normal"/>
    <w:semiHidden/>
    <w:locked/>
    <w:rsid w:val="005C2ECF"/>
    <w:pPr>
      <w:numPr>
        <w:numId w:val="11"/>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12"/>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5"/>
      </w:numPr>
    </w:pPr>
  </w:style>
  <w:style w:type="paragraph" w:styleId="ListNumber3">
    <w:name w:val="List Number 3"/>
    <w:basedOn w:val="Normal"/>
    <w:semiHidden/>
    <w:locked/>
    <w:rsid w:val="005C2ECF"/>
    <w:pPr>
      <w:numPr>
        <w:numId w:val="16"/>
      </w:numPr>
    </w:pPr>
  </w:style>
  <w:style w:type="paragraph" w:styleId="ListNumber4">
    <w:name w:val="List Number 4"/>
    <w:basedOn w:val="Normal"/>
    <w:semiHidden/>
    <w:locked/>
    <w:rsid w:val="005C2ECF"/>
    <w:pPr>
      <w:numPr>
        <w:numId w:val="13"/>
      </w:numPr>
    </w:pPr>
  </w:style>
  <w:style w:type="paragraph" w:styleId="ListNumber5">
    <w:name w:val="List Number 5"/>
    <w:basedOn w:val="Normal"/>
    <w:semiHidden/>
    <w:locked/>
    <w:rsid w:val="005C2ECF"/>
    <w:pPr>
      <w:numPr>
        <w:numId w:val="14"/>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aliases w:val="No Spacing1,No Spacing11,No Spacing111"/>
    <w:basedOn w:val="Normal"/>
    <w:link w:val="SubmissionNormalChar"/>
    <w:qFormat/>
    <w:locked/>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Arial" w:hAnsi="Arial"/>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1,Recommendation,List Paragraph11,Bullet point,Bullets,NAST Quote,L,CV text,Table text,F5 List Paragraph,Dot pt,List Paragraph111,Medium Grid 1 - Accent 21,Numbered Paragraph,List Paragraph2,NFP GP Bulleted List,FooterText"/>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customStyle="1" w:styleId="ListParagraphChar">
    <w:name w:val="List Paragraph Char"/>
    <w:aliases w:val="List Paragraph1 Char,Recommendation Char,List Paragraph11 Char,Bullet point Char,Bullets Char,NAST Quote Char,L Char,CV text Char,Table text Char,F5 List Paragraph Char,Dot pt Char,List Paragraph111 Char,Numbered Paragraph Char"/>
    <w:link w:val="ListParagraph"/>
    <w:uiPriority w:val="34"/>
    <w:qFormat/>
    <w:locked/>
    <w:rsid w:val="00665A5F"/>
    <w:rPr>
      <w:rFonts w:ascii="Open Sans" w:eastAsia="MS Mincho" w:hAnsi="Open Sans"/>
      <w:sz w:val="24"/>
      <w:szCs w:val="24"/>
    </w:rPr>
  </w:style>
  <w:style w:type="paragraph" w:customStyle="1" w:styleId="Nessunostileparagrafo">
    <w:name w:val="[Nessuno stile paragrafo]"/>
    <w:rsid w:val="009713F3"/>
    <w:pPr>
      <w:autoSpaceDE w:val="0"/>
      <w:autoSpaceDN w:val="0"/>
      <w:adjustRightInd w:val="0"/>
      <w:spacing w:line="288" w:lineRule="auto"/>
      <w:textAlignment w:val="center"/>
    </w:pPr>
    <w:rPr>
      <w:rFonts w:ascii="Open Sans" w:eastAsiaTheme="minorHAnsi" w:hAnsi="Open Sans" w:cs="Open Sans"/>
      <w:color w:val="000000"/>
      <w:sz w:val="24"/>
      <w:szCs w:val="24"/>
      <w:lang w:val="en-US" w:eastAsia="en-US"/>
    </w:rPr>
  </w:style>
  <w:style w:type="paragraph" w:customStyle="1" w:styleId="TableHeading">
    <w:name w:val="Table Heading"/>
    <w:basedOn w:val="Nessunostileparagrafo"/>
    <w:uiPriority w:val="99"/>
    <w:rsid w:val="009713F3"/>
    <w:pPr>
      <w:suppressAutoHyphens/>
      <w:spacing w:after="57" w:line="200" w:lineRule="atLeast"/>
    </w:pPr>
    <w:rPr>
      <w:rFonts w:ascii="Open Sans Condensed" w:hAnsi="Open Sans Condensed" w:cs="Open Sans Condensed"/>
      <w:b/>
      <w:bCs/>
      <w:sz w:val="18"/>
      <w:szCs w:val="18"/>
      <w:lang w:val="en-AU"/>
    </w:rPr>
  </w:style>
  <w:style w:type="paragraph" w:customStyle="1" w:styleId="TableText">
    <w:name w:val="Table Text"/>
    <w:basedOn w:val="Normal"/>
    <w:uiPriority w:val="99"/>
    <w:rsid w:val="009713F3"/>
    <w:pPr>
      <w:keepLines/>
      <w:suppressAutoHyphens/>
      <w:autoSpaceDE w:val="0"/>
      <w:autoSpaceDN w:val="0"/>
      <w:adjustRightInd w:val="0"/>
      <w:spacing w:before="0" w:after="113" w:line="288" w:lineRule="auto"/>
      <w:textAlignment w:val="center"/>
    </w:pPr>
    <w:rPr>
      <w:rFonts w:eastAsiaTheme="minorHAnsi" w:cs="Open Sans"/>
      <w:color w:val="000000"/>
      <w:sz w:val="17"/>
      <w:szCs w:val="17"/>
      <w:lang w:val="en-US" w:eastAsia="en-US"/>
    </w:rPr>
  </w:style>
  <w:style w:type="character" w:customStyle="1" w:styleId="CondensedBold">
    <w:name w:val="Condensed Bold"/>
    <w:uiPriority w:val="99"/>
    <w:rsid w:val="009713F3"/>
    <w:rPr>
      <w:rFonts w:ascii="Open Sans Condensed" w:hAnsi="Open Sans Condensed" w:cs="Open Sans Condensed"/>
      <w:b/>
      <w:bCs/>
      <w:u w:val="none"/>
    </w:rPr>
  </w:style>
  <w:style w:type="character" w:styleId="UnresolvedMention">
    <w:name w:val="Unresolved Mention"/>
    <w:basedOn w:val="DefaultParagraphFont"/>
    <w:uiPriority w:val="99"/>
    <w:semiHidden/>
    <w:unhideWhenUsed/>
    <w:rsid w:val="004049DF"/>
    <w:rPr>
      <w:color w:val="605E5C"/>
      <w:shd w:val="clear" w:color="auto" w:fill="E1DFDD"/>
    </w:rPr>
  </w:style>
  <w:style w:type="character" w:customStyle="1" w:styleId="text-fragment">
    <w:name w:val="text-fragment"/>
    <w:basedOn w:val="DefaultParagraphFont"/>
    <w:rsid w:val="003502DE"/>
  </w:style>
  <w:style w:type="character" w:customStyle="1" w:styleId="SingleTxtGChar">
    <w:name w:val="_ Single Txt_G Char"/>
    <w:basedOn w:val="DefaultParagraphFont"/>
    <w:link w:val="SingleTxtG"/>
    <w:locked/>
    <w:rsid w:val="00174F73"/>
    <w:rPr>
      <w:lang w:val="en-GB" w:eastAsia="en-US"/>
    </w:rPr>
  </w:style>
  <w:style w:type="paragraph" w:customStyle="1" w:styleId="SingleTxtG">
    <w:name w:val="_ Single Txt_G"/>
    <w:basedOn w:val="Normal"/>
    <w:link w:val="SingleTxtGChar"/>
    <w:qFormat/>
    <w:rsid w:val="00174F73"/>
    <w:pPr>
      <w:suppressAutoHyphens/>
      <w:spacing w:before="0" w:after="120" w:line="240" w:lineRule="atLeast"/>
      <w:ind w:left="1134" w:right="1134"/>
      <w:jc w:val="both"/>
    </w:pPr>
    <w:rPr>
      <w:rFonts w:ascii="Times New Roman" w:eastAsia="Times New Roman" w:hAnsi="Times New Roman"/>
      <w:sz w:val="20"/>
      <w:szCs w:val="20"/>
      <w:lang w:val="en-GB" w:eastAsia="en-US"/>
    </w:rPr>
  </w:style>
  <w:style w:type="paragraph" w:customStyle="1" w:styleId="H23G">
    <w:name w:val="_ H_2/3_G"/>
    <w:basedOn w:val="Normal"/>
    <w:next w:val="Normal"/>
    <w:qFormat/>
    <w:rsid w:val="00174F73"/>
    <w:pPr>
      <w:keepNext/>
      <w:keepLines/>
      <w:tabs>
        <w:tab w:val="right" w:pos="851"/>
      </w:tabs>
      <w:suppressAutoHyphens/>
      <w:spacing w:after="120" w:line="240" w:lineRule="exact"/>
      <w:ind w:left="1134" w:right="1134" w:hanging="1134"/>
    </w:pPr>
    <w:rPr>
      <w:rFonts w:ascii="Times New Roman" w:eastAsia="Times New Roman" w:hAnsi="Times New Roman"/>
      <w:b/>
      <w:sz w:val="20"/>
      <w:szCs w:val="20"/>
      <w:lang w:val="en-GB" w:eastAsia="en-US"/>
    </w:rPr>
  </w:style>
  <w:style w:type="character" w:styleId="FootnoteReference">
    <w:name w:val="footnote reference"/>
    <w:aliases w:val="4_G"/>
    <w:basedOn w:val="DefaultParagraphFont"/>
    <w:unhideWhenUsed/>
    <w:qFormat/>
    <w:locked/>
    <w:rsid w:val="00174F73"/>
    <w:rPr>
      <w:rFonts w:ascii="Times New Roman" w:hAnsi="Times New Roman" w:cs="Times New Roman" w:hint="default"/>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47353603">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97354856">
      <w:bodyDiv w:val="1"/>
      <w:marLeft w:val="0"/>
      <w:marRight w:val="0"/>
      <w:marTop w:val="0"/>
      <w:marBottom w:val="0"/>
      <w:divBdr>
        <w:top w:val="none" w:sz="0" w:space="0" w:color="auto"/>
        <w:left w:val="none" w:sz="0" w:space="0" w:color="auto"/>
        <w:bottom w:val="none" w:sz="0" w:space="0" w:color="auto"/>
        <w:right w:val="none" w:sz="0" w:space="0" w:color="auto"/>
      </w:divBdr>
    </w:div>
    <w:div w:id="1741319941">
      <w:bodyDiv w:val="1"/>
      <w:marLeft w:val="0"/>
      <w:marRight w:val="0"/>
      <w:marTop w:val="0"/>
      <w:marBottom w:val="0"/>
      <w:divBdr>
        <w:top w:val="none" w:sz="0" w:space="0" w:color="auto"/>
        <w:left w:val="none" w:sz="0" w:space="0" w:color="auto"/>
        <w:bottom w:val="none" w:sz="0" w:space="0" w:color="auto"/>
        <w:right w:val="none" w:sz="0" w:space="0" w:color="auto"/>
      </w:divBdr>
    </w:div>
    <w:div w:id="20404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ww.lawcouncil.asn.au/media/media-releases/commonwealth-states-and-territories-must-lift-minimum-age-of-criminal-responsibility-to-14-years-remove-doli-incapax" TargetMode="External"/><Relationship Id="rId3" Type="http://schemas.openxmlformats.org/officeDocument/2006/relationships/hyperlink" Target="https://omnibook.com/view/e0623280-5656-42f8-9edf-5872f8f08562/page/3" TargetMode="External"/><Relationship Id="rId7" Type="http://schemas.openxmlformats.org/officeDocument/2006/relationships/hyperlink" Target="https://www.alrc.gov.au/publication/seen-and-heard-priority-for-children-in-the-legal-process-alrc-report-84/" TargetMode="External"/><Relationship Id="rId2" Type="http://schemas.openxmlformats.org/officeDocument/2006/relationships/hyperlink" Target="https://crg.aic.gov.au/reports/201920.html" TargetMode="External"/><Relationship Id="rId1" Type="http://schemas.openxmlformats.org/officeDocument/2006/relationships/hyperlink" Target="https://undocs.org/en/A/74/136" TargetMode="External"/><Relationship Id="rId6" Type="http://schemas.openxmlformats.org/officeDocument/2006/relationships/hyperlink" Target="http://www.gcyp.sa.gov.au/doli-incapax-and-odd-word-with-profound-significance-for-south-australian-children/" TargetMode="External"/><Relationship Id="rId5" Type="http://schemas.openxmlformats.org/officeDocument/2006/relationships/hyperlink" Target="https://www.google.com/search?source=hp&amp;ei=eU5bXaS_G8f-9QPYlJ_wAg&amp;q=Neal+Hazel%2C+cross+national+comparison+of+youth+justice&amp;oq=Neal+Hazel%2C+cross+national+comparison+of+youth+justice&amp;gs_l=psy-ab.3..33i160.1859.30290..30547...20.0..0.227.11053.2j74j2......0....1..gws-wiz.....0..0i131j0j0i22i30j33i21j0i3j0i10j0i22i10i30.MdxZSjRbr4k&amp;ved=0ahUKEwjk37LRp5DkAhVHf30KHVjKBy4Q4dUDCAc&amp;uact=5" TargetMode="External"/><Relationship Id="rId4" Type="http://schemas.openxmlformats.org/officeDocument/2006/relationships/hyperlink" Target="https://omnibook.com/view/e0623280-5656-42f8-9edf-5872f8f08562/page/3" TargetMode="External"/><Relationship Id="rId9" Type="http://schemas.openxmlformats.org/officeDocument/2006/relationships/hyperlink" Target="http://www.justreinvest.org.au/impact-of-maranguka-justice-reinvest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FEB2622FC73241B62C7C624CEE521F" ma:contentTypeVersion="73" ma:contentTypeDescription="Create a new document." ma:contentTypeScope="" ma:versionID="7de1bd8da8792fcb861eb3f0f89fbe13">
  <xsd:schema xmlns:xsd="http://www.w3.org/2001/XMLSchema" xmlns:xs="http://www.w3.org/2001/XMLSchema" xmlns:p="http://schemas.microsoft.com/office/2006/metadata/properties" xmlns:ns2="57f1fb52-79b9-4278-9d54-1e5db41bfcda" xmlns:ns3="6500fe01-343b-4fb9-a1b0-68ac19d62e01" xmlns:ns4="a6ffb128-e94a-4924-af16-68c2b3b917e8" xmlns:ns5="0d9443a9-c476-4e36-beff-9197fb30fe37" targetNamespace="http://schemas.microsoft.com/office/2006/metadata/properties" ma:root="true" ma:fieldsID="e7105844e225e019013e31f1cf1bb998" ns2:_="" ns3:_="" ns4:_="" ns5:_="">
    <xsd:import namespace="57f1fb52-79b9-4278-9d54-1e5db41bfcda"/>
    <xsd:import namespace="6500fe01-343b-4fb9-a1b0-68ac19d62e01"/>
    <xsd:import namespace="a6ffb128-e94a-4924-af16-68c2b3b917e8"/>
    <xsd:import namespace="0d9443a9-c476-4e36-beff-9197fb30fe37"/>
    <xsd:element name="properties">
      <xsd:complexType>
        <xsd:sequence>
          <xsd:element name="documentManagement">
            <xsd:complexType>
              <xsd:all>
                <xsd:element ref="ns3:Divider" minOccurs="0"/>
                <xsd:element ref="ns2:Subdivider" minOccurs="0"/>
                <xsd:element ref="ns4:_Flow_SignoffStatus"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5:MediaServiceAutoTags" minOccurs="0"/>
                <xsd:element ref="ns5:MediaServiceOCR" minOccurs="0"/>
                <xsd:element ref="ns2:Year_x0020_Ending" minOccurs="0"/>
                <xsd:element ref="ns5:MediaServiceDateTaken"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Year_x0020_Ending" ma:index="32" nillable="true" ma:displayName="Year Ending" ma:description="End of financial year in which submission due." ma:format="DateOnly" ma:internalName="Year_x0020_Ending">
      <xsd:simpleType>
        <xsd:restriction base="dms:DateTime"/>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_Flow_SignoffStatus" ma:index="5" nillable="true" ma:displayName="Sign-off status" ma:hidden="true" ma:internalName="Sign_x002d_off_x0020_status" ma:readOnly="fals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443a9-c476-4e36-beff-9197fb30fe3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Divider xmlns="6500fe01-343b-4fb9-a1b0-68ac19d62e01">Submission</Divider>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Year_x0020_Ending xmlns="57f1fb52-79b9-4278-9d54-1e5db41bfcda"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8DBF-15A8-4E46-93BA-35017280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0d9443a9-c476-4e36-beff-9197fb30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064DC-724B-4BD5-8ACC-FE56A1738044}">
  <ds:schemaRefs>
    <ds:schemaRef ds:uri="http://schemas.microsoft.com/sharepoint/v3/contenttype/forms"/>
  </ds:schemaRefs>
</ds:datastoreItem>
</file>

<file path=customXml/itemProps3.xml><?xml version="1.0" encoding="utf-8"?>
<ds:datastoreItem xmlns:ds="http://schemas.openxmlformats.org/officeDocument/2006/customXml" ds:itemID="{BBB29555-3F49-4170-AE94-2CC657F4754D}">
  <ds:schemaRefs>
    <ds:schemaRef ds:uri="http://schemas.microsoft.com/sharepoint/events"/>
  </ds:schemaRefs>
</ds:datastoreItem>
</file>

<file path=customXml/itemProps4.xml><?xml version="1.0" encoding="utf-8"?>
<ds:datastoreItem xmlns:ds="http://schemas.openxmlformats.org/officeDocument/2006/customXml" ds:itemID="{FFF766AE-B5D9-4255-807E-6CBC103FF914}">
  <ds:schemaRefs>
    <ds:schemaRef ds:uri="Microsoft.SharePoint.Taxonomy.ContentTypeSync"/>
  </ds:schemaRefs>
</ds:datastoreItem>
</file>

<file path=customXml/itemProps5.xml><?xml version="1.0" encoding="utf-8"?>
<ds:datastoreItem xmlns:ds="http://schemas.openxmlformats.org/officeDocument/2006/customXml" ds:itemID="{F44423E5-196C-4C04-91B1-983841F8FBF0}">
  <ds:schemaRefs>
    <ds:schemaRef ds:uri="http://schemas.microsoft.com/office/2006/metadata/customXsn"/>
  </ds:schemaRefs>
</ds:datastoreItem>
</file>

<file path=customXml/itemProps6.xml><?xml version="1.0" encoding="utf-8"?>
<ds:datastoreItem xmlns:ds="http://schemas.openxmlformats.org/officeDocument/2006/customXml" ds:itemID="{861629C1-5D45-433C-ACBF-589A725F29AA}">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6500fe01-343b-4fb9-a1b0-68ac19d62e01"/>
    <ds:schemaRef ds:uri="http://schemas.openxmlformats.org/package/2006/metadata/core-properties"/>
    <ds:schemaRef ds:uri="0d9443a9-c476-4e36-beff-9197fb30fe37"/>
    <ds:schemaRef ds:uri="a6ffb128-e94a-4924-af16-68c2b3b917e8"/>
    <ds:schemaRef ds:uri="57f1fb52-79b9-4278-9d54-1e5db41bfcda"/>
    <ds:schemaRef ds:uri="http://www.w3.org/XML/1998/namespace"/>
  </ds:schemaRefs>
</ds:datastoreItem>
</file>

<file path=customXml/itemProps7.xml><?xml version="1.0" encoding="utf-8"?>
<ds:datastoreItem xmlns:ds="http://schemas.openxmlformats.org/officeDocument/2006/customXml" ds:itemID="{90964521-4AE3-4965-92A6-93FE4862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Submission_New.dotx</Template>
  <TotalTime>1</TotalTime>
  <Pages>24</Pages>
  <Words>5673</Words>
  <Characters>32358</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37956</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Susan Newell</dc:creator>
  <cp:keywords/>
  <cp:lastModifiedBy>Leon Wild</cp:lastModifiedBy>
  <cp:revision>2</cp:revision>
  <cp:lastPrinted>2020-02-26T06:24:00Z</cp:lastPrinted>
  <dcterms:created xsi:type="dcterms:W3CDTF">2020-03-13T05:12:00Z</dcterms:created>
  <dcterms:modified xsi:type="dcterms:W3CDTF">2020-03-13T05:12:00Z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0x01010044FEB2622FC73241B62C7C624CEE521F</vt:lpwstr>
  </property>
  <property fmtid="{D5CDD505-2E9C-101B-9397-08002B2CF9AE}" pid="3" name="TaxKeyword">
    <vt:lpwstr/>
  </property>
  <property fmtid="{D5CDD505-2E9C-101B-9397-08002B2CF9AE}" pid="4" name="Document Type">
    <vt:lpwstr/>
  </property>
</Properties>
</file>