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0ADB" w14:textId="503628EA" w:rsidR="001B1F95" w:rsidRPr="00F75A53" w:rsidRDefault="00074444" w:rsidP="00817C73">
      <w:pPr>
        <w:pStyle w:val="Subtitle"/>
        <w:rPr>
          <w:rFonts w:eastAsia="Times New Roman" w:cs="Open Sans"/>
          <w:bCs/>
          <w:kern w:val="32"/>
          <w:sz w:val="52"/>
          <w:szCs w:val="52"/>
        </w:rPr>
      </w:pPr>
      <w:bookmarkStart w:id="0" w:name="_Toc532997311"/>
      <w:bookmarkStart w:id="1" w:name="_Toc533088565"/>
      <w:bookmarkStart w:id="2" w:name="_Toc533158357"/>
      <w:bookmarkStart w:id="3" w:name="_Toc533174343"/>
      <w:bookmarkStart w:id="4" w:name="_Toc534383709"/>
      <w:bookmarkStart w:id="5" w:name="_Toc534631501"/>
      <w:bookmarkStart w:id="6" w:name="_Toc534817613"/>
      <w:bookmarkStart w:id="7" w:name="_Toc534878457"/>
      <w:bookmarkStart w:id="8" w:name="_Toc2006631"/>
      <w:bookmarkStart w:id="9" w:name="_Toc2264626"/>
      <w:bookmarkStart w:id="10" w:name="_Toc2328503"/>
      <w:bookmarkStart w:id="11" w:name="_Toc2334133"/>
      <w:bookmarkStart w:id="12" w:name="_Toc2528751"/>
      <w:bookmarkStart w:id="13" w:name="_Toc2586446"/>
      <w:bookmarkStart w:id="14" w:name="_Toc2675781"/>
      <w:bookmarkStart w:id="15" w:name="_Toc2688392"/>
      <w:bookmarkStart w:id="16" w:name="_Toc2842485"/>
      <w:bookmarkStart w:id="17" w:name="_Toc17267935"/>
      <w:bookmarkStart w:id="18" w:name="_Toc17269325"/>
      <w:bookmarkStart w:id="19" w:name="_Toc515873204"/>
      <w:bookmarkStart w:id="20" w:name="_Toc17377653"/>
      <w:r w:rsidRPr="00F75A53">
        <w:rPr>
          <w:rFonts w:eastAsia="Times New Roman" w:cs="Open Sans"/>
          <w:bCs/>
          <w:kern w:val="32"/>
          <w:sz w:val="52"/>
          <w:szCs w:val="52"/>
        </w:rPr>
        <w:t xml:space="preserve">Counter-Terrorism </w:t>
      </w:r>
      <w:r w:rsidR="00E00825" w:rsidRPr="00F75A53">
        <w:rPr>
          <w:rFonts w:eastAsia="Times New Roman" w:cs="Open Sans"/>
          <w:bCs/>
          <w:kern w:val="32"/>
          <w:sz w:val="52"/>
          <w:szCs w:val="52"/>
        </w:rPr>
        <w:t>Legislation Amendment</w:t>
      </w:r>
      <w:r w:rsidR="001B1F95" w:rsidRPr="00F75A53">
        <w:rPr>
          <w:rFonts w:eastAsia="Times New Roman" w:cs="Open Sans"/>
          <w:bCs/>
          <w:kern w:val="32"/>
          <w:sz w:val="52"/>
          <w:szCs w:val="52"/>
        </w:rPr>
        <w:t xml:space="preserve"> </w:t>
      </w:r>
      <w:r w:rsidR="00A14A34">
        <w:rPr>
          <w:rFonts w:eastAsia="Times New Roman" w:cs="Open Sans"/>
          <w:bCs/>
          <w:kern w:val="32"/>
          <w:sz w:val="52"/>
          <w:szCs w:val="52"/>
        </w:rPr>
        <w:t xml:space="preserve">(2019 Measures No. 1) </w:t>
      </w:r>
      <w:r w:rsidR="001B1F95" w:rsidRPr="00F75A53">
        <w:rPr>
          <w:rFonts w:eastAsia="Times New Roman" w:cs="Open Sans"/>
          <w:bCs/>
          <w:kern w:val="32"/>
          <w:sz w:val="52"/>
          <w:szCs w:val="52"/>
        </w:rPr>
        <w:t>Bill 201</w:t>
      </w:r>
      <w:r w:rsidRPr="00F75A53">
        <w:rPr>
          <w:rFonts w:eastAsia="Times New Roman" w:cs="Open Sans"/>
          <w:bCs/>
          <w:kern w:val="32"/>
          <w:sz w:val="52"/>
          <w:szCs w:val="52"/>
        </w:rPr>
        <w:t>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0"/>
    </w:p>
    <w:p w14:paraId="26254E13" w14:textId="77777777" w:rsidR="00817C73" w:rsidRPr="00F75A53" w:rsidRDefault="00817C73" w:rsidP="00817C73">
      <w:pPr>
        <w:pStyle w:val="Subtitle"/>
        <w:rPr>
          <w:rFonts w:cs="Open Sans"/>
        </w:rPr>
      </w:pPr>
      <w:bookmarkStart w:id="21" w:name="_Toc532997312"/>
      <w:bookmarkStart w:id="22" w:name="_Toc533088566"/>
      <w:bookmarkStart w:id="23" w:name="_Toc533158358"/>
      <w:bookmarkStart w:id="24" w:name="_Toc533174344"/>
      <w:bookmarkStart w:id="25" w:name="_Toc534383710"/>
      <w:bookmarkStart w:id="26" w:name="_Toc534631502"/>
      <w:bookmarkStart w:id="27" w:name="_Toc534817614"/>
      <w:bookmarkStart w:id="28" w:name="_Toc534878458"/>
      <w:bookmarkStart w:id="29" w:name="_Toc2006632"/>
      <w:bookmarkStart w:id="30" w:name="_Toc2264627"/>
      <w:bookmarkStart w:id="31" w:name="_Toc2328504"/>
      <w:bookmarkStart w:id="32" w:name="_Toc2334134"/>
      <w:bookmarkStart w:id="33" w:name="_Toc2528752"/>
      <w:bookmarkStart w:id="34" w:name="_Toc2586447"/>
      <w:bookmarkStart w:id="35" w:name="_Toc2675782"/>
      <w:bookmarkStart w:id="36" w:name="_Toc2688393"/>
      <w:bookmarkStart w:id="37" w:name="_Toc2842486"/>
      <w:bookmarkStart w:id="38" w:name="_Toc17267936"/>
      <w:bookmarkStart w:id="39" w:name="_Toc17269326"/>
      <w:bookmarkStart w:id="40" w:name="_Toc17377654"/>
      <w:r w:rsidRPr="00F75A53">
        <w:rPr>
          <w:rFonts w:cs="Open Sans"/>
        </w:rPr>
        <w:t>Australian Human Rights Commission</w:t>
      </w:r>
      <w:bookmarkEnd w:id="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030F291" w14:textId="77777777" w:rsidR="00817C73" w:rsidRPr="00F75A53" w:rsidRDefault="00817C73" w:rsidP="00817C73">
      <w:pPr>
        <w:pStyle w:val="Subtitle"/>
        <w:rPr>
          <w:rFonts w:cs="Open Sans"/>
        </w:rPr>
      </w:pPr>
      <w:bookmarkStart w:id="41" w:name="_Toc515873205"/>
      <w:bookmarkStart w:id="42" w:name="_Toc532997313"/>
      <w:bookmarkStart w:id="43" w:name="_Toc533088567"/>
      <w:bookmarkStart w:id="44" w:name="_Toc533158359"/>
      <w:bookmarkStart w:id="45" w:name="_Toc533174345"/>
      <w:bookmarkStart w:id="46" w:name="_Toc534383711"/>
      <w:bookmarkStart w:id="47" w:name="_Toc534631503"/>
      <w:bookmarkStart w:id="48" w:name="_Toc534817615"/>
      <w:bookmarkStart w:id="49" w:name="_Toc534878459"/>
      <w:bookmarkStart w:id="50" w:name="_Toc2006633"/>
      <w:bookmarkStart w:id="51" w:name="_Toc2264628"/>
      <w:bookmarkStart w:id="52" w:name="_Toc2328505"/>
      <w:bookmarkStart w:id="53" w:name="_Toc2334135"/>
      <w:bookmarkStart w:id="54" w:name="_Toc2528753"/>
      <w:bookmarkStart w:id="55" w:name="_Toc2586448"/>
      <w:bookmarkStart w:id="56" w:name="_Toc2675783"/>
      <w:bookmarkStart w:id="57" w:name="_Toc2688394"/>
      <w:bookmarkStart w:id="58" w:name="_Toc2842487"/>
      <w:bookmarkStart w:id="59" w:name="_Toc17267937"/>
      <w:bookmarkStart w:id="60" w:name="_Toc17269327"/>
      <w:bookmarkStart w:id="61" w:name="_Toc17377655"/>
      <w:r w:rsidRPr="00F75A53">
        <w:rPr>
          <w:rFonts w:cs="Open Sans"/>
        </w:rPr>
        <w:t xml:space="preserve">Submission to the </w:t>
      </w:r>
      <w:bookmarkEnd w:id="41"/>
      <w:r w:rsidR="001B1F95" w:rsidRPr="00F75A53">
        <w:rPr>
          <w:rFonts w:cs="Open Sans"/>
        </w:rPr>
        <w:t xml:space="preserve">Parliamentary Joint </w:t>
      </w:r>
      <w:r w:rsidR="001B1F95" w:rsidRPr="00F75A53">
        <w:rPr>
          <w:rFonts w:cs="Open Sans"/>
        </w:rPr>
        <w:br/>
        <w:t>Committee on Intelligence and Security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0D658F9" w14:textId="56E71EEA" w:rsidR="00F220A5" w:rsidRPr="00F75A53" w:rsidRDefault="007F65C5" w:rsidP="00F220A5">
      <w:pPr>
        <w:pStyle w:val="Date"/>
        <w:rPr>
          <w:rFonts w:cs="Open Sans"/>
        </w:rPr>
      </w:pPr>
      <w:r>
        <w:rPr>
          <w:rFonts w:cs="Open Sans"/>
        </w:rPr>
        <w:t>22</w:t>
      </w:r>
      <w:r w:rsidR="00A14A34">
        <w:rPr>
          <w:rFonts w:cs="Open Sans"/>
        </w:rPr>
        <w:t xml:space="preserve"> August</w:t>
      </w:r>
      <w:r w:rsidR="001E5D49" w:rsidRPr="00F75A53">
        <w:rPr>
          <w:rFonts w:cs="Open Sans"/>
        </w:rPr>
        <w:t xml:space="preserve"> 2019</w:t>
      </w:r>
    </w:p>
    <w:p w14:paraId="6A20406B" w14:textId="77777777" w:rsidR="00AC636D" w:rsidRPr="00F75A53" w:rsidRDefault="00AC636D" w:rsidP="00AC636D">
      <w:pPr>
        <w:rPr>
          <w:rFonts w:cs="Open Sans"/>
        </w:rPr>
      </w:pPr>
    </w:p>
    <w:p w14:paraId="725429C0" w14:textId="46CE145A" w:rsidR="009E4BD0" w:rsidRPr="00F75A53" w:rsidRDefault="00AD0DD1" w:rsidP="00AC636D">
      <w:pPr>
        <w:rPr>
          <w:rFonts w:cs="Open Sans"/>
        </w:rPr>
        <w:sectPr w:rsidR="009E4BD0" w:rsidRPr="00F75A53" w:rsidSect="00AC636D">
          <w:headerReference w:type="even" r:id="rId8"/>
          <w:headerReference w:type="default" r:id="rId9"/>
          <w:headerReference w:type="first" r:id="rId10"/>
          <w:footerReference w:type="first" r:id="rId11"/>
          <w:footnotePr>
            <w:pos w:val="beneathText"/>
          </w:footnotePr>
          <w:endnotePr>
            <w:numFmt w:val="decimal"/>
          </w:endnotePr>
          <w:type w:val="continuous"/>
          <w:pgSz w:w="11906" w:h="16838" w:code="9"/>
          <w:pgMar w:top="228" w:right="1700" w:bottom="1134" w:left="1418" w:header="277" w:footer="1361" w:gutter="0"/>
          <w:pgNumType w:start="2"/>
          <w:cols w:space="708"/>
          <w:titlePg/>
          <w:docGrid w:linePitch="360"/>
        </w:sectPr>
      </w:pPr>
      <w:r w:rsidRPr="00F75A53">
        <w:rPr>
          <w:rFonts w:cs="Open Sans"/>
        </w:rPr>
        <w:t xml:space="preserve">         </w:t>
      </w:r>
    </w:p>
    <w:p w14:paraId="2E206470" w14:textId="77777777" w:rsidR="00035746" w:rsidRPr="00F75A53" w:rsidRDefault="00035746" w:rsidP="00A1342B">
      <w:pPr>
        <w:pStyle w:val="TOC1"/>
        <w:rPr>
          <w:rFonts w:cs="Open Sans"/>
        </w:rPr>
      </w:pPr>
      <w:bookmarkStart w:id="62" w:name="_Toc209316062"/>
      <w:bookmarkEnd w:id="62"/>
    </w:p>
    <w:p w14:paraId="13BEEEA5" w14:textId="5EA95272" w:rsidR="007E76F6" w:rsidRDefault="000B5B68" w:rsidP="007E76F6">
      <w:pPr>
        <w:pStyle w:val="TOC2"/>
        <w:rPr>
          <w:rFonts w:asciiTheme="minorHAnsi" w:eastAsiaTheme="minorEastAsia" w:hAnsiTheme="minorHAnsi" w:cstheme="minorBidi"/>
          <w:b w:val="0"/>
          <w:i w:val="0"/>
          <w:sz w:val="22"/>
          <w:szCs w:val="22"/>
        </w:rPr>
      </w:pPr>
      <w:r w:rsidRPr="00F75A53">
        <w:rPr>
          <w:rFonts w:cs="Open Sans"/>
        </w:rPr>
        <w:fldChar w:fldCharType="begin"/>
      </w:r>
      <w:r w:rsidRPr="00F75A53">
        <w:rPr>
          <w:rFonts w:cs="Open Sans"/>
        </w:rPr>
        <w:instrText xml:space="preserve"> TOC \o "1-3" \h \z \u </w:instrText>
      </w:r>
      <w:r w:rsidRPr="00F75A53">
        <w:rPr>
          <w:rFonts w:cs="Open Sans"/>
        </w:rPr>
        <w:fldChar w:fldCharType="separate"/>
      </w:r>
    </w:p>
    <w:p w14:paraId="1ED5F3AE" w14:textId="10F964E7" w:rsidR="007E76F6" w:rsidRDefault="007E76F6">
      <w:pPr>
        <w:pStyle w:val="TOC1"/>
        <w:rPr>
          <w:rFonts w:asciiTheme="minorHAnsi" w:eastAsiaTheme="minorEastAsia" w:hAnsiTheme="minorHAnsi" w:cstheme="minorBidi"/>
          <w:b w:val="0"/>
          <w:sz w:val="22"/>
          <w:szCs w:val="22"/>
        </w:rPr>
      </w:pPr>
      <w:hyperlink w:anchor="_Toc17377656" w:history="1">
        <w:r w:rsidRPr="00CE76D0">
          <w:rPr>
            <w:rStyle w:val="Hyperlink"/>
          </w:rPr>
          <w:t>1</w:t>
        </w:r>
        <w:r>
          <w:rPr>
            <w:rFonts w:asciiTheme="minorHAnsi" w:eastAsiaTheme="minorEastAsia" w:hAnsiTheme="minorHAnsi" w:cstheme="minorBidi"/>
            <w:b w:val="0"/>
            <w:sz w:val="22"/>
            <w:szCs w:val="22"/>
          </w:rPr>
          <w:tab/>
        </w:r>
        <w:r w:rsidRPr="00CE76D0">
          <w:rPr>
            <w:rStyle w:val="Hyperlink"/>
          </w:rPr>
          <w:t>Introduction</w:t>
        </w:r>
        <w:r>
          <w:rPr>
            <w:webHidden/>
          </w:rPr>
          <w:tab/>
        </w:r>
        <w:r>
          <w:rPr>
            <w:webHidden/>
          </w:rPr>
          <w:fldChar w:fldCharType="begin"/>
        </w:r>
        <w:r>
          <w:rPr>
            <w:webHidden/>
          </w:rPr>
          <w:instrText xml:space="preserve"> PAGEREF _Toc17377656 \h </w:instrText>
        </w:r>
        <w:r>
          <w:rPr>
            <w:webHidden/>
          </w:rPr>
        </w:r>
        <w:r>
          <w:rPr>
            <w:webHidden/>
          </w:rPr>
          <w:fldChar w:fldCharType="separate"/>
        </w:r>
        <w:r>
          <w:rPr>
            <w:webHidden/>
          </w:rPr>
          <w:t>2</w:t>
        </w:r>
        <w:r>
          <w:rPr>
            <w:webHidden/>
          </w:rPr>
          <w:fldChar w:fldCharType="end"/>
        </w:r>
      </w:hyperlink>
    </w:p>
    <w:p w14:paraId="10F2157B" w14:textId="5D3C56FE" w:rsidR="007E76F6" w:rsidRDefault="007E76F6">
      <w:pPr>
        <w:pStyle w:val="TOC1"/>
        <w:rPr>
          <w:rFonts w:asciiTheme="minorHAnsi" w:eastAsiaTheme="minorEastAsia" w:hAnsiTheme="minorHAnsi" w:cstheme="minorBidi"/>
          <w:b w:val="0"/>
          <w:sz w:val="22"/>
          <w:szCs w:val="22"/>
        </w:rPr>
      </w:pPr>
      <w:hyperlink w:anchor="_Toc17377657" w:history="1">
        <w:r w:rsidRPr="00CE76D0">
          <w:rPr>
            <w:rStyle w:val="Hyperlink"/>
          </w:rPr>
          <w:t>2</w:t>
        </w:r>
        <w:r>
          <w:rPr>
            <w:rFonts w:asciiTheme="minorHAnsi" w:eastAsiaTheme="minorEastAsia" w:hAnsiTheme="minorHAnsi" w:cstheme="minorBidi"/>
            <w:b w:val="0"/>
            <w:sz w:val="22"/>
            <w:szCs w:val="22"/>
          </w:rPr>
          <w:tab/>
        </w:r>
        <w:r w:rsidRPr="00CE76D0">
          <w:rPr>
            <w:rStyle w:val="Hyperlink"/>
          </w:rPr>
          <w:t>Section 15AA of</w:t>
        </w:r>
        <w:r w:rsidRPr="00CE76D0">
          <w:rPr>
            <w:rStyle w:val="Hyperlink"/>
          </w:rPr>
          <w:t xml:space="preserve"> </w:t>
        </w:r>
        <w:r w:rsidRPr="00CE76D0">
          <w:rPr>
            <w:rStyle w:val="Hyperlink"/>
          </w:rPr>
          <w:t>the Crimes Act</w:t>
        </w:r>
        <w:r>
          <w:rPr>
            <w:webHidden/>
          </w:rPr>
          <w:tab/>
        </w:r>
        <w:r>
          <w:rPr>
            <w:webHidden/>
          </w:rPr>
          <w:fldChar w:fldCharType="begin"/>
        </w:r>
        <w:r>
          <w:rPr>
            <w:webHidden/>
          </w:rPr>
          <w:instrText xml:space="preserve"> PAGEREF _Toc17377657 \h </w:instrText>
        </w:r>
        <w:r>
          <w:rPr>
            <w:webHidden/>
          </w:rPr>
        </w:r>
        <w:r>
          <w:rPr>
            <w:webHidden/>
          </w:rPr>
          <w:fldChar w:fldCharType="separate"/>
        </w:r>
        <w:r>
          <w:rPr>
            <w:webHidden/>
          </w:rPr>
          <w:t>3</w:t>
        </w:r>
        <w:r>
          <w:rPr>
            <w:webHidden/>
          </w:rPr>
          <w:fldChar w:fldCharType="end"/>
        </w:r>
      </w:hyperlink>
    </w:p>
    <w:p w14:paraId="322EDD29" w14:textId="76C79F95" w:rsidR="007E76F6" w:rsidRDefault="007E76F6">
      <w:pPr>
        <w:pStyle w:val="TOC1"/>
        <w:rPr>
          <w:rFonts w:asciiTheme="minorHAnsi" w:eastAsiaTheme="minorEastAsia" w:hAnsiTheme="minorHAnsi" w:cstheme="minorBidi"/>
          <w:b w:val="0"/>
          <w:sz w:val="22"/>
          <w:szCs w:val="22"/>
        </w:rPr>
      </w:pPr>
      <w:hyperlink w:anchor="_Toc17377658" w:history="1">
        <w:r w:rsidRPr="00CE76D0">
          <w:rPr>
            <w:rStyle w:val="Hyperlink"/>
          </w:rPr>
          <w:t>3</w:t>
        </w:r>
        <w:r>
          <w:rPr>
            <w:rFonts w:asciiTheme="minorHAnsi" w:eastAsiaTheme="minorEastAsia" w:hAnsiTheme="minorHAnsi" w:cstheme="minorBidi"/>
            <w:b w:val="0"/>
            <w:sz w:val="22"/>
            <w:szCs w:val="22"/>
          </w:rPr>
          <w:tab/>
        </w:r>
        <w:r w:rsidRPr="00CE76D0">
          <w:rPr>
            <w:rStyle w:val="Hyperlink"/>
          </w:rPr>
          <w:t>Section 19AG of the Crimes Act</w:t>
        </w:r>
        <w:r>
          <w:rPr>
            <w:webHidden/>
          </w:rPr>
          <w:tab/>
        </w:r>
        <w:r>
          <w:rPr>
            <w:webHidden/>
          </w:rPr>
          <w:fldChar w:fldCharType="begin"/>
        </w:r>
        <w:r>
          <w:rPr>
            <w:webHidden/>
          </w:rPr>
          <w:instrText xml:space="preserve"> PAGEREF _Toc17377658 \h </w:instrText>
        </w:r>
        <w:r>
          <w:rPr>
            <w:webHidden/>
          </w:rPr>
        </w:r>
        <w:r>
          <w:rPr>
            <w:webHidden/>
          </w:rPr>
          <w:fldChar w:fldCharType="separate"/>
        </w:r>
        <w:r>
          <w:rPr>
            <w:webHidden/>
          </w:rPr>
          <w:t>3</w:t>
        </w:r>
        <w:r>
          <w:rPr>
            <w:webHidden/>
          </w:rPr>
          <w:fldChar w:fldCharType="end"/>
        </w:r>
      </w:hyperlink>
    </w:p>
    <w:p w14:paraId="4AE740B1" w14:textId="76C8892E" w:rsidR="007E76F6" w:rsidRDefault="007E76F6">
      <w:pPr>
        <w:pStyle w:val="TOC1"/>
        <w:rPr>
          <w:rFonts w:asciiTheme="minorHAnsi" w:eastAsiaTheme="minorEastAsia" w:hAnsiTheme="minorHAnsi" w:cstheme="minorBidi"/>
          <w:b w:val="0"/>
          <w:sz w:val="22"/>
          <w:szCs w:val="22"/>
        </w:rPr>
      </w:pPr>
      <w:hyperlink w:anchor="_Toc17377659" w:history="1">
        <w:r w:rsidRPr="00CE76D0">
          <w:rPr>
            <w:rStyle w:val="Hyperlink"/>
          </w:rPr>
          <w:t>4</w:t>
        </w:r>
        <w:r>
          <w:rPr>
            <w:rFonts w:asciiTheme="minorHAnsi" w:eastAsiaTheme="minorEastAsia" w:hAnsiTheme="minorHAnsi" w:cstheme="minorBidi"/>
            <w:b w:val="0"/>
            <w:sz w:val="22"/>
            <w:szCs w:val="22"/>
          </w:rPr>
          <w:tab/>
        </w:r>
        <w:r w:rsidRPr="00CE76D0">
          <w:rPr>
            <w:rStyle w:val="Hyperlink"/>
          </w:rPr>
          <w:t>Proposed s 19ALB of the Crimes Act</w:t>
        </w:r>
        <w:r>
          <w:rPr>
            <w:webHidden/>
          </w:rPr>
          <w:tab/>
        </w:r>
        <w:r>
          <w:rPr>
            <w:webHidden/>
          </w:rPr>
          <w:fldChar w:fldCharType="begin"/>
        </w:r>
        <w:r>
          <w:rPr>
            <w:webHidden/>
          </w:rPr>
          <w:instrText xml:space="preserve"> PAGEREF _Toc17377659 \h </w:instrText>
        </w:r>
        <w:r>
          <w:rPr>
            <w:webHidden/>
          </w:rPr>
        </w:r>
        <w:r>
          <w:rPr>
            <w:webHidden/>
          </w:rPr>
          <w:fldChar w:fldCharType="separate"/>
        </w:r>
        <w:r>
          <w:rPr>
            <w:webHidden/>
          </w:rPr>
          <w:t>4</w:t>
        </w:r>
        <w:r>
          <w:rPr>
            <w:webHidden/>
          </w:rPr>
          <w:fldChar w:fldCharType="end"/>
        </w:r>
      </w:hyperlink>
    </w:p>
    <w:p w14:paraId="24A99521" w14:textId="694B10D3" w:rsidR="007E76F6" w:rsidRDefault="007E76F6">
      <w:pPr>
        <w:pStyle w:val="TOC1"/>
        <w:rPr>
          <w:rFonts w:asciiTheme="minorHAnsi" w:eastAsiaTheme="minorEastAsia" w:hAnsiTheme="minorHAnsi" w:cstheme="minorBidi"/>
          <w:b w:val="0"/>
          <w:sz w:val="22"/>
          <w:szCs w:val="22"/>
        </w:rPr>
      </w:pPr>
      <w:hyperlink w:anchor="_Toc17377660" w:history="1">
        <w:r w:rsidRPr="00CE76D0">
          <w:rPr>
            <w:rStyle w:val="Hyperlink"/>
          </w:rPr>
          <w:t>5</w:t>
        </w:r>
        <w:r>
          <w:rPr>
            <w:rFonts w:asciiTheme="minorHAnsi" w:eastAsiaTheme="minorEastAsia" w:hAnsiTheme="minorHAnsi" w:cstheme="minorBidi"/>
            <w:b w:val="0"/>
            <w:sz w:val="22"/>
            <w:szCs w:val="22"/>
          </w:rPr>
          <w:tab/>
        </w:r>
        <w:r w:rsidRPr="00CE76D0">
          <w:rPr>
            <w:rStyle w:val="Hyperlink"/>
          </w:rPr>
          <w:t>‘Primary’ and ‘paramount’ considerations</w:t>
        </w:r>
        <w:r>
          <w:rPr>
            <w:webHidden/>
          </w:rPr>
          <w:tab/>
        </w:r>
        <w:r>
          <w:rPr>
            <w:webHidden/>
          </w:rPr>
          <w:fldChar w:fldCharType="begin"/>
        </w:r>
        <w:r>
          <w:rPr>
            <w:webHidden/>
          </w:rPr>
          <w:instrText xml:space="preserve"> PAGEREF _Toc17377660 \h </w:instrText>
        </w:r>
        <w:r>
          <w:rPr>
            <w:webHidden/>
          </w:rPr>
        </w:r>
        <w:r>
          <w:rPr>
            <w:webHidden/>
          </w:rPr>
          <w:fldChar w:fldCharType="separate"/>
        </w:r>
        <w:r>
          <w:rPr>
            <w:webHidden/>
          </w:rPr>
          <w:t>4</w:t>
        </w:r>
        <w:r>
          <w:rPr>
            <w:webHidden/>
          </w:rPr>
          <w:fldChar w:fldCharType="end"/>
        </w:r>
      </w:hyperlink>
    </w:p>
    <w:p w14:paraId="18CAC9C3" w14:textId="1D29E0AD" w:rsidR="007E76F6" w:rsidRDefault="007E76F6">
      <w:pPr>
        <w:pStyle w:val="TOC1"/>
        <w:rPr>
          <w:rFonts w:asciiTheme="minorHAnsi" w:eastAsiaTheme="minorEastAsia" w:hAnsiTheme="minorHAnsi" w:cstheme="minorBidi"/>
          <w:b w:val="0"/>
          <w:sz w:val="22"/>
          <w:szCs w:val="22"/>
        </w:rPr>
      </w:pPr>
      <w:hyperlink w:anchor="_Toc17377661" w:history="1">
        <w:r w:rsidRPr="00CE76D0">
          <w:rPr>
            <w:rStyle w:val="Hyperlink"/>
          </w:rPr>
          <w:t>6</w:t>
        </w:r>
        <w:r>
          <w:rPr>
            <w:rFonts w:asciiTheme="minorHAnsi" w:eastAsiaTheme="minorEastAsia" w:hAnsiTheme="minorHAnsi" w:cstheme="minorBidi"/>
            <w:b w:val="0"/>
            <w:sz w:val="22"/>
            <w:szCs w:val="22"/>
          </w:rPr>
          <w:tab/>
        </w:r>
        <w:r w:rsidRPr="00CE76D0">
          <w:rPr>
            <w:rStyle w:val="Hyperlink"/>
          </w:rPr>
          <w:t>Conclusion and recommendations</w:t>
        </w:r>
        <w:r>
          <w:rPr>
            <w:webHidden/>
          </w:rPr>
          <w:tab/>
        </w:r>
        <w:r>
          <w:rPr>
            <w:webHidden/>
          </w:rPr>
          <w:fldChar w:fldCharType="begin"/>
        </w:r>
        <w:r>
          <w:rPr>
            <w:webHidden/>
          </w:rPr>
          <w:instrText xml:space="preserve"> PAGEREF _Toc17377661 \h </w:instrText>
        </w:r>
        <w:r>
          <w:rPr>
            <w:webHidden/>
          </w:rPr>
        </w:r>
        <w:r>
          <w:rPr>
            <w:webHidden/>
          </w:rPr>
          <w:fldChar w:fldCharType="separate"/>
        </w:r>
        <w:r>
          <w:rPr>
            <w:webHidden/>
          </w:rPr>
          <w:t>5</w:t>
        </w:r>
        <w:r>
          <w:rPr>
            <w:webHidden/>
          </w:rPr>
          <w:fldChar w:fldCharType="end"/>
        </w:r>
      </w:hyperlink>
    </w:p>
    <w:p w14:paraId="4901B877" w14:textId="09A07FB9" w:rsidR="00035746" w:rsidRPr="00F75A53" w:rsidRDefault="000B5B68" w:rsidP="00035746">
      <w:pPr>
        <w:pStyle w:val="Heading1"/>
        <w:keepLines w:val="0"/>
        <w:numPr>
          <w:ilvl w:val="0"/>
          <w:numId w:val="0"/>
        </w:numPr>
        <w:rPr>
          <w:rFonts w:cs="Open Sans"/>
        </w:rPr>
        <w:sectPr w:rsidR="00035746" w:rsidRPr="00F75A53" w:rsidSect="00F47C22">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6" w:h="16838" w:code="9"/>
          <w:pgMar w:top="1134" w:right="1418" w:bottom="1134" w:left="1418" w:header="907" w:footer="283" w:gutter="0"/>
          <w:pgNumType w:start="2"/>
          <w:cols w:space="708"/>
          <w:titlePg/>
          <w:docGrid w:linePitch="360"/>
        </w:sectPr>
      </w:pPr>
      <w:r w:rsidRPr="00F75A53">
        <w:rPr>
          <w:rFonts w:cs="Open Sans"/>
        </w:rPr>
        <w:fldChar w:fldCharType="end"/>
      </w:r>
      <w:bookmarkStart w:id="65" w:name="_Toc209941766"/>
      <w:bookmarkStart w:id="66" w:name="_Toc209578266"/>
      <w:bookmarkStart w:id="67" w:name="_Toc207761830"/>
    </w:p>
    <w:p w14:paraId="2E93BD32" w14:textId="73A53707" w:rsidR="002869A0" w:rsidRPr="00F75A53" w:rsidRDefault="002869A0" w:rsidP="004127F8">
      <w:pPr>
        <w:pStyle w:val="Heading1"/>
        <w:keepLines w:val="0"/>
        <w:numPr>
          <w:ilvl w:val="0"/>
          <w:numId w:val="15"/>
        </w:numPr>
      </w:pPr>
      <w:bookmarkStart w:id="68" w:name="_Toc2586449"/>
      <w:bookmarkStart w:id="69" w:name="_Toc17377656"/>
      <w:r w:rsidRPr="00F75A53">
        <w:lastRenderedPageBreak/>
        <w:t>Introduction</w:t>
      </w:r>
      <w:bookmarkEnd w:id="65"/>
      <w:bookmarkEnd w:id="66"/>
      <w:bookmarkEnd w:id="67"/>
      <w:bookmarkEnd w:id="68"/>
      <w:bookmarkEnd w:id="69"/>
    </w:p>
    <w:p w14:paraId="553BAE47" w14:textId="5763CA96" w:rsidR="007F65C5" w:rsidRPr="00A57599" w:rsidRDefault="00A57599" w:rsidP="004127F8">
      <w:pPr>
        <w:pStyle w:val="ListNumber"/>
        <w:numPr>
          <w:ilvl w:val="0"/>
          <w:numId w:val="16"/>
        </w:numPr>
        <w:tabs>
          <w:tab w:val="clear" w:pos="1134"/>
        </w:tabs>
        <w:ind w:left="709" w:hanging="567"/>
      </w:pPr>
      <w:r>
        <w:rPr>
          <w:rFonts w:cs="Open Sans"/>
        </w:rPr>
        <w:t xml:space="preserve">The </w:t>
      </w:r>
      <w:r w:rsidRPr="00F305E1">
        <w:rPr>
          <w:rFonts w:cs="Open Sans"/>
        </w:rPr>
        <w:t xml:space="preserve">Australian Human Rights Commission (Commission) welcomes the opportunity to </w:t>
      </w:r>
      <w:r>
        <w:rPr>
          <w:rFonts w:cs="Open Sans"/>
        </w:rPr>
        <w:t>make this submission to</w:t>
      </w:r>
      <w:r w:rsidRPr="00F305E1">
        <w:rPr>
          <w:rFonts w:cs="Open Sans"/>
        </w:rPr>
        <w:t xml:space="preserve"> the Parliamentary Joint Committee on Intelligence and Security (Committee) </w:t>
      </w:r>
      <w:r>
        <w:rPr>
          <w:rFonts w:cs="Open Sans"/>
        </w:rPr>
        <w:t>in relation to its review of</w:t>
      </w:r>
      <w:r w:rsidRPr="00F305E1">
        <w:rPr>
          <w:rFonts w:cs="Open Sans"/>
        </w:rPr>
        <w:t xml:space="preserve"> the </w:t>
      </w:r>
      <w:r w:rsidRPr="006859A5">
        <w:rPr>
          <w:rFonts w:cs="Open Sans"/>
          <w:iCs/>
        </w:rPr>
        <w:t>Counter-Terrorism Legislation Amendment (2019 Measures No. 1) Bill 2019</w:t>
      </w:r>
      <w:r>
        <w:rPr>
          <w:rFonts w:cs="Open Sans"/>
        </w:rPr>
        <w:t xml:space="preserve"> (the Bill).</w:t>
      </w:r>
    </w:p>
    <w:p w14:paraId="260B4F22" w14:textId="63018A06" w:rsidR="00A57599" w:rsidRPr="00A57599" w:rsidRDefault="00A57599" w:rsidP="004127F8">
      <w:pPr>
        <w:pStyle w:val="ListNumber"/>
        <w:numPr>
          <w:ilvl w:val="0"/>
          <w:numId w:val="16"/>
        </w:numPr>
        <w:tabs>
          <w:tab w:val="clear" w:pos="1134"/>
        </w:tabs>
        <w:ind w:left="709" w:hanging="567"/>
      </w:pPr>
      <w:r>
        <w:rPr>
          <w:rFonts w:cs="Open Sans"/>
        </w:rPr>
        <w:t>Relevantly for the purposes of this submission, the Bill would:</w:t>
      </w:r>
    </w:p>
    <w:p w14:paraId="4D18E6BD" w14:textId="463344ED" w:rsidR="00A57599" w:rsidRPr="00A57599" w:rsidRDefault="00A57599" w:rsidP="00560160">
      <w:pPr>
        <w:pStyle w:val="ListNumber"/>
        <w:numPr>
          <w:ilvl w:val="0"/>
          <w:numId w:val="20"/>
        </w:numPr>
        <w:tabs>
          <w:tab w:val="clear" w:pos="1134"/>
        </w:tabs>
        <w:ind w:left="1440"/>
      </w:pPr>
      <w:r>
        <w:rPr>
          <w:rFonts w:cs="Open Sans"/>
        </w:rPr>
        <w:t xml:space="preserve">extend the range of circumstances in which the presumption against bail in s 15AA of the </w:t>
      </w:r>
      <w:r w:rsidRPr="00C42808">
        <w:rPr>
          <w:rFonts w:cs="Open Sans"/>
          <w:i/>
          <w:iCs/>
        </w:rPr>
        <w:t>Crimes Act 1914</w:t>
      </w:r>
      <w:r>
        <w:rPr>
          <w:rFonts w:cs="Open Sans"/>
        </w:rPr>
        <w:t xml:space="preserve"> (</w:t>
      </w:r>
      <w:proofErr w:type="spellStart"/>
      <w:r>
        <w:rPr>
          <w:rFonts w:cs="Open Sans"/>
        </w:rPr>
        <w:t>Cth</w:t>
      </w:r>
      <w:proofErr w:type="spellEnd"/>
      <w:r>
        <w:rPr>
          <w:rFonts w:cs="Open Sans"/>
        </w:rPr>
        <w:t>) (Crimes Act) would apply</w:t>
      </w:r>
    </w:p>
    <w:p w14:paraId="6B2FC58B" w14:textId="6D404E6A" w:rsidR="00A57599" w:rsidRDefault="00A57599" w:rsidP="00560160">
      <w:pPr>
        <w:pStyle w:val="ListNumber"/>
        <w:numPr>
          <w:ilvl w:val="0"/>
          <w:numId w:val="20"/>
        </w:numPr>
        <w:tabs>
          <w:tab w:val="clear" w:pos="1134"/>
        </w:tabs>
        <w:ind w:left="1440"/>
        <w:rPr>
          <w:rFonts w:cs="Open Sans"/>
        </w:rPr>
      </w:pPr>
      <w:r>
        <w:rPr>
          <w:rFonts w:cs="Open Sans"/>
        </w:rPr>
        <w:t>create a new presumption against parole for certain offenders by inserting a new s 19ALB in the Crimes Act</w:t>
      </w:r>
    </w:p>
    <w:p w14:paraId="570D3051" w14:textId="40C1EBB0" w:rsidR="00A57599" w:rsidRDefault="00A57599" w:rsidP="00560160">
      <w:pPr>
        <w:pStyle w:val="ListNumber"/>
        <w:numPr>
          <w:ilvl w:val="0"/>
          <w:numId w:val="20"/>
        </w:numPr>
        <w:tabs>
          <w:tab w:val="clear" w:pos="1134"/>
        </w:tabs>
        <w:ind w:left="1440"/>
        <w:rPr>
          <w:rFonts w:cs="Open Sans"/>
        </w:rPr>
      </w:pPr>
      <w:r>
        <w:rPr>
          <w:rFonts w:cs="Open Sans"/>
        </w:rPr>
        <w:t xml:space="preserve">amend s 105A.5 of the </w:t>
      </w:r>
      <w:r w:rsidRPr="00C42808">
        <w:rPr>
          <w:rFonts w:cs="Open Sans"/>
          <w:i/>
          <w:iCs/>
        </w:rPr>
        <w:t>Criminal Code</w:t>
      </w:r>
      <w:r>
        <w:rPr>
          <w:rFonts w:cs="Open Sans"/>
        </w:rPr>
        <w:t xml:space="preserve"> (</w:t>
      </w:r>
      <w:proofErr w:type="spellStart"/>
      <w:r>
        <w:rPr>
          <w:rFonts w:cs="Open Sans"/>
        </w:rPr>
        <w:t>Cth</w:t>
      </w:r>
      <w:proofErr w:type="spellEnd"/>
      <w:r>
        <w:rPr>
          <w:rFonts w:cs="Open Sans"/>
        </w:rPr>
        <w:t>)</w:t>
      </w:r>
      <w:r w:rsidR="00531507">
        <w:rPr>
          <w:rStyle w:val="EndnoteReference"/>
          <w:rFonts w:cs="Open Sans"/>
        </w:rPr>
        <w:endnoteReference w:id="2"/>
      </w:r>
      <w:r>
        <w:rPr>
          <w:rFonts w:cs="Open Sans"/>
        </w:rPr>
        <w:t xml:space="preserve"> so that certain exculpatory information need not be provided to a respondent to proceedings for a continuing detention order</w:t>
      </w:r>
    </w:p>
    <w:p w14:paraId="1C65372C" w14:textId="6D3E63E2" w:rsidR="00A57599" w:rsidRDefault="00A57599" w:rsidP="00560160">
      <w:pPr>
        <w:pStyle w:val="ListNumber"/>
        <w:numPr>
          <w:ilvl w:val="0"/>
          <w:numId w:val="20"/>
        </w:numPr>
        <w:tabs>
          <w:tab w:val="clear" w:pos="1134"/>
        </w:tabs>
        <w:ind w:left="1440"/>
        <w:rPr>
          <w:rFonts w:cs="Open Sans"/>
        </w:rPr>
      </w:pPr>
      <w:r>
        <w:rPr>
          <w:rFonts w:cs="Open Sans"/>
        </w:rPr>
        <w:t>provide that when considering whether any of the following presumptions can, in the case of a child, be displaced:</w:t>
      </w:r>
    </w:p>
    <w:p w14:paraId="1F1F3BFD" w14:textId="77777777" w:rsidR="00A57599" w:rsidRDefault="00A57599" w:rsidP="00560160">
      <w:pPr>
        <w:pStyle w:val="ListNumber"/>
        <w:numPr>
          <w:ilvl w:val="1"/>
          <w:numId w:val="20"/>
        </w:numPr>
        <w:tabs>
          <w:tab w:val="clear" w:pos="1134"/>
        </w:tabs>
        <w:ind w:left="2160"/>
        <w:rPr>
          <w:rFonts w:cs="Open Sans"/>
        </w:rPr>
      </w:pPr>
      <w:r>
        <w:rPr>
          <w:rFonts w:cs="Open Sans"/>
        </w:rPr>
        <w:t>the presumption against bail in s 15AA of the Crimes Act</w:t>
      </w:r>
    </w:p>
    <w:p w14:paraId="0A961D9B" w14:textId="07A0ECF0" w:rsidR="00A57599" w:rsidRDefault="00A57599" w:rsidP="00560160">
      <w:pPr>
        <w:pStyle w:val="ListNumber"/>
        <w:numPr>
          <w:ilvl w:val="1"/>
          <w:numId w:val="20"/>
        </w:numPr>
        <w:tabs>
          <w:tab w:val="clear" w:pos="1134"/>
        </w:tabs>
        <w:ind w:left="2160"/>
        <w:rPr>
          <w:rFonts w:cs="Open Sans"/>
        </w:rPr>
      </w:pPr>
      <w:r>
        <w:t xml:space="preserve">the </w:t>
      </w:r>
      <w:r>
        <w:rPr>
          <w:rFonts w:cs="Open Sans"/>
        </w:rPr>
        <w:t>presumption of a minimum non-parole period in s 19AG of the Crimes Act</w:t>
      </w:r>
    </w:p>
    <w:p w14:paraId="43AE555B" w14:textId="46397438" w:rsidR="00A57599" w:rsidRDefault="00A57599" w:rsidP="00560160">
      <w:pPr>
        <w:pStyle w:val="ListNumber"/>
        <w:numPr>
          <w:ilvl w:val="1"/>
          <w:numId w:val="20"/>
        </w:numPr>
        <w:tabs>
          <w:tab w:val="clear" w:pos="1134"/>
        </w:tabs>
        <w:ind w:left="2160"/>
        <w:rPr>
          <w:rFonts w:cs="Open Sans"/>
        </w:rPr>
      </w:pPr>
      <w:r>
        <w:rPr>
          <w:rFonts w:cs="Open Sans"/>
        </w:rPr>
        <w:t>the presumption against parole in proposed s 19ALB of the Crimes Act</w:t>
      </w:r>
    </w:p>
    <w:p w14:paraId="252C6781" w14:textId="1EDBECE0" w:rsidR="00A57599" w:rsidRDefault="00A57599" w:rsidP="00560160">
      <w:pPr>
        <w:pStyle w:val="ListNumber"/>
        <w:tabs>
          <w:tab w:val="clear" w:pos="1134"/>
        </w:tabs>
        <w:ind w:left="1429" w:firstLine="11"/>
        <w:rPr>
          <w:rFonts w:cs="Open Sans"/>
        </w:rPr>
      </w:pPr>
      <w:r>
        <w:rPr>
          <w:rFonts w:cs="Open Sans"/>
        </w:rPr>
        <w:t xml:space="preserve">the best interests of the child must be ‘a primary consideration’, while the protection of the community must be ‘the paramount consideration’.  </w:t>
      </w:r>
    </w:p>
    <w:p w14:paraId="404F4E73" w14:textId="6193D479" w:rsidR="002F37B1" w:rsidRDefault="002F37B1" w:rsidP="004127F8">
      <w:pPr>
        <w:pStyle w:val="ListNumber"/>
        <w:numPr>
          <w:ilvl w:val="0"/>
          <w:numId w:val="16"/>
        </w:numPr>
        <w:tabs>
          <w:tab w:val="clear" w:pos="1134"/>
        </w:tabs>
        <w:ind w:left="709" w:hanging="567"/>
      </w:pPr>
      <w:r>
        <w:t xml:space="preserve">The </w:t>
      </w:r>
      <w:r w:rsidRPr="002F37B1">
        <w:rPr>
          <w:rFonts w:cs="Open Sans"/>
        </w:rPr>
        <w:t>text of the Bill is substantially the same as that of the Counter-Terrorism Legislation Amendment Bill 2019 — a Bill which lapsed with the dissolution of the last Parliament</w:t>
      </w:r>
      <w:r>
        <w:rPr>
          <w:rStyle w:val="EndnoteReference"/>
          <w:rFonts w:cs="Open Sans"/>
        </w:rPr>
        <w:endnoteReference w:id="3"/>
      </w:r>
      <w:r w:rsidRPr="002F37B1">
        <w:rPr>
          <w:rFonts w:cs="Open Sans"/>
        </w:rPr>
        <w:t xml:space="preserve"> (the Lapsed Bill). The Committee commenced an inquiry into that Bill, which lapsed with the Bill. The Commission made a submission in relation to the Committee’s previous (incomplete) inquiry, noting a number of human rights concerns and making three recommendations.</w:t>
      </w:r>
      <w:r>
        <w:rPr>
          <w:rStyle w:val="EndnoteReference"/>
          <w:rFonts w:cs="Open Sans"/>
        </w:rPr>
        <w:endnoteReference w:id="4"/>
      </w:r>
    </w:p>
    <w:p w14:paraId="6E301AB0" w14:textId="1EFEE811" w:rsidR="002F37B1" w:rsidRPr="00F75A53" w:rsidRDefault="002F37B1" w:rsidP="004127F8">
      <w:pPr>
        <w:pStyle w:val="ListNumber"/>
        <w:numPr>
          <w:ilvl w:val="0"/>
          <w:numId w:val="16"/>
        </w:numPr>
        <w:tabs>
          <w:tab w:val="clear" w:pos="1134"/>
        </w:tabs>
        <w:ind w:left="709" w:hanging="567"/>
      </w:pPr>
      <w:r>
        <w:rPr>
          <w:rFonts w:cs="Open Sans"/>
        </w:rPr>
        <w:t xml:space="preserve">The Commission’s views about the human rights implications of the Bill are unchanged. The Commission welcomes the Committee’s statement that it will consider submissions addressing the Lapsed Bill in the course of </w:t>
      </w:r>
      <w:r>
        <w:rPr>
          <w:rFonts w:cs="Open Sans"/>
        </w:rPr>
        <w:lastRenderedPageBreak/>
        <w:t xml:space="preserve">this inquiry. A copy of the Commission’s previous submission is provided for ease of reference in </w:t>
      </w:r>
      <w:r w:rsidRPr="00C42808">
        <w:rPr>
          <w:rFonts w:cs="Open Sans"/>
          <w:b/>
          <w:bCs/>
        </w:rPr>
        <w:t>Attachment A</w:t>
      </w:r>
      <w:r>
        <w:rPr>
          <w:rFonts w:cs="Open Sans"/>
        </w:rPr>
        <w:t>.</w:t>
      </w:r>
    </w:p>
    <w:p w14:paraId="7975A28B" w14:textId="179EE004" w:rsidR="002F37B1" w:rsidRDefault="002F37B1" w:rsidP="00BD37B4">
      <w:pPr>
        <w:pStyle w:val="ListNumber"/>
        <w:numPr>
          <w:ilvl w:val="0"/>
          <w:numId w:val="16"/>
        </w:numPr>
        <w:tabs>
          <w:tab w:val="clear" w:pos="1134"/>
        </w:tabs>
        <w:ind w:left="720" w:hanging="578"/>
      </w:pPr>
      <w:r>
        <w:t xml:space="preserve">The </w:t>
      </w:r>
      <w:r>
        <w:rPr>
          <w:rFonts w:cs="Open Sans"/>
        </w:rPr>
        <w:t>Explanatory Memorandum to the Lapsed Bill stated that aspects of that Bill responded to a report of the Independent National Security Legislation Monitor (INSLM) on the prosecution and sentencing of children for terrorism</w:t>
      </w:r>
      <w:r w:rsidR="00FD3172">
        <w:rPr>
          <w:rFonts w:cs="Open Sans"/>
        </w:rPr>
        <w:t xml:space="preserve"> offences</w:t>
      </w:r>
      <w:r>
        <w:rPr>
          <w:rFonts w:cs="Open Sans"/>
        </w:rPr>
        <w:t xml:space="preserve"> (the INSLM Report).</w:t>
      </w:r>
      <w:r w:rsidR="00953AC9">
        <w:rPr>
          <w:rStyle w:val="EndnoteReference"/>
          <w:rFonts w:cs="Open Sans"/>
        </w:rPr>
        <w:endnoteReference w:id="5"/>
      </w:r>
      <w:r>
        <w:rPr>
          <w:rFonts w:cs="Open Sans"/>
        </w:rPr>
        <w:t xml:space="preserve"> At that time, the INSLM Report had not been tabled and was not publicly available. For that reason, the Commission recommended (in Recommendation 2 of its previous submission) that consideration of the Bill be deferred until such time as the INSLM Report had been released so that the claimed justifications for the Bill could be properly scrutinised.</w:t>
      </w:r>
    </w:p>
    <w:p w14:paraId="03B1732A" w14:textId="77777777" w:rsidR="002F37B1" w:rsidRPr="002F37B1" w:rsidRDefault="002F37B1" w:rsidP="004127F8">
      <w:pPr>
        <w:pStyle w:val="ListNumber"/>
        <w:numPr>
          <w:ilvl w:val="0"/>
          <w:numId w:val="16"/>
        </w:numPr>
        <w:tabs>
          <w:tab w:val="clear" w:pos="1134"/>
        </w:tabs>
        <w:ind w:left="709" w:hanging="567"/>
      </w:pPr>
      <w:r>
        <w:t xml:space="preserve">The </w:t>
      </w:r>
      <w:r>
        <w:rPr>
          <w:rFonts w:cs="Open Sans"/>
        </w:rPr>
        <w:t>INSLM Report was tabled on 2 April 2019.</w:t>
      </w:r>
      <w:r>
        <w:rPr>
          <w:rStyle w:val="EndnoteReference"/>
          <w:rFonts w:cs="Open Sans"/>
        </w:rPr>
        <w:endnoteReference w:id="6"/>
      </w:r>
      <w:r>
        <w:rPr>
          <w:rFonts w:cs="Open Sans"/>
        </w:rPr>
        <w:t xml:space="preserve"> The Commission therefore makes the following brief remarks about the parts of that report relevant to the Bill. In doing so, the Commission draws on its submission to the INSLM in relation to the inquiry leading to his report. A copy of that submission is contained in </w:t>
      </w:r>
      <w:r w:rsidRPr="00C42808">
        <w:rPr>
          <w:rFonts w:cs="Open Sans"/>
          <w:b/>
          <w:bCs/>
        </w:rPr>
        <w:t>Attachment B</w:t>
      </w:r>
      <w:r>
        <w:rPr>
          <w:rFonts w:cs="Open Sans"/>
        </w:rPr>
        <w:t>.</w:t>
      </w:r>
    </w:p>
    <w:p w14:paraId="4408A33E" w14:textId="1ABDF01E" w:rsidR="002F37B1" w:rsidRPr="002F37B1" w:rsidRDefault="002F37B1" w:rsidP="00A57599">
      <w:pPr>
        <w:pStyle w:val="Heading1"/>
      </w:pPr>
      <w:bookmarkStart w:id="70" w:name="_Toc17377657"/>
      <w:r w:rsidRPr="002F37B1">
        <w:t>Section 15AA of the Crimes Act</w:t>
      </w:r>
      <w:bookmarkEnd w:id="70"/>
    </w:p>
    <w:p w14:paraId="7FF395DA" w14:textId="25FA9359" w:rsidR="002F37B1" w:rsidRDefault="002F37B1" w:rsidP="004127F8">
      <w:pPr>
        <w:pStyle w:val="ListNumber"/>
        <w:numPr>
          <w:ilvl w:val="0"/>
          <w:numId w:val="16"/>
        </w:numPr>
        <w:tabs>
          <w:tab w:val="clear" w:pos="1134"/>
        </w:tabs>
        <w:ind w:left="709" w:hanging="567"/>
      </w:pPr>
      <w:r>
        <w:t xml:space="preserve">Section </w:t>
      </w:r>
      <w:r>
        <w:rPr>
          <w:rFonts w:cs="Open Sans"/>
        </w:rPr>
        <w:t>15AA of the Crimes Act provides that in the case of persons charged with certain offences, bail must not be granted unless there are ‘exceptional circumstances’</w:t>
      </w:r>
      <w:r w:rsidR="000F4EBE">
        <w:rPr>
          <w:rFonts w:cs="Open Sans"/>
        </w:rPr>
        <w:t xml:space="preserve"> to justify bail</w:t>
      </w:r>
      <w:r>
        <w:rPr>
          <w:rFonts w:cs="Open Sans"/>
        </w:rPr>
        <w:t>.</w:t>
      </w:r>
      <w:r w:rsidR="00953AC9">
        <w:rPr>
          <w:rStyle w:val="EndnoteReference"/>
          <w:rFonts w:cs="Open Sans"/>
        </w:rPr>
        <w:endnoteReference w:id="7"/>
      </w:r>
    </w:p>
    <w:p w14:paraId="62EB47C1" w14:textId="18F37F7F" w:rsidR="002F37B1" w:rsidRDefault="002F37B1" w:rsidP="004127F8">
      <w:pPr>
        <w:pStyle w:val="ListNumber"/>
        <w:numPr>
          <w:ilvl w:val="0"/>
          <w:numId w:val="16"/>
        </w:numPr>
        <w:tabs>
          <w:tab w:val="clear" w:pos="1134"/>
        </w:tabs>
        <w:ind w:left="709" w:hanging="567"/>
      </w:pPr>
      <w:r>
        <w:t xml:space="preserve">The </w:t>
      </w:r>
      <w:r>
        <w:rPr>
          <w:rFonts w:cs="Open Sans"/>
        </w:rPr>
        <w:t>INSLM considered whether the presumption against bail in s 15AA should, insofar as it relates to children, be retained. He concluded that it should.</w:t>
      </w:r>
      <w:r w:rsidR="000F4EBE">
        <w:rPr>
          <w:rStyle w:val="EndnoteReference"/>
          <w:rFonts w:cs="Open Sans"/>
        </w:rPr>
        <w:endnoteReference w:id="8"/>
      </w:r>
      <w:r>
        <w:rPr>
          <w:rFonts w:cs="Open Sans"/>
        </w:rPr>
        <w:t xml:space="preserve"> With respect, the Commission does not agree with this view.</w:t>
      </w:r>
    </w:p>
    <w:p w14:paraId="18BD5933" w14:textId="70D51971" w:rsidR="002F37B1" w:rsidRPr="002F37B1" w:rsidRDefault="002F37B1" w:rsidP="004127F8">
      <w:pPr>
        <w:pStyle w:val="ListNumber"/>
        <w:numPr>
          <w:ilvl w:val="0"/>
          <w:numId w:val="16"/>
        </w:numPr>
        <w:tabs>
          <w:tab w:val="clear" w:pos="1134"/>
        </w:tabs>
        <w:ind w:left="709" w:hanging="567"/>
      </w:pPr>
      <w:r>
        <w:t xml:space="preserve">For </w:t>
      </w:r>
      <w:r>
        <w:rPr>
          <w:rFonts w:cs="Open Sans"/>
        </w:rPr>
        <w:t>the reasons given in its submission to the INSLM, the Commission considers that a presumption against bail is not consistent with the human rights of affected c</w:t>
      </w:r>
      <w:bookmarkStart w:id="71" w:name="_GoBack"/>
      <w:bookmarkEnd w:id="71"/>
      <w:r>
        <w:rPr>
          <w:rFonts w:cs="Open Sans"/>
        </w:rPr>
        <w:t>hildren as it can lead to the detention of children in circumstances where it is not shown to be strictly necessary.</w:t>
      </w:r>
      <w:r w:rsidR="000F4EBE">
        <w:rPr>
          <w:rStyle w:val="EndnoteReference"/>
          <w:rFonts w:cs="Open Sans"/>
        </w:rPr>
        <w:endnoteReference w:id="9"/>
      </w:r>
      <w:r>
        <w:rPr>
          <w:rFonts w:cs="Open Sans"/>
        </w:rPr>
        <w:t xml:space="preserve"> The Commission therefore repeats the recommendation it made to the INSLM that s 15AA be amended so that it does not apply to children.</w:t>
      </w:r>
      <w:r w:rsidR="00BB4053">
        <w:rPr>
          <w:rStyle w:val="EndnoteReference"/>
          <w:rFonts w:cs="Open Sans"/>
        </w:rPr>
        <w:endnoteReference w:id="10"/>
      </w:r>
    </w:p>
    <w:p w14:paraId="491C7883" w14:textId="77777777" w:rsidR="002F37B1" w:rsidRPr="002F37B1" w:rsidRDefault="002F37B1" w:rsidP="00A57599">
      <w:pPr>
        <w:pStyle w:val="Heading1"/>
      </w:pPr>
      <w:bookmarkStart w:id="72" w:name="_Toc17377658"/>
      <w:r w:rsidRPr="002F37B1">
        <w:t>Section 19AG of the Crimes Act</w:t>
      </w:r>
      <w:bookmarkEnd w:id="72"/>
    </w:p>
    <w:p w14:paraId="36D85937" w14:textId="27D6F738" w:rsidR="002F37B1" w:rsidRPr="002F37B1" w:rsidRDefault="002F37B1" w:rsidP="004127F8">
      <w:pPr>
        <w:pStyle w:val="ListNumber"/>
        <w:numPr>
          <w:ilvl w:val="0"/>
          <w:numId w:val="16"/>
        </w:numPr>
        <w:tabs>
          <w:tab w:val="clear" w:pos="1134"/>
        </w:tabs>
        <w:ind w:left="709" w:hanging="567"/>
      </w:pPr>
      <w:r>
        <w:t xml:space="preserve">Section </w:t>
      </w:r>
      <w:r>
        <w:rPr>
          <w:rFonts w:cs="Open Sans"/>
        </w:rPr>
        <w:t xml:space="preserve">19AG of the Crimes Act provides that in sentencing people following conviction for certain terrorism offences, courts must impose a mandatory non-parole period of </w:t>
      </w:r>
      <w:r w:rsidR="00B03A1C">
        <w:rPr>
          <w:rFonts w:cs="Open Sans"/>
        </w:rPr>
        <w:t xml:space="preserve">three-quarters </w:t>
      </w:r>
      <w:r>
        <w:rPr>
          <w:rFonts w:cs="Open Sans"/>
        </w:rPr>
        <w:t>of the head sentence.</w:t>
      </w:r>
    </w:p>
    <w:p w14:paraId="0DC3B217" w14:textId="7CD6F44F" w:rsidR="002F37B1" w:rsidRPr="002F37B1" w:rsidRDefault="002F37B1" w:rsidP="004127F8">
      <w:pPr>
        <w:pStyle w:val="ListNumber"/>
        <w:numPr>
          <w:ilvl w:val="0"/>
          <w:numId w:val="16"/>
        </w:numPr>
        <w:tabs>
          <w:tab w:val="clear" w:pos="1134"/>
        </w:tabs>
        <w:ind w:left="709" w:hanging="567"/>
      </w:pPr>
      <w:r>
        <w:rPr>
          <w:rFonts w:cs="Open Sans"/>
        </w:rPr>
        <w:t xml:space="preserve">As explained in the Commission’s submission to the INSLM, the </w:t>
      </w:r>
      <w:r w:rsidRPr="00C42808">
        <w:rPr>
          <w:rFonts w:cs="Open Sans"/>
          <w:i/>
          <w:iCs/>
        </w:rPr>
        <w:t>Convention on the Rights of the Child</w:t>
      </w:r>
      <w:r>
        <w:rPr>
          <w:rStyle w:val="EndnoteReference"/>
          <w:rFonts w:cs="Open Sans"/>
        </w:rPr>
        <w:endnoteReference w:id="11"/>
      </w:r>
      <w:r>
        <w:rPr>
          <w:rFonts w:cs="Open Sans"/>
        </w:rPr>
        <w:t xml:space="preserve"> (CRC) requires that courts must have full </w:t>
      </w:r>
      <w:r>
        <w:rPr>
          <w:rFonts w:cs="Open Sans"/>
        </w:rPr>
        <w:lastRenderedPageBreak/>
        <w:t>discretion when sentencing children to ensure that they are detained for the shortest appropriate periods of time for the purposes of rehabilitation and restorative justice.</w:t>
      </w:r>
      <w:r w:rsidR="00BC5B36">
        <w:rPr>
          <w:rStyle w:val="EndnoteReference"/>
          <w:rFonts w:cs="Open Sans"/>
        </w:rPr>
        <w:endnoteReference w:id="12"/>
      </w:r>
      <w:r>
        <w:rPr>
          <w:rFonts w:cs="Open Sans"/>
        </w:rPr>
        <w:t xml:space="preserve"> For that reason, the Commission submitted that </w:t>
      </w:r>
      <w:r w:rsidR="00B03A1C">
        <w:rPr>
          <w:rFonts w:cs="Open Sans"/>
        </w:rPr>
        <w:t>s </w:t>
      </w:r>
      <w:r>
        <w:rPr>
          <w:rFonts w:cs="Open Sans"/>
        </w:rPr>
        <w:t>19AG should be amended so that it does not apply to children.</w:t>
      </w:r>
      <w:r w:rsidR="00867399">
        <w:rPr>
          <w:rStyle w:val="EndnoteReference"/>
          <w:rFonts w:cs="Open Sans"/>
        </w:rPr>
        <w:endnoteReference w:id="13"/>
      </w:r>
      <w:r>
        <w:rPr>
          <w:rFonts w:cs="Open Sans"/>
        </w:rPr>
        <w:t xml:space="preserve"> The INSLM agreed with this view.</w:t>
      </w:r>
      <w:r w:rsidR="00867399">
        <w:rPr>
          <w:rStyle w:val="EndnoteReference"/>
          <w:rFonts w:cs="Open Sans"/>
        </w:rPr>
        <w:endnoteReference w:id="14"/>
      </w:r>
      <w:r>
        <w:rPr>
          <w:rFonts w:cs="Open Sans"/>
        </w:rPr>
        <w:t xml:space="preserve">  </w:t>
      </w:r>
    </w:p>
    <w:p w14:paraId="77A8F8A7" w14:textId="3AB9B926" w:rsidR="002F37B1" w:rsidRPr="002F37B1" w:rsidRDefault="002F37B1" w:rsidP="004127F8">
      <w:pPr>
        <w:pStyle w:val="ListNumber"/>
        <w:numPr>
          <w:ilvl w:val="0"/>
          <w:numId w:val="16"/>
        </w:numPr>
        <w:tabs>
          <w:tab w:val="clear" w:pos="1134"/>
        </w:tabs>
        <w:ind w:left="709" w:hanging="567"/>
      </w:pPr>
      <w:r>
        <w:rPr>
          <w:rFonts w:cs="Open Sans"/>
        </w:rPr>
        <w:t xml:space="preserve">The Commission therefore repeats the recommendation it made to the INSLM that </w:t>
      </w:r>
      <w:r w:rsidRPr="00F82B02">
        <w:rPr>
          <w:rFonts w:cs="Open Sans"/>
        </w:rPr>
        <w:t>s 19AG should be amended so that it does not apply to children.</w:t>
      </w:r>
    </w:p>
    <w:p w14:paraId="7264062E" w14:textId="77777777" w:rsidR="002F37B1" w:rsidRPr="002F37B1" w:rsidRDefault="002F37B1" w:rsidP="00A57599">
      <w:pPr>
        <w:pStyle w:val="Heading1"/>
      </w:pPr>
      <w:bookmarkStart w:id="73" w:name="_Toc17377659"/>
      <w:r w:rsidRPr="002F37B1">
        <w:t>Proposed s 19ALB of the Crimes Act</w:t>
      </w:r>
      <w:bookmarkEnd w:id="73"/>
    </w:p>
    <w:p w14:paraId="41DA6E4F" w14:textId="5D677A27" w:rsidR="002F37B1" w:rsidRPr="002F37B1" w:rsidRDefault="002F37B1" w:rsidP="004127F8">
      <w:pPr>
        <w:pStyle w:val="ListNumber"/>
        <w:numPr>
          <w:ilvl w:val="0"/>
          <w:numId w:val="16"/>
        </w:numPr>
        <w:tabs>
          <w:tab w:val="clear" w:pos="1134"/>
        </w:tabs>
        <w:ind w:left="709" w:hanging="567"/>
      </w:pPr>
      <w:r>
        <w:rPr>
          <w:rFonts w:cs="Open Sans"/>
        </w:rPr>
        <w:t xml:space="preserve">As section 19ALB was proposed for the first time in the Lapsed Bill, it is not considered in the INSLM Report. However, the principles explained in the Commission’s submission to the INSLM indicate that, in the case of children, </w:t>
      </w:r>
      <w:r w:rsidR="003A4FD2">
        <w:rPr>
          <w:rFonts w:cs="Open Sans"/>
        </w:rPr>
        <w:t xml:space="preserve">there should </w:t>
      </w:r>
      <w:r>
        <w:rPr>
          <w:rFonts w:cs="Open Sans"/>
        </w:rPr>
        <w:t>be a rebuttable presumption in favour of parole.</w:t>
      </w:r>
      <w:r>
        <w:rPr>
          <w:rStyle w:val="EndnoteReference"/>
          <w:rFonts w:cs="Open Sans"/>
        </w:rPr>
        <w:endnoteReference w:id="15"/>
      </w:r>
      <w:r>
        <w:rPr>
          <w:rFonts w:cs="Open Sans"/>
        </w:rPr>
        <w:t xml:space="preserve"> The proposed section would create the opposite presumption. For this reason, the Commission recommends that in the event s 19ALB is introduced into the Crimes Act, it should be amended so that it does not apply to children.</w:t>
      </w:r>
    </w:p>
    <w:p w14:paraId="0E4B6D10" w14:textId="77777777" w:rsidR="002F37B1" w:rsidRPr="002F37B1" w:rsidRDefault="002F37B1" w:rsidP="00A57599">
      <w:pPr>
        <w:pStyle w:val="Heading1"/>
      </w:pPr>
      <w:bookmarkStart w:id="74" w:name="_Toc17377660"/>
      <w:r w:rsidRPr="002F37B1">
        <w:t>‘Primary’ and ‘paramount’ considerations</w:t>
      </w:r>
      <w:bookmarkEnd w:id="74"/>
    </w:p>
    <w:p w14:paraId="5A3F5A33" w14:textId="65C602F5" w:rsidR="002F37B1" w:rsidRPr="002F37B1" w:rsidRDefault="002F37B1" w:rsidP="004127F8">
      <w:pPr>
        <w:pStyle w:val="ListNumber"/>
        <w:numPr>
          <w:ilvl w:val="0"/>
          <w:numId w:val="16"/>
        </w:numPr>
        <w:tabs>
          <w:tab w:val="clear" w:pos="1134"/>
        </w:tabs>
        <w:ind w:left="709" w:hanging="567"/>
      </w:pPr>
      <w:r>
        <w:rPr>
          <w:rFonts w:cs="Open Sans"/>
        </w:rPr>
        <w:t>If the Bill were passed in its present form, the presumptions against bail, parole, and shorter non-parole periods would apply unless there are shown to be ‘exceptional circumstances</w:t>
      </w:r>
      <w:r w:rsidR="00B03A1C">
        <w:rPr>
          <w:rFonts w:cs="Open Sans"/>
        </w:rPr>
        <w:t>’</w:t>
      </w:r>
      <w:r>
        <w:rPr>
          <w:rFonts w:cs="Open Sans"/>
        </w:rPr>
        <w:t>.</w:t>
      </w:r>
      <w:r>
        <w:rPr>
          <w:rStyle w:val="EndnoteReference"/>
          <w:rFonts w:cs="Open Sans"/>
        </w:rPr>
        <w:endnoteReference w:id="16"/>
      </w:r>
      <w:r>
        <w:rPr>
          <w:rFonts w:cs="Open Sans"/>
        </w:rPr>
        <w:t xml:space="preserve"> The Bill would have the effect that a court, in considering whether ‘exceptional circumstances’ exist, would be obliged to consider the best interests of the child as ‘a primary consideration’, and the protection</w:t>
      </w:r>
      <w:r w:rsidR="003A4FD2">
        <w:rPr>
          <w:rFonts w:cs="Open Sans"/>
        </w:rPr>
        <w:t xml:space="preserve"> of</w:t>
      </w:r>
      <w:r>
        <w:rPr>
          <w:rFonts w:cs="Open Sans"/>
        </w:rPr>
        <w:t xml:space="preserve"> the community as ‘the paramount consideration’. This appears to adopt a recommendation made by the INSLM in relation to the current s 15AA of the Crimes Act.</w:t>
      </w:r>
      <w:r>
        <w:rPr>
          <w:rStyle w:val="EndnoteReference"/>
          <w:rFonts w:cs="Open Sans"/>
        </w:rPr>
        <w:endnoteReference w:id="17"/>
      </w:r>
      <w:r>
        <w:rPr>
          <w:rFonts w:cs="Open Sans"/>
        </w:rPr>
        <w:t xml:space="preserve"> </w:t>
      </w:r>
    </w:p>
    <w:p w14:paraId="4BAFA5E9" w14:textId="05F65CAD" w:rsidR="002F37B1" w:rsidRPr="002F37B1" w:rsidRDefault="002F37B1" w:rsidP="004127F8">
      <w:pPr>
        <w:pStyle w:val="ListNumber"/>
        <w:numPr>
          <w:ilvl w:val="0"/>
          <w:numId w:val="16"/>
        </w:numPr>
        <w:tabs>
          <w:tab w:val="clear" w:pos="1134"/>
        </w:tabs>
        <w:ind w:left="709" w:hanging="567"/>
      </w:pPr>
      <w:r>
        <w:rPr>
          <w:rFonts w:cs="Open Sans"/>
        </w:rPr>
        <w:t>For the reasons given in the Commission’s previous submission to the Committee, this approach is not consistent with the human rights of affected children.</w:t>
      </w:r>
    </w:p>
    <w:p w14:paraId="254AE3C8" w14:textId="4EAB0D40" w:rsidR="002F37B1" w:rsidRPr="002F37B1" w:rsidRDefault="002F37B1" w:rsidP="004127F8">
      <w:pPr>
        <w:pStyle w:val="ListNumber"/>
        <w:numPr>
          <w:ilvl w:val="0"/>
          <w:numId w:val="16"/>
        </w:numPr>
        <w:tabs>
          <w:tab w:val="clear" w:pos="1134"/>
        </w:tabs>
        <w:ind w:left="709" w:hanging="567"/>
      </w:pPr>
      <w:r>
        <w:rPr>
          <w:rFonts w:cs="Open Sans"/>
        </w:rPr>
        <w:t>In all decisions involving a child, the CRC requires the best interests of that child to be a primary consideration.</w:t>
      </w:r>
      <w:r>
        <w:rPr>
          <w:rStyle w:val="EndnoteReference"/>
          <w:rFonts w:cs="Open Sans"/>
        </w:rPr>
        <w:endnoteReference w:id="18"/>
      </w:r>
      <w:r>
        <w:rPr>
          <w:rFonts w:cs="Open Sans"/>
        </w:rPr>
        <w:t xml:space="preserve"> The Commission therefore considers that if the various provisions do continue to apply to children, this requirement should continue to apply.</w:t>
      </w:r>
    </w:p>
    <w:p w14:paraId="4E573992" w14:textId="34ACC3EE" w:rsidR="002F37B1" w:rsidRPr="002F37B1" w:rsidRDefault="003A4FD2" w:rsidP="004127F8">
      <w:pPr>
        <w:pStyle w:val="ListNumber"/>
        <w:numPr>
          <w:ilvl w:val="0"/>
          <w:numId w:val="16"/>
        </w:numPr>
        <w:tabs>
          <w:tab w:val="clear" w:pos="1134"/>
        </w:tabs>
        <w:ind w:left="709" w:hanging="567"/>
      </w:pPr>
      <w:r>
        <w:rPr>
          <w:rFonts w:cs="Open Sans"/>
        </w:rPr>
        <w:t>While it is conceivable that the Crimes Act could establish more than one primary consideration</w:t>
      </w:r>
      <w:r w:rsidR="002F37B1">
        <w:rPr>
          <w:rFonts w:cs="Open Sans"/>
        </w:rPr>
        <w:t xml:space="preserve">, it is not consistent with the concept of a ‘primary’ </w:t>
      </w:r>
      <w:r w:rsidR="002F37B1">
        <w:rPr>
          <w:rFonts w:cs="Open Sans"/>
        </w:rPr>
        <w:lastRenderedPageBreak/>
        <w:t>consideration for there to exist some higher, ‘paramount’ consideration</w:t>
      </w:r>
      <w:r>
        <w:rPr>
          <w:rFonts w:cs="Open Sans"/>
        </w:rPr>
        <w:t xml:space="preserve">. The practical problem the Bill creates is that a paramount consideration for community safety might be taken always to outweigh a primary consideration for the best </w:t>
      </w:r>
      <w:r w:rsidR="00516EF5">
        <w:rPr>
          <w:rFonts w:cs="Open Sans"/>
        </w:rPr>
        <w:t xml:space="preserve">interests </w:t>
      </w:r>
      <w:r>
        <w:rPr>
          <w:rFonts w:cs="Open Sans"/>
        </w:rPr>
        <w:t xml:space="preserve">of the child, even if the decision in question would make only a marginal improvement to community safety but have a </w:t>
      </w:r>
      <w:r w:rsidR="00B86D96">
        <w:rPr>
          <w:rFonts w:cs="Open Sans"/>
        </w:rPr>
        <w:t xml:space="preserve">highly </w:t>
      </w:r>
      <w:r>
        <w:rPr>
          <w:rFonts w:cs="Open Sans"/>
        </w:rPr>
        <w:t>d</w:t>
      </w:r>
      <w:r w:rsidR="00B86D96">
        <w:rPr>
          <w:rFonts w:cs="Open Sans"/>
        </w:rPr>
        <w:t>amaging</w:t>
      </w:r>
      <w:r>
        <w:rPr>
          <w:rFonts w:cs="Open Sans"/>
        </w:rPr>
        <w:t xml:space="preserve"> effect on the child in question. By contrast, if these matters were both primary considerations, they could be considered on their respective merits. </w:t>
      </w:r>
    </w:p>
    <w:p w14:paraId="20BF40DA" w14:textId="77777777" w:rsidR="002F37B1" w:rsidRPr="002F37B1" w:rsidRDefault="002F37B1" w:rsidP="004127F8">
      <w:pPr>
        <w:pStyle w:val="ListNumber"/>
        <w:numPr>
          <w:ilvl w:val="0"/>
          <w:numId w:val="16"/>
        </w:numPr>
        <w:tabs>
          <w:tab w:val="clear" w:pos="1134"/>
        </w:tabs>
        <w:ind w:left="709" w:hanging="567"/>
      </w:pPr>
      <w:r>
        <w:rPr>
          <w:rFonts w:cs="Open Sans"/>
        </w:rPr>
        <w:t>For these reasons, the Commission recommends that the references to the protection of the community being a ‘paramount’ consideration be deleted from the Bill.</w:t>
      </w:r>
    </w:p>
    <w:p w14:paraId="28ECAC88" w14:textId="62E5445F" w:rsidR="002F37B1" w:rsidRPr="002F37B1" w:rsidRDefault="002F37B1" w:rsidP="00A57599">
      <w:pPr>
        <w:pStyle w:val="Heading1"/>
      </w:pPr>
      <w:bookmarkStart w:id="75" w:name="_Toc17377661"/>
      <w:r w:rsidRPr="002F37B1">
        <w:t xml:space="preserve">Conclusion and </w:t>
      </w:r>
      <w:r w:rsidR="003A4FD2">
        <w:t>r</w:t>
      </w:r>
      <w:r w:rsidRPr="002F37B1">
        <w:t>ecommendations</w:t>
      </w:r>
      <w:bookmarkEnd w:id="75"/>
    </w:p>
    <w:p w14:paraId="731EA318" w14:textId="31C81E9A" w:rsidR="002F37B1" w:rsidRPr="002F37B1" w:rsidRDefault="002F37B1" w:rsidP="004127F8">
      <w:pPr>
        <w:pStyle w:val="ListNumber"/>
        <w:numPr>
          <w:ilvl w:val="0"/>
          <w:numId w:val="16"/>
        </w:numPr>
        <w:tabs>
          <w:tab w:val="clear" w:pos="1134"/>
        </w:tabs>
        <w:ind w:left="709" w:hanging="567"/>
      </w:pPr>
      <w:r>
        <w:rPr>
          <w:rFonts w:cs="Open Sans"/>
        </w:rPr>
        <w:t>The Commission repeats the substance of Recommendations 1 and 3 of its previous submission to the Committee, for the reasons given in that submission. (With the release of the INSLM’s report, Recommendation 2 in that submission is otiose). In light of the release of the INSLM report, the Commission also repeats its recommendations made to the INSLM that the bail and parole provisions of the Crimes Act affected by the Bill should be amended so that they do not apply to children.</w:t>
      </w:r>
    </w:p>
    <w:p w14:paraId="064D8B1E" w14:textId="052E941A" w:rsidR="002F37B1" w:rsidRPr="002F37B1" w:rsidRDefault="002F37B1" w:rsidP="004127F8">
      <w:pPr>
        <w:pStyle w:val="ListNumber"/>
        <w:numPr>
          <w:ilvl w:val="0"/>
          <w:numId w:val="16"/>
        </w:numPr>
        <w:tabs>
          <w:tab w:val="clear" w:pos="1134"/>
        </w:tabs>
        <w:ind w:left="709" w:hanging="567"/>
      </w:pPr>
      <w:r>
        <w:rPr>
          <w:rFonts w:cs="Open Sans"/>
        </w:rPr>
        <w:t>For clarity, the Commission has collated and reordered these various recommendations below. The numbering of these recommendations has consequently changed from that in the Commission’s previous submissions.</w:t>
      </w:r>
    </w:p>
    <w:p w14:paraId="7B4C00BC" w14:textId="77777777" w:rsidR="002F37B1" w:rsidRPr="00575CF6" w:rsidRDefault="002F37B1" w:rsidP="000D1683">
      <w:pPr>
        <w:pStyle w:val="NoSpacing"/>
        <w:keepNext/>
        <w:keepLines/>
        <w:ind w:left="709"/>
        <w:rPr>
          <w:rFonts w:cs="Open Sans"/>
          <w:b/>
          <w:bCs/>
        </w:rPr>
      </w:pPr>
      <w:r w:rsidRPr="00575CF6">
        <w:rPr>
          <w:rFonts w:cs="Open Sans"/>
          <w:b/>
          <w:bCs/>
        </w:rPr>
        <w:t>Recommendation 1</w:t>
      </w:r>
    </w:p>
    <w:p w14:paraId="2DC532A5" w14:textId="77777777" w:rsidR="002F37B1" w:rsidRDefault="002F37B1" w:rsidP="000D1683">
      <w:pPr>
        <w:pStyle w:val="NoSpacing"/>
        <w:keepNext/>
        <w:keepLines/>
        <w:ind w:left="709"/>
        <w:rPr>
          <w:rFonts w:cs="Open Sans"/>
        </w:rPr>
      </w:pPr>
    </w:p>
    <w:p w14:paraId="0134B1A5" w14:textId="77777777" w:rsidR="002F37B1" w:rsidRDefault="002F37B1" w:rsidP="000D1683">
      <w:pPr>
        <w:pStyle w:val="NoSpacing"/>
        <w:ind w:left="709"/>
        <w:rPr>
          <w:rFonts w:cs="Open Sans"/>
        </w:rPr>
      </w:pPr>
      <w:r>
        <w:rPr>
          <w:rFonts w:cs="Open Sans"/>
        </w:rPr>
        <w:t>Section 15</w:t>
      </w:r>
      <w:proofErr w:type="gramStart"/>
      <w:r>
        <w:rPr>
          <w:rFonts w:cs="Open Sans"/>
        </w:rPr>
        <w:t>AA(</w:t>
      </w:r>
      <w:proofErr w:type="gramEnd"/>
      <w:r>
        <w:rPr>
          <w:rFonts w:cs="Open Sans"/>
        </w:rPr>
        <w:t>1) of the Crimes Act should be amended so that it does not apply to children.</w:t>
      </w:r>
    </w:p>
    <w:p w14:paraId="5D8FC847" w14:textId="77777777" w:rsidR="002F37B1" w:rsidRDefault="002F37B1" w:rsidP="000D1683">
      <w:pPr>
        <w:pStyle w:val="NoSpacing"/>
        <w:ind w:left="709"/>
        <w:rPr>
          <w:rFonts w:cs="Open Sans"/>
        </w:rPr>
      </w:pPr>
    </w:p>
    <w:p w14:paraId="7003349E" w14:textId="77777777" w:rsidR="002F37B1" w:rsidRPr="00575CF6" w:rsidRDefault="002F37B1" w:rsidP="000D1683">
      <w:pPr>
        <w:pStyle w:val="NoSpacing"/>
        <w:keepNext/>
        <w:keepLines/>
        <w:ind w:left="709"/>
        <w:rPr>
          <w:rFonts w:cs="Open Sans"/>
          <w:b/>
          <w:bCs/>
        </w:rPr>
      </w:pPr>
      <w:r w:rsidRPr="00575CF6">
        <w:rPr>
          <w:rFonts w:cs="Open Sans"/>
          <w:b/>
          <w:bCs/>
        </w:rPr>
        <w:t>Recommendation 2</w:t>
      </w:r>
    </w:p>
    <w:p w14:paraId="46067B1F" w14:textId="77777777" w:rsidR="002F37B1" w:rsidRDefault="002F37B1" w:rsidP="000D1683">
      <w:pPr>
        <w:pStyle w:val="NoSpacing"/>
        <w:keepNext/>
        <w:keepLines/>
        <w:ind w:left="709"/>
        <w:rPr>
          <w:rFonts w:cs="Open Sans"/>
        </w:rPr>
      </w:pPr>
    </w:p>
    <w:p w14:paraId="01AE397E" w14:textId="77777777" w:rsidR="002F37B1" w:rsidRDefault="002F37B1" w:rsidP="000D1683">
      <w:pPr>
        <w:pStyle w:val="NoSpacing"/>
        <w:ind w:left="709"/>
        <w:rPr>
          <w:rFonts w:cs="Open Sans"/>
        </w:rPr>
      </w:pPr>
      <w:r>
        <w:rPr>
          <w:rFonts w:cs="Open Sans"/>
        </w:rPr>
        <w:t>The proposed amendments to s 15AA of the Crimes Act should not be passed.</w:t>
      </w:r>
    </w:p>
    <w:p w14:paraId="13E05976" w14:textId="77777777" w:rsidR="002F37B1" w:rsidRDefault="002F37B1" w:rsidP="000D1683">
      <w:pPr>
        <w:pStyle w:val="NoSpacing"/>
        <w:ind w:left="709"/>
        <w:rPr>
          <w:rFonts w:cs="Open Sans"/>
        </w:rPr>
      </w:pPr>
    </w:p>
    <w:p w14:paraId="20D4D0AC" w14:textId="77777777" w:rsidR="002F37B1" w:rsidRPr="00575CF6" w:rsidRDefault="002F37B1" w:rsidP="000D1683">
      <w:pPr>
        <w:pStyle w:val="NoSpacing"/>
        <w:keepNext/>
        <w:keepLines/>
        <w:ind w:left="709"/>
        <w:rPr>
          <w:rFonts w:cs="Open Sans"/>
          <w:b/>
          <w:bCs/>
        </w:rPr>
      </w:pPr>
      <w:r w:rsidRPr="00575CF6">
        <w:rPr>
          <w:rFonts w:cs="Open Sans"/>
          <w:b/>
          <w:bCs/>
        </w:rPr>
        <w:t>Recommendation 3</w:t>
      </w:r>
    </w:p>
    <w:p w14:paraId="1F5627EF" w14:textId="77777777" w:rsidR="002F37B1" w:rsidRDefault="002F37B1" w:rsidP="000D1683">
      <w:pPr>
        <w:pStyle w:val="NoSpacing"/>
        <w:keepNext/>
        <w:keepLines/>
        <w:ind w:left="709"/>
        <w:rPr>
          <w:rFonts w:cs="Open Sans"/>
        </w:rPr>
      </w:pPr>
    </w:p>
    <w:p w14:paraId="4746C04F" w14:textId="5939A011" w:rsidR="002F37B1" w:rsidRDefault="002F37B1" w:rsidP="000D1683">
      <w:pPr>
        <w:pStyle w:val="NoSpacing"/>
        <w:ind w:left="709"/>
        <w:rPr>
          <w:rFonts w:cs="Open Sans"/>
        </w:rPr>
      </w:pPr>
      <w:r>
        <w:rPr>
          <w:rFonts w:cs="Open Sans"/>
        </w:rPr>
        <w:t>If Recommendations 1 and 2 are not accepted, proposed s 15AA(3</w:t>
      </w:r>
      <w:proofErr w:type="gramStart"/>
      <w:r>
        <w:rPr>
          <w:rFonts w:cs="Open Sans"/>
        </w:rPr>
        <w:t>AA)(</w:t>
      </w:r>
      <w:proofErr w:type="gramEnd"/>
      <w:r>
        <w:rPr>
          <w:rFonts w:cs="Open Sans"/>
        </w:rPr>
        <w:t xml:space="preserve">a) should be deleted, or, if that is not accepted, </w:t>
      </w:r>
      <w:bookmarkStart w:id="76" w:name="_Hlk17234569"/>
      <w:r>
        <w:rPr>
          <w:rFonts w:cs="Open Sans"/>
        </w:rPr>
        <w:t xml:space="preserve">amended so that the </w:t>
      </w:r>
      <w:r>
        <w:rPr>
          <w:rFonts w:cs="Open Sans"/>
        </w:rPr>
        <w:lastRenderedPageBreak/>
        <w:t xml:space="preserve">protection of the community is at most another </w:t>
      </w:r>
      <w:r w:rsidR="00E22E9F">
        <w:rPr>
          <w:rFonts w:cs="Open Sans"/>
        </w:rPr>
        <w:t>‘</w:t>
      </w:r>
      <w:r>
        <w:rPr>
          <w:rFonts w:cs="Open Sans"/>
        </w:rPr>
        <w:t>primary</w:t>
      </w:r>
      <w:r w:rsidR="00F62189">
        <w:rPr>
          <w:rFonts w:cs="Open Sans"/>
        </w:rPr>
        <w:t>’</w:t>
      </w:r>
      <w:r>
        <w:rPr>
          <w:rFonts w:cs="Open Sans"/>
        </w:rPr>
        <w:t xml:space="preserve"> consideration, rather than the </w:t>
      </w:r>
      <w:r w:rsidR="00F62189">
        <w:rPr>
          <w:rFonts w:cs="Open Sans"/>
        </w:rPr>
        <w:t>‘</w:t>
      </w:r>
      <w:r>
        <w:rPr>
          <w:rFonts w:cs="Open Sans"/>
        </w:rPr>
        <w:t>paramount</w:t>
      </w:r>
      <w:r w:rsidR="00F62189">
        <w:rPr>
          <w:rFonts w:cs="Open Sans"/>
        </w:rPr>
        <w:t>’</w:t>
      </w:r>
      <w:r>
        <w:rPr>
          <w:rFonts w:cs="Open Sans"/>
        </w:rPr>
        <w:t xml:space="preserve"> consideration.</w:t>
      </w:r>
    </w:p>
    <w:bookmarkEnd w:id="76"/>
    <w:p w14:paraId="004C714B" w14:textId="77777777" w:rsidR="002F37B1" w:rsidRDefault="002F37B1" w:rsidP="000D1683">
      <w:pPr>
        <w:pStyle w:val="NoSpacing"/>
        <w:ind w:left="709"/>
        <w:rPr>
          <w:rFonts w:cs="Open Sans"/>
        </w:rPr>
      </w:pPr>
    </w:p>
    <w:p w14:paraId="0FA2EE84" w14:textId="77777777" w:rsidR="002F37B1" w:rsidRPr="00575CF6" w:rsidRDefault="002F37B1" w:rsidP="000D1683">
      <w:pPr>
        <w:pStyle w:val="NoSpacing"/>
        <w:keepNext/>
        <w:keepLines/>
        <w:ind w:left="709"/>
        <w:rPr>
          <w:rFonts w:cs="Open Sans"/>
          <w:b/>
          <w:bCs/>
        </w:rPr>
      </w:pPr>
      <w:r w:rsidRPr="00575CF6">
        <w:rPr>
          <w:rFonts w:cs="Open Sans"/>
          <w:b/>
          <w:bCs/>
        </w:rPr>
        <w:t>Recommendation 4</w:t>
      </w:r>
    </w:p>
    <w:p w14:paraId="78A4EE21" w14:textId="77777777" w:rsidR="002F37B1" w:rsidRDefault="002F37B1" w:rsidP="000D1683">
      <w:pPr>
        <w:pStyle w:val="NoSpacing"/>
        <w:keepNext/>
        <w:keepLines/>
        <w:ind w:left="709"/>
        <w:rPr>
          <w:rFonts w:cs="Open Sans"/>
        </w:rPr>
      </w:pPr>
    </w:p>
    <w:p w14:paraId="6A506EB0" w14:textId="77777777" w:rsidR="002F37B1" w:rsidRDefault="002F37B1" w:rsidP="000D1683">
      <w:pPr>
        <w:pStyle w:val="NoSpacing"/>
        <w:ind w:left="709"/>
        <w:rPr>
          <w:rFonts w:cs="Open Sans"/>
        </w:rPr>
      </w:pPr>
      <w:r>
        <w:rPr>
          <w:rFonts w:cs="Open Sans"/>
        </w:rPr>
        <w:t>Section 19AG of the Crimes Act should be amended so that it does not apply to children.</w:t>
      </w:r>
    </w:p>
    <w:p w14:paraId="2AB34E59" w14:textId="77777777" w:rsidR="002F37B1" w:rsidRDefault="002F37B1" w:rsidP="000D1683">
      <w:pPr>
        <w:pStyle w:val="NoSpacing"/>
        <w:ind w:left="709"/>
        <w:rPr>
          <w:rFonts w:cs="Open Sans"/>
        </w:rPr>
      </w:pPr>
    </w:p>
    <w:p w14:paraId="3BD18233" w14:textId="77777777" w:rsidR="002F37B1" w:rsidRPr="00575CF6" w:rsidRDefault="002F37B1" w:rsidP="000D1683">
      <w:pPr>
        <w:pStyle w:val="NoSpacing"/>
        <w:keepNext/>
        <w:keepLines/>
        <w:ind w:left="709"/>
        <w:rPr>
          <w:rFonts w:cs="Open Sans"/>
          <w:b/>
          <w:bCs/>
        </w:rPr>
      </w:pPr>
      <w:r w:rsidRPr="00575CF6">
        <w:rPr>
          <w:rFonts w:cs="Open Sans"/>
          <w:b/>
          <w:bCs/>
        </w:rPr>
        <w:t>Recommendation 5</w:t>
      </w:r>
    </w:p>
    <w:p w14:paraId="6F7CBE82" w14:textId="77777777" w:rsidR="002F37B1" w:rsidRDefault="002F37B1" w:rsidP="000D1683">
      <w:pPr>
        <w:pStyle w:val="NoSpacing"/>
        <w:keepNext/>
        <w:keepLines/>
        <w:ind w:left="709"/>
        <w:rPr>
          <w:rFonts w:cs="Open Sans"/>
        </w:rPr>
      </w:pPr>
    </w:p>
    <w:p w14:paraId="1FA57538" w14:textId="77777777" w:rsidR="002F37B1" w:rsidRDefault="002F37B1" w:rsidP="000D1683">
      <w:pPr>
        <w:pStyle w:val="NoSpacing"/>
        <w:ind w:left="709"/>
        <w:rPr>
          <w:rFonts w:cs="Open Sans"/>
        </w:rPr>
      </w:pPr>
      <w:r>
        <w:rPr>
          <w:rFonts w:cs="Open Sans"/>
        </w:rPr>
        <w:t>If Recommendation 4 is not accepted, proposed s 19AG(4</w:t>
      </w:r>
      <w:proofErr w:type="gramStart"/>
      <w:r>
        <w:rPr>
          <w:rFonts w:cs="Open Sans"/>
        </w:rPr>
        <w:t>B)(</w:t>
      </w:r>
      <w:proofErr w:type="gramEnd"/>
      <w:r>
        <w:rPr>
          <w:rFonts w:cs="Open Sans"/>
        </w:rPr>
        <w:t xml:space="preserve">a) should be deleted, or, if that is not accepted, </w:t>
      </w:r>
      <w:r w:rsidRPr="00575CF6">
        <w:rPr>
          <w:rFonts w:cs="Open Sans"/>
        </w:rPr>
        <w:t>amended so that the protection of the community is at most another primary consideration, rather than the paramount consideration</w:t>
      </w:r>
      <w:r>
        <w:rPr>
          <w:rFonts w:cs="Open Sans"/>
        </w:rPr>
        <w:t>.</w:t>
      </w:r>
    </w:p>
    <w:p w14:paraId="298E9FB7" w14:textId="77777777" w:rsidR="002F37B1" w:rsidRDefault="002F37B1" w:rsidP="000D1683">
      <w:pPr>
        <w:pStyle w:val="NoSpacing"/>
        <w:ind w:left="709"/>
        <w:rPr>
          <w:rFonts w:cs="Open Sans"/>
        </w:rPr>
      </w:pPr>
    </w:p>
    <w:p w14:paraId="5F91F610" w14:textId="77777777" w:rsidR="002F37B1" w:rsidRPr="00E54B34" w:rsidRDefault="002F37B1" w:rsidP="000D1683">
      <w:pPr>
        <w:pStyle w:val="NoSpacing"/>
        <w:keepNext/>
        <w:keepLines/>
        <w:ind w:left="709"/>
        <w:rPr>
          <w:rFonts w:cs="Open Sans"/>
          <w:b/>
          <w:bCs/>
        </w:rPr>
      </w:pPr>
      <w:r w:rsidRPr="00E54B34">
        <w:rPr>
          <w:rFonts w:cs="Open Sans"/>
          <w:b/>
          <w:bCs/>
        </w:rPr>
        <w:t>Recommendation 6</w:t>
      </w:r>
    </w:p>
    <w:p w14:paraId="7D99A1B2" w14:textId="77777777" w:rsidR="002F37B1" w:rsidRDefault="002F37B1" w:rsidP="000D1683">
      <w:pPr>
        <w:pStyle w:val="NoSpacing"/>
        <w:keepNext/>
        <w:keepLines/>
        <w:ind w:left="709"/>
        <w:rPr>
          <w:rFonts w:cs="Open Sans"/>
        </w:rPr>
      </w:pPr>
    </w:p>
    <w:p w14:paraId="09DD1A5C" w14:textId="77777777" w:rsidR="002F37B1" w:rsidRDefault="002F37B1" w:rsidP="000D1683">
      <w:pPr>
        <w:pStyle w:val="NoSpacing"/>
        <w:ind w:left="709"/>
        <w:rPr>
          <w:rFonts w:cs="Open Sans"/>
        </w:rPr>
      </w:pPr>
      <w:r>
        <w:rPr>
          <w:rFonts w:cs="Open Sans"/>
        </w:rPr>
        <w:t xml:space="preserve">Item 16 of the Bill, which would introduce proposed s 19ALB into the Crimes Act, should not be passed.  </w:t>
      </w:r>
    </w:p>
    <w:p w14:paraId="0248F618" w14:textId="77777777" w:rsidR="002F37B1" w:rsidRDefault="002F37B1" w:rsidP="000D1683">
      <w:pPr>
        <w:pStyle w:val="NoSpacing"/>
        <w:ind w:left="709"/>
        <w:rPr>
          <w:rFonts w:cs="Open Sans"/>
        </w:rPr>
      </w:pPr>
    </w:p>
    <w:p w14:paraId="4415B2D0" w14:textId="77777777" w:rsidR="002F37B1" w:rsidRPr="00E54B34" w:rsidRDefault="002F37B1" w:rsidP="000D1683">
      <w:pPr>
        <w:pStyle w:val="NoSpacing"/>
        <w:keepNext/>
        <w:keepLines/>
        <w:ind w:left="709"/>
        <w:rPr>
          <w:rFonts w:cs="Open Sans"/>
          <w:b/>
          <w:bCs/>
        </w:rPr>
      </w:pPr>
      <w:r w:rsidRPr="00E54B34">
        <w:rPr>
          <w:rFonts w:cs="Open Sans"/>
          <w:b/>
          <w:bCs/>
        </w:rPr>
        <w:t>Recommendation 7</w:t>
      </w:r>
    </w:p>
    <w:p w14:paraId="0F79A2F8" w14:textId="77777777" w:rsidR="002F37B1" w:rsidRDefault="002F37B1" w:rsidP="000D1683">
      <w:pPr>
        <w:pStyle w:val="NoSpacing"/>
        <w:keepNext/>
        <w:keepLines/>
        <w:ind w:left="709"/>
        <w:rPr>
          <w:rFonts w:cs="Open Sans"/>
        </w:rPr>
      </w:pPr>
    </w:p>
    <w:p w14:paraId="486DC090" w14:textId="77777777" w:rsidR="002F37B1" w:rsidRDefault="002F37B1" w:rsidP="000D1683">
      <w:pPr>
        <w:pStyle w:val="NoSpacing"/>
        <w:ind w:left="709"/>
        <w:rPr>
          <w:rFonts w:cs="Open Sans"/>
        </w:rPr>
      </w:pPr>
      <w:r>
        <w:rPr>
          <w:rFonts w:cs="Open Sans"/>
        </w:rPr>
        <w:t>If Recommendation 6 is not accepted, proposed s 19ALB should be amended so that it does not apply to children.</w:t>
      </w:r>
    </w:p>
    <w:p w14:paraId="35811E31" w14:textId="77777777" w:rsidR="002F37B1" w:rsidRDefault="002F37B1" w:rsidP="000D1683">
      <w:pPr>
        <w:pStyle w:val="NoSpacing"/>
        <w:ind w:left="709"/>
        <w:rPr>
          <w:rFonts w:cs="Open Sans"/>
        </w:rPr>
      </w:pPr>
    </w:p>
    <w:p w14:paraId="35701B63" w14:textId="77777777" w:rsidR="002F37B1" w:rsidRPr="00E54B34" w:rsidRDefault="002F37B1" w:rsidP="000D1683">
      <w:pPr>
        <w:pStyle w:val="NoSpacing"/>
        <w:keepNext/>
        <w:keepLines/>
        <w:ind w:left="709"/>
        <w:rPr>
          <w:rFonts w:cs="Open Sans"/>
          <w:b/>
          <w:bCs/>
        </w:rPr>
      </w:pPr>
      <w:r w:rsidRPr="00E54B34">
        <w:rPr>
          <w:rFonts w:cs="Open Sans"/>
          <w:b/>
          <w:bCs/>
        </w:rPr>
        <w:t>Recommendation 8</w:t>
      </w:r>
    </w:p>
    <w:p w14:paraId="28D779C9" w14:textId="77777777" w:rsidR="002F37B1" w:rsidRDefault="002F37B1" w:rsidP="000D1683">
      <w:pPr>
        <w:pStyle w:val="NoSpacing"/>
        <w:keepNext/>
        <w:keepLines/>
        <w:ind w:left="709"/>
        <w:rPr>
          <w:rFonts w:cs="Open Sans"/>
        </w:rPr>
      </w:pPr>
    </w:p>
    <w:p w14:paraId="6D67DF2C" w14:textId="77777777" w:rsidR="002F37B1" w:rsidRDefault="002F37B1" w:rsidP="000D1683">
      <w:pPr>
        <w:pStyle w:val="NoSpacing"/>
        <w:ind w:left="709"/>
        <w:rPr>
          <w:rFonts w:cs="Open Sans"/>
        </w:rPr>
      </w:pPr>
      <w:r>
        <w:rPr>
          <w:rFonts w:cs="Open Sans"/>
        </w:rPr>
        <w:t xml:space="preserve">If Recommendations 6 and 7 are not accepted, proposed s 19ALB(3)(a) should be deleted. If that is not accepted, it should be amended </w:t>
      </w:r>
      <w:r w:rsidRPr="00E54B34">
        <w:rPr>
          <w:rFonts w:cs="Open Sans"/>
        </w:rPr>
        <w:t>so that the protection of the community is at most another primary consideration, rather than the paramount consideration.</w:t>
      </w:r>
    </w:p>
    <w:p w14:paraId="44E97BF1" w14:textId="77777777" w:rsidR="002F37B1" w:rsidRDefault="002F37B1" w:rsidP="000D1683">
      <w:pPr>
        <w:pStyle w:val="NoSpacing"/>
        <w:ind w:left="709"/>
        <w:rPr>
          <w:rFonts w:cs="Open Sans"/>
        </w:rPr>
      </w:pPr>
    </w:p>
    <w:p w14:paraId="4C44A830" w14:textId="77777777" w:rsidR="002F37B1" w:rsidRPr="00E54B34" w:rsidRDefault="002F37B1" w:rsidP="000D1683">
      <w:pPr>
        <w:pStyle w:val="NoSpacing"/>
        <w:keepNext/>
        <w:keepLines/>
        <w:ind w:left="709"/>
        <w:rPr>
          <w:rFonts w:cs="Open Sans"/>
          <w:b/>
          <w:bCs/>
        </w:rPr>
      </w:pPr>
      <w:r w:rsidRPr="00E54B34">
        <w:rPr>
          <w:rFonts w:cs="Open Sans"/>
          <w:b/>
          <w:bCs/>
        </w:rPr>
        <w:t>Recommendation 9</w:t>
      </w:r>
    </w:p>
    <w:p w14:paraId="00F518E6" w14:textId="77777777" w:rsidR="002F37B1" w:rsidRDefault="002F37B1" w:rsidP="000D1683">
      <w:pPr>
        <w:pStyle w:val="NoSpacing"/>
        <w:keepNext/>
        <w:keepLines/>
        <w:ind w:left="709"/>
        <w:rPr>
          <w:rFonts w:cs="Open Sans"/>
        </w:rPr>
      </w:pPr>
    </w:p>
    <w:p w14:paraId="55C8F2C4" w14:textId="77777777" w:rsidR="002F37B1" w:rsidRDefault="002F37B1" w:rsidP="000D1683">
      <w:pPr>
        <w:pStyle w:val="NoSpacing"/>
        <w:ind w:left="709"/>
        <w:rPr>
          <w:rFonts w:cs="Open Sans"/>
        </w:rPr>
      </w:pPr>
      <w:r>
        <w:rPr>
          <w:rFonts w:cs="Open Sans"/>
        </w:rPr>
        <w:t xml:space="preserve">The amendments to s 105A.5 of the Criminal Code should not be passed.  </w:t>
      </w:r>
    </w:p>
    <w:p w14:paraId="1916206C" w14:textId="77777777" w:rsidR="002F37B1" w:rsidRDefault="002F37B1" w:rsidP="000D1683">
      <w:pPr>
        <w:pStyle w:val="NoSpacing"/>
        <w:ind w:left="709"/>
        <w:rPr>
          <w:rFonts w:cs="Open Sans"/>
        </w:rPr>
      </w:pPr>
    </w:p>
    <w:p w14:paraId="00E69EAA" w14:textId="77777777" w:rsidR="002F37B1" w:rsidRPr="00E54B34" w:rsidRDefault="002F37B1" w:rsidP="000D1683">
      <w:pPr>
        <w:pStyle w:val="NoSpacing"/>
        <w:keepNext/>
        <w:keepLines/>
        <w:ind w:left="709"/>
        <w:rPr>
          <w:rFonts w:cs="Open Sans"/>
          <w:b/>
          <w:bCs/>
        </w:rPr>
      </w:pPr>
      <w:r w:rsidRPr="00E54B34">
        <w:rPr>
          <w:rFonts w:cs="Open Sans"/>
          <w:b/>
          <w:bCs/>
        </w:rPr>
        <w:t>Recommendation 10</w:t>
      </w:r>
    </w:p>
    <w:p w14:paraId="2A61818D" w14:textId="77777777" w:rsidR="002F37B1" w:rsidRDefault="002F37B1" w:rsidP="000D1683">
      <w:pPr>
        <w:pStyle w:val="NoSpacing"/>
        <w:keepNext/>
        <w:keepLines/>
        <w:ind w:left="709"/>
        <w:rPr>
          <w:rFonts w:cs="Open Sans"/>
        </w:rPr>
      </w:pPr>
    </w:p>
    <w:p w14:paraId="79B3D4FD" w14:textId="77777777" w:rsidR="002F37B1" w:rsidRDefault="002F37B1" w:rsidP="000D1683">
      <w:pPr>
        <w:pStyle w:val="NoSpacing"/>
        <w:ind w:left="709"/>
        <w:rPr>
          <w:rFonts w:cs="Open Sans"/>
        </w:rPr>
      </w:pPr>
      <w:r>
        <w:rPr>
          <w:rFonts w:cs="Open Sans"/>
        </w:rPr>
        <w:t>If Recommendation 9 is not accepted, the Bill should be amended to ensure that all exculpatory information relevant to an application for a continuing detention order is provided to the respondent unless:</w:t>
      </w:r>
    </w:p>
    <w:p w14:paraId="02FEE04B" w14:textId="77777777" w:rsidR="002F37B1" w:rsidRDefault="002F37B1" w:rsidP="000D1683">
      <w:pPr>
        <w:pStyle w:val="NoSpacing"/>
        <w:ind w:left="709"/>
        <w:rPr>
          <w:rFonts w:cs="Open Sans"/>
        </w:rPr>
      </w:pPr>
    </w:p>
    <w:p w14:paraId="06EF482F" w14:textId="77777777" w:rsidR="002F37B1" w:rsidRDefault="002F37B1" w:rsidP="000D1683">
      <w:pPr>
        <w:pStyle w:val="NoSpacing"/>
        <w:numPr>
          <w:ilvl w:val="0"/>
          <w:numId w:val="18"/>
        </w:numPr>
        <w:ind w:left="1429"/>
        <w:rPr>
          <w:rFonts w:cs="Open Sans"/>
        </w:rPr>
      </w:pPr>
      <w:r>
        <w:rPr>
          <w:rFonts w:cs="Open Sans"/>
        </w:rPr>
        <w:lastRenderedPageBreak/>
        <w:t>the issuing court, having considered all aspects of the relevant case, is satisfied that that would unacceptably compromise national security or other compelling public interest, or</w:t>
      </w:r>
    </w:p>
    <w:p w14:paraId="24B0E9A0" w14:textId="77777777" w:rsidR="002F37B1" w:rsidRDefault="002F37B1" w:rsidP="000D1683">
      <w:pPr>
        <w:pStyle w:val="NoSpacing"/>
        <w:ind w:left="1069"/>
        <w:rPr>
          <w:rFonts w:cs="Open Sans"/>
        </w:rPr>
      </w:pPr>
    </w:p>
    <w:p w14:paraId="31FF7296" w14:textId="77777777" w:rsidR="002F37B1" w:rsidRDefault="002F37B1" w:rsidP="000D1683">
      <w:pPr>
        <w:pStyle w:val="NoSpacing"/>
        <w:numPr>
          <w:ilvl w:val="0"/>
          <w:numId w:val="18"/>
        </w:numPr>
        <w:ind w:left="1429"/>
        <w:rPr>
          <w:rFonts w:cs="Open Sans"/>
        </w:rPr>
      </w:pPr>
      <w:r>
        <w:rPr>
          <w:rFonts w:cs="Open Sans"/>
        </w:rPr>
        <w:t xml:space="preserve">the respondent is in some alternative way provided with sufficient information adequately to defend the proceedings. </w:t>
      </w:r>
    </w:p>
    <w:sectPr w:rsidR="002F37B1" w:rsidSect="00692B23">
      <w:footnotePr>
        <w:pos w:val="beneathText"/>
      </w:footnotePr>
      <w:endnotePr>
        <w:numFmt w:val="decimal"/>
      </w:endnotePr>
      <w:pgSz w:w="11906" w:h="16838" w:code="9"/>
      <w:pgMar w:top="1134" w:right="1418" w:bottom="1134" w:left="1418" w:header="907"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B1A5" w14:textId="77777777" w:rsidR="0010206D" w:rsidRDefault="0010206D" w:rsidP="00F14C6D">
      <w:r>
        <w:separator/>
      </w:r>
    </w:p>
  </w:endnote>
  <w:endnote w:type="continuationSeparator" w:id="0">
    <w:p w14:paraId="3814697F" w14:textId="77777777" w:rsidR="0010206D" w:rsidRDefault="0010206D" w:rsidP="00F14C6D">
      <w:r>
        <w:continuationSeparator/>
      </w:r>
    </w:p>
  </w:endnote>
  <w:endnote w:type="continuationNotice" w:id="1">
    <w:p w14:paraId="21035EA4" w14:textId="77777777" w:rsidR="0010206D" w:rsidRDefault="0010206D">
      <w:pPr>
        <w:spacing w:before="0" w:after="0"/>
      </w:pPr>
    </w:p>
  </w:endnote>
  <w:endnote w:id="2">
    <w:p w14:paraId="6A7BA6A3" w14:textId="215B92AD" w:rsidR="00531507" w:rsidRDefault="00531507">
      <w:pPr>
        <w:pStyle w:val="EndnoteText"/>
      </w:pPr>
      <w:r>
        <w:rPr>
          <w:rStyle w:val="EndnoteReference"/>
        </w:rPr>
        <w:endnoteRef/>
      </w:r>
      <w:r>
        <w:t xml:space="preserve"> </w:t>
      </w:r>
      <w:r w:rsidRPr="00531507">
        <w:rPr>
          <w:i/>
          <w:iCs/>
        </w:rPr>
        <w:t>Criminal Code Act 1995</w:t>
      </w:r>
      <w:r>
        <w:t xml:space="preserve"> (Cth) sch.</w:t>
      </w:r>
    </w:p>
  </w:endnote>
  <w:endnote w:id="3">
    <w:p w14:paraId="0DDA2A81" w14:textId="77777777" w:rsidR="002F37B1" w:rsidRDefault="002F37B1" w:rsidP="002F37B1">
      <w:pPr>
        <w:pStyle w:val="EndnoteText"/>
      </w:pPr>
      <w:r>
        <w:rPr>
          <w:rStyle w:val="EndnoteReference"/>
        </w:rPr>
        <w:endnoteRef/>
      </w:r>
      <w:r>
        <w:t xml:space="preserve"> The only substantive difference between the two Bills is in Item 11 of Part 1 of Schedule 1 of the Bill, which makes consequential amendments to the interaction of the</w:t>
      </w:r>
      <w:r w:rsidRPr="00C42808">
        <w:rPr>
          <w:i/>
          <w:iCs/>
        </w:rPr>
        <w:t xml:space="preserve"> Crimes Act 1914 </w:t>
      </w:r>
      <w:r>
        <w:t xml:space="preserve">(Cth) with State and Territory Laws.  </w:t>
      </w:r>
    </w:p>
  </w:endnote>
  <w:endnote w:id="4">
    <w:p w14:paraId="059D50A3" w14:textId="73649774" w:rsidR="002F37B1" w:rsidRDefault="002F37B1" w:rsidP="002F37B1">
      <w:pPr>
        <w:pStyle w:val="EndnoteText"/>
      </w:pPr>
      <w:r>
        <w:rPr>
          <w:rStyle w:val="EndnoteReference"/>
        </w:rPr>
        <w:endnoteRef/>
      </w:r>
      <w:r>
        <w:t xml:space="preserve"> Australian Human Rights Commission, </w:t>
      </w:r>
      <w:r w:rsidRPr="00867399">
        <w:rPr>
          <w:i/>
          <w:iCs/>
        </w:rPr>
        <w:t>Submission to the Parliamentary Joint Committee on Intelligence and Security: Review of the Counter-Terrorism Legislation Amendment Bill 2019</w:t>
      </w:r>
      <w:r>
        <w:t xml:space="preserve"> (8 March 2019) paras </w:t>
      </w:r>
      <w:r w:rsidR="00953AC9">
        <w:t>9, 25-56</w:t>
      </w:r>
      <w:r>
        <w:t>, available at &lt;</w:t>
      </w:r>
      <w:hyperlink r:id="rId1" w:history="1">
        <w:r w:rsidRPr="009022E2">
          <w:rPr>
            <w:rStyle w:val="Hyperlink"/>
          </w:rPr>
          <w:t>https://www.aph.gov.au/DocumentStore.ashx?id=e1748951-b005-409c-ba6e-50d704e45c51&amp;subId=667096</w:t>
        </w:r>
      </w:hyperlink>
      <w:r>
        <w:t xml:space="preserve">&gt;. </w:t>
      </w:r>
    </w:p>
  </w:endnote>
  <w:endnote w:id="5">
    <w:p w14:paraId="7AEC2FC1" w14:textId="79D5B753" w:rsidR="00953AC9" w:rsidRDefault="00953AC9">
      <w:pPr>
        <w:pStyle w:val="EndnoteText"/>
      </w:pPr>
      <w:r>
        <w:rPr>
          <w:rStyle w:val="EndnoteReference"/>
        </w:rPr>
        <w:endnoteRef/>
      </w:r>
      <w:r>
        <w:t xml:space="preserve"> Explanatory Memorandum, Counter-Terrorism Legislation Amendment (2019 Measures No. 1) Bill 2019, para 5.</w:t>
      </w:r>
    </w:p>
  </w:endnote>
  <w:endnote w:id="6">
    <w:p w14:paraId="01277187" w14:textId="24CBBF82" w:rsidR="002F37B1" w:rsidRDefault="002F37B1" w:rsidP="002F37B1">
      <w:pPr>
        <w:pStyle w:val="EndnoteText"/>
      </w:pPr>
      <w:r>
        <w:rPr>
          <w:rStyle w:val="EndnoteReference"/>
        </w:rPr>
        <w:endnoteRef/>
      </w:r>
      <w:r>
        <w:t xml:space="preserve"> Independent National Security Legislation Monitor, </w:t>
      </w:r>
      <w:r w:rsidRPr="001049AD">
        <w:rPr>
          <w:i/>
          <w:iCs/>
        </w:rPr>
        <w:t>Report to the Prime Minister: The prosecution and sentencing of children for terrorism</w:t>
      </w:r>
      <w:r>
        <w:t xml:space="preserve"> (2018), available at </w:t>
      </w:r>
      <w:r w:rsidR="000F4EBE">
        <w:t>&lt;</w:t>
      </w:r>
      <w:hyperlink r:id="rId2" w:history="1">
        <w:r w:rsidR="000F4EBE" w:rsidRPr="003E52F6">
          <w:rPr>
            <w:rStyle w:val="Hyperlink"/>
          </w:rPr>
          <w:t>https://www.inslm.gov.au/sites/default/files/files/inslm-report-prosecution-sentencing-children-for-terrorism.pdf</w:t>
        </w:r>
      </w:hyperlink>
      <w:r w:rsidR="000F4EBE">
        <w:t>&gt;</w:t>
      </w:r>
      <w:r>
        <w:t xml:space="preserve">.  </w:t>
      </w:r>
    </w:p>
  </w:endnote>
  <w:endnote w:id="7">
    <w:p w14:paraId="31A6AD6A" w14:textId="068DE26D" w:rsidR="00953AC9" w:rsidRDefault="00953AC9">
      <w:pPr>
        <w:pStyle w:val="EndnoteText"/>
      </w:pPr>
      <w:r>
        <w:rPr>
          <w:rStyle w:val="EndnoteReference"/>
        </w:rPr>
        <w:endnoteRef/>
      </w:r>
      <w:r>
        <w:t xml:space="preserve"> </w:t>
      </w:r>
      <w:r w:rsidRPr="00953AC9">
        <w:rPr>
          <w:i/>
          <w:iCs/>
        </w:rPr>
        <w:t>Crimes Act 1914</w:t>
      </w:r>
      <w:r>
        <w:t xml:space="preserve"> (Cth) section 15AA(1).</w:t>
      </w:r>
    </w:p>
  </w:endnote>
  <w:endnote w:id="8">
    <w:p w14:paraId="506EED86" w14:textId="7EC3824B" w:rsidR="000F4EBE" w:rsidRDefault="000F4EBE">
      <w:pPr>
        <w:pStyle w:val="EndnoteText"/>
      </w:pPr>
      <w:r>
        <w:rPr>
          <w:rStyle w:val="EndnoteReference"/>
        </w:rPr>
        <w:endnoteRef/>
      </w:r>
      <w:r>
        <w:t xml:space="preserve"> See, generally, Recommendation 2a: Independent National Security Legislation Monitor, </w:t>
      </w:r>
      <w:r w:rsidRPr="001049AD">
        <w:rPr>
          <w:i/>
          <w:iCs/>
        </w:rPr>
        <w:t>Report to the Prime Minister: The prosecution and sentencing of children for terrorism</w:t>
      </w:r>
      <w:r>
        <w:t xml:space="preserve"> (2018), available at &lt;</w:t>
      </w:r>
      <w:hyperlink r:id="rId3" w:history="1">
        <w:r w:rsidRPr="003E52F6">
          <w:rPr>
            <w:rStyle w:val="Hyperlink"/>
          </w:rPr>
          <w:t>https://www.inslm.gov.au/sites/default/files/files/inslm-report-prosecution-sentencing-children-for-terrorism.pdf</w:t>
        </w:r>
      </w:hyperlink>
      <w:r>
        <w:t xml:space="preserve">&gt;.  </w:t>
      </w:r>
    </w:p>
  </w:endnote>
  <w:endnote w:id="9">
    <w:p w14:paraId="66A061AA" w14:textId="0F32833C" w:rsidR="000F4EBE" w:rsidRDefault="000F4EBE">
      <w:pPr>
        <w:pStyle w:val="EndnoteText"/>
      </w:pPr>
      <w:r>
        <w:rPr>
          <w:rStyle w:val="EndnoteReference"/>
        </w:rPr>
        <w:endnoteRef/>
      </w:r>
      <w:r>
        <w:t xml:space="preserve"> See, generally, paras 69-75 and Recommendation 4: Australian Human Rights Commission, </w:t>
      </w:r>
      <w:r w:rsidRPr="00867399">
        <w:rPr>
          <w:i/>
          <w:iCs/>
        </w:rPr>
        <w:t>Submission to the Independent National Security Legislation Monitor</w:t>
      </w:r>
      <w:r>
        <w:t xml:space="preserve"> (15 June 2018), available at &lt;</w:t>
      </w:r>
      <w:hyperlink r:id="rId4" w:history="1">
        <w:r>
          <w:rPr>
            <w:rStyle w:val="Hyperlink"/>
          </w:rPr>
          <w:t>http://www.inslm.gov.au/sites/default/files/submissions/australian_human_rights_commission.pdf</w:t>
        </w:r>
      </w:hyperlink>
      <w:r>
        <w:t>&gt;.</w:t>
      </w:r>
    </w:p>
  </w:endnote>
  <w:endnote w:id="10">
    <w:p w14:paraId="3A3DEDB3" w14:textId="77BB4BB3" w:rsidR="00BB4053" w:rsidRDefault="00BB4053">
      <w:pPr>
        <w:pStyle w:val="EndnoteText"/>
      </w:pPr>
      <w:r>
        <w:rPr>
          <w:rStyle w:val="EndnoteReference"/>
        </w:rPr>
        <w:endnoteRef/>
      </w:r>
      <w:r>
        <w:t xml:space="preserve"> </w:t>
      </w:r>
      <w:r w:rsidR="00BC5B36">
        <w:t>Ibid., Recommendation 4.</w:t>
      </w:r>
    </w:p>
  </w:endnote>
  <w:endnote w:id="11">
    <w:p w14:paraId="2C1E5F63" w14:textId="77777777" w:rsidR="002F37B1" w:rsidRDefault="002F37B1" w:rsidP="002F37B1">
      <w:pPr>
        <w:pStyle w:val="EndnoteText"/>
      </w:pPr>
      <w:r>
        <w:rPr>
          <w:rStyle w:val="EndnoteReference"/>
        </w:rPr>
        <w:endnoteRef/>
      </w:r>
      <w:r>
        <w:t xml:space="preserve"> </w:t>
      </w:r>
      <w:r w:rsidRPr="00C42808">
        <w:rPr>
          <w:i/>
          <w:iCs/>
        </w:rPr>
        <w:t>Convention on the Rights of the Child</w:t>
      </w:r>
      <w:r>
        <w:t>, opened for signature 20 November 1989, 1577 UNTS 3.</w:t>
      </w:r>
    </w:p>
    <w:p w14:paraId="243E21B9" w14:textId="77777777" w:rsidR="002F37B1" w:rsidRDefault="002F37B1" w:rsidP="002F37B1">
      <w:pPr>
        <w:pStyle w:val="EndnoteText"/>
      </w:pPr>
      <w:r>
        <w:t>(entered into force 2 September 1990)</w:t>
      </w:r>
    </w:p>
  </w:endnote>
  <w:endnote w:id="12">
    <w:p w14:paraId="1D04AD5C" w14:textId="7754E8BD" w:rsidR="00BC5B36" w:rsidRDefault="00BC5B36">
      <w:pPr>
        <w:pStyle w:val="EndnoteText"/>
      </w:pPr>
      <w:r>
        <w:rPr>
          <w:rStyle w:val="EndnoteReference"/>
        </w:rPr>
        <w:endnoteRef/>
      </w:r>
      <w:r>
        <w:t xml:space="preserve"> Australian Human Rights Commission, </w:t>
      </w:r>
      <w:r w:rsidRPr="00867399">
        <w:rPr>
          <w:i/>
          <w:iCs/>
        </w:rPr>
        <w:t>Submission to the Independent National Security Legislation Monitor</w:t>
      </w:r>
      <w:r>
        <w:t xml:space="preserve"> (15 June 2018) paras 17-20.</w:t>
      </w:r>
    </w:p>
  </w:endnote>
  <w:endnote w:id="13">
    <w:p w14:paraId="2ECE3F48" w14:textId="525EE6B0" w:rsidR="00867399" w:rsidRDefault="00867399">
      <w:pPr>
        <w:pStyle w:val="EndnoteText"/>
      </w:pPr>
      <w:r>
        <w:rPr>
          <w:rStyle w:val="EndnoteReference"/>
        </w:rPr>
        <w:endnoteRef/>
      </w:r>
      <w:r>
        <w:t xml:space="preserve"> Ibid., Recommendation 3.</w:t>
      </w:r>
    </w:p>
  </w:endnote>
  <w:endnote w:id="14">
    <w:p w14:paraId="22AC5DE5" w14:textId="4402E5BB" w:rsidR="00867399" w:rsidRDefault="00867399">
      <w:pPr>
        <w:pStyle w:val="EndnoteText"/>
      </w:pPr>
      <w:r>
        <w:rPr>
          <w:rStyle w:val="EndnoteReference"/>
        </w:rPr>
        <w:endnoteRef/>
      </w:r>
      <w:r>
        <w:t xml:space="preserve"> Independent National Security Legislation Monitor, </w:t>
      </w:r>
      <w:r w:rsidRPr="001049AD">
        <w:rPr>
          <w:i/>
          <w:iCs/>
        </w:rPr>
        <w:t>Report to the Prime Minister: The prosecution and sentencing of children for terrorism</w:t>
      </w:r>
      <w:r>
        <w:t xml:space="preserve"> (2018), Recommendation 1.</w:t>
      </w:r>
    </w:p>
  </w:endnote>
  <w:endnote w:id="15">
    <w:p w14:paraId="13935615" w14:textId="77777777" w:rsidR="002F37B1" w:rsidRDefault="002F37B1" w:rsidP="002F37B1">
      <w:pPr>
        <w:pStyle w:val="EndnoteText"/>
      </w:pPr>
      <w:r>
        <w:rPr>
          <w:rStyle w:val="EndnoteReference"/>
        </w:rPr>
        <w:endnoteRef/>
      </w:r>
      <w:r>
        <w:t xml:space="preserve"> See also the Commission’s written response to a question taken on notice at a public hearing held by the INSLM on 2 August 2018, available at </w:t>
      </w:r>
      <w:hyperlink r:id="rId5" w:history="1">
        <w:r w:rsidRPr="008A780E">
          <w:rPr>
            <w:rStyle w:val="Hyperlink"/>
          </w:rPr>
          <w:t>https://www.inslm.gov.au/submissions/prosecution-sentencing-children-cwealth-terrorist-offences</w:t>
        </w:r>
      </w:hyperlink>
      <w:r>
        <w:t xml:space="preserve">.  </w:t>
      </w:r>
    </w:p>
  </w:endnote>
  <w:endnote w:id="16">
    <w:p w14:paraId="70194242" w14:textId="07F573D2" w:rsidR="002F37B1" w:rsidRDefault="002F37B1" w:rsidP="002F37B1">
      <w:pPr>
        <w:pStyle w:val="EndnoteText"/>
      </w:pPr>
      <w:r>
        <w:rPr>
          <w:rStyle w:val="EndnoteReference"/>
        </w:rPr>
        <w:endnoteRef/>
      </w:r>
      <w:r>
        <w:t xml:space="preserve"> </w:t>
      </w:r>
      <w:r w:rsidR="005E6C8E">
        <w:t>Counter-Terrorism Legislation Amendment (2019 Measures No. 1) Bill 2019, item 8 (proposed s 15AA(3AA)), item 13 (proposed ss 19AG(4A) and (4B)) and item 16 (proposed s 19ALB).</w:t>
      </w:r>
    </w:p>
  </w:endnote>
  <w:endnote w:id="17">
    <w:p w14:paraId="140FE347" w14:textId="1587633A" w:rsidR="002F37B1" w:rsidRDefault="002F37B1" w:rsidP="002F37B1">
      <w:pPr>
        <w:pStyle w:val="EndnoteText"/>
      </w:pPr>
      <w:r>
        <w:rPr>
          <w:rStyle w:val="EndnoteReference"/>
        </w:rPr>
        <w:endnoteRef/>
      </w:r>
      <w:r>
        <w:t xml:space="preserve"> </w:t>
      </w:r>
      <w:r w:rsidR="005E6C8E">
        <w:t xml:space="preserve">Independent National Security Legislation Monitor, </w:t>
      </w:r>
      <w:r w:rsidR="005E6C8E" w:rsidRPr="001049AD">
        <w:rPr>
          <w:i/>
          <w:iCs/>
        </w:rPr>
        <w:t>Report to the Prime Minister: The prosecution and sentencing of children for terrorism</w:t>
      </w:r>
      <w:r w:rsidR="005E6C8E">
        <w:t xml:space="preserve"> (2018), Recommendation 2a.</w:t>
      </w:r>
    </w:p>
  </w:endnote>
  <w:endnote w:id="18">
    <w:p w14:paraId="1328406C" w14:textId="2A149051" w:rsidR="002F37B1" w:rsidRDefault="002F37B1" w:rsidP="002F37B1">
      <w:pPr>
        <w:pStyle w:val="EndnoteText"/>
      </w:pPr>
      <w:r>
        <w:rPr>
          <w:rStyle w:val="EndnoteReference"/>
        </w:rPr>
        <w:endnoteRef/>
      </w:r>
      <w:r>
        <w:t xml:space="preserve"> </w:t>
      </w:r>
      <w:r w:rsidR="005E6C8E">
        <w:t xml:space="preserve">Article 3 of the CRC provides: ‘In all actions concerning children, whether undertaken by public or private social welfare institutions, courts of law, administrative authorities or legislative bodies, </w:t>
      </w:r>
      <w:r w:rsidR="005E6C8E" w:rsidRPr="005E6C8E">
        <w:rPr>
          <w:b/>
          <w:bCs/>
        </w:rPr>
        <w:t>the best interests of the child shall be a primary consideration</w:t>
      </w:r>
      <w:r w:rsidR="005E6C8E">
        <w:t>.’ (emphasis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EF54" w14:textId="77777777" w:rsidR="00F431E1" w:rsidRPr="000465F1" w:rsidRDefault="00F431E1" w:rsidP="000465F1">
    <w:pPr>
      <w:pStyle w:val="Footer"/>
    </w:pPr>
    <w:r w:rsidRPr="000465F1">
      <w:t>ABN 47 996 232 602</w:t>
    </w:r>
  </w:p>
  <w:p w14:paraId="37FC68E5" w14:textId="77777777" w:rsidR="00F431E1" w:rsidRPr="000465F1" w:rsidRDefault="00F431E1" w:rsidP="000465F1">
    <w:pPr>
      <w:pStyle w:val="Footer"/>
    </w:pPr>
    <w:r w:rsidRPr="000465F1">
      <w:t>Level 3, 175 Pitt Street, Sydney NSW 2000</w:t>
    </w:r>
  </w:p>
  <w:p w14:paraId="6950EAF0" w14:textId="77777777" w:rsidR="00F431E1" w:rsidRPr="000465F1" w:rsidRDefault="00F431E1" w:rsidP="000465F1">
    <w:pPr>
      <w:pStyle w:val="Footer"/>
    </w:pPr>
    <w:r w:rsidRPr="000465F1">
      <w:t>GPO Box 5218, Sydney NSW 2001</w:t>
    </w:r>
  </w:p>
  <w:p w14:paraId="6051D98B" w14:textId="77777777" w:rsidR="00F431E1" w:rsidRPr="000465F1" w:rsidRDefault="00F431E1" w:rsidP="000465F1">
    <w:pPr>
      <w:pStyle w:val="Footer"/>
    </w:pPr>
    <w:r w:rsidRPr="000465F1">
      <w:t>General enquiries 1300 369 711</w:t>
    </w:r>
  </w:p>
  <w:p w14:paraId="3F1399F7" w14:textId="77777777" w:rsidR="00F431E1" w:rsidRPr="000465F1" w:rsidRDefault="00F431E1" w:rsidP="000465F1">
    <w:pPr>
      <w:pStyle w:val="Footer"/>
    </w:pPr>
    <w:r w:rsidRPr="000465F1">
      <w:t>Complaints info line 1300 656 419</w:t>
    </w:r>
  </w:p>
  <w:p w14:paraId="6E0664DB" w14:textId="77777777" w:rsidR="00F431E1" w:rsidRPr="000465F1" w:rsidRDefault="00F431E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6E13" w14:textId="23C24441" w:rsidR="00F431E1" w:rsidRDefault="00F431E1" w:rsidP="00692B23">
    <w:pPr>
      <w:pStyle w:val="Footer"/>
      <w:jc w:val="right"/>
    </w:pPr>
    <w:r w:rsidRPr="00622508">
      <w:fldChar w:fldCharType="begin"/>
    </w:r>
    <w:r>
      <w:instrText xml:space="preserve"> PAGE   \* MERGEFORMAT </w:instrText>
    </w:r>
    <w:r w:rsidRPr="00622508">
      <w:fldChar w:fldCharType="separate"/>
    </w:r>
    <w:r w:rsidR="002E4B6C">
      <w:rPr>
        <w:noProof/>
      </w:rPr>
      <w:t>12</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80EF" w14:textId="082AD64F" w:rsidR="00F431E1" w:rsidRDefault="00F431E1" w:rsidP="00692B23">
    <w:pPr>
      <w:pStyle w:val="FooterOddPageNumber"/>
    </w:pPr>
    <w:r w:rsidRPr="00AB7C8F">
      <w:fldChar w:fldCharType="begin"/>
    </w:r>
    <w:r>
      <w:instrText xml:space="preserve"> PAGE   \* MERGEFORMAT </w:instrText>
    </w:r>
    <w:r w:rsidRPr="00AB7C8F">
      <w:fldChar w:fldCharType="separate"/>
    </w:r>
    <w:r w:rsidR="002E4B6C">
      <w:rPr>
        <w:noProof/>
      </w:rPr>
      <w:t>13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BE27" w14:textId="72A85CDD" w:rsidR="00F431E1" w:rsidRDefault="00F431E1" w:rsidP="00692B23">
    <w:pPr>
      <w:pStyle w:val="FooterEvenPageNumber"/>
      <w:jc w:val="right"/>
    </w:pPr>
    <w:r w:rsidRPr="00F127A8">
      <w:fldChar w:fldCharType="begin"/>
    </w:r>
    <w:r>
      <w:instrText xml:space="preserve"> PAGE   \* MERGEFORMAT </w:instrText>
    </w:r>
    <w:r w:rsidRPr="00F127A8">
      <w:fldChar w:fldCharType="separate"/>
    </w:r>
    <w:r w:rsidR="002E4B6C">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F19C" w14:textId="77777777" w:rsidR="0010206D" w:rsidRDefault="0010206D" w:rsidP="00F14C6D">
      <w:r>
        <w:separator/>
      </w:r>
    </w:p>
  </w:footnote>
  <w:footnote w:type="continuationSeparator" w:id="0">
    <w:p w14:paraId="04252571" w14:textId="77777777" w:rsidR="0010206D" w:rsidRDefault="0010206D" w:rsidP="00F14C6D">
      <w:r>
        <w:continuationSeparator/>
      </w:r>
    </w:p>
  </w:footnote>
  <w:footnote w:type="continuationNotice" w:id="1">
    <w:p w14:paraId="25E17765" w14:textId="77777777" w:rsidR="0010206D" w:rsidRDefault="001020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C531" w14:textId="77777777" w:rsidR="00F431E1" w:rsidRPr="000465F1" w:rsidRDefault="008002B0" w:rsidP="000465F1">
    <w:pPr>
      <w:pStyle w:val="Header"/>
    </w:pPr>
    <w:r>
      <w:rPr>
        <w:noProof/>
      </w:rPr>
      <w:pict w14:anchorId="56D87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619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431E1" w:rsidRPr="000465F1">
      <w:t>Australian Human Rights Commission</w:t>
    </w:r>
  </w:p>
  <w:p w14:paraId="7756BF31" w14:textId="77777777" w:rsidR="00F431E1" w:rsidRPr="00622508" w:rsidRDefault="00F431E1"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6CAC" w14:textId="77777777" w:rsidR="00F431E1" w:rsidRPr="000465F1" w:rsidRDefault="008002B0" w:rsidP="000465F1">
    <w:r>
      <w:rPr>
        <w:noProof/>
      </w:rPr>
      <w:pict w14:anchorId="4A14E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516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431E1" w:rsidRPr="000465F1">
      <w:t>Australian Human Rights Commission</w:t>
    </w:r>
  </w:p>
  <w:p w14:paraId="7864BF79" w14:textId="77777777" w:rsidR="00F431E1" w:rsidRPr="000465F1" w:rsidRDefault="00F431E1"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9135" w14:textId="77777777" w:rsidR="00F431E1" w:rsidRDefault="008002B0" w:rsidP="002012F7">
    <w:pPr>
      <w:pStyle w:val="Header"/>
    </w:pPr>
    <w:r>
      <w:rPr>
        <w:noProof/>
      </w:rPr>
      <w:pict w14:anchorId="1E2CC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4144;mso-wrap-edited:f;mso-width-percent:0;mso-height-percent:0;mso-position-horizontal-relative:margin;mso-position-vertical-relative:margin;mso-width-percent:0;mso-height-percent:0" o:allowincell="f">
          <v:imagedata r:id="rId1" o:title="MS word cover1"/>
          <w10:wrap anchorx="margin" anchory="margin"/>
        </v:shape>
      </w:pict>
    </w:r>
    <w:r>
      <w:rPr>
        <w:noProof/>
      </w:rPr>
      <w:pict w14:anchorId="3639192C">
        <v:shape id="WordPictureWatermark1034832" o:spid="_x0000_s2049" type="#_x0000_t75" alt="report watermark" style="position:absolute;left:0;text-align:left;margin-left:-70.9pt;margin-top:-109.05pt;width:595.1pt;height:869.4pt;z-index:-251657216;mso-wrap-edited:f;mso-width-percent:0;mso-height-percent:0;mso-position-horizontal-relative:margin;mso-position-vertical-relative:margin;mso-width-percent:0;mso-height-percent:0" o:allowincell="f">
          <v:imagedata r:id="rId2" o:title="report watermark"/>
          <w10:wrap anchorx="margin" anchory="margin"/>
        </v:shape>
      </w:pict>
    </w:r>
  </w:p>
  <w:p w14:paraId="02EDA308" w14:textId="77777777" w:rsidR="00F431E1" w:rsidRDefault="00F431E1" w:rsidP="002012F7">
    <w:pPr>
      <w:pStyle w:val="Header"/>
    </w:pPr>
  </w:p>
  <w:p w14:paraId="71941849" w14:textId="77777777" w:rsidR="00F431E1" w:rsidRDefault="00F431E1"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9996" w14:textId="77777777" w:rsidR="00F431E1" w:rsidRPr="000465F1" w:rsidRDefault="00F431E1" w:rsidP="0015239E">
    <w:pPr>
      <w:pStyle w:val="Header"/>
    </w:pPr>
    <w:r w:rsidRPr="000465F1">
      <w:t>Australian Human Rights Commission</w:t>
    </w:r>
  </w:p>
  <w:p w14:paraId="230D775D" w14:textId="09B6CC37" w:rsidR="00A14A34" w:rsidRDefault="00A14A34" w:rsidP="00A14A34">
    <w:pPr>
      <w:pStyle w:val="HeaderDocumentDate"/>
      <w:rPr>
        <w:rStyle w:val="HeaderDocumentTitle"/>
        <w:b w:val="0"/>
      </w:rPr>
    </w:pPr>
    <w:r>
      <w:rPr>
        <w:rStyle w:val="HeaderDocumentTitle"/>
      </w:rPr>
      <w:t>Counter-Terrorism Legislation Amendment (2019 Measures No. 1) Bill 2019</w:t>
    </w:r>
    <w:r w:rsidRPr="0071194E">
      <w:rPr>
        <w:rStyle w:val="HeaderDocumentTitle"/>
        <w:b w:val="0"/>
      </w:rPr>
      <w:t xml:space="preserve">, </w:t>
    </w:r>
    <w:r w:rsidR="007F65C5">
      <w:rPr>
        <w:rStyle w:val="HeaderDocumentTitle"/>
        <w:b w:val="0"/>
      </w:rPr>
      <w:t>22</w:t>
    </w:r>
    <w:r>
      <w:rPr>
        <w:rStyle w:val="HeaderDocumentTitle"/>
        <w:b w:val="0"/>
      </w:rPr>
      <w:t xml:space="preserve"> August</w:t>
    </w:r>
    <w:r w:rsidRPr="0071194E">
      <w:rPr>
        <w:rStyle w:val="HeaderDocumentTitle"/>
        <w:b w:val="0"/>
      </w:rPr>
      <w:t xml:space="preserve"> 2019</w:t>
    </w:r>
  </w:p>
  <w:p w14:paraId="1F80A2AD" w14:textId="77777777" w:rsidR="00F431E1" w:rsidRPr="0071194E" w:rsidRDefault="00F431E1" w:rsidP="0071194E">
    <w:pPr>
      <w:pStyle w:val="HeaderDocumentDate"/>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7A50" w14:textId="77777777" w:rsidR="00F431E1" w:rsidRPr="000465F1" w:rsidRDefault="00F431E1" w:rsidP="00CA5D90">
    <w:pPr>
      <w:pStyle w:val="Header"/>
    </w:pPr>
    <w:bookmarkStart w:id="63" w:name="_Hlk514672172"/>
    <w:bookmarkStart w:id="64" w:name="_Hlk514672173"/>
    <w:r w:rsidRPr="000465F1">
      <w:t>Australian Human Rights Commission</w:t>
    </w:r>
  </w:p>
  <w:bookmarkEnd w:id="63"/>
  <w:bookmarkEnd w:id="64"/>
  <w:p w14:paraId="1DE351A9" w14:textId="69818F54" w:rsidR="00F431E1" w:rsidRDefault="00F431E1" w:rsidP="00A14A34">
    <w:pPr>
      <w:pStyle w:val="HeaderDocumentDate"/>
      <w:rPr>
        <w:rStyle w:val="HeaderDocumentTitle"/>
        <w:b w:val="0"/>
      </w:rPr>
    </w:pPr>
    <w:r>
      <w:rPr>
        <w:rStyle w:val="HeaderDocumentTitle"/>
      </w:rPr>
      <w:t xml:space="preserve"> </w:t>
    </w:r>
    <w:r w:rsidR="00A14A34">
      <w:rPr>
        <w:rStyle w:val="HeaderDocumentTitle"/>
      </w:rPr>
      <w:t>Counter-Terrorism Legislation Amendment (2019 Measures No. 1) Bill 2019</w:t>
    </w:r>
    <w:r w:rsidR="00A14A34" w:rsidRPr="0071194E">
      <w:rPr>
        <w:rStyle w:val="HeaderDocumentTitle"/>
        <w:b w:val="0"/>
      </w:rPr>
      <w:t xml:space="preserve">, </w:t>
    </w:r>
    <w:r w:rsidR="007F65C5">
      <w:rPr>
        <w:rStyle w:val="HeaderDocumentTitle"/>
        <w:b w:val="0"/>
      </w:rPr>
      <w:t>22</w:t>
    </w:r>
    <w:r w:rsidR="00A14A34">
      <w:rPr>
        <w:rStyle w:val="HeaderDocumentTitle"/>
        <w:b w:val="0"/>
      </w:rPr>
      <w:t xml:space="preserve"> August</w:t>
    </w:r>
    <w:r w:rsidR="00A14A34" w:rsidRPr="0071194E">
      <w:rPr>
        <w:rStyle w:val="HeaderDocumentTitle"/>
        <w:b w:val="0"/>
      </w:rPr>
      <w:t xml:space="preserve"> 2019</w:t>
    </w:r>
  </w:p>
  <w:p w14:paraId="2FDF5874" w14:textId="060B7C39" w:rsidR="00F431E1" w:rsidRDefault="00F431E1" w:rsidP="00036FA2">
    <w:pPr>
      <w:pStyle w:val="HeaderDocumentDate"/>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5EC3" w14:textId="77777777" w:rsidR="00F431E1" w:rsidRPr="000465F1" w:rsidRDefault="00F431E1" w:rsidP="0063009F">
    <w:pPr>
      <w:pStyle w:val="Header"/>
    </w:pPr>
    <w:r w:rsidRPr="000465F1">
      <w:t>Australian Human Rights Commission</w:t>
    </w:r>
  </w:p>
  <w:p w14:paraId="57D52100" w14:textId="7AED7B6D" w:rsidR="00F431E1" w:rsidRDefault="00F431E1" w:rsidP="00916CFA">
    <w:pPr>
      <w:pStyle w:val="HeaderDocumentDate"/>
      <w:rPr>
        <w:rStyle w:val="HeaderDocumentTitle"/>
        <w:b w:val="0"/>
      </w:rPr>
    </w:pPr>
    <w:r>
      <w:rPr>
        <w:rStyle w:val="HeaderDocumentTitle"/>
      </w:rPr>
      <w:t xml:space="preserve">Counter-Terrorism Legislation Amendment </w:t>
    </w:r>
    <w:r w:rsidR="00A14A34">
      <w:rPr>
        <w:rStyle w:val="HeaderDocumentTitle"/>
      </w:rPr>
      <w:t xml:space="preserve">(2019 Measures No. 1) </w:t>
    </w:r>
    <w:r>
      <w:rPr>
        <w:rStyle w:val="HeaderDocumentTitle"/>
      </w:rPr>
      <w:t>Bill 2019</w:t>
    </w:r>
    <w:r w:rsidRPr="0071194E">
      <w:rPr>
        <w:rStyle w:val="HeaderDocumentTitle"/>
        <w:b w:val="0"/>
      </w:rPr>
      <w:t xml:space="preserve">, </w:t>
    </w:r>
    <w:r w:rsidR="007F65C5">
      <w:rPr>
        <w:rStyle w:val="HeaderDocumentTitle"/>
        <w:b w:val="0"/>
      </w:rPr>
      <w:t>22</w:t>
    </w:r>
    <w:r w:rsidR="00A14A34">
      <w:rPr>
        <w:rStyle w:val="HeaderDocumentTitle"/>
        <w:b w:val="0"/>
      </w:rPr>
      <w:t xml:space="preserve"> August</w:t>
    </w:r>
    <w:r w:rsidRPr="0071194E">
      <w:rPr>
        <w:rStyle w:val="HeaderDocumentTitle"/>
        <w:b w:val="0"/>
      </w:rPr>
      <w:t xml:space="preserve"> 2019</w:t>
    </w:r>
  </w:p>
  <w:p w14:paraId="7B05539B" w14:textId="77777777" w:rsidR="00F431E1" w:rsidRDefault="00F431E1" w:rsidP="00916CFA">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F4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B627BC1"/>
    <w:multiLevelType w:val="hybridMultilevel"/>
    <w:tmpl w:val="C2A2528C"/>
    <w:lvl w:ilvl="0" w:tplc="2E4C80B8">
      <w:start w:val="1"/>
      <w:numFmt w:val="decimal"/>
      <w:pStyle w:val="Subnumbered"/>
      <w:lvlText w:val="%1."/>
      <w:lvlJc w:val="left"/>
      <w:pPr>
        <w:ind w:left="360" w:hanging="360"/>
      </w:pPr>
      <w:rPr>
        <w:rFonts w:hint="default"/>
        <w:color w:val="auto"/>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A32535E"/>
    <w:multiLevelType w:val="hybridMultilevel"/>
    <w:tmpl w:val="62F6D10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E6E390D"/>
    <w:multiLevelType w:val="hybridMultilevel"/>
    <w:tmpl w:val="22D84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C75EC1"/>
    <w:multiLevelType w:val="hybridMultilevel"/>
    <w:tmpl w:val="B8424D00"/>
    <w:lvl w:ilvl="0" w:tplc="ECB699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E845B9"/>
    <w:multiLevelType w:val="multilevel"/>
    <w:tmpl w:val="AAA05B8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3"/>
  </w:num>
  <w:num w:numId="10">
    <w:abstractNumId w:val="2"/>
  </w:num>
  <w:num w:numId="11">
    <w:abstractNumId w:val="15"/>
  </w:num>
  <w:num w:numId="12">
    <w:abstractNumId w:val="13"/>
  </w:num>
  <w:num w:numId="13">
    <w:abstractNumId w:val="10"/>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8"/>
  </w:num>
  <w:num w:numId="20">
    <w:abstractNumId w:val="16"/>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o:shapelayout v:ext="edit">
      <o:idmap v:ext="edit" data="2"/>
    </o:shapelayout>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25"/>
    <w:rsid w:val="0000042D"/>
    <w:rsid w:val="00000BA8"/>
    <w:rsid w:val="00000DEA"/>
    <w:rsid w:val="000015EC"/>
    <w:rsid w:val="00001BC5"/>
    <w:rsid w:val="00002448"/>
    <w:rsid w:val="00003087"/>
    <w:rsid w:val="00003EA5"/>
    <w:rsid w:val="000043A6"/>
    <w:rsid w:val="000044A6"/>
    <w:rsid w:val="00004D71"/>
    <w:rsid w:val="00011D9D"/>
    <w:rsid w:val="00013B02"/>
    <w:rsid w:val="000161C2"/>
    <w:rsid w:val="00016BDE"/>
    <w:rsid w:val="0002334B"/>
    <w:rsid w:val="00023D2E"/>
    <w:rsid w:val="0002476A"/>
    <w:rsid w:val="000259EB"/>
    <w:rsid w:val="000260FF"/>
    <w:rsid w:val="000276D0"/>
    <w:rsid w:val="00030475"/>
    <w:rsid w:val="00030994"/>
    <w:rsid w:val="0003164B"/>
    <w:rsid w:val="00034269"/>
    <w:rsid w:val="00034444"/>
    <w:rsid w:val="000345AE"/>
    <w:rsid w:val="00034C44"/>
    <w:rsid w:val="00034E58"/>
    <w:rsid w:val="00035746"/>
    <w:rsid w:val="00036BE4"/>
    <w:rsid w:val="00036FA2"/>
    <w:rsid w:val="0003784B"/>
    <w:rsid w:val="000421A1"/>
    <w:rsid w:val="000430B8"/>
    <w:rsid w:val="00045712"/>
    <w:rsid w:val="00045C4B"/>
    <w:rsid w:val="00045EC0"/>
    <w:rsid w:val="000465F1"/>
    <w:rsid w:val="000475CA"/>
    <w:rsid w:val="00047F9E"/>
    <w:rsid w:val="0005242E"/>
    <w:rsid w:val="00057381"/>
    <w:rsid w:val="000579B1"/>
    <w:rsid w:val="00060CF4"/>
    <w:rsid w:val="000613F9"/>
    <w:rsid w:val="00061C6C"/>
    <w:rsid w:val="00066234"/>
    <w:rsid w:val="0006636D"/>
    <w:rsid w:val="000714F0"/>
    <w:rsid w:val="00072EDA"/>
    <w:rsid w:val="00074444"/>
    <w:rsid w:val="00074D74"/>
    <w:rsid w:val="00076332"/>
    <w:rsid w:val="00080E04"/>
    <w:rsid w:val="00080F6E"/>
    <w:rsid w:val="000811DC"/>
    <w:rsid w:val="00085251"/>
    <w:rsid w:val="00085D83"/>
    <w:rsid w:val="00087C4E"/>
    <w:rsid w:val="00091376"/>
    <w:rsid w:val="000942BF"/>
    <w:rsid w:val="00095E02"/>
    <w:rsid w:val="00096DE4"/>
    <w:rsid w:val="000A0B60"/>
    <w:rsid w:val="000A1DB8"/>
    <w:rsid w:val="000A3A77"/>
    <w:rsid w:val="000A48AC"/>
    <w:rsid w:val="000A4D9B"/>
    <w:rsid w:val="000A50E8"/>
    <w:rsid w:val="000A520E"/>
    <w:rsid w:val="000A7392"/>
    <w:rsid w:val="000A752C"/>
    <w:rsid w:val="000B0603"/>
    <w:rsid w:val="000B079D"/>
    <w:rsid w:val="000B0A5D"/>
    <w:rsid w:val="000B2B13"/>
    <w:rsid w:val="000B4C80"/>
    <w:rsid w:val="000B5B68"/>
    <w:rsid w:val="000B6027"/>
    <w:rsid w:val="000B6C07"/>
    <w:rsid w:val="000B75E5"/>
    <w:rsid w:val="000B7C16"/>
    <w:rsid w:val="000C0600"/>
    <w:rsid w:val="000C247A"/>
    <w:rsid w:val="000C4B0A"/>
    <w:rsid w:val="000C4D23"/>
    <w:rsid w:val="000C5608"/>
    <w:rsid w:val="000C5DA6"/>
    <w:rsid w:val="000C734A"/>
    <w:rsid w:val="000C7D1D"/>
    <w:rsid w:val="000D1513"/>
    <w:rsid w:val="000D1683"/>
    <w:rsid w:val="000D1B77"/>
    <w:rsid w:val="000D2CE9"/>
    <w:rsid w:val="000D48DE"/>
    <w:rsid w:val="000D616E"/>
    <w:rsid w:val="000E0282"/>
    <w:rsid w:val="000E11ED"/>
    <w:rsid w:val="000E130A"/>
    <w:rsid w:val="000E2036"/>
    <w:rsid w:val="000E6C77"/>
    <w:rsid w:val="000E6F52"/>
    <w:rsid w:val="000F082B"/>
    <w:rsid w:val="000F23EC"/>
    <w:rsid w:val="000F3B97"/>
    <w:rsid w:val="000F414A"/>
    <w:rsid w:val="000F4EBE"/>
    <w:rsid w:val="000F4F60"/>
    <w:rsid w:val="000F6BFD"/>
    <w:rsid w:val="000F7185"/>
    <w:rsid w:val="000F7B74"/>
    <w:rsid w:val="00101C01"/>
    <w:rsid w:val="0010206D"/>
    <w:rsid w:val="001031ED"/>
    <w:rsid w:val="00105C09"/>
    <w:rsid w:val="001079A3"/>
    <w:rsid w:val="00112D6E"/>
    <w:rsid w:val="00114E8E"/>
    <w:rsid w:val="00115EE1"/>
    <w:rsid w:val="00116CD2"/>
    <w:rsid w:val="001171E4"/>
    <w:rsid w:val="00117B9D"/>
    <w:rsid w:val="00120ACA"/>
    <w:rsid w:val="00121902"/>
    <w:rsid w:val="00122BB8"/>
    <w:rsid w:val="0012477E"/>
    <w:rsid w:val="00132920"/>
    <w:rsid w:val="001341F4"/>
    <w:rsid w:val="00134774"/>
    <w:rsid w:val="00140274"/>
    <w:rsid w:val="0014125B"/>
    <w:rsid w:val="001428D7"/>
    <w:rsid w:val="00142F0E"/>
    <w:rsid w:val="00146ECF"/>
    <w:rsid w:val="00151263"/>
    <w:rsid w:val="00151E6D"/>
    <w:rsid w:val="0015239E"/>
    <w:rsid w:val="0015273F"/>
    <w:rsid w:val="0015356B"/>
    <w:rsid w:val="001536BB"/>
    <w:rsid w:val="00154330"/>
    <w:rsid w:val="0015442E"/>
    <w:rsid w:val="00154E11"/>
    <w:rsid w:val="00155E57"/>
    <w:rsid w:val="00156834"/>
    <w:rsid w:val="0015756F"/>
    <w:rsid w:val="001611AF"/>
    <w:rsid w:val="00162638"/>
    <w:rsid w:val="0016266F"/>
    <w:rsid w:val="00162785"/>
    <w:rsid w:val="00162A8D"/>
    <w:rsid w:val="00164F77"/>
    <w:rsid w:val="00165E3C"/>
    <w:rsid w:val="00173E21"/>
    <w:rsid w:val="00173FB5"/>
    <w:rsid w:val="0017473C"/>
    <w:rsid w:val="00174D9A"/>
    <w:rsid w:val="00175673"/>
    <w:rsid w:val="00175979"/>
    <w:rsid w:val="001763F4"/>
    <w:rsid w:val="00182B90"/>
    <w:rsid w:val="001862FC"/>
    <w:rsid w:val="001867AE"/>
    <w:rsid w:val="001867F2"/>
    <w:rsid w:val="0018703C"/>
    <w:rsid w:val="001878C7"/>
    <w:rsid w:val="001923D4"/>
    <w:rsid w:val="00195EDE"/>
    <w:rsid w:val="00197EE3"/>
    <w:rsid w:val="001A00DA"/>
    <w:rsid w:val="001A39B2"/>
    <w:rsid w:val="001A3FF1"/>
    <w:rsid w:val="001A4477"/>
    <w:rsid w:val="001A46C7"/>
    <w:rsid w:val="001A4AAD"/>
    <w:rsid w:val="001A54C5"/>
    <w:rsid w:val="001A5D1D"/>
    <w:rsid w:val="001A629B"/>
    <w:rsid w:val="001B00CD"/>
    <w:rsid w:val="001B0353"/>
    <w:rsid w:val="001B0591"/>
    <w:rsid w:val="001B08E3"/>
    <w:rsid w:val="001B1BA3"/>
    <w:rsid w:val="001B1F95"/>
    <w:rsid w:val="001B35D2"/>
    <w:rsid w:val="001B56FE"/>
    <w:rsid w:val="001B5C9E"/>
    <w:rsid w:val="001B5DAC"/>
    <w:rsid w:val="001C1F8B"/>
    <w:rsid w:val="001C4376"/>
    <w:rsid w:val="001C5800"/>
    <w:rsid w:val="001C7B6F"/>
    <w:rsid w:val="001D1467"/>
    <w:rsid w:val="001D4A7B"/>
    <w:rsid w:val="001D4D75"/>
    <w:rsid w:val="001D4FB1"/>
    <w:rsid w:val="001D5ACF"/>
    <w:rsid w:val="001D6D90"/>
    <w:rsid w:val="001D7836"/>
    <w:rsid w:val="001E1674"/>
    <w:rsid w:val="001E1EB4"/>
    <w:rsid w:val="001E2602"/>
    <w:rsid w:val="001E2B49"/>
    <w:rsid w:val="001E5676"/>
    <w:rsid w:val="001E5D49"/>
    <w:rsid w:val="001E68CF"/>
    <w:rsid w:val="001F22AC"/>
    <w:rsid w:val="001F2BBB"/>
    <w:rsid w:val="001F52FD"/>
    <w:rsid w:val="001F535F"/>
    <w:rsid w:val="001F6250"/>
    <w:rsid w:val="001F62CC"/>
    <w:rsid w:val="001F6576"/>
    <w:rsid w:val="001F759A"/>
    <w:rsid w:val="002001AA"/>
    <w:rsid w:val="00200677"/>
    <w:rsid w:val="00200C90"/>
    <w:rsid w:val="002012F7"/>
    <w:rsid w:val="00201D02"/>
    <w:rsid w:val="002027F6"/>
    <w:rsid w:val="00203A5D"/>
    <w:rsid w:val="002061A9"/>
    <w:rsid w:val="002068EB"/>
    <w:rsid w:val="002070DE"/>
    <w:rsid w:val="00207D9A"/>
    <w:rsid w:val="0021302F"/>
    <w:rsid w:val="00214AED"/>
    <w:rsid w:val="00214E56"/>
    <w:rsid w:val="00216021"/>
    <w:rsid w:val="00216C64"/>
    <w:rsid w:val="00217C95"/>
    <w:rsid w:val="0022194A"/>
    <w:rsid w:val="00221C0D"/>
    <w:rsid w:val="00222385"/>
    <w:rsid w:val="00224B91"/>
    <w:rsid w:val="00225BE4"/>
    <w:rsid w:val="002264C6"/>
    <w:rsid w:val="00226578"/>
    <w:rsid w:val="00226619"/>
    <w:rsid w:val="00231ED1"/>
    <w:rsid w:val="0023270B"/>
    <w:rsid w:val="002349DA"/>
    <w:rsid w:val="00234CF8"/>
    <w:rsid w:val="00235C76"/>
    <w:rsid w:val="002377DA"/>
    <w:rsid w:val="00241523"/>
    <w:rsid w:val="00242624"/>
    <w:rsid w:val="0024557E"/>
    <w:rsid w:val="00246022"/>
    <w:rsid w:val="002471FD"/>
    <w:rsid w:val="00252D1B"/>
    <w:rsid w:val="00252FE4"/>
    <w:rsid w:val="002549ED"/>
    <w:rsid w:val="00254F48"/>
    <w:rsid w:val="00255398"/>
    <w:rsid w:val="002632EA"/>
    <w:rsid w:val="002635B6"/>
    <w:rsid w:val="0026364E"/>
    <w:rsid w:val="0026371D"/>
    <w:rsid w:val="00263A16"/>
    <w:rsid w:val="00266CAF"/>
    <w:rsid w:val="002700B1"/>
    <w:rsid w:val="002717AD"/>
    <w:rsid w:val="00273D7F"/>
    <w:rsid w:val="00273F4B"/>
    <w:rsid w:val="00275801"/>
    <w:rsid w:val="002769AB"/>
    <w:rsid w:val="00276E93"/>
    <w:rsid w:val="0027705F"/>
    <w:rsid w:val="0028070E"/>
    <w:rsid w:val="002817A6"/>
    <w:rsid w:val="0028351C"/>
    <w:rsid w:val="002844F5"/>
    <w:rsid w:val="0028506A"/>
    <w:rsid w:val="002850B0"/>
    <w:rsid w:val="00285A3A"/>
    <w:rsid w:val="00285E4D"/>
    <w:rsid w:val="002863D7"/>
    <w:rsid w:val="002869A0"/>
    <w:rsid w:val="002873B4"/>
    <w:rsid w:val="0029145A"/>
    <w:rsid w:val="002915D7"/>
    <w:rsid w:val="00292AB5"/>
    <w:rsid w:val="002931A0"/>
    <w:rsid w:val="00293F73"/>
    <w:rsid w:val="00294007"/>
    <w:rsid w:val="0029566C"/>
    <w:rsid w:val="002A0DEB"/>
    <w:rsid w:val="002A0E10"/>
    <w:rsid w:val="002A0EAB"/>
    <w:rsid w:val="002A1DC0"/>
    <w:rsid w:val="002A34FA"/>
    <w:rsid w:val="002A3684"/>
    <w:rsid w:val="002A4001"/>
    <w:rsid w:val="002A43C2"/>
    <w:rsid w:val="002A4620"/>
    <w:rsid w:val="002A7B3E"/>
    <w:rsid w:val="002A7C21"/>
    <w:rsid w:val="002B08F4"/>
    <w:rsid w:val="002B1B65"/>
    <w:rsid w:val="002B24D0"/>
    <w:rsid w:val="002B38CE"/>
    <w:rsid w:val="002B5507"/>
    <w:rsid w:val="002B5D57"/>
    <w:rsid w:val="002C02DB"/>
    <w:rsid w:val="002C1866"/>
    <w:rsid w:val="002C3540"/>
    <w:rsid w:val="002C3733"/>
    <w:rsid w:val="002C44C8"/>
    <w:rsid w:val="002C72AE"/>
    <w:rsid w:val="002D1A16"/>
    <w:rsid w:val="002D3557"/>
    <w:rsid w:val="002D3785"/>
    <w:rsid w:val="002D5800"/>
    <w:rsid w:val="002E06A3"/>
    <w:rsid w:val="002E4B6C"/>
    <w:rsid w:val="002E5110"/>
    <w:rsid w:val="002E5A1B"/>
    <w:rsid w:val="002E624D"/>
    <w:rsid w:val="002E648D"/>
    <w:rsid w:val="002E711E"/>
    <w:rsid w:val="002E772E"/>
    <w:rsid w:val="002F06A7"/>
    <w:rsid w:val="002F1DB0"/>
    <w:rsid w:val="002F1EA1"/>
    <w:rsid w:val="002F37B1"/>
    <w:rsid w:val="002F3DA0"/>
    <w:rsid w:val="002F4675"/>
    <w:rsid w:val="002F4CE1"/>
    <w:rsid w:val="002F568A"/>
    <w:rsid w:val="002F585D"/>
    <w:rsid w:val="002F5E96"/>
    <w:rsid w:val="002F6B96"/>
    <w:rsid w:val="002F7312"/>
    <w:rsid w:val="00300125"/>
    <w:rsid w:val="0030053D"/>
    <w:rsid w:val="00300F22"/>
    <w:rsid w:val="00303EE3"/>
    <w:rsid w:val="00304A37"/>
    <w:rsid w:val="00304F21"/>
    <w:rsid w:val="0030576D"/>
    <w:rsid w:val="00305FE0"/>
    <w:rsid w:val="00306667"/>
    <w:rsid w:val="00306676"/>
    <w:rsid w:val="003078DA"/>
    <w:rsid w:val="0031040E"/>
    <w:rsid w:val="00310E43"/>
    <w:rsid w:val="00310ED4"/>
    <w:rsid w:val="00311AAF"/>
    <w:rsid w:val="00311BD9"/>
    <w:rsid w:val="00312301"/>
    <w:rsid w:val="00314238"/>
    <w:rsid w:val="0031492A"/>
    <w:rsid w:val="003161C1"/>
    <w:rsid w:val="0031657C"/>
    <w:rsid w:val="00316C1A"/>
    <w:rsid w:val="003178B6"/>
    <w:rsid w:val="003179A0"/>
    <w:rsid w:val="0032030C"/>
    <w:rsid w:val="00321135"/>
    <w:rsid w:val="00323C73"/>
    <w:rsid w:val="003242C9"/>
    <w:rsid w:val="00324BC4"/>
    <w:rsid w:val="00324F52"/>
    <w:rsid w:val="00326E6E"/>
    <w:rsid w:val="003302DA"/>
    <w:rsid w:val="00331141"/>
    <w:rsid w:val="00334CED"/>
    <w:rsid w:val="0033542C"/>
    <w:rsid w:val="00335EF2"/>
    <w:rsid w:val="003369E7"/>
    <w:rsid w:val="0033758D"/>
    <w:rsid w:val="00340904"/>
    <w:rsid w:val="00340919"/>
    <w:rsid w:val="00340A70"/>
    <w:rsid w:val="00341500"/>
    <w:rsid w:val="00341DCB"/>
    <w:rsid w:val="003423F4"/>
    <w:rsid w:val="003427DB"/>
    <w:rsid w:val="003430F7"/>
    <w:rsid w:val="00343145"/>
    <w:rsid w:val="00343AA2"/>
    <w:rsid w:val="00344758"/>
    <w:rsid w:val="003450BE"/>
    <w:rsid w:val="00345AE1"/>
    <w:rsid w:val="003463C3"/>
    <w:rsid w:val="00346EF7"/>
    <w:rsid w:val="00347142"/>
    <w:rsid w:val="00347941"/>
    <w:rsid w:val="00350D1B"/>
    <w:rsid w:val="0035109B"/>
    <w:rsid w:val="00351792"/>
    <w:rsid w:val="00354E69"/>
    <w:rsid w:val="003554BC"/>
    <w:rsid w:val="003565A8"/>
    <w:rsid w:val="003566EA"/>
    <w:rsid w:val="00360FB5"/>
    <w:rsid w:val="00361C22"/>
    <w:rsid w:val="0036784C"/>
    <w:rsid w:val="003679E4"/>
    <w:rsid w:val="0037061B"/>
    <w:rsid w:val="00372C79"/>
    <w:rsid w:val="00376093"/>
    <w:rsid w:val="0037629C"/>
    <w:rsid w:val="00376365"/>
    <w:rsid w:val="00380387"/>
    <w:rsid w:val="00380E21"/>
    <w:rsid w:val="003822B2"/>
    <w:rsid w:val="003828F3"/>
    <w:rsid w:val="0038455F"/>
    <w:rsid w:val="0038484A"/>
    <w:rsid w:val="00384E70"/>
    <w:rsid w:val="00385CE7"/>
    <w:rsid w:val="00395D02"/>
    <w:rsid w:val="003A168E"/>
    <w:rsid w:val="003A251E"/>
    <w:rsid w:val="003A3A9E"/>
    <w:rsid w:val="003A4792"/>
    <w:rsid w:val="003A48B7"/>
    <w:rsid w:val="003A4FD2"/>
    <w:rsid w:val="003B10FE"/>
    <w:rsid w:val="003B22B8"/>
    <w:rsid w:val="003B2E10"/>
    <w:rsid w:val="003B39B6"/>
    <w:rsid w:val="003B3BD3"/>
    <w:rsid w:val="003B644F"/>
    <w:rsid w:val="003B7F37"/>
    <w:rsid w:val="003D077F"/>
    <w:rsid w:val="003D08BD"/>
    <w:rsid w:val="003D3EAA"/>
    <w:rsid w:val="003D4E50"/>
    <w:rsid w:val="003D5AEB"/>
    <w:rsid w:val="003E5DEF"/>
    <w:rsid w:val="003E6D55"/>
    <w:rsid w:val="003E70D4"/>
    <w:rsid w:val="003E74C4"/>
    <w:rsid w:val="003E769F"/>
    <w:rsid w:val="003E7A55"/>
    <w:rsid w:val="003F05DB"/>
    <w:rsid w:val="003F0E26"/>
    <w:rsid w:val="003F1A23"/>
    <w:rsid w:val="003F2CF8"/>
    <w:rsid w:val="003F570E"/>
    <w:rsid w:val="003F5C7E"/>
    <w:rsid w:val="00401F79"/>
    <w:rsid w:val="004025AA"/>
    <w:rsid w:val="00403519"/>
    <w:rsid w:val="00403A8C"/>
    <w:rsid w:val="0040497E"/>
    <w:rsid w:val="00405E28"/>
    <w:rsid w:val="0040621F"/>
    <w:rsid w:val="004067DB"/>
    <w:rsid w:val="0041020F"/>
    <w:rsid w:val="00410599"/>
    <w:rsid w:val="004127F8"/>
    <w:rsid w:val="00413E86"/>
    <w:rsid w:val="00414620"/>
    <w:rsid w:val="00414FE0"/>
    <w:rsid w:val="00415DF5"/>
    <w:rsid w:val="00420732"/>
    <w:rsid w:val="00420782"/>
    <w:rsid w:val="00422417"/>
    <w:rsid w:val="004229BB"/>
    <w:rsid w:val="00424233"/>
    <w:rsid w:val="0042445B"/>
    <w:rsid w:val="00425B51"/>
    <w:rsid w:val="004263EC"/>
    <w:rsid w:val="004305A8"/>
    <w:rsid w:val="00431D50"/>
    <w:rsid w:val="00433A93"/>
    <w:rsid w:val="00433D3D"/>
    <w:rsid w:val="00434DF9"/>
    <w:rsid w:val="00436616"/>
    <w:rsid w:val="00440219"/>
    <w:rsid w:val="00441A7D"/>
    <w:rsid w:val="00441F43"/>
    <w:rsid w:val="00442861"/>
    <w:rsid w:val="0044310D"/>
    <w:rsid w:val="004436BA"/>
    <w:rsid w:val="00443AD7"/>
    <w:rsid w:val="00443EC1"/>
    <w:rsid w:val="00445CB5"/>
    <w:rsid w:val="0044750C"/>
    <w:rsid w:val="00450DFB"/>
    <w:rsid w:val="00452A76"/>
    <w:rsid w:val="004571FF"/>
    <w:rsid w:val="00457542"/>
    <w:rsid w:val="0046001D"/>
    <w:rsid w:val="00460EE0"/>
    <w:rsid w:val="0046153D"/>
    <w:rsid w:val="0046261D"/>
    <w:rsid w:val="00462A93"/>
    <w:rsid w:val="00462FC0"/>
    <w:rsid w:val="0046603C"/>
    <w:rsid w:val="00470D4E"/>
    <w:rsid w:val="004712FB"/>
    <w:rsid w:val="00471911"/>
    <w:rsid w:val="00471BB7"/>
    <w:rsid w:val="0047259F"/>
    <w:rsid w:val="0047293A"/>
    <w:rsid w:val="00472EFF"/>
    <w:rsid w:val="00473C80"/>
    <w:rsid w:val="00474063"/>
    <w:rsid w:val="004741FD"/>
    <w:rsid w:val="00474557"/>
    <w:rsid w:val="00476793"/>
    <w:rsid w:val="0048088F"/>
    <w:rsid w:val="00481B2A"/>
    <w:rsid w:val="00481D10"/>
    <w:rsid w:val="00482091"/>
    <w:rsid w:val="00482125"/>
    <w:rsid w:val="00483B58"/>
    <w:rsid w:val="00483F2E"/>
    <w:rsid w:val="00484E8F"/>
    <w:rsid w:val="00485FAF"/>
    <w:rsid w:val="00486F03"/>
    <w:rsid w:val="00486FD4"/>
    <w:rsid w:val="0049245C"/>
    <w:rsid w:val="00492C99"/>
    <w:rsid w:val="00493D02"/>
    <w:rsid w:val="00496693"/>
    <w:rsid w:val="004968F0"/>
    <w:rsid w:val="0049701A"/>
    <w:rsid w:val="0049733F"/>
    <w:rsid w:val="00497912"/>
    <w:rsid w:val="00497984"/>
    <w:rsid w:val="004A187B"/>
    <w:rsid w:val="004A2D3C"/>
    <w:rsid w:val="004A33CB"/>
    <w:rsid w:val="004A37CC"/>
    <w:rsid w:val="004A4B90"/>
    <w:rsid w:val="004A6574"/>
    <w:rsid w:val="004A78D8"/>
    <w:rsid w:val="004B0360"/>
    <w:rsid w:val="004B4983"/>
    <w:rsid w:val="004B6F46"/>
    <w:rsid w:val="004C0F6C"/>
    <w:rsid w:val="004C1988"/>
    <w:rsid w:val="004C1AAF"/>
    <w:rsid w:val="004C2780"/>
    <w:rsid w:val="004C4AB8"/>
    <w:rsid w:val="004C6E89"/>
    <w:rsid w:val="004C6FC3"/>
    <w:rsid w:val="004C7412"/>
    <w:rsid w:val="004C776C"/>
    <w:rsid w:val="004C7A09"/>
    <w:rsid w:val="004C7C96"/>
    <w:rsid w:val="004C7E58"/>
    <w:rsid w:val="004D04BF"/>
    <w:rsid w:val="004D0888"/>
    <w:rsid w:val="004D123E"/>
    <w:rsid w:val="004D2BDD"/>
    <w:rsid w:val="004D33FA"/>
    <w:rsid w:val="004D36C6"/>
    <w:rsid w:val="004D3F88"/>
    <w:rsid w:val="004D4D5B"/>
    <w:rsid w:val="004D5BA4"/>
    <w:rsid w:val="004E0DFF"/>
    <w:rsid w:val="004E13B6"/>
    <w:rsid w:val="004E1C56"/>
    <w:rsid w:val="004E2BC9"/>
    <w:rsid w:val="004E3E08"/>
    <w:rsid w:val="004E48BE"/>
    <w:rsid w:val="004E578A"/>
    <w:rsid w:val="004E5BD9"/>
    <w:rsid w:val="004E5C0F"/>
    <w:rsid w:val="004E5C5A"/>
    <w:rsid w:val="004E5D8C"/>
    <w:rsid w:val="004F1C7C"/>
    <w:rsid w:val="004F2689"/>
    <w:rsid w:val="004F26A6"/>
    <w:rsid w:val="004F4171"/>
    <w:rsid w:val="004F5C13"/>
    <w:rsid w:val="004F7BF4"/>
    <w:rsid w:val="0050090B"/>
    <w:rsid w:val="00502853"/>
    <w:rsid w:val="00505A0E"/>
    <w:rsid w:val="00505DB6"/>
    <w:rsid w:val="00506033"/>
    <w:rsid w:val="005064F9"/>
    <w:rsid w:val="005068FF"/>
    <w:rsid w:val="00506F32"/>
    <w:rsid w:val="00507A2B"/>
    <w:rsid w:val="00510390"/>
    <w:rsid w:val="005123F0"/>
    <w:rsid w:val="00512B9C"/>
    <w:rsid w:val="00513540"/>
    <w:rsid w:val="00513941"/>
    <w:rsid w:val="00516EF5"/>
    <w:rsid w:val="00517121"/>
    <w:rsid w:val="005206DF"/>
    <w:rsid w:val="0052079C"/>
    <w:rsid w:val="005207E9"/>
    <w:rsid w:val="0052510F"/>
    <w:rsid w:val="0052633E"/>
    <w:rsid w:val="005275B5"/>
    <w:rsid w:val="00527BE0"/>
    <w:rsid w:val="0053051D"/>
    <w:rsid w:val="005305C1"/>
    <w:rsid w:val="00531507"/>
    <w:rsid w:val="0053304F"/>
    <w:rsid w:val="00534403"/>
    <w:rsid w:val="00535931"/>
    <w:rsid w:val="005368D2"/>
    <w:rsid w:val="00540CB0"/>
    <w:rsid w:val="00540D45"/>
    <w:rsid w:val="005431B4"/>
    <w:rsid w:val="00545286"/>
    <w:rsid w:val="00545934"/>
    <w:rsid w:val="00547D5F"/>
    <w:rsid w:val="005504DD"/>
    <w:rsid w:val="00550C82"/>
    <w:rsid w:val="00551616"/>
    <w:rsid w:val="00551ED1"/>
    <w:rsid w:val="00560160"/>
    <w:rsid w:val="005603CA"/>
    <w:rsid w:val="00564208"/>
    <w:rsid w:val="0056541B"/>
    <w:rsid w:val="0056692E"/>
    <w:rsid w:val="00567673"/>
    <w:rsid w:val="00571CEB"/>
    <w:rsid w:val="00575BC6"/>
    <w:rsid w:val="0057639E"/>
    <w:rsid w:val="0057687C"/>
    <w:rsid w:val="0057712B"/>
    <w:rsid w:val="00580795"/>
    <w:rsid w:val="005821D8"/>
    <w:rsid w:val="00582849"/>
    <w:rsid w:val="00582E2B"/>
    <w:rsid w:val="00586C7D"/>
    <w:rsid w:val="0059166D"/>
    <w:rsid w:val="00591951"/>
    <w:rsid w:val="00591C7F"/>
    <w:rsid w:val="00591F73"/>
    <w:rsid w:val="0059265F"/>
    <w:rsid w:val="00595C34"/>
    <w:rsid w:val="00595F98"/>
    <w:rsid w:val="0059663D"/>
    <w:rsid w:val="00596CA1"/>
    <w:rsid w:val="00597070"/>
    <w:rsid w:val="005974AC"/>
    <w:rsid w:val="005A0964"/>
    <w:rsid w:val="005A1069"/>
    <w:rsid w:val="005A1181"/>
    <w:rsid w:val="005A2D83"/>
    <w:rsid w:val="005A3BC9"/>
    <w:rsid w:val="005A4868"/>
    <w:rsid w:val="005A5021"/>
    <w:rsid w:val="005A593D"/>
    <w:rsid w:val="005A5D63"/>
    <w:rsid w:val="005A69B2"/>
    <w:rsid w:val="005B160C"/>
    <w:rsid w:val="005B171C"/>
    <w:rsid w:val="005B1995"/>
    <w:rsid w:val="005B2D46"/>
    <w:rsid w:val="005B33BE"/>
    <w:rsid w:val="005B36F6"/>
    <w:rsid w:val="005B5A14"/>
    <w:rsid w:val="005B739C"/>
    <w:rsid w:val="005B7523"/>
    <w:rsid w:val="005B75CE"/>
    <w:rsid w:val="005B799E"/>
    <w:rsid w:val="005C06D6"/>
    <w:rsid w:val="005C12F0"/>
    <w:rsid w:val="005C1F90"/>
    <w:rsid w:val="005C23E2"/>
    <w:rsid w:val="005C279C"/>
    <w:rsid w:val="005C2ECF"/>
    <w:rsid w:val="005C4D09"/>
    <w:rsid w:val="005C5309"/>
    <w:rsid w:val="005C5D41"/>
    <w:rsid w:val="005C5D8B"/>
    <w:rsid w:val="005D16B1"/>
    <w:rsid w:val="005D1B52"/>
    <w:rsid w:val="005D1F34"/>
    <w:rsid w:val="005D2368"/>
    <w:rsid w:val="005D309E"/>
    <w:rsid w:val="005D3506"/>
    <w:rsid w:val="005D383D"/>
    <w:rsid w:val="005D3EDF"/>
    <w:rsid w:val="005D4E0F"/>
    <w:rsid w:val="005D65B7"/>
    <w:rsid w:val="005D6F59"/>
    <w:rsid w:val="005D797B"/>
    <w:rsid w:val="005D7AD1"/>
    <w:rsid w:val="005D7BA6"/>
    <w:rsid w:val="005D7CF1"/>
    <w:rsid w:val="005E161B"/>
    <w:rsid w:val="005E2CF8"/>
    <w:rsid w:val="005E3257"/>
    <w:rsid w:val="005E3D05"/>
    <w:rsid w:val="005E56E7"/>
    <w:rsid w:val="005E6C8E"/>
    <w:rsid w:val="005F0453"/>
    <w:rsid w:val="005F0F80"/>
    <w:rsid w:val="005F3540"/>
    <w:rsid w:val="005F4665"/>
    <w:rsid w:val="005F4CB0"/>
    <w:rsid w:val="005F57F9"/>
    <w:rsid w:val="005F5E4D"/>
    <w:rsid w:val="005F6092"/>
    <w:rsid w:val="00600533"/>
    <w:rsid w:val="00600FFF"/>
    <w:rsid w:val="00602163"/>
    <w:rsid w:val="0060279E"/>
    <w:rsid w:val="00602D15"/>
    <w:rsid w:val="00603636"/>
    <w:rsid w:val="00604017"/>
    <w:rsid w:val="0060467B"/>
    <w:rsid w:val="00606848"/>
    <w:rsid w:val="00607B7B"/>
    <w:rsid w:val="00607C6E"/>
    <w:rsid w:val="006102C0"/>
    <w:rsid w:val="00610A9D"/>
    <w:rsid w:val="00612408"/>
    <w:rsid w:val="00612A0F"/>
    <w:rsid w:val="00612C71"/>
    <w:rsid w:val="00613A42"/>
    <w:rsid w:val="006155F9"/>
    <w:rsid w:val="00615757"/>
    <w:rsid w:val="006158D3"/>
    <w:rsid w:val="00615E77"/>
    <w:rsid w:val="00616F88"/>
    <w:rsid w:val="0061778B"/>
    <w:rsid w:val="00620BA2"/>
    <w:rsid w:val="006210FB"/>
    <w:rsid w:val="00622508"/>
    <w:rsid w:val="00623A1D"/>
    <w:rsid w:val="00625B31"/>
    <w:rsid w:val="00625E72"/>
    <w:rsid w:val="0062724E"/>
    <w:rsid w:val="0062740F"/>
    <w:rsid w:val="00627DF3"/>
    <w:rsid w:val="0063009F"/>
    <w:rsid w:val="006303C6"/>
    <w:rsid w:val="00631321"/>
    <w:rsid w:val="00632721"/>
    <w:rsid w:val="00633A7D"/>
    <w:rsid w:val="006344A3"/>
    <w:rsid w:val="006351EA"/>
    <w:rsid w:val="006356C5"/>
    <w:rsid w:val="006368FF"/>
    <w:rsid w:val="0064048B"/>
    <w:rsid w:val="006410DD"/>
    <w:rsid w:val="006412FF"/>
    <w:rsid w:val="00642402"/>
    <w:rsid w:val="00642BD6"/>
    <w:rsid w:val="00642E98"/>
    <w:rsid w:val="00644D9D"/>
    <w:rsid w:val="00645A33"/>
    <w:rsid w:val="00650E26"/>
    <w:rsid w:val="0065216F"/>
    <w:rsid w:val="00654793"/>
    <w:rsid w:val="0065576D"/>
    <w:rsid w:val="00655B16"/>
    <w:rsid w:val="00656D14"/>
    <w:rsid w:val="00657BA8"/>
    <w:rsid w:val="00657E90"/>
    <w:rsid w:val="00660A40"/>
    <w:rsid w:val="00660EB5"/>
    <w:rsid w:val="00662DEC"/>
    <w:rsid w:val="00663020"/>
    <w:rsid w:val="006639A2"/>
    <w:rsid w:val="006639A4"/>
    <w:rsid w:val="00665097"/>
    <w:rsid w:val="00665629"/>
    <w:rsid w:val="0066585A"/>
    <w:rsid w:val="0066591E"/>
    <w:rsid w:val="00665FB2"/>
    <w:rsid w:val="0066712C"/>
    <w:rsid w:val="0066761E"/>
    <w:rsid w:val="00667D59"/>
    <w:rsid w:val="00667FB3"/>
    <w:rsid w:val="006700B5"/>
    <w:rsid w:val="006726D7"/>
    <w:rsid w:val="00675E0F"/>
    <w:rsid w:val="006776AD"/>
    <w:rsid w:val="00681A55"/>
    <w:rsid w:val="00681D20"/>
    <w:rsid w:val="00681E2C"/>
    <w:rsid w:val="006821FD"/>
    <w:rsid w:val="006832CA"/>
    <w:rsid w:val="0068533F"/>
    <w:rsid w:val="00685A68"/>
    <w:rsid w:val="006863D3"/>
    <w:rsid w:val="00687D85"/>
    <w:rsid w:val="0069021E"/>
    <w:rsid w:val="0069021F"/>
    <w:rsid w:val="0069043C"/>
    <w:rsid w:val="00691CD1"/>
    <w:rsid w:val="00691CFE"/>
    <w:rsid w:val="00691D05"/>
    <w:rsid w:val="00691E36"/>
    <w:rsid w:val="00692B23"/>
    <w:rsid w:val="00693B1B"/>
    <w:rsid w:val="00694031"/>
    <w:rsid w:val="00694090"/>
    <w:rsid w:val="006958E0"/>
    <w:rsid w:val="0069657A"/>
    <w:rsid w:val="006A198E"/>
    <w:rsid w:val="006A295B"/>
    <w:rsid w:val="006A2E6F"/>
    <w:rsid w:val="006A56F7"/>
    <w:rsid w:val="006A5C74"/>
    <w:rsid w:val="006A6BB3"/>
    <w:rsid w:val="006B2669"/>
    <w:rsid w:val="006B3DE1"/>
    <w:rsid w:val="006B5941"/>
    <w:rsid w:val="006B6785"/>
    <w:rsid w:val="006B6AE9"/>
    <w:rsid w:val="006C0642"/>
    <w:rsid w:val="006C07D1"/>
    <w:rsid w:val="006C0C79"/>
    <w:rsid w:val="006C2CAC"/>
    <w:rsid w:val="006C33E0"/>
    <w:rsid w:val="006C444B"/>
    <w:rsid w:val="006C5F60"/>
    <w:rsid w:val="006C7C01"/>
    <w:rsid w:val="006C7FF0"/>
    <w:rsid w:val="006D0407"/>
    <w:rsid w:val="006D200E"/>
    <w:rsid w:val="006D35EC"/>
    <w:rsid w:val="006D36E5"/>
    <w:rsid w:val="006D5EE5"/>
    <w:rsid w:val="006D67DE"/>
    <w:rsid w:val="006D6B8C"/>
    <w:rsid w:val="006D7AE4"/>
    <w:rsid w:val="006E051D"/>
    <w:rsid w:val="006E2656"/>
    <w:rsid w:val="006E344D"/>
    <w:rsid w:val="006E3B00"/>
    <w:rsid w:val="006E4217"/>
    <w:rsid w:val="006E4BBD"/>
    <w:rsid w:val="006E68A0"/>
    <w:rsid w:val="006E6D3B"/>
    <w:rsid w:val="006F063A"/>
    <w:rsid w:val="006F1832"/>
    <w:rsid w:val="006F231A"/>
    <w:rsid w:val="006F37E9"/>
    <w:rsid w:val="006F3D3B"/>
    <w:rsid w:val="006F4322"/>
    <w:rsid w:val="006F45E2"/>
    <w:rsid w:val="006F5A0F"/>
    <w:rsid w:val="00701559"/>
    <w:rsid w:val="007035C0"/>
    <w:rsid w:val="0070516A"/>
    <w:rsid w:val="0070657F"/>
    <w:rsid w:val="007105C1"/>
    <w:rsid w:val="00710933"/>
    <w:rsid w:val="0071194E"/>
    <w:rsid w:val="00712420"/>
    <w:rsid w:val="00712A52"/>
    <w:rsid w:val="00714FF5"/>
    <w:rsid w:val="00716750"/>
    <w:rsid w:val="0072113A"/>
    <w:rsid w:val="00721AF8"/>
    <w:rsid w:val="00721DC5"/>
    <w:rsid w:val="00722A78"/>
    <w:rsid w:val="007231E8"/>
    <w:rsid w:val="00727942"/>
    <w:rsid w:val="00727AC3"/>
    <w:rsid w:val="007303DB"/>
    <w:rsid w:val="00730699"/>
    <w:rsid w:val="00730BD2"/>
    <w:rsid w:val="007414D9"/>
    <w:rsid w:val="007418A9"/>
    <w:rsid w:val="0074226C"/>
    <w:rsid w:val="007426A2"/>
    <w:rsid w:val="00743AD9"/>
    <w:rsid w:val="00744451"/>
    <w:rsid w:val="00744C3B"/>
    <w:rsid w:val="0074556D"/>
    <w:rsid w:val="007463B5"/>
    <w:rsid w:val="00746E04"/>
    <w:rsid w:val="007472CD"/>
    <w:rsid w:val="00747F87"/>
    <w:rsid w:val="00750D0C"/>
    <w:rsid w:val="00751E5D"/>
    <w:rsid w:val="0075240D"/>
    <w:rsid w:val="0075293B"/>
    <w:rsid w:val="007540BF"/>
    <w:rsid w:val="007544CE"/>
    <w:rsid w:val="00754CEC"/>
    <w:rsid w:val="00757A7A"/>
    <w:rsid w:val="00762A37"/>
    <w:rsid w:val="00762A91"/>
    <w:rsid w:val="00762CCD"/>
    <w:rsid w:val="007634FA"/>
    <w:rsid w:val="007637A8"/>
    <w:rsid w:val="00765ABF"/>
    <w:rsid w:val="00765B23"/>
    <w:rsid w:val="00765B58"/>
    <w:rsid w:val="00765BB6"/>
    <w:rsid w:val="00766DE7"/>
    <w:rsid w:val="00770DCB"/>
    <w:rsid w:val="007721DA"/>
    <w:rsid w:val="00774E8E"/>
    <w:rsid w:val="00775485"/>
    <w:rsid w:val="0078048B"/>
    <w:rsid w:val="00783532"/>
    <w:rsid w:val="00783B08"/>
    <w:rsid w:val="0078426F"/>
    <w:rsid w:val="007846B5"/>
    <w:rsid w:val="00785BFB"/>
    <w:rsid w:val="00787890"/>
    <w:rsid w:val="007912C0"/>
    <w:rsid w:val="00791BEF"/>
    <w:rsid w:val="00791D41"/>
    <w:rsid w:val="00792AE4"/>
    <w:rsid w:val="00793814"/>
    <w:rsid w:val="0079734D"/>
    <w:rsid w:val="007A10D5"/>
    <w:rsid w:val="007A1248"/>
    <w:rsid w:val="007A213C"/>
    <w:rsid w:val="007A2557"/>
    <w:rsid w:val="007A2879"/>
    <w:rsid w:val="007A34EE"/>
    <w:rsid w:val="007A4183"/>
    <w:rsid w:val="007A436C"/>
    <w:rsid w:val="007A7F44"/>
    <w:rsid w:val="007B06EA"/>
    <w:rsid w:val="007B0CE9"/>
    <w:rsid w:val="007B131E"/>
    <w:rsid w:val="007B23EF"/>
    <w:rsid w:val="007B2F12"/>
    <w:rsid w:val="007B4E25"/>
    <w:rsid w:val="007B562C"/>
    <w:rsid w:val="007B5B0F"/>
    <w:rsid w:val="007B65F3"/>
    <w:rsid w:val="007B74BF"/>
    <w:rsid w:val="007C20C2"/>
    <w:rsid w:val="007C4CAC"/>
    <w:rsid w:val="007C5FBA"/>
    <w:rsid w:val="007C6529"/>
    <w:rsid w:val="007C6BE1"/>
    <w:rsid w:val="007C6C59"/>
    <w:rsid w:val="007C7EBB"/>
    <w:rsid w:val="007D2F00"/>
    <w:rsid w:val="007D403A"/>
    <w:rsid w:val="007D4576"/>
    <w:rsid w:val="007D573F"/>
    <w:rsid w:val="007D7CB1"/>
    <w:rsid w:val="007E5B88"/>
    <w:rsid w:val="007E6891"/>
    <w:rsid w:val="007E7546"/>
    <w:rsid w:val="007E76EE"/>
    <w:rsid w:val="007E76F6"/>
    <w:rsid w:val="007E777F"/>
    <w:rsid w:val="007E778A"/>
    <w:rsid w:val="007F03E1"/>
    <w:rsid w:val="007F07BA"/>
    <w:rsid w:val="007F0D0B"/>
    <w:rsid w:val="007F1207"/>
    <w:rsid w:val="007F196E"/>
    <w:rsid w:val="007F4534"/>
    <w:rsid w:val="007F65C5"/>
    <w:rsid w:val="008007A8"/>
    <w:rsid w:val="00801089"/>
    <w:rsid w:val="00802635"/>
    <w:rsid w:val="00803081"/>
    <w:rsid w:val="008042D9"/>
    <w:rsid w:val="008044A7"/>
    <w:rsid w:val="00804DA4"/>
    <w:rsid w:val="00806700"/>
    <w:rsid w:val="00807B85"/>
    <w:rsid w:val="00807F97"/>
    <w:rsid w:val="008103E8"/>
    <w:rsid w:val="0081052E"/>
    <w:rsid w:val="00813258"/>
    <w:rsid w:val="00813F58"/>
    <w:rsid w:val="00814AFE"/>
    <w:rsid w:val="00814F5E"/>
    <w:rsid w:val="00814FC0"/>
    <w:rsid w:val="0081500B"/>
    <w:rsid w:val="0081510F"/>
    <w:rsid w:val="008160A8"/>
    <w:rsid w:val="008172BE"/>
    <w:rsid w:val="00817C73"/>
    <w:rsid w:val="0082018B"/>
    <w:rsid w:val="00820F7B"/>
    <w:rsid w:val="00823005"/>
    <w:rsid w:val="00823866"/>
    <w:rsid w:val="00823CEF"/>
    <w:rsid w:val="00823CFF"/>
    <w:rsid w:val="00825170"/>
    <w:rsid w:val="00826C77"/>
    <w:rsid w:val="0083045C"/>
    <w:rsid w:val="008307DA"/>
    <w:rsid w:val="00831583"/>
    <w:rsid w:val="00835010"/>
    <w:rsid w:val="00835BB0"/>
    <w:rsid w:val="00835C20"/>
    <w:rsid w:val="008363C0"/>
    <w:rsid w:val="00836FA6"/>
    <w:rsid w:val="00837022"/>
    <w:rsid w:val="0083770E"/>
    <w:rsid w:val="008377B1"/>
    <w:rsid w:val="008407A1"/>
    <w:rsid w:val="00841CC4"/>
    <w:rsid w:val="008449B9"/>
    <w:rsid w:val="008461B9"/>
    <w:rsid w:val="00847191"/>
    <w:rsid w:val="008479C1"/>
    <w:rsid w:val="00850999"/>
    <w:rsid w:val="00852002"/>
    <w:rsid w:val="00852D89"/>
    <w:rsid w:val="008531CF"/>
    <w:rsid w:val="00855E7D"/>
    <w:rsid w:val="00857408"/>
    <w:rsid w:val="00860046"/>
    <w:rsid w:val="0086076D"/>
    <w:rsid w:val="0086254F"/>
    <w:rsid w:val="00862CD8"/>
    <w:rsid w:val="008648E7"/>
    <w:rsid w:val="00867399"/>
    <w:rsid w:val="008724DE"/>
    <w:rsid w:val="00873249"/>
    <w:rsid w:val="008744A2"/>
    <w:rsid w:val="00874F6C"/>
    <w:rsid w:val="00875692"/>
    <w:rsid w:val="008758D9"/>
    <w:rsid w:val="00875CB9"/>
    <w:rsid w:val="008777C5"/>
    <w:rsid w:val="0088089A"/>
    <w:rsid w:val="00882021"/>
    <w:rsid w:val="008828CA"/>
    <w:rsid w:val="00882B0A"/>
    <w:rsid w:val="00883882"/>
    <w:rsid w:val="00884923"/>
    <w:rsid w:val="00884CED"/>
    <w:rsid w:val="00885D28"/>
    <w:rsid w:val="00891837"/>
    <w:rsid w:val="008935EC"/>
    <w:rsid w:val="008940CB"/>
    <w:rsid w:val="008955E8"/>
    <w:rsid w:val="00896967"/>
    <w:rsid w:val="00896B5E"/>
    <w:rsid w:val="008977D9"/>
    <w:rsid w:val="00897D2B"/>
    <w:rsid w:val="008A14F2"/>
    <w:rsid w:val="008A3D57"/>
    <w:rsid w:val="008A44B0"/>
    <w:rsid w:val="008A7873"/>
    <w:rsid w:val="008B0820"/>
    <w:rsid w:val="008B0D7C"/>
    <w:rsid w:val="008B23BC"/>
    <w:rsid w:val="008B3817"/>
    <w:rsid w:val="008B3899"/>
    <w:rsid w:val="008B69B8"/>
    <w:rsid w:val="008C0626"/>
    <w:rsid w:val="008C08DD"/>
    <w:rsid w:val="008C0D36"/>
    <w:rsid w:val="008C13C8"/>
    <w:rsid w:val="008C1EA5"/>
    <w:rsid w:val="008C6AD2"/>
    <w:rsid w:val="008C7406"/>
    <w:rsid w:val="008D00B9"/>
    <w:rsid w:val="008D3312"/>
    <w:rsid w:val="008D3C5A"/>
    <w:rsid w:val="008D4486"/>
    <w:rsid w:val="008D6BCC"/>
    <w:rsid w:val="008E1C9A"/>
    <w:rsid w:val="008E328C"/>
    <w:rsid w:val="008E3C3D"/>
    <w:rsid w:val="008E3D60"/>
    <w:rsid w:val="008E3F4C"/>
    <w:rsid w:val="008E4AC1"/>
    <w:rsid w:val="008E4CD0"/>
    <w:rsid w:val="008E5EB5"/>
    <w:rsid w:val="008E63AB"/>
    <w:rsid w:val="008E68DB"/>
    <w:rsid w:val="008E6B53"/>
    <w:rsid w:val="008E6B55"/>
    <w:rsid w:val="008F062E"/>
    <w:rsid w:val="008F15F0"/>
    <w:rsid w:val="008F1EF3"/>
    <w:rsid w:val="008F1FF7"/>
    <w:rsid w:val="008F2102"/>
    <w:rsid w:val="008F3070"/>
    <w:rsid w:val="008F4C07"/>
    <w:rsid w:val="008F545F"/>
    <w:rsid w:val="008F589A"/>
    <w:rsid w:val="008F6669"/>
    <w:rsid w:val="008F704C"/>
    <w:rsid w:val="008F7FA3"/>
    <w:rsid w:val="0090015E"/>
    <w:rsid w:val="0090165F"/>
    <w:rsid w:val="00901847"/>
    <w:rsid w:val="00901B82"/>
    <w:rsid w:val="00902EC1"/>
    <w:rsid w:val="00903ACF"/>
    <w:rsid w:val="00904339"/>
    <w:rsid w:val="00904867"/>
    <w:rsid w:val="00905311"/>
    <w:rsid w:val="009071A1"/>
    <w:rsid w:val="00907B07"/>
    <w:rsid w:val="00910C08"/>
    <w:rsid w:val="00912973"/>
    <w:rsid w:val="00912B09"/>
    <w:rsid w:val="00912C86"/>
    <w:rsid w:val="00913CAB"/>
    <w:rsid w:val="009147CD"/>
    <w:rsid w:val="00914ADE"/>
    <w:rsid w:val="00916CFA"/>
    <w:rsid w:val="00916FB9"/>
    <w:rsid w:val="0092049F"/>
    <w:rsid w:val="00920D38"/>
    <w:rsid w:val="00920E4E"/>
    <w:rsid w:val="009215E3"/>
    <w:rsid w:val="0092240A"/>
    <w:rsid w:val="009249BB"/>
    <w:rsid w:val="009303AF"/>
    <w:rsid w:val="0093121E"/>
    <w:rsid w:val="009316A2"/>
    <w:rsid w:val="00932F87"/>
    <w:rsid w:val="00933355"/>
    <w:rsid w:val="009352F7"/>
    <w:rsid w:val="009357D0"/>
    <w:rsid w:val="00936C24"/>
    <w:rsid w:val="00940594"/>
    <w:rsid w:val="00941710"/>
    <w:rsid w:val="00942B21"/>
    <w:rsid w:val="009432CF"/>
    <w:rsid w:val="00943FB2"/>
    <w:rsid w:val="009449D8"/>
    <w:rsid w:val="00944C42"/>
    <w:rsid w:val="00944E86"/>
    <w:rsid w:val="00945CB4"/>
    <w:rsid w:val="00946BC7"/>
    <w:rsid w:val="00952993"/>
    <w:rsid w:val="00953AC9"/>
    <w:rsid w:val="009542AC"/>
    <w:rsid w:val="009547B5"/>
    <w:rsid w:val="0095539D"/>
    <w:rsid w:val="009610AC"/>
    <w:rsid w:val="009616FB"/>
    <w:rsid w:val="009643DC"/>
    <w:rsid w:val="009662D0"/>
    <w:rsid w:val="00966C2F"/>
    <w:rsid w:val="0096742A"/>
    <w:rsid w:val="00970E5C"/>
    <w:rsid w:val="00970FEE"/>
    <w:rsid w:val="00971940"/>
    <w:rsid w:val="00971D72"/>
    <w:rsid w:val="00972250"/>
    <w:rsid w:val="00973600"/>
    <w:rsid w:val="00973F0C"/>
    <w:rsid w:val="00974ADF"/>
    <w:rsid w:val="00975047"/>
    <w:rsid w:val="0097512B"/>
    <w:rsid w:val="0097656C"/>
    <w:rsid w:val="00977E6A"/>
    <w:rsid w:val="00980FE1"/>
    <w:rsid w:val="00981F8E"/>
    <w:rsid w:val="00982374"/>
    <w:rsid w:val="00982404"/>
    <w:rsid w:val="00982C9F"/>
    <w:rsid w:val="0098480A"/>
    <w:rsid w:val="00985358"/>
    <w:rsid w:val="00987C27"/>
    <w:rsid w:val="00992650"/>
    <w:rsid w:val="009926EE"/>
    <w:rsid w:val="009936E5"/>
    <w:rsid w:val="00993BD2"/>
    <w:rsid w:val="00994B26"/>
    <w:rsid w:val="0099784C"/>
    <w:rsid w:val="009A1259"/>
    <w:rsid w:val="009A234A"/>
    <w:rsid w:val="009A2DF8"/>
    <w:rsid w:val="009A5A6C"/>
    <w:rsid w:val="009B1797"/>
    <w:rsid w:val="009B1865"/>
    <w:rsid w:val="009B37B8"/>
    <w:rsid w:val="009B5B49"/>
    <w:rsid w:val="009C16AF"/>
    <w:rsid w:val="009C2866"/>
    <w:rsid w:val="009C2A00"/>
    <w:rsid w:val="009C3CD7"/>
    <w:rsid w:val="009C4F90"/>
    <w:rsid w:val="009C57FD"/>
    <w:rsid w:val="009C5BEE"/>
    <w:rsid w:val="009C6047"/>
    <w:rsid w:val="009C636F"/>
    <w:rsid w:val="009C6765"/>
    <w:rsid w:val="009C75CB"/>
    <w:rsid w:val="009D0390"/>
    <w:rsid w:val="009D1E90"/>
    <w:rsid w:val="009D3BB4"/>
    <w:rsid w:val="009D5D3C"/>
    <w:rsid w:val="009D67F6"/>
    <w:rsid w:val="009D7E6C"/>
    <w:rsid w:val="009E08D1"/>
    <w:rsid w:val="009E0E43"/>
    <w:rsid w:val="009E0FE1"/>
    <w:rsid w:val="009E3D0A"/>
    <w:rsid w:val="009E4BD0"/>
    <w:rsid w:val="009E4F37"/>
    <w:rsid w:val="009E5884"/>
    <w:rsid w:val="009F2764"/>
    <w:rsid w:val="009F2768"/>
    <w:rsid w:val="009F28F3"/>
    <w:rsid w:val="009F3D0E"/>
    <w:rsid w:val="009F53FC"/>
    <w:rsid w:val="009F68A4"/>
    <w:rsid w:val="009F7132"/>
    <w:rsid w:val="00A0184E"/>
    <w:rsid w:val="00A01F3A"/>
    <w:rsid w:val="00A01FDB"/>
    <w:rsid w:val="00A02158"/>
    <w:rsid w:val="00A02481"/>
    <w:rsid w:val="00A0406E"/>
    <w:rsid w:val="00A04413"/>
    <w:rsid w:val="00A0646B"/>
    <w:rsid w:val="00A06866"/>
    <w:rsid w:val="00A06F29"/>
    <w:rsid w:val="00A07987"/>
    <w:rsid w:val="00A108DB"/>
    <w:rsid w:val="00A10AB7"/>
    <w:rsid w:val="00A11307"/>
    <w:rsid w:val="00A12D9A"/>
    <w:rsid w:val="00A12FED"/>
    <w:rsid w:val="00A1342B"/>
    <w:rsid w:val="00A13823"/>
    <w:rsid w:val="00A13AF3"/>
    <w:rsid w:val="00A149A8"/>
    <w:rsid w:val="00A14A34"/>
    <w:rsid w:val="00A15629"/>
    <w:rsid w:val="00A21388"/>
    <w:rsid w:val="00A2358D"/>
    <w:rsid w:val="00A235B9"/>
    <w:rsid w:val="00A240B9"/>
    <w:rsid w:val="00A2447C"/>
    <w:rsid w:val="00A24620"/>
    <w:rsid w:val="00A246A4"/>
    <w:rsid w:val="00A24992"/>
    <w:rsid w:val="00A24AFD"/>
    <w:rsid w:val="00A254A7"/>
    <w:rsid w:val="00A25824"/>
    <w:rsid w:val="00A262E5"/>
    <w:rsid w:val="00A26E60"/>
    <w:rsid w:val="00A27791"/>
    <w:rsid w:val="00A277F7"/>
    <w:rsid w:val="00A27A59"/>
    <w:rsid w:val="00A27ABE"/>
    <w:rsid w:val="00A33246"/>
    <w:rsid w:val="00A33458"/>
    <w:rsid w:val="00A355F9"/>
    <w:rsid w:val="00A40B21"/>
    <w:rsid w:val="00A41235"/>
    <w:rsid w:val="00A41355"/>
    <w:rsid w:val="00A415E1"/>
    <w:rsid w:val="00A4370F"/>
    <w:rsid w:val="00A437B6"/>
    <w:rsid w:val="00A437E8"/>
    <w:rsid w:val="00A43B92"/>
    <w:rsid w:val="00A45CD9"/>
    <w:rsid w:val="00A45D24"/>
    <w:rsid w:val="00A4711C"/>
    <w:rsid w:val="00A50F04"/>
    <w:rsid w:val="00A5100C"/>
    <w:rsid w:val="00A54251"/>
    <w:rsid w:val="00A54761"/>
    <w:rsid w:val="00A54A8D"/>
    <w:rsid w:val="00A55C20"/>
    <w:rsid w:val="00A55C37"/>
    <w:rsid w:val="00A57459"/>
    <w:rsid w:val="00A57599"/>
    <w:rsid w:val="00A610AD"/>
    <w:rsid w:val="00A6120A"/>
    <w:rsid w:val="00A6179E"/>
    <w:rsid w:val="00A62A17"/>
    <w:rsid w:val="00A6423E"/>
    <w:rsid w:val="00A64316"/>
    <w:rsid w:val="00A643B1"/>
    <w:rsid w:val="00A64973"/>
    <w:rsid w:val="00A651E9"/>
    <w:rsid w:val="00A659EE"/>
    <w:rsid w:val="00A669AD"/>
    <w:rsid w:val="00A7017A"/>
    <w:rsid w:val="00A70557"/>
    <w:rsid w:val="00A71074"/>
    <w:rsid w:val="00A72535"/>
    <w:rsid w:val="00A7601D"/>
    <w:rsid w:val="00A76E7E"/>
    <w:rsid w:val="00A77835"/>
    <w:rsid w:val="00A804D9"/>
    <w:rsid w:val="00A81676"/>
    <w:rsid w:val="00A8573B"/>
    <w:rsid w:val="00A8586D"/>
    <w:rsid w:val="00A85ED6"/>
    <w:rsid w:val="00A87221"/>
    <w:rsid w:val="00A9180F"/>
    <w:rsid w:val="00A91EA4"/>
    <w:rsid w:val="00A92763"/>
    <w:rsid w:val="00A92915"/>
    <w:rsid w:val="00A92F92"/>
    <w:rsid w:val="00A9348D"/>
    <w:rsid w:val="00A96892"/>
    <w:rsid w:val="00A96BEA"/>
    <w:rsid w:val="00AA2051"/>
    <w:rsid w:val="00AA3A26"/>
    <w:rsid w:val="00AA4A1C"/>
    <w:rsid w:val="00AA6540"/>
    <w:rsid w:val="00AA70C4"/>
    <w:rsid w:val="00AB06AA"/>
    <w:rsid w:val="00AB0ECD"/>
    <w:rsid w:val="00AB1479"/>
    <w:rsid w:val="00AB1E52"/>
    <w:rsid w:val="00AB2CFB"/>
    <w:rsid w:val="00AB2D76"/>
    <w:rsid w:val="00AB3841"/>
    <w:rsid w:val="00AB694F"/>
    <w:rsid w:val="00AB73E7"/>
    <w:rsid w:val="00AB7C8F"/>
    <w:rsid w:val="00AC2192"/>
    <w:rsid w:val="00AC21C9"/>
    <w:rsid w:val="00AC4BFD"/>
    <w:rsid w:val="00AC5664"/>
    <w:rsid w:val="00AC621A"/>
    <w:rsid w:val="00AC636D"/>
    <w:rsid w:val="00AC6AE2"/>
    <w:rsid w:val="00AD0DD1"/>
    <w:rsid w:val="00AD0EF8"/>
    <w:rsid w:val="00AD30DD"/>
    <w:rsid w:val="00AD527E"/>
    <w:rsid w:val="00AD5952"/>
    <w:rsid w:val="00AE072D"/>
    <w:rsid w:val="00AE0B23"/>
    <w:rsid w:val="00AE13F8"/>
    <w:rsid w:val="00AE17CE"/>
    <w:rsid w:val="00AE1AEA"/>
    <w:rsid w:val="00AE43C3"/>
    <w:rsid w:val="00AE4F88"/>
    <w:rsid w:val="00AE5C42"/>
    <w:rsid w:val="00AE5D33"/>
    <w:rsid w:val="00AF011B"/>
    <w:rsid w:val="00AF0579"/>
    <w:rsid w:val="00AF1373"/>
    <w:rsid w:val="00AF138F"/>
    <w:rsid w:val="00AF216B"/>
    <w:rsid w:val="00AF2590"/>
    <w:rsid w:val="00AF3F22"/>
    <w:rsid w:val="00AF5A77"/>
    <w:rsid w:val="00AF6856"/>
    <w:rsid w:val="00AF6B88"/>
    <w:rsid w:val="00AF7D51"/>
    <w:rsid w:val="00B00F61"/>
    <w:rsid w:val="00B01965"/>
    <w:rsid w:val="00B024E1"/>
    <w:rsid w:val="00B0331C"/>
    <w:rsid w:val="00B036EA"/>
    <w:rsid w:val="00B03A1C"/>
    <w:rsid w:val="00B03B7C"/>
    <w:rsid w:val="00B04FD0"/>
    <w:rsid w:val="00B1171C"/>
    <w:rsid w:val="00B14CB5"/>
    <w:rsid w:val="00B15AA8"/>
    <w:rsid w:val="00B1681B"/>
    <w:rsid w:val="00B17C34"/>
    <w:rsid w:val="00B2045E"/>
    <w:rsid w:val="00B2083C"/>
    <w:rsid w:val="00B20C67"/>
    <w:rsid w:val="00B21A1A"/>
    <w:rsid w:val="00B2286B"/>
    <w:rsid w:val="00B22C7F"/>
    <w:rsid w:val="00B237FB"/>
    <w:rsid w:val="00B24B1D"/>
    <w:rsid w:val="00B255F6"/>
    <w:rsid w:val="00B26C33"/>
    <w:rsid w:val="00B26E54"/>
    <w:rsid w:val="00B277E0"/>
    <w:rsid w:val="00B314CB"/>
    <w:rsid w:val="00B34946"/>
    <w:rsid w:val="00B34AFD"/>
    <w:rsid w:val="00B355A7"/>
    <w:rsid w:val="00B35BAD"/>
    <w:rsid w:val="00B40403"/>
    <w:rsid w:val="00B405C1"/>
    <w:rsid w:val="00B40D07"/>
    <w:rsid w:val="00B40EB0"/>
    <w:rsid w:val="00B4206D"/>
    <w:rsid w:val="00B42716"/>
    <w:rsid w:val="00B44418"/>
    <w:rsid w:val="00B46FC5"/>
    <w:rsid w:val="00B519FD"/>
    <w:rsid w:val="00B51A89"/>
    <w:rsid w:val="00B520BC"/>
    <w:rsid w:val="00B5253F"/>
    <w:rsid w:val="00B53458"/>
    <w:rsid w:val="00B539CC"/>
    <w:rsid w:val="00B566A1"/>
    <w:rsid w:val="00B57A2C"/>
    <w:rsid w:val="00B6093B"/>
    <w:rsid w:val="00B61FC3"/>
    <w:rsid w:val="00B63D24"/>
    <w:rsid w:val="00B64434"/>
    <w:rsid w:val="00B6475B"/>
    <w:rsid w:val="00B66361"/>
    <w:rsid w:val="00B664C2"/>
    <w:rsid w:val="00B671EA"/>
    <w:rsid w:val="00B67731"/>
    <w:rsid w:val="00B67A66"/>
    <w:rsid w:val="00B70142"/>
    <w:rsid w:val="00B710DD"/>
    <w:rsid w:val="00B718BB"/>
    <w:rsid w:val="00B72FC2"/>
    <w:rsid w:val="00B7324B"/>
    <w:rsid w:val="00B7572E"/>
    <w:rsid w:val="00B758D3"/>
    <w:rsid w:val="00B75C83"/>
    <w:rsid w:val="00B76D44"/>
    <w:rsid w:val="00B770B7"/>
    <w:rsid w:val="00B80F6A"/>
    <w:rsid w:val="00B82C8E"/>
    <w:rsid w:val="00B83527"/>
    <w:rsid w:val="00B83560"/>
    <w:rsid w:val="00B84210"/>
    <w:rsid w:val="00B8431F"/>
    <w:rsid w:val="00B862D3"/>
    <w:rsid w:val="00B86D96"/>
    <w:rsid w:val="00B8789F"/>
    <w:rsid w:val="00B90673"/>
    <w:rsid w:val="00B91B13"/>
    <w:rsid w:val="00B91EAC"/>
    <w:rsid w:val="00B924E6"/>
    <w:rsid w:val="00BA1033"/>
    <w:rsid w:val="00BA24C2"/>
    <w:rsid w:val="00BA262D"/>
    <w:rsid w:val="00BA3741"/>
    <w:rsid w:val="00BA5698"/>
    <w:rsid w:val="00BA6993"/>
    <w:rsid w:val="00BA7530"/>
    <w:rsid w:val="00BA7EE8"/>
    <w:rsid w:val="00BB1464"/>
    <w:rsid w:val="00BB17C5"/>
    <w:rsid w:val="00BB25F3"/>
    <w:rsid w:val="00BB3A8E"/>
    <w:rsid w:val="00BB403C"/>
    <w:rsid w:val="00BB4053"/>
    <w:rsid w:val="00BB5804"/>
    <w:rsid w:val="00BB6ACF"/>
    <w:rsid w:val="00BB6FF6"/>
    <w:rsid w:val="00BC0895"/>
    <w:rsid w:val="00BC5B36"/>
    <w:rsid w:val="00BC647A"/>
    <w:rsid w:val="00BC79EB"/>
    <w:rsid w:val="00BD0CBF"/>
    <w:rsid w:val="00BD2956"/>
    <w:rsid w:val="00BD37B4"/>
    <w:rsid w:val="00BD70BF"/>
    <w:rsid w:val="00BD7958"/>
    <w:rsid w:val="00BD7FCF"/>
    <w:rsid w:val="00BE044D"/>
    <w:rsid w:val="00BE13C3"/>
    <w:rsid w:val="00BE1F15"/>
    <w:rsid w:val="00BE4A74"/>
    <w:rsid w:val="00BE5A42"/>
    <w:rsid w:val="00BE61FD"/>
    <w:rsid w:val="00BE6D66"/>
    <w:rsid w:val="00BF035A"/>
    <w:rsid w:val="00BF1068"/>
    <w:rsid w:val="00BF2BF9"/>
    <w:rsid w:val="00BF3706"/>
    <w:rsid w:val="00BF62AE"/>
    <w:rsid w:val="00BF6406"/>
    <w:rsid w:val="00BF761D"/>
    <w:rsid w:val="00BF77A3"/>
    <w:rsid w:val="00C02D97"/>
    <w:rsid w:val="00C033F4"/>
    <w:rsid w:val="00C043C8"/>
    <w:rsid w:val="00C060B4"/>
    <w:rsid w:val="00C064DC"/>
    <w:rsid w:val="00C06895"/>
    <w:rsid w:val="00C07A34"/>
    <w:rsid w:val="00C07FE5"/>
    <w:rsid w:val="00C11DA9"/>
    <w:rsid w:val="00C12162"/>
    <w:rsid w:val="00C1397A"/>
    <w:rsid w:val="00C149BD"/>
    <w:rsid w:val="00C14C68"/>
    <w:rsid w:val="00C15035"/>
    <w:rsid w:val="00C16AB9"/>
    <w:rsid w:val="00C170CF"/>
    <w:rsid w:val="00C21832"/>
    <w:rsid w:val="00C23A2D"/>
    <w:rsid w:val="00C23DCF"/>
    <w:rsid w:val="00C25BDA"/>
    <w:rsid w:val="00C25DBE"/>
    <w:rsid w:val="00C27954"/>
    <w:rsid w:val="00C3217A"/>
    <w:rsid w:val="00C32926"/>
    <w:rsid w:val="00C330D6"/>
    <w:rsid w:val="00C33104"/>
    <w:rsid w:val="00C332D4"/>
    <w:rsid w:val="00C35281"/>
    <w:rsid w:val="00C362EF"/>
    <w:rsid w:val="00C370D9"/>
    <w:rsid w:val="00C370E8"/>
    <w:rsid w:val="00C41415"/>
    <w:rsid w:val="00C414F9"/>
    <w:rsid w:val="00C43DFE"/>
    <w:rsid w:val="00C43E60"/>
    <w:rsid w:val="00C45790"/>
    <w:rsid w:val="00C46131"/>
    <w:rsid w:val="00C51011"/>
    <w:rsid w:val="00C524AC"/>
    <w:rsid w:val="00C52A49"/>
    <w:rsid w:val="00C53405"/>
    <w:rsid w:val="00C535A0"/>
    <w:rsid w:val="00C560AC"/>
    <w:rsid w:val="00C5781C"/>
    <w:rsid w:val="00C601CD"/>
    <w:rsid w:val="00C60343"/>
    <w:rsid w:val="00C603EC"/>
    <w:rsid w:val="00C60ACB"/>
    <w:rsid w:val="00C64484"/>
    <w:rsid w:val="00C65A38"/>
    <w:rsid w:val="00C65BAD"/>
    <w:rsid w:val="00C67683"/>
    <w:rsid w:val="00C70A52"/>
    <w:rsid w:val="00C70AD8"/>
    <w:rsid w:val="00C721C9"/>
    <w:rsid w:val="00C73899"/>
    <w:rsid w:val="00C73B3A"/>
    <w:rsid w:val="00C749B1"/>
    <w:rsid w:val="00C75052"/>
    <w:rsid w:val="00C76AAA"/>
    <w:rsid w:val="00C76AB5"/>
    <w:rsid w:val="00C774AF"/>
    <w:rsid w:val="00C81EE2"/>
    <w:rsid w:val="00C81FF8"/>
    <w:rsid w:val="00C83668"/>
    <w:rsid w:val="00C84CDD"/>
    <w:rsid w:val="00C854D4"/>
    <w:rsid w:val="00C85DF1"/>
    <w:rsid w:val="00C90556"/>
    <w:rsid w:val="00C90E73"/>
    <w:rsid w:val="00C944FA"/>
    <w:rsid w:val="00C9486D"/>
    <w:rsid w:val="00C948D9"/>
    <w:rsid w:val="00C95476"/>
    <w:rsid w:val="00C95DE0"/>
    <w:rsid w:val="00CA018C"/>
    <w:rsid w:val="00CA0D78"/>
    <w:rsid w:val="00CA1310"/>
    <w:rsid w:val="00CA2317"/>
    <w:rsid w:val="00CA30F5"/>
    <w:rsid w:val="00CA3DB0"/>
    <w:rsid w:val="00CA4855"/>
    <w:rsid w:val="00CA4D37"/>
    <w:rsid w:val="00CA5845"/>
    <w:rsid w:val="00CA5993"/>
    <w:rsid w:val="00CA59F2"/>
    <w:rsid w:val="00CA5A36"/>
    <w:rsid w:val="00CA5D74"/>
    <w:rsid w:val="00CA5D90"/>
    <w:rsid w:val="00CA7FFE"/>
    <w:rsid w:val="00CB023A"/>
    <w:rsid w:val="00CB041A"/>
    <w:rsid w:val="00CB24A1"/>
    <w:rsid w:val="00CB24FE"/>
    <w:rsid w:val="00CB2554"/>
    <w:rsid w:val="00CB33E1"/>
    <w:rsid w:val="00CB52DB"/>
    <w:rsid w:val="00CC0B09"/>
    <w:rsid w:val="00CC2AA0"/>
    <w:rsid w:val="00CC4AA5"/>
    <w:rsid w:val="00CC4E2D"/>
    <w:rsid w:val="00CC4E7E"/>
    <w:rsid w:val="00CC5F42"/>
    <w:rsid w:val="00CC77D1"/>
    <w:rsid w:val="00CD013F"/>
    <w:rsid w:val="00CD02D2"/>
    <w:rsid w:val="00CD0E74"/>
    <w:rsid w:val="00CD0EC0"/>
    <w:rsid w:val="00CD112D"/>
    <w:rsid w:val="00CD27C8"/>
    <w:rsid w:val="00CD3D07"/>
    <w:rsid w:val="00CD58FD"/>
    <w:rsid w:val="00CD5C72"/>
    <w:rsid w:val="00CD739E"/>
    <w:rsid w:val="00CE0119"/>
    <w:rsid w:val="00CE0512"/>
    <w:rsid w:val="00CE1F10"/>
    <w:rsid w:val="00CE2603"/>
    <w:rsid w:val="00CE2FA5"/>
    <w:rsid w:val="00CE58AF"/>
    <w:rsid w:val="00CE60F7"/>
    <w:rsid w:val="00CF05C7"/>
    <w:rsid w:val="00CF0F0A"/>
    <w:rsid w:val="00CF1B24"/>
    <w:rsid w:val="00CF33A7"/>
    <w:rsid w:val="00CF571F"/>
    <w:rsid w:val="00CF6A65"/>
    <w:rsid w:val="00CF6E21"/>
    <w:rsid w:val="00CF75A5"/>
    <w:rsid w:val="00D00B95"/>
    <w:rsid w:val="00D02992"/>
    <w:rsid w:val="00D030A7"/>
    <w:rsid w:val="00D03207"/>
    <w:rsid w:val="00D03307"/>
    <w:rsid w:val="00D039A9"/>
    <w:rsid w:val="00D03FE3"/>
    <w:rsid w:val="00D0482E"/>
    <w:rsid w:val="00D049F1"/>
    <w:rsid w:val="00D04A20"/>
    <w:rsid w:val="00D110FB"/>
    <w:rsid w:val="00D11F33"/>
    <w:rsid w:val="00D128DF"/>
    <w:rsid w:val="00D13DEF"/>
    <w:rsid w:val="00D14113"/>
    <w:rsid w:val="00D17083"/>
    <w:rsid w:val="00D209DF"/>
    <w:rsid w:val="00D2120C"/>
    <w:rsid w:val="00D21F88"/>
    <w:rsid w:val="00D31BB4"/>
    <w:rsid w:val="00D33150"/>
    <w:rsid w:val="00D33FF1"/>
    <w:rsid w:val="00D343FA"/>
    <w:rsid w:val="00D34DEF"/>
    <w:rsid w:val="00D34FDC"/>
    <w:rsid w:val="00D3548C"/>
    <w:rsid w:val="00D37A58"/>
    <w:rsid w:val="00D416CB"/>
    <w:rsid w:val="00D4170E"/>
    <w:rsid w:val="00D418FF"/>
    <w:rsid w:val="00D422AF"/>
    <w:rsid w:val="00D42CFA"/>
    <w:rsid w:val="00D43DEA"/>
    <w:rsid w:val="00D43E4C"/>
    <w:rsid w:val="00D4513B"/>
    <w:rsid w:val="00D4517E"/>
    <w:rsid w:val="00D470CA"/>
    <w:rsid w:val="00D50F54"/>
    <w:rsid w:val="00D51122"/>
    <w:rsid w:val="00D521D5"/>
    <w:rsid w:val="00D541A7"/>
    <w:rsid w:val="00D548D1"/>
    <w:rsid w:val="00D612CD"/>
    <w:rsid w:val="00D64160"/>
    <w:rsid w:val="00D6487C"/>
    <w:rsid w:val="00D65C76"/>
    <w:rsid w:val="00D66A1B"/>
    <w:rsid w:val="00D67734"/>
    <w:rsid w:val="00D70F5A"/>
    <w:rsid w:val="00D718A7"/>
    <w:rsid w:val="00D734C7"/>
    <w:rsid w:val="00D7352D"/>
    <w:rsid w:val="00D73B01"/>
    <w:rsid w:val="00D73FA8"/>
    <w:rsid w:val="00D7535E"/>
    <w:rsid w:val="00D753FA"/>
    <w:rsid w:val="00D7542B"/>
    <w:rsid w:val="00D756EC"/>
    <w:rsid w:val="00D76BBC"/>
    <w:rsid w:val="00D77CC7"/>
    <w:rsid w:val="00D77CEC"/>
    <w:rsid w:val="00D77F10"/>
    <w:rsid w:val="00D813F6"/>
    <w:rsid w:val="00D81E85"/>
    <w:rsid w:val="00D83071"/>
    <w:rsid w:val="00D8351F"/>
    <w:rsid w:val="00D85DD6"/>
    <w:rsid w:val="00D865DF"/>
    <w:rsid w:val="00D908A7"/>
    <w:rsid w:val="00D9129A"/>
    <w:rsid w:val="00D91EC1"/>
    <w:rsid w:val="00D91ED2"/>
    <w:rsid w:val="00D92C36"/>
    <w:rsid w:val="00D93B8F"/>
    <w:rsid w:val="00D95667"/>
    <w:rsid w:val="00D95A43"/>
    <w:rsid w:val="00D95DE4"/>
    <w:rsid w:val="00D96A43"/>
    <w:rsid w:val="00D96CB9"/>
    <w:rsid w:val="00D97766"/>
    <w:rsid w:val="00DA0EF1"/>
    <w:rsid w:val="00DA1520"/>
    <w:rsid w:val="00DA1D32"/>
    <w:rsid w:val="00DA2F73"/>
    <w:rsid w:val="00DA3A87"/>
    <w:rsid w:val="00DA3F18"/>
    <w:rsid w:val="00DA6AC8"/>
    <w:rsid w:val="00DA7A55"/>
    <w:rsid w:val="00DA7F76"/>
    <w:rsid w:val="00DB3B12"/>
    <w:rsid w:val="00DB585F"/>
    <w:rsid w:val="00DB7110"/>
    <w:rsid w:val="00DB793E"/>
    <w:rsid w:val="00DC174E"/>
    <w:rsid w:val="00DC307B"/>
    <w:rsid w:val="00DC343B"/>
    <w:rsid w:val="00DC3B99"/>
    <w:rsid w:val="00DC462F"/>
    <w:rsid w:val="00DC4800"/>
    <w:rsid w:val="00DC499A"/>
    <w:rsid w:val="00DC49F9"/>
    <w:rsid w:val="00DC5FA6"/>
    <w:rsid w:val="00DC724A"/>
    <w:rsid w:val="00DD0088"/>
    <w:rsid w:val="00DD1BFA"/>
    <w:rsid w:val="00DD5261"/>
    <w:rsid w:val="00DD634A"/>
    <w:rsid w:val="00DD6518"/>
    <w:rsid w:val="00DD65C4"/>
    <w:rsid w:val="00DD6A21"/>
    <w:rsid w:val="00DE18A7"/>
    <w:rsid w:val="00DE2468"/>
    <w:rsid w:val="00DE2EFB"/>
    <w:rsid w:val="00DE3951"/>
    <w:rsid w:val="00DE3CEC"/>
    <w:rsid w:val="00DE4031"/>
    <w:rsid w:val="00DE4C29"/>
    <w:rsid w:val="00DE4CBB"/>
    <w:rsid w:val="00DE60CA"/>
    <w:rsid w:val="00DE67FD"/>
    <w:rsid w:val="00DE7FD1"/>
    <w:rsid w:val="00DF1F56"/>
    <w:rsid w:val="00DF2B76"/>
    <w:rsid w:val="00DF39B8"/>
    <w:rsid w:val="00DF3DCB"/>
    <w:rsid w:val="00DF4FBE"/>
    <w:rsid w:val="00DF6541"/>
    <w:rsid w:val="00DF6A23"/>
    <w:rsid w:val="00E00825"/>
    <w:rsid w:val="00E02517"/>
    <w:rsid w:val="00E04751"/>
    <w:rsid w:val="00E050DE"/>
    <w:rsid w:val="00E052C8"/>
    <w:rsid w:val="00E0690E"/>
    <w:rsid w:val="00E070A1"/>
    <w:rsid w:val="00E11AFA"/>
    <w:rsid w:val="00E13D8B"/>
    <w:rsid w:val="00E14833"/>
    <w:rsid w:val="00E15725"/>
    <w:rsid w:val="00E1675F"/>
    <w:rsid w:val="00E16E12"/>
    <w:rsid w:val="00E20899"/>
    <w:rsid w:val="00E226C4"/>
    <w:rsid w:val="00E22E9F"/>
    <w:rsid w:val="00E24FA3"/>
    <w:rsid w:val="00E24FF5"/>
    <w:rsid w:val="00E266D0"/>
    <w:rsid w:val="00E26B28"/>
    <w:rsid w:val="00E27801"/>
    <w:rsid w:val="00E3021A"/>
    <w:rsid w:val="00E305E2"/>
    <w:rsid w:val="00E30911"/>
    <w:rsid w:val="00E30FC5"/>
    <w:rsid w:val="00E31465"/>
    <w:rsid w:val="00E328CD"/>
    <w:rsid w:val="00E32F97"/>
    <w:rsid w:val="00E3489E"/>
    <w:rsid w:val="00E34F41"/>
    <w:rsid w:val="00E3536F"/>
    <w:rsid w:val="00E362F0"/>
    <w:rsid w:val="00E366FB"/>
    <w:rsid w:val="00E36B95"/>
    <w:rsid w:val="00E36D16"/>
    <w:rsid w:val="00E4003F"/>
    <w:rsid w:val="00E41360"/>
    <w:rsid w:val="00E41EBF"/>
    <w:rsid w:val="00E458F6"/>
    <w:rsid w:val="00E45954"/>
    <w:rsid w:val="00E45EE5"/>
    <w:rsid w:val="00E46704"/>
    <w:rsid w:val="00E46B62"/>
    <w:rsid w:val="00E504CD"/>
    <w:rsid w:val="00E53546"/>
    <w:rsid w:val="00E54763"/>
    <w:rsid w:val="00E54CF1"/>
    <w:rsid w:val="00E54E29"/>
    <w:rsid w:val="00E55350"/>
    <w:rsid w:val="00E55F24"/>
    <w:rsid w:val="00E62272"/>
    <w:rsid w:val="00E66053"/>
    <w:rsid w:val="00E6678C"/>
    <w:rsid w:val="00E66C6E"/>
    <w:rsid w:val="00E66D71"/>
    <w:rsid w:val="00E67795"/>
    <w:rsid w:val="00E70114"/>
    <w:rsid w:val="00E70F90"/>
    <w:rsid w:val="00E72883"/>
    <w:rsid w:val="00E74E8F"/>
    <w:rsid w:val="00E7500C"/>
    <w:rsid w:val="00E75696"/>
    <w:rsid w:val="00E76E45"/>
    <w:rsid w:val="00E82554"/>
    <w:rsid w:val="00E8509E"/>
    <w:rsid w:val="00E853BB"/>
    <w:rsid w:val="00E86026"/>
    <w:rsid w:val="00E86A98"/>
    <w:rsid w:val="00E86D99"/>
    <w:rsid w:val="00E90574"/>
    <w:rsid w:val="00E917D1"/>
    <w:rsid w:val="00E92432"/>
    <w:rsid w:val="00E93C69"/>
    <w:rsid w:val="00E95E9B"/>
    <w:rsid w:val="00EA2248"/>
    <w:rsid w:val="00EA44D9"/>
    <w:rsid w:val="00EA55C6"/>
    <w:rsid w:val="00EA6456"/>
    <w:rsid w:val="00EA78DC"/>
    <w:rsid w:val="00EB30F1"/>
    <w:rsid w:val="00EB47E5"/>
    <w:rsid w:val="00EB53DA"/>
    <w:rsid w:val="00EB689C"/>
    <w:rsid w:val="00EB6A76"/>
    <w:rsid w:val="00EC00BE"/>
    <w:rsid w:val="00EC311B"/>
    <w:rsid w:val="00EC3342"/>
    <w:rsid w:val="00EC4B75"/>
    <w:rsid w:val="00EC4D2C"/>
    <w:rsid w:val="00EC6A5F"/>
    <w:rsid w:val="00EC7ACA"/>
    <w:rsid w:val="00ED0658"/>
    <w:rsid w:val="00ED076A"/>
    <w:rsid w:val="00ED380F"/>
    <w:rsid w:val="00ED507D"/>
    <w:rsid w:val="00ED5AE4"/>
    <w:rsid w:val="00ED7341"/>
    <w:rsid w:val="00ED7C40"/>
    <w:rsid w:val="00EE056D"/>
    <w:rsid w:val="00EE1CD5"/>
    <w:rsid w:val="00EE23C7"/>
    <w:rsid w:val="00EE2DC3"/>
    <w:rsid w:val="00EE3F6C"/>
    <w:rsid w:val="00EE59FC"/>
    <w:rsid w:val="00EE5DEB"/>
    <w:rsid w:val="00EE6E42"/>
    <w:rsid w:val="00EE7520"/>
    <w:rsid w:val="00EE76D7"/>
    <w:rsid w:val="00EF043B"/>
    <w:rsid w:val="00EF202F"/>
    <w:rsid w:val="00EF51CF"/>
    <w:rsid w:val="00F02400"/>
    <w:rsid w:val="00F02A19"/>
    <w:rsid w:val="00F0417A"/>
    <w:rsid w:val="00F04BAD"/>
    <w:rsid w:val="00F060B6"/>
    <w:rsid w:val="00F060FD"/>
    <w:rsid w:val="00F0799D"/>
    <w:rsid w:val="00F07A0D"/>
    <w:rsid w:val="00F107A0"/>
    <w:rsid w:val="00F112F6"/>
    <w:rsid w:val="00F127A8"/>
    <w:rsid w:val="00F14C6D"/>
    <w:rsid w:val="00F16A4D"/>
    <w:rsid w:val="00F20D02"/>
    <w:rsid w:val="00F21CBD"/>
    <w:rsid w:val="00F220A5"/>
    <w:rsid w:val="00F22502"/>
    <w:rsid w:val="00F22A37"/>
    <w:rsid w:val="00F22E05"/>
    <w:rsid w:val="00F23DB6"/>
    <w:rsid w:val="00F264B2"/>
    <w:rsid w:val="00F323B9"/>
    <w:rsid w:val="00F331E6"/>
    <w:rsid w:val="00F34362"/>
    <w:rsid w:val="00F347CD"/>
    <w:rsid w:val="00F34BC9"/>
    <w:rsid w:val="00F35FBB"/>
    <w:rsid w:val="00F36A48"/>
    <w:rsid w:val="00F40EE4"/>
    <w:rsid w:val="00F40F4E"/>
    <w:rsid w:val="00F41C2A"/>
    <w:rsid w:val="00F426DA"/>
    <w:rsid w:val="00F42EED"/>
    <w:rsid w:val="00F42FC8"/>
    <w:rsid w:val="00F431E1"/>
    <w:rsid w:val="00F43360"/>
    <w:rsid w:val="00F44039"/>
    <w:rsid w:val="00F47C22"/>
    <w:rsid w:val="00F51391"/>
    <w:rsid w:val="00F513AE"/>
    <w:rsid w:val="00F51FE7"/>
    <w:rsid w:val="00F54958"/>
    <w:rsid w:val="00F5514F"/>
    <w:rsid w:val="00F55A2B"/>
    <w:rsid w:val="00F57C29"/>
    <w:rsid w:val="00F6018E"/>
    <w:rsid w:val="00F62189"/>
    <w:rsid w:val="00F62353"/>
    <w:rsid w:val="00F636DC"/>
    <w:rsid w:val="00F642F1"/>
    <w:rsid w:val="00F657E5"/>
    <w:rsid w:val="00F7255B"/>
    <w:rsid w:val="00F72A55"/>
    <w:rsid w:val="00F72D0B"/>
    <w:rsid w:val="00F737AE"/>
    <w:rsid w:val="00F73CF1"/>
    <w:rsid w:val="00F741B7"/>
    <w:rsid w:val="00F74EB6"/>
    <w:rsid w:val="00F74F64"/>
    <w:rsid w:val="00F75A53"/>
    <w:rsid w:val="00F75C7F"/>
    <w:rsid w:val="00F76364"/>
    <w:rsid w:val="00F76C10"/>
    <w:rsid w:val="00F77578"/>
    <w:rsid w:val="00F7778A"/>
    <w:rsid w:val="00F77FCC"/>
    <w:rsid w:val="00F80D33"/>
    <w:rsid w:val="00F8302E"/>
    <w:rsid w:val="00F8385C"/>
    <w:rsid w:val="00F86362"/>
    <w:rsid w:val="00F86DAB"/>
    <w:rsid w:val="00F87B3E"/>
    <w:rsid w:val="00F901BF"/>
    <w:rsid w:val="00F909AB"/>
    <w:rsid w:val="00F90F35"/>
    <w:rsid w:val="00F919DC"/>
    <w:rsid w:val="00F93F8C"/>
    <w:rsid w:val="00F94F86"/>
    <w:rsid w:val="00F95384"/>
    <w:rsid w:val="00F95417"/>
    <w:rsid w:val="00F97440"/>
    <w:rsid w:val="00F97B5B"/>
    <w:rsid w:val="00FA1BA9"/>
    <w:rsid w:val="00FA2695"/>
    <w:rsid w:val="00FA28F0"/>
    <w:rsid w:val="00FA4494"/>
    <w:rsid w:val="00FA4916"/>
    <w:rsid w:val="00FA7443"/>
    <w:rsid w:val="00FA75CE"/>
    <w:rsid w:val="00FA7754"/>
    <w:rsid w:val="00FA7E5C"/>
    <w:rsid w:val="00FB0A38"/>
    <w:rsid w:val="00FB193D"/>
    <w:rsid w:val="00FB1A03"/>
    <w:rsid w:val="00FB1FFD"/>
    <w:rsid w:val="00FB3422"/>
    <w:rsid w:val="00FB41AE"/>
    <w:rsid w:val="00FB6905"/>
    <w:rsid w:val="00FB6DBB"/>
    <w:rsid w:val="00FB6F8F"/>
    <w:rsid w:val="00FC0F8E"/>
    <w:rsid w:val="00FC588C"/>
    <w:rsid w:val="00FC62CF"/>
    <w:rsid w:val="00FC769F"/>
    <w:rsid w:val="00FD01B5"/>
    <w:rsid w:val="00FD1774"/>
    <w:rsid w:val="00FD3172"/>
    <w:rsid w:val="00FD3E38"/>
    <w:rsid w:val="00FD4084"/>
    <w:rsid w:val="00FD5BF0"/>
    <w:rsid w:val="00FD7AC8"/>
    <w:rsid w:val="00FD7D96"/>
    <w:rsid w:val="00FE1F4F"/>
    <w:rsid w:val="00FE46E3"/>
    <w:rsid w:val="00FE6E9E"/>
    <w:rsid w:val="00FE7659"/>
    <w:rsid w:val="00FE7721"/>
    <w:rsid w:val="00FF08A8"/>
    <w:rsid w:val="00FF370B"/>
    <w:rsid w:val="00FF47AF"/>
    <w:rsid w:val="00FF488E"/>
    <w:rsid w:val="00FF5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49F1BED"/>
  <w15:chartTrackingRefBased/>
  <w15:docId w15:val="{B3FEE6B7-E4E1-462A-83C7-3BBAC5A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uiPriority="1"/>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Normal (Web)" w:uiPriority="99"/>
    <w:lsdException w:name="HTML Keyboard" w:semiHidden="1" w:unhideWhenUsed="1"/>
    <w:lsdException w:name="HTML Preformatte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uiPriority w:val="9"/>
    <w:qFormat/>
    <w:locked/>
    <w:rsid w:val="005C2ECF"/>
    <w:pPr>
      <w:keepNext/>
      <w:keepLines/>
      <w:numPr>
        <w:ilvl w:val="4"/>
        <w:numId w:val="1"/>
      </w:numPr>
      <w:spacing w:before="200"/>
      <w:outlineLvl w:val="4"/>
    </w:pPr>
  </w:style>
  <w:style w:type="paragraph" w:styleId="Heading6">
    <w:name w:val="heading 6"/>
    <w:basedOn w:val="Normal"/>
    <w:next w:val="Normal"/>
    <w:link w:val="Heading6Char"/>
    <w:uiPriority w:val="9"/>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uiPriority w:val="9"/>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uiPriority w:val="9"/>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uiPriority w:val="9"/>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uiPriority w:val="9"/>
    <w:rsid w:val="005C2ECF"/>
    <w:rPr>
      <w:rFonts w:ascii="Open Sans" w:eastAsia="MS Mincho" w:hAnsi="Open Sans"/>
      <w:sz w:val="24"/>
      <w:szCs w:val="24"/>
    </w:rPr>
  </w:style>
  <w:style w:type="character" w:customStyle="1" w:styleId="Heading6Char">
    <w:name w:val="Heading 6 Char"/>
    <w:link w:val="Heading6"/>
    <w:uiPriority w:val="9"/>
    <w:rsid w:val="005C2ECF"/>
    <w:rPr>
      <w:rFonts w:ascii="Open Sans" w:eastAsia="MS Mincho" w:hAnsi="Open Sans"/>
      <w:i/>
      <w:iCs/>
      <w:sz w:val="24"/>
      <w:szCs w:val="24"/>
    </w:rPr>
  </w:style>
  <w:style w:type="character" w:customStyle="1" w:styleId="Heading7Char">
    <w:name w:val="Heading 7 Char"/>
    <w:link w:val="Heading7"/>
    <w:uiPriority w:val="9"/>
    <w:rsid w:val="005C2ECF"/>
    <w:rPr>
      <w:rFonts w:ascii="Open Sans" w:eastAsia="MS Mincho" w:hAnsi="Open Sans"/>
      <w:i/>
      <w:iCs/>
      <w:sz w:val="24"/>
      <w:szCs w:val="24"/>
    </w:rPr>
  </w:style>
  <w:style w:type="character" w:customStyle="1" w:styleId="Heading8Char">
    <w:name w:val="Heading 8 Char"/>
    <w:link w:val="Heading8"/>
    <w:uiPriority w:val="9"/>
    <w:rsid w:val="005C2ECF"/>
    <w:rPr>
      <w:rFonts w:ascii="Open Sans" w:eastAsia="MS Mincho" w:hAnsi="Open Sans"/>
    </w:rPr>
  </w:style>
  <w:style w:type="character" w:customStyle="1" w:styleId="Heading9Char">
    <w:name w:val="Heading 9 Char"/>
    <w:link w:val="Heading9"/>
    <w:uiPriority w:val="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link w:val="ListNumberChar"/>
    <w:qFormat/>
    <w:rsid w:val="007B06EA"/>
    <w:pPr>
      <w:tabs>
        <w:tab w:val="left" w:pos="1134"/>
      </w:tabs>
      <w:spacing w:before="120" w:after="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locked/>
    <w:rsid w:val="00434DF9"/>
    <w:pPr>
      <w:spacing w:before="0" w:after="0"/>
    </w:pPr>
    <w:rPr>
      <w:sz w:val="20"/>
      <w:szCs w:val="20"/>
    </w:rPr>
  </w:style>
  <w:style w:type="character" w:customStyle="1" w:styleId="FootnoteTextChar">
    <w:name w:val="Footnote Text Char"/>
    <w:basedOn w:val="DefaultParagraphFont"/>
    <w:link w:val="FootnoteText"/>
    <w:rsid w:val="00434DF9"/>
    <w:rPr>
      <w:rFonts w:ascii="Open Sans" w:eastAsia="MS Mincho" w:hAnsi="Open Sans"/>
    </w:rPr>
  </w:style>
  <w:style w:type="character" w:styleId="FootnoteReference">
    <w:name w:val="footnote reference"/>
    <w:basedOn w:val="DefaultParagraphFont"/>
    <w:locked/>
    <w:rsid w:val="00434DF9"/>
    <w:rPr>
      <w:vertAlign w:val="superscript"/>
    </w:rPr>
  </w:style>
  <w:style w:type="paragraph" w:customStyle="1" w:styleId="Quotesub">
    <w:name w:val="Quote sub"/>
    <w:basedOn w:val="EndnoteText"/>
    <w:link w:val="QuotesubChar"/>
    <w:qFormat/>
    <w:rsid w:val="003A4792"/>
    <w:pPr>
      <w:spacing w:before="120" w:after="120"/>
      <w:ind w:left="1134" w:firstLine="0"/>
    </w:pPr>
    <w:rPr>
      <w:sz w:val="22"/>
      <w:szCs w:val="22"/>
    </w:rPr>
  </w:style>
  <w:style w:type="character" w:customStyle="1" w:styleId="ListNumberChar">
    <w:name w:val="List Number Char"/>
    <w:basedOn w:val="DefaultParagraphFont"/>
    <w:link w:val="ListNumber"/>
    <w:rsid w:val="007231E8"/>
    <w:rPr>
      <w:rFonts w:ascii="Open Sans" w:eastAsia="MS Mincho" w:hAnsi="Open Sans"/>
      <w:sz w:val="24"/>
      <w:szCs w:val="24"/>
    </w:rPr>
  </w:style>
  <w:style w:type="character" w:customStyle="1" w:styleId="QuotesubChar">
    <w:name w:val="Quote sub Char"/>
    <w:basedOn w:val="SubmissionNormalChar"/>
    <w:link w:val="Quotesub"/>
    <w:rsid w:val="003A4792"/>
    <w:rPr>
      <w:rFonts w:ascii="Open Sans" w:eastAsia="MS Mincho" w:hAnsi="Open Sans"/>
      <w:sz w:val="22"/>
      <w:szCs w:val="22"/>
    </w:rPr>
  </w:style>
  <w:style w:type="paragraph" w:customStyle="1" w:styleId="subsection">
    <w:name w:val="subsection"/>
    <w:basedOn w:val="Normal"/>
    <w:rsid w:val="006D36E5"/>
    <w:pPr>
      <w:spacing w:before="100" w:beforeAutospacing="1" w:after="100" w:afterAutospacing="1"/>
    </w:pPr>
    <w:rPr>
      <w:rFonts w:ascii="Times New Roman" w:eastAsia="Times New Roman" w:hAnsi="Times New Roman"/>
    </w:rPr>
  </w:style>
  <w:style w:type="paragraph" w:customStyle="1" w:styleId="paragraph">
    <w:name w:val="paragraph"/>
    <w:aliases w:val="a"/>
    <w:basedOn w:val="Normal"/>
    <w:link w:val="paragraphChar"/>
    <w:rsid w:val="006D36E5"/>
    <w:pPr>
      <w:spacing w:before="100" w:beforeAutospacing="1" w:after="100" w:afterAutospacing="1"/>
    </w:pPr>
    <w:rPr>
      <w:rFonts w:ascii="Times New Roman" w:eastAsia="Times New Roman" w:hAnsi="Times New Roman"/>
    </w:rPr>
  </w:style>
  <w:style w:type="paragraph" w:customStyle="1" w:styleId="Default">
    <w:name w:val="Default"/>
    <w:rsid w:val="00913CAB"/>
    <w:pPr>
      <w:autoSpaceDE w:val="0"/>
      <w:autoSpaceDN w:val="0"/>
      <w:adjustRightInd w:val="0"/>
    </w:pPr>
    <w:rPr>
      <w:color w:val="000000"/>
      <w:sz w:val="24"/>
      <w:szCs w:val="24"/>
    </w:rPr>
  </w:style>
  <w:style w:type="paragraph" w:customStyle="1" w:styleId="Subnumbered">
    <w:name w:val="Sub numbered"/>
    <w:basedOn w:val="ListNumber"/>
    <w:link w:val="SubnumberedChar"/>
    <w:qFormat/>
    <w:rsid w:val="00727942"/>
    <w:pPr>
      <w:numPr>
        <w:numId w:val="14"/>
      </w:numPr>
      <w:tabs>
        <w:tab w:val="left" w:pos="1418"/>
      </w:tabs>
      <w:ind w:left="644"/>
    </w:pPr>
  </w:style>
  <w:style w:type="character" w:customStyle="1" w:styleId="SubnumberedChar">
    <w:name w:val="Sub numbered Char"/>
    <w:basedOn w:val="ListNumberChar"/>
    <w:link w:val="Subnumbered"/>
    <w:rsid w:val="00727942"/>
    <w:rPr>
      <w:rFonts w:ascii="Open Sans" w:eastAsia="MS Mincho" w:hAnsi="Open Sans"/>
      <w:sz w:val="24"/>
      <w:szCs w:val="24"/>
    </w:rPr>
  </w:style>
  <w:style w:type="paragraph" w:styleId="Revision">
    <w:name w:val="Revision"/>
    <w:hidden/>
    <w:uiPriority w:val="99"/>
    <w:semiHidden/>
    <w:rsid w:val="00EE056D"/>
    <w:rPr>
      <w:rFonts w:ascii="Open Sans" w:eastAsia="MS Mincho" w:hAnsi="Open Sans"/>
      <w:sz w:val="24"/>
      <w:szCs w:val="24"/>
    </w:rPr>
  </w:style>
  <w:style w:type="character" w:customStyle="1" w:styleId="UnresolvedMention2">
    <w:name w:val="Unresolved Mention2"/>
    <w:basedOn w:val="DefaultParagraphFont"/>
    <w:uiPriority w:val="99"/>
    <w:semiHidden/>
    <w:unhideWhenUsed/>
    <w:rsid w:val="00285E4D"/>
    <w:rPr>
      <w:color w:val="605E5C"/>
      <w:shd w:val="clear" w:color="auto" w:fill="E1DFDD"/>
    </w:rPr>
  </w:style>
  <w:style w:type="character" w:customStyle="1" w:styleId="paragraphChar">
    <w:name w:val="paragraph Char"/>
    <w:aliases w:val="a Char"/>
    <w:basedOn w:val="DefaultParagraphFont"/>
    <w:link w:val="paragraph"/>
    <w:rsid w:val="00B024E1"/>
    <w:rPr>
      <w:sz w:val="24"/>
      <w:szCs w:val="24"/>
    </w:rPr>
  </w:style>
  <w:style w:type="paragraph" w:customStyle="1" w:styleId="paragraphsub">
    <w:name w:val="paragraph(sub)"/>
    <w:aliases w:val="aa"/>
    <w:basedOn w:val="Normal"/>
    <w:rsid w:val="00B024E1"/>
    <w:pPr>
      <w:tabs>
        <w:tab w:val="right" w:pos="1985"/>
      </w:tabs>
      <w:spacing w:before="40" w:after="0"/>
      <w:ind w:left="2098" w:hanging="2098"/>
    </w:pPr>
    <w:rPr>
      <w:rFonts w:ascii="Times New Roman" w:eastAsia="Times New Roman" w:hAnsi="Times New Roman"/>
      <w:sz w:val="22"/>
      <w:szCs w:val="20"/>
    </w:rPr>
  </w:style>
  <w:style w:type="paragraph" w:customStyle="1" w:styleId="AddressBlock">
    <w:name w:val="Address Block"/>
    <w:basedOn w:val="BodyText"/>
    <w:semiHidden/>
    <w:locked/>
    <w:rsid w:val="002F37B1"/>
    <w:pPr>
      <w:keepNext/>
      <w:keepLines/>
      <w:spacing w:after="0"/>
    </w:pPr>
    <w:rPr>
      <w:rFonts w:eastAsia="Times New Roman" w:cs="ArialMT"/>
      <w:lang w:val="en-US" w:bidi="en-US"/>
    </w:rPr>
  </w:style>
  <w:style w:type="paragraph" w:customStyle="1" w:styleId="Contactdetails">
    <w:name w:val="Contact details"/>
    <w:basedOn w:val="Normal"/>
    <w:semiHidden/>
    <w:locked/>
    <w:rsid w:val="002F37B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eastAsia="Times New Roman" w:cs="ArialMT"/>
      <w:lang w:val="en-US" w:bidi="en-US"/>
    </w:rPr>
  </w:style>
  <w:style w:type="character" w:customStyle="1" w:styleId="description">
    <w:name w:val="description"/>
    <w:locked/>
    <w:rsid w:val="002F37B1"/>
    <w:rPr>
      <w:rFonts w:ascii="Open Sans" w:hAnsi="Open Sans"/>
      <w:sz w:val="24"/>
    </w:rPr>
  </w:style>
  <w:style w:type="character" w:styleId="UnresolvedMention">
    <w:name w:val="Unresolved Mention"/>
    <w:basedOn w:val="DefaultParagraphFont"/>
    <w:uiPriority w:val="99"/>
    <w:semiHidden/>
    <w:unhideWhenUsed/>
    <w:rsid w:val="000F4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687">
      <w:bodyDiv w:val="1"/>
      <w:marLeft w:val="0"/>
      <w:marRight w:val="0"/>
      <w:marTop w:val="0"/>
      <w:marBottom w:val="0"/>
      <w:divBdr>
        <w:top w:val="none" w:sz="0" w:space="0" w:color="auto"/>
        <w:left w:val="none" w:sz="0" w:space="0" w:color="auto"/>
        <w:bottom w:val="none" w:sz="0" w:space="0" w:color="auto"/>
        <w:right w:val="none" w:sz="0" w:space="0" w:color="auto"/>
      </w:divBdr>
      <w:divsChild>
        <w:div w:id="845556005">
          <w:marLeft w:val="0"/>
          <w:marRight w:val="0"/>
          <w:marTop w:val="0"/>
          <w:marBottom w:val="0"/>
          <w:divBdr>
            <w:top w:val="none" w:sz="0" w:space="0" w:color="auto"/>
            <w:left w:val="none" w:sz="0" w:space="0" w:color="auto"/>
            <w:bottom w:val="none" w:sz="0" w:space="0" w:color="auto"/>
            <w:right w:val="none" w:sz="0" w:space="0" w:color="auto"/>
          </w:divBdr>
          <w:divsChild>
            <w:div w:id="8678669">
              <w:marLeft w:val="0"/>
              <w:marRight w:val="0"/>
              <w:marTop w:val="0"/>
              <w:marBottom w:val="0"/>
              <w:divBdr>
                <w:top w:val="none" w:sz="0" w:space="0" w:color="auto"/>
                <w:left w:val="none" w:sz="0" w:space="0" w:color="auto"/>
                <w:bottom w:val="none" w:sz="0" w:space="0" w:color="auto"/>
                <w:right w:val="none" w:sz="0" w:space="0" w:color="auto"/>
              </w:divBdr>
              <w:divsChild>
                <w:div w:id="1526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7946">
      <w:bodyDiv w:val="1"/>
      <w:marLeft w:val="0"/>
      <w:marRight w:val="0"/>
      <w:marTop w:val="0"/>
      <w:marBottom w:val="0"/>
      <w:divBdr>
        <w:top w:val="none" w:sz="0" w:space="0" w:color="auto"/>
        <w:left w:val="none" w:sz="0" w:space="0" w:color="auto"/>
        <w:bottom w:val="none" w:sz="0" w:space="0" w:color="auto"/>
        <w:right w:val="none" w:sz="0" w:space="0" w:color="auto"/>
      </w:divBdr>
    </w:div>
    <w:div w:id="248471395">
      <w:bodyDiv w:val="1"/>
      <w:marLeft w:val="0"/>
      <w:marRight w:val="0"/>
      <w:marTop w:val="0"/>
      <w:marBottom w:val="0"/>
      <w:divBdr>
        <w:top w:val="none" w:sz="0" w:space="0" w:color="auto"/>
        <w:left w:val="none" w:sz="0" w:space="0" w:color="auto"/>
        <w:bottom w:val="none" w:sz="0" w:space="0" w:color="auto"/>
        <w:right w:val="none" w:sz="0" w:space="0" w:color="auto"/>
      </w:divBdr>
      <w:divsChild>
        <w:div w:id="218367560">
          <w:marLeft w:val="0"/>
          <w:marRight w:val="0"/>
          <w:marTop w:val="0"/>
          <w:marBottom w:val="0"/>
          <w:divBdr>
            <w:top w:val="none" w:sz="0" w:space="0" w:color="auto"/>
            <w:left w:val="none" w:sz="0" w:space="0" w:color="auto"/>
            <w:bottom w:val="none" w:sz="0" w:space="0" w:color="auto"/>
            <w:right w:val="none" w:sz="0" w:space="0" w:color="auto"/>
          </w:divBdr>
          <w:divsChild>
            <w:div w:id="1200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7523">
      <w:bodyDiv w:val="1"/>
      <w:marLeft w:val="0"/>
      <w:marRight w:val="0"/>
      <w:marTop w:val="0"/>
      <w:marBottom w:val="0"/>
      <w:divBdr>
        <w:top w:val="none" w:sz="0" w:space="0" w:color="auto"/>
        <w:left w:val="none" w:sz="0" w:space="0" w:color="auto"/>
        <w:bottom w:val="none" w:sz="0" w:space="0" w:color="auto"/>
        <w:right w:val="none" w:sz="0" w:space="0" w:color="auto"/>
      </w:divBdr>
      <w:divsChild>
        <w:div w:id="1004240528">
          <w:marLeft w:val="480"/>
          <w:marRight w:val="0"/>
          <w:marTop w:val="0"/>
          <w:marBottom w:val="0"/>
          <w:divBdr>
            <w:top w:val="none" w:sz="0" w:space="0" w:color="auto"/>
            <w:left w:val="none" w:sz="0" w:space="0" w:color="auto"/>
            <w:bottom w:val="none" w:sz="0" w:space="0" w:color="auto"/>
            <w:right w:val="none" w:sz="0" w:space="0" w:color="auto"/>
          </w:divBdr>
          <w:divsChild>
            <w:div w:id="280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9781286">
      <w:bodyDiv w:val="1"/>
      <w:marLeft w:val="0"/>
      <w:marRight w:val="0"/>
      <w:marTop w:val="0"/>
      <w:marBottom w:val="0"/>
      <w:divBdr>
        <w:top w:val="none" w:sz="0" w:space="0" w:color="auto"/>
        <w:left w:val="none" w:sz="0" w:space="0" w:color="auto"/>
        <w:bottom w:val="none" w:sz="0" w:space="0" w:color="auto"/>
        <w:right w:val="none" w:sz="0" w:space="0" w:color="auto"/>
      </w:divBdr>
      <w:divsChild>
        <w:div w:id="182280583">
          <w:marLeft w:val="0"/>
          <w:marRight w:val="0"/>
          <w:marTop w:val="0"/>
          <w:marBottom w:val="0"/>
          <w:divBdr>
            <w:top w:val="none" w:sz="0" w:space="0" w:color="auto"/>
            <w:left w:val="none" w:sz="0" w:space="0" w:color="auto"/>
            <w:bottom w:val="none" w:sz="0" w:space="0" w:color="auto"/>
            <w:right w:val="none" w:sz="0" w:space="0" w:color="auto"/>
          </w:divBdr>
          <w:divsChild>
            <w:div w:id="998313054">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30807">
      <w:bodyDiv w:val="1"/>
      <w:marLeft w:val="0"/>
      <w:marRight w:val="0"/>
      <w:marTop w:val="0"/>
      <w:marBottom w:val="0"/>
      <w:divBdr>
        <w:top w:val="none" w:sz="0" w:space="0" w:color="auto"/>
        <w:left w:val="none" w:sz="0" w:space="0" w:color="auto"/>
        <w:bottom w:val="none" w:sz="0" w:space="0" w:color="auto"/>
        <w:right w:val="none" w:sz="0" w:space="0" w:color="auto"/>
      </w:divBdr>
      <w:divsChild>
        <w:div w:id="590236842">
          <w:marLeft w:val="0"/>
          <w:marRight w:val="0"/>
          <w:marTop w:val="0"/>
          <w:marBottom w:val="0"/>
          <w:divBdr>
            <w:top w:val="none" w:sz="0" w:space="0" w:color="auto"/>
            <w:left w:val="none" w:sz="0" w:space="0" w:color="auto"/>
            <w:bottom w:val="none" w:sz="0" w:space="0" w:color="auto"/>
            <w:right w:val="none" w:sz="0" w:space="0" w:color="auto"/>
          </w:divBdr>
          <w:divsChild>
            <w:div w:id="819268793">
              <w:marLeft w:val="0"/>
              <w:marRight w:val="0"/>
              <w:marTop w:val="0"/>
              <w:marBottom w:val="0"/>
              <w:divBdr>
                <w:top w:val="none" w:sz="0" w:space="0" w:color="auto"/>
                <w:left w:val="none" w:sz="0" w:space="0" w:color="auto"/>
                <w:bottom w:val="none" w:sz="0" w:space="0" w:color="auto"/>
                <w:right w:val="none" w:sz="0" w:space="0" w:color="auto"/>
              </w:divBdr>
              <w:divsChild>
                <w:div w:id="380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97734332">
      <w:bodyDiv w:val="1"/>
      <w:marLeft w:val="0"/>
      <w:marRight w:val="0"/>
      <w:marTop w:val="0"/>
      <w:marBottom w:val="0"/>
      <w:divBdr>
        <w:top w:val="none" w:sz="0" w:space="0" w:color="auto"/>
        <w:left w:val="none" w:sz="0" w:space="0" w:color="auto"/>
        <w:bottom w:val="none" w:sz="0" w:space="0" w:color="auto"/>
        <w:right w:val="none" w:sz="0" w:space="0" w:color="auto"/>
      </w:divBdr>
    </w:div>
    <w:div w:id="1106273807">
      <w:bodyDiv w:val="1"/>
      <w:marLeft w:val="0"/>
      <w:marRight w:val="0"/>
      <w:marTop w:val="0"/>
      <w:marBottom w:val="0"/>
      <w:divBdr>
        <w:top w:val="none" w:sz="0" w:space="0" w:color="auto"/>
        <w:left w:val="none" w:sz="0" w:space="0" w:color="auto"/>
        <w:bottom w:val="none" w:sz="0" w:space="0" w:color="auto"/>
        <w:right w:val="none" w:sz="0" w:space="0" w:color="auto"/>
      </w:divBdr>
      <w:divsChild>
        <w:div w:id="1701276905">
          <w:marLeft w:val="0"/>
          <w:marRight w:val="0"/>
          <w:marTop w:val="0"/>
          <w:marBottom w:val="0"/>
          <w:divBdr>
            <w:top w:val="none" w:sz="0" w:space="0" w:color="auto"/>
            <w:left w:val="none" w:sz="0" w:space="0" w:color="auto"/>
            <w:bottom w:val="none" w:sz="0" w:space="0" w:color="auto"/>
            <w:right w:val="none" w:sz="0" w:space="0" w:color="auto"/>
          </w:divBdr>
          <w:divsChild>
            <w:div w:id="824510627">
              <w:marLeft w:val="0"/>
              <w:marRight w:val="0"/>
              <w:marTop w:val="0"/>
              <w:marBottom w:val="0"/>
              <w:divBdr>
                <w:top w:val="none" w:sz="0" w:space="0" w:color="auto"/>
                <w:left w:val="none" w:sz="0" w:space="0" w:color="auto"/>
                <w:bottom w:val="none" w:sz="0" w:space="0" w:color="auto"/>
                <w:right w:val="none" w:sz="0" w:space="0" w:color="auto"/>
              </w:divBdr>
              <w:divsChild>
                <w:div w:id="17056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68195">
      <w:bodyDiv w:val="1"/>
      <w:marLeft w:val="0"/>
      <w:marRight w:val="0"/>
      <w:marTop w:val="0"/>
      <w:marBottom w:val="0"/>
      <w:divBdr>
        <w:top w:val="none" w:sz="0" w:space="0" w:color="auto"/>
        <w:left w:val="none" w:sz="0" w:space="0" w:color="auto"/>
        <w:bottom w:val="none" w:sz="0" w:space="0" w:color="auto"/>
        <w:right w:val="none" w:sz="0" w:space="0" w:color="auto"/>
      </w:divBdr>
      <w:divsChild>
        <w:div w:id="1288464280">
          <w:marLeft w:val="0"/>
          <w:marRight w:val="0"/>
          <w:marTop w:val="0"/>
          <w:marBottom w:val="0"/>
          <w:divBdr>
            <w:top w:val="none" w:sz="0" w:space="0" w:color="auto"/>
            <w:left w:val="none" w:sz="0" w:space="0" w:color="auto"/>
            <w:bottom w:val="none" w:sz="0" w:space="0" w:color="auto"/>
            <w:right w:val="none" w:sz="0" w:space="0" w:color="auto"/>
          </w:divBdr>
          <w:divsChild>
            <w:div w:id="1238327221">
              <w:marLeft w:val="0"/>
              <w:marRight w:val="0"/>
              <w:marTop w:val="0"/>
              <w:marBottom w:val="0"/>
              <w:divBdr>
                <w:top w:val="none" w:sz="0" w:space="0" w:color="auto"/>
                <w:left w:val="none" w:sz="0" w:space="0" w:color="auto"/>
                <w:bottom w:val="none" w:sz="0" w:space="0" w:color="auto"/>
                <w:right w:val="none" w:sz="0" w:space="0" w:color="auto"/>
              </w:divBdr>
              <w:divsChild>
                <w:div w:id="17955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432">
      <w:bodyDiv w:val="1"/>
      <w:marLeft w:val="0"/>
      <w:marRight w:val="0"/>
      <w:marTop w:val="0"/>
      <w:marBottom w:val="0"/>
      <w:divBdr>
        <w:top w:val="none" w:sz="0" w:space="0" w:color="auto"/>
        <w:left w:val="none" w:sz="0" w:space="0" w:color="auto"/>
        <w:bottom w:val="none" w:sz="0" w:space="0" w:color="auto"/>
        <w:right w:val="none" w:sz="0" w:space="0" w:color="auto"/>
      </w:divBdr>
    </w:div>
    <w:div w:id="1858689119">
      <w:bodyDiv w:val="1"/>
      <w:marLeft w:val="0"/>
      <w:marRight w:val="0"/>
      <w:marTop w:val="0"/>
      <w:marBottom w:val="0"/>
      <w:divBdr>
        <w:top w:val="none" w:sz="0" w:space="0" w:color="auto"/>
        <w:left w:val="none" w:sz="0" w:space="0" w:color="auto"/>
        <w:bottom w:val="none" w:sz="0" w:space="0" w:color="auto"/>
        <w:right w:val="none" w:sz="0" w:space="0" w:color="auto"/>
      </w:divBdr>
    </w:div>
    <w:div w:id="1971397635">
      <w:bodyDiv w:val="1"/>
      <w:marLeft w:val="0"/>
      <w:marRight w:val="0"/>
      <w:marTop w:val="0"/>
      <w:marBottom w:val="0"/>
      <w:divBdr>
        <w:top w:val="none" w:sz="0" w:space="0" w:color="auto"/>
        <w:left w:val="none" w:sz="0" w:space="0" w:color="auto"/>
        <w:bottom w:val="none" w:sz="0" w:space="0" w:color="auto"/>
        <w:right w:val="none" w:sz="0" w:space="0" w:color="auto"/>
      </w:divBdr>
      <w:divsChild>
        <w:div w:id="786193217">
          <w:marLeft w:val="0"/>
          <w:marRight w:val="0"/>
          <w:marTop w:val="0"/>
          <w:marBottom w:val="0"/>
          <w:divBdr>
            <w:top w:val="none" w:sz="0" w:space="0" w:color="auto"/>
            <w:left w:val="none" w:sz="0" w:space="0" w:color="auto"/>
            <w:bottom w:val="none" w:sz="0" w:space="0" w:color="auto"/>
            <w:right w:val="none" w:sz="0" w:space="0" w:color="auto"/>
          </w:divBdr>
          <w:divsChild>
            <w:div w:id="967472818">
              <w:marLeft w:val="0"/>
              <w:marRight w:val="0"/>
              <w:marTop w:val="0"/>
              <w:marBottom w:val="0"/>
              <w:divBdr>
                <w:top w:val="none" w:sz="0" w:space="0" w:color="auto"/>
                <w:left w:val="none" w:sz="0" w:space="0" w:color="auto"/>
                <w:bottom w:val="none" w:sz="0" w:space="0" w:color="auto"/>
                <w:right w:val="none" w:sz="0" w:space="0" w:color="auto"/>
              </w:divBdr>
              <w:divsChild>
                <w:div w:id="18163796">
                  <w:marLeft w:val="0"/>
                  <w:marRight w:val="0"/>
                  <w:marTop w:val="0"/>
                  <w:marBottom w:val="0"/>
                  <w:divBdr>
                    <w:top w:val="none" w:sz="0" w:space="0" w:color="auto"/>
                    <w:left w:val="none" w:sz="0" w:space="0" w:color="auto"/>
                    <w:bottom w:val="none" w:sz="0" w:space="0" w:color="auto"/>
                    <w:right w:val="none" w:sz="0" w:space="0" w:color="auto"/>
                  </w:divBdr>
                  <w:divsChild>
                    <w:div w:id="1856576133">
                      <w:marLeft w:val="0"/>
                      <w:marRight w:val="0"/>
                      <w:marTop w:val="0"/>
                      <w:marBottom w:val="0"/>
                      <w:divBdr>
                        <w:top w:val="none" w:sz="0" w:space="0" w:color="auto"/>
                        <w:left w:val="none" w:sz="0" w:space="0" w:color="auto"/>
                        <w:bottom w:val="none" w:sz="0" w:space="0" w:color="auto"/>
                        <w:right w:val="none" w:sz="0" w:space="0" w:color="auto"/>
                      </w:divBdr>
                      <w:divsChild>
                        <w:div w:id="490562486">
                          <w:marLeft w:val="0"/>
                          <w:marRight w:val="0"/>
                          <w:marTop w:val="0"/>
                          <w:marBottom w:val="0"/>
                          <w:divBdr>
                            <w:top w:val="none" w:sz="0" w:space="0" w:color="auto"/>
                            <w:left w:val="none" w:sz="0" w:space="0" w:color="auto"/>
                            <w:bottom w:val="none" w:sz="0" w:space="0" w:color="auto"/>
                            <w:right w:val="none" w:sz="0" w:space="0" w:color="auto"/>
                          </w:divBdr>
                          <w:divsChild>
                            <w:div w:id="1845164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18549">
      <w:bodyDiv w:val="1"/>
      <w:marLeft w:val="0"/>
      <w:marRight w:val="0"/>
      <w:marTop w:val="0"/>
      <w:marBottom w:val="0"/>
      <w:divBdr>
        <w:top w:val="none" w:sz="0" w:space="0" w:color="auto"/>
        <w:left w:val="none" w:sz="0" w:space="0" w:color="auto"/>
        <w:bottom w:val="none" w:sz="0" w:space="0" w:color="auto"/>
        <w:right w:val="none" w:sz="0" w:space="0" w:color="auto"/>
      </w:divBdr>
    </w:div>
    <w:div w:id="2079597978">
      <w:bodyDiv w:val="1"/>
      <w:marLeft w:val="0"/>
      <w:marRight w:val="0"/>
      <w:marTop w:val="0"/>
      <w:marBottom w:val="0"/>
      <w:divBdr>
        <w:top w:val="none" w:sz="0" w:space="0" w:color="auto"/>
        <w:left w:val="none" w:sz="0" w:space="0" w:color="auto"/>
        <w:bottom w:val="none" w:sz="0" w:space="0" w:color="auto"/>
        <w:right w:val="none" w:sz="0" w:space="0" w:color="auto"/>
      </w:divBdr>
      <w:divsChild>
        <w:div w:id="133454868">
          <w:marLeft w:val="0"/>
          <w:marRight w:val="0"/>
          <w:marTop w:val="0"/>
          <w:marBottom w:val="0"/>
          <w:divBdr>
            <w:top w:val="none" w:sz="0" w:space="0" w:color="auto"/>
            <w:left w:val="none" w:sz="0" w:space="0" w:color="auto"/>
            <w:bottom w:val="none" w:sz="0" w:space="0" w:color="auto"/>
            <w:right w:val="none" w:sz="0" w:space="0" w:color="auto"/>
          </w:divBdr>
          <w:divsChild>
            <w:div w:id="148521658">
              <w:marLeft w:val="0"/>
              <w:marRight w:val="0"/>
              <w:marTop w:val="0"/>
              <w:marBottom w:val="0"/>
              <w:divBdr>
                <w:top w:val="none" w:sz="0" w:space="0" w:color="auto"/>
                <w:left w:val="none" w:sz="0" w:space="0" w:color="auto"/>
                <w:bottom w:val="none" w:sz="0" w:space="0" w:color="auto"/>
                <w:right w:val="none" w:sz="0" w:space="0" w:color="auto"/>
              </w:divBdr>
              <w:divsChild>
                <w:div w:id="15456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inslm.gov.au/sites/default/files/files/inslm-report-prosecution-sentencing-children-for-terrorism.pdf" TargetMode="External"/><Relationship Id="rId2" Type="http://schemas.openxmlformats.org/officeDocument/2006/relationships/hyperlink" Target="https://www.inslm.gov.au/sites/default/files/files/inslm-report-prosecution-sentencing-children-for-terrorism.pdf" TargetMode="External"/><Relationship Id="rId1" Type="http://schemas.openxmlformats.org/officeDocument/2006/relationships/hyperlink" Target="https://www.aph.gov.au/DocumentStore.ashx?id=e1748951-b005-409c-ba6e-50d704e45c51&amp;subId=667096" TargetMode="External"/><Relationship Id="rId5" Type="http://schemas.openxmlformats.org/officeDocument/2006/relationships/hyperlink" Target="https://www.inslm.gov.au/submissions/prosecution-sentencing-children-cwealth-terrorist-offences" TargetMode="External"/><Relationship Id="rId4" Type="http://schemas.openxmlformats.org/officeDocument/2006/relationships/hyperlink" Target="http://www.inslm.gov.au/sites/default/files/submissions/australian_human_rights_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A5C1-8E0C-4145-93D2-993868D6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23</TotalTime>
  <Pages>11</Pages>
  <Words>1653</Words>
  <Characters>8939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10571</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Edward Santow</dc:creator>
  <cp:keywords/>
  <cp:lastModifiedBy>Matthew Nelson</cp:lastModifiedBy>
  <cp:revision>3</cp:revision>
  <cp:lastPrinted>2019-08-22T04:48:00Z</cp:lastPrinted>
  <dcterms:created xsi:type="dcterms:W3CDTF">2019-08-22T04:47:00Z</dcterms:created>
  <dcterms:modified xsi:type="dcterms:W3CDTF">2019-08-22T05:09:00Z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id="k5ZHMs8Z"/&gt;&lt;style id="http://www.zotero.org/styles/ahrc-australian-guide-to-legal-citation" hasBibliography="1" bibliographyStyleHasBeenSet="0"/&gt;&lt;prefs&gt;&lt;pref name="fieldType" value="Field"/&gt;&lt;pref</vt:lpwstr>
  </property>
  <property fmtid="{D5CDD505-2E9C-101B-9397-08002B2CF9AE}" pid="3" name="ZOTERO_PREF_2">
    <vt:lpwstr> name="automaticJournalAbbreviations" value="true"/&gt;&lt;pref name="noteType" value="1"/&gt;&lt;/prefs&gt;&lt;/data&gt;</vt:lpwstr>
  </property>
</Properties>
</file>