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B82F" w14:textId="77777777" w:rsidR="00B00AD5" w:rsidRPr="00B00AD5" w:rsidRDefault="00B00AD5" w:rsidP="00B00AD5">
      <w:pPr>
        <w:spacing w:before="0"/>
        <w:jc w:val="right"/>
        <w:rPr>
          <w:rFonts w:eastAsia="Times New Roman"/>
          <w:bCs/>
          <w:color w:val="237BBC"/>
          <w:kern w:val="32"/>
          <w:sz w:val="56"/>
          <w:szCs w:val="32"/>
        </w:rPr>
      </w:pPr>
      <w:r w:rsidRPr="00B00AD5">
        <w:rPr>
          <w:rFonts w:eastAsia="Times New Roman"/>
          <w:bCs/>
          <w:color w:val="237BBC"/>
          <w:kern w:val="32"/>
          <w:sz w:val="56"/>
          <w:szCs w:val="32"/>
        </w:rPr>
        <w:t>Monitoring of Places of Detention</w:t>
      </w:r>
    </w:p>
    <w:p w14:paraId="3C55D5F3" w14:textId="6D914E1D" w:rsidR="00B00AD5" w:rsidRDefault="00B00AD5" w:rsidP="00B00AD5">
      <w:pPr>
        <w:spacing w:before="0"/>
        <w:jc w:val="right"/>
        <w:rPr>
          <w:rFonts w:eastAsia="Times New Roman"/>
          <w:bCs/>
          <w:color w:val="237BBC"/>
          <w:kern w:val="32"/>
          <w:sz w:val="56"/>
          <w:szCs w:val="32"/>
        </w:rPr>
      </w:pPr>
      <w:r w:rsidRPr="00B00AD5">
        <w:rPr>
          <w:rFonts w:eastAsia="Times New Roman"/>
          <w:bCs/>
          <w:color w:val="237BBC"/>
          <w:kern w:val="32"/>
          <w:sz w:val="56"/>
          <w:szCs w:val="32"/>
        </w:rPr>
        <w:t>(Optional Protocol to the Convention Ag</w:t>
      </w:r>
      <w:r>
        <w:rPr>
          <w:rFonts w:eastAsia="Times New Roman"/>
          <w:bCs/>
          <w:color w:val="237BBC"/>
          <w:kern w:val="32"/>
          <w:sz w:val="56"/>
          <w:szCs w:val="32"/>
        </w:rPr>
        <w:t>a</w:t>
      </w:r>
      <w:r w:rsidRPr="00B00AD5">
        <w:rPr>
          <w:rFonts w:eastAsia="Times New Roman"/>
          <w:bCs/>
          <w:color w:val="237BBC"/>
          <w:kern w:val="32"/>
          <w:sz w:val="56"/>
          <w:szCs w:val="32"/>
        </w:rPr>
        <w:t>inst Torture) Amendment Bill</w:t>
      </w:r>
      <w:r>
        <w:rPr>
          <w:rFonts w:eastAsia="Times New Roman"/>
          <w:bCs/>
          <w:color w:val="237BBC"/>
          <w:kern w:val="32"/>
          <w:sz w:val="56"/>
          <w:szCs w:val="32"/>
        </w:rPr>
        <w:t xml:space="preserve"> </w:t>
      </w:r>
      <w:r w:rsidRPr="00B00AD5">
        <w:rPr>
          <w:rFonts w:eastAsia="Times New Roman"/>
          <w:bCs/>
          <w:color w:val="237BBC"/>
          <w:kern w:val="32"/>
          <w:sz w:val="56"/>
          <w:szCs w:val="32"/>
        </w:rPr>
        <w:t>2022</w:t>
      </w:r>
    </w:p>
    <w:p w14:paraId="00D89034" w14:textId="3F2783A4" w:rsidR="00233A98" w:rsidRDefault="00233A98" w:rsidP="00B00AD5">
      <w:pPr>
        <w:spacing w:before="0"/>
        <w:jc w:val="right"/>
        <w:rPr>
          <w:rFonts w:cs="Arial"/>
          <w:color w:val="237BBC"/>
          <w:sz w:val="28"/>
        </w:rPr>
      </w:pPr>
      <w:r>
        <w:rPr>
          <w:rFonts w:cs="Arial"/>
          <w:color w:val="237BBC"/>
          <w:sz w:val="28"/>
        </w:rPr>
        <w:t>Submission to the</w:t>
      </w:r>
      <w:r w:rsidR="00B00AD5">
        <w:rPr>
          <w:rFonts w:cs="Arial"/>
          <w:color w:val="237BBC"/>
          <w:sz w:val="28"/>
        </w:rPr>
        <w:t xml:space="preserve"> Northern Territory</w:t>
      </w:r>
      <w:r>
        <w:rPr>
          <w:rFonts w:cs="Arial"/>
          <w:color w:val="237BBC"/>
          <w:sz w:val="28"/>
        </w:rPr>
        <w:t xml:space="preserve"> </w:t>
      </w:r>
      <w:r w:rsidR="00B00AD5" w:rsidRPr="00B00AD5">
        <w:rPr>
          <w:rFonts w:cs="Arial"/>
          <w:color w:val="237BBC"/>
          <w:sz w:val="28"/>
        </w:rPr>
        <w:t>Department of the Attorney-General and Justice</w:t>
      </w:r>
    </w:p>
    <w:p w14:paraId="35197C7A" w14:textId="189A132A" w:rsidR="009E4BD0" w:rsidRPr="00AC636D" w:rsidRDefault="0094363A" w:rsidP="00440EE6">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rPr>
          <w:rFonts w:cs="Arial"/>
          <w:color w:val="237BBC"/>
          <w:sz w:val="28"/>
        </w:rPr>
        <w:t xml:space="preserve">4 </w:t>
      </w:r>
      <w:r w:rsidR="00B00AD5">
        <w:rPr>
          <w:rFonts w:cs="Arial"/>
          <w:color w:val="237BBC"/>
          <w:sz w:val="28"/>
        </w:rPr>
        <w:t>February</w:t>
      </w:r>
      <w:r w:rsidR="00233A98">
        <w:rPr>
          <w:rFonts w:cs="Arial"/>
          <w:color w:val="237BBC"/>
          <w:sz w:val="28"/>
        </w:rPr>
        <w:t xml:space="preserve"> 202</w:t>
      </w:r>
      <w:r w:rsidR="00B00AD5">
        <w:rPr>
          <w:rFonts w:cs="Arial"/>
          <w:color w:val="237BBC"/>
          <w:sz w:val="28"/>
        </w:rPr>
        <w:t>2</w:t>
      </w:r>
    </w:p>
    <w:p w14:paraId="5CE35587" w14:textId="77777777" w:rsidR="00A25D23" w:rsidRDefault="000B5B68" w:rsidP="00C60343">
      <w:pPr>
        <w:pStyle w:val="TOC1"/>
      </w:pPr>
      <w:bookmarkStart w:id="0" w:name="_Toc209316062"/>
      <w:bookmarkEnd w:id="0"/>
      <w:r>
        <w:lastRenderedPageBreak/>
        <w:t>Contents</w:t>
      </w:r>
      <w:r w:rsidRPr="000465F1">
        <w:fldChar w:fldCharType="begin"/>
      </w:r>
      <w:r>
        <w:instrText xml:space="preserve"> TOC \o "1-3" \h \z \u </w:instrText>
      </w:r>
      <w:r w:rsidRPr="000465F1">
        <w:fldChar w:fldCharType="separate"/>
      </w:r>
    </w:p>
    <w:p w14:paraId="1854F117" w14:textId="0D782393" w:rsidR="00A25D23" w:rsidRDefault="00F31053">
      <w:pPr>
        <w:pStyle w:val="TOC1"/>
        <w:rPr>
          <w:rFonts w:asciiTheme="minorHAnsi" w:eastAsiaTheme="minorEastAsia" w:hAnsiTheme="minorHAnsi" w:cstheme="minorBidi"/>
          <w:b w:val="0"/>
          <w:sz w:val="22"/>
          <w:szCs w:val="22"/>
        </w:rPr>
      </w:pPr>
      <w:hyperlink w:anchor="_Toc89418775" w:history="1">
        <w:r w:rsidR="00A25D23" w:rsidRPr="00FD1F87">
          <w:rPr>
            <w:rStyle w:val="Hyperlink"/>
          </w:rPr>
          <w:t>1</w:t>
        </w:r>
        <w:r w:rsidR="00A25D23">
          <w:rPr>
            <w:rFonts w:asciiTheme="minorHAnsi" w:eastAsiaTheme="minorEastAsia" w:hAnsiTheme="minorHAnsi" w:cstheme="minorBidi"/>
            <w:b w:val="0"/>
            <w:sz w:val="22"/>
            <w:szCs w:val="22"/>
          </w:rPr>
          <w:tab/>
        </w:r>
        <w:r w:rsidR="00A25D23" w:rsidRPr="00FD1F87">
          <w:rPr>
            <w:rStyle w:val="Hyperlink"/>
          </w:rPr>
          <w:t>Introduction</w:t>
        </w:r>
        <w:r w:rsidR="00A25D23">
          <w:rPr>
            <w:webHidden/>
          </w:rPr>
          <w:tab/>
        </w:r>
        <w:r w:rsidR="00A25D23">
          <w:rPr>
            <w:webHidden/>
          </w:rPr>
          <w:fldChar w:fldCharType="begin"/>
        </w:r>
        <w:r w:rsidR="00A25D23">
          <w:rPr>
            <w:webHidden/>
          </w:rPr>
          <w:instrText xml:space="preserve"> PAGEREF _Toc89418775 \h </w:instrText>
        </w:r>
        <w:r w:rsidR="00A25D23">
          <w:rPr>
            <w:webHidden/>
          </w:rPr>
        </w:r>
        <w:r w:rsidR="00A25D23">
          <w:rPr>
            <w:webHidden/>
          </w:rPr>
          <w:fldChar w:fldCharType="separate"/>
        </w:r>
        <w:r w:rsidR="00FE4AFB">
          <w:rPr>
            <w:webHidden/>
          </w:rPr>
          <w:t>3</w:t>
        </w:r>
        <w:r w:rsidR="00A25D23">
          <w:rPr>
            <w:webHidden/>
          </w:rPr>
          <w:fldChar w:fldCharType="end"/>
        </w:r>
      </w:hyperlink>
    </w:p>
    <w:p w14:paraId="0DB1B90E" w14:textId="4A7DDF66" w:rsidR="00A25D23" w:rsidRDefault="00F31053">
      <w:pPr>
        <w:pStyle w:val="TOC1"/>
        <w:rPr>
          <w:rFonts w:asciiTheme="minorHAnsi" w:eastAsiaTheme="minorEastAsia" w:hAnsiTheme="minorHAnsi" w:cstheme="minorBidi"/>
          <w:b w:val="0"/>
          <w:sz w:val="22"/>
          <w:szCs w:val="22"/>
        </w:rPr>
      </w:pPr>
      <w:hyperlink w:anchor="_Toc89418776" w:history="1">
        <w:r w:rsidR="00A25D23" w:rsidRPr="00FD1F87">
          <w:rPr>
            <w:rStyle w:val="Hyperlink"/>
          </w:rPr>
          <w:t>2</w:t>
        </w:r>
        <w:r w:rsidR="00A25D23">
          <w:rPr>
            <w:rFonts w:asciiTheme="minorHAnsi" w:eastAsiaTheme="minorEastAsia" w:hAnsiTheme="minorHAnsi" w:cstheme="minorBidi"/>
            <w:b w:val="0"/>
            <w:sz w:val="22"/>
            <w:szCs w:val="22"/>
          </w:rPr>
          <w:tab/>
        </w:r>
        <w:r w:rsidR="00B41CE3">
          <w:rPr>
            <w:rStyle w:val="Hyperlink"/>
          </w:rPr>
          <w:t>The OPCAT Bill</w:t>
        </w:r>
        <w:r w:rsidR="00A25D23">
          <w:rPr>
            <w:webHidden/>
          </w:rPr>
          <w:tab/>
        </w:r>
        <w:r w:rsidR="0042761A">
          <w:rPr>
            <w:webHidden/>
          </w:rPr>
          <w:t>4</w:t>
        </w:r>
      </w:hyperlink>
    </w:p>
    <w:p w14:paraId="7614FC50" w14:textId="6C1C95B1" w:rsidR="00A25D23" w:rsidRDefault="00F31053">
      <w:pPr>
        <w:pStyle w:val="TOC1"/>
        <w:rPr>
          <w:rFonts w:asciiTheme="minorHAnsi" w:eastAsiaTheme="minorEastAsia" w:hAnsiTheme="minorHAnsi" w:cstheme="minorBidi"/>
          <w:b w:val="0"/>
          <w:sz w:val="22"/>
          <w:szCs w:val="22"/>
        </w:rPr>
      </w:pPr>
      <w:hyperlink w:anchor="_Toc89418777" w:history="1">
        <w:r w:rsidR="00A25D23" w:rsidRPr="00FD1F87">
          <w:rPr>
            <w:rStyle w:val="Hyperlink"/>
          </w:rPr>
          <w:t>3</w:t>
        </w:r>
        <w:r w:rsidR="00A25D23">
          <w:rPr>
            <w:rFonts w:asciiTheme="minorHAnsi" w:eastAsiaTheme="minorEastAsia" w:hAnsiTheme="minorHAnsi" w:cstheme="minorBidi"/>
            <w:b w:val="0"/>
            <w:sz w:val="22"/>
            <w:szCs w:val="22"/>
          </w:rPr>
          <w:tab/>
        </w:r>
        <w:r w:rsidR="00A25D23" w:rsidRPr="00FD1F87">
          <w:rPr>
            <w:rStyle w:val="Hyperlink"/>
          </w:rPr>
          <w:t>Recommendations</w:t>
        </w:r>
        <w:r w:rsidR="00A25D23">
          <w:rPr>
            <w:webHidden/>
          </w:rPr>
          <w:tab/>
        </w:r>
        <w:r w:rsidR="00FE37AC">
          <w:rPr>
            <w:webHidden/>
          </w:rPr>
          <w:t>8</w:t>
        </w:r>
      </w:hyperlink>
    </w:p>
    <w:p w14:paraId="3183A56E" w14:textId="2E621D84" w:rsidR="005C2DD9" w:rsidRDefault="000B5B68" w:rsidP="005C2DD9">
      <w:pPr>
        <w:pStyle w:val="Heading1"/>
        <w:numPr>
          <w:ilvl w:val="0"/>
          <w:numId w:val="0"/>
        </w:numPr>
        <w:ind w:left="851" w:hanging="851"/>
        <w:rPr>
          <w:b w:val="0"/>
          <w:bCs w:val="0"/>
        </w:rPr>
      </w:pPr>
      <w:r w:rsidRPr="000465F1">
        <w:fldChar w:fldCharType="end"/>
      </w:r>
      <w:bookmarkStart w:id="1" w:name="_Toc207761830"/>
      <w:bookmarkStart w:id="2" w:name="_Toc209578266"/>
      <w:bookmarkStart w:id="3" w:name="_Toc209941766"/>
      <w:r w:rsidR="005C2DD9">
        <w:br w:type="page"/>
      </w:r>
    </w:p>
    <w:p w14:paraId="7B7BD4D0" w14:textId="2028C5A1" w:rsidR="003724A9" w:rsidRDefault="007E40B3" w:rsidP="00A27ABE">
      <w:pPr>
        <w:pStyle w:val="Heading1"/>
      </w:pPr>
      <w:bookmarkStart w:id="4" w:name="_Toc89418775"/>
      <w:r>
        <w:lastRenderedPageBreak/>
        <w:t>Introduction</w:t>
      </w:r>
      <w:bookmarkEnd w:id="4"/>
    </w:p>
    <w:p w14:paraId="6DD150D3" w14:textId="5D1977B5" w:rsidR="004D0CB1" w:rsidRDefault="00AA3B06" w:rsidP="00097B13">
      <w:pPr>
        <w:pStyle w:val="ListNumber"/>
        <w:tabs>
          <w:tab w:val="clear" w:pos="360"/>
          <w:tab w:val="num" w:pos="720"/>
        </w:tabs>
        <w:ind w:left="720" w:hanging="357"/>
        <w:contextualSpacing w:val="0"/>
      </w:pPr>
      <w:r>
        <w:t xml:space="preserve">The Australian Human Rights Commission </w:t>
      </w:r>
      <w:r w:rsidR="00481F79">
        <w:t xml:space="preserve">welcomes the opportunity to </w:t>
      </w:r>
      <w:r>
        <w:t xml:space="preserve">make this </w:t>
      </w:r>
      <w:r w:rsidR="00042553">
        <w:t xml:space="preserve">submission to the </w:t>
      </w:r>
      <w:r w:rsidR="003320F0" w:rsidRPr="003320F0">
        <w:t>Northern Territory Department of the Attorney-General and Justice</w:t>
      </w:r>
      <w:r w:rsidR="003320F0">
        <w:t xml:space="preserve"> </w:t>
      </w:r>
      <w:r w:rsidR="00087202">
        <w:t>with respect to</w:t>
      </w:r>
      <w:r w:rsidR="00042553">
        <w:t xml:space="preserve"> its </w:t>
      </w:r>
      <w:r w:rsidR="007E709F" w:rsidRPr="007E709F">
        <w:t>consultation</w:t>
      </w:r>
      <w:r w:rsidR="002B3303">
        <w:t xml:space="preserve"> on</w:t>
      </w:r>
      <w:r w:rsidR="007E709F" w:rsidRPr="007E709F">
        <w:t xml:space="preserve"> </w:t>
      </w:r>
      <w:r w:rsidR="00087202">
        <w:t>the</w:t>
      </w:r>
      <w:r w:rsidR="007E709F" w:rsidRPr="007E709F">
        <w:t xml:space="preserve"> draft Monitoring of Places of Detention</w:t>
      </w:r>
      <w:r w:rsidR="00B0245B">
        <w:t xml:space="preserve"> </w:t>
      </w:r>
      <w:r w:rsidR="007E709F" w:rsidRPr="007E709F">
        <w:t xml:space="preserve">(Optional Protocol to the Convention </w:t>
      </w:r>
      <w:r w:rsidR="00B0245B" w:rsidRPr="007E709F">
        <w:t>Against</w:t>
      </w:r>
      <w:r w:rsidR="007E709F" w:rsidRPr="007E709F">
        <w:t xml:space="preserve"> Torture) Amendment Bill</w:t>
      </w:r>
      <w:r w:rsidR="00B0245B">
        <w:t xml:space="preserve"> </w:t>
      </w:r>
      <w:r w:rsidR="007E709F" w:rsidRPr="007E709F">
        <w:t>2022</w:t>
      </w:r>
      <w:r w:rsidR="00B0245B">
        <w:t xml:space="preserve"> (Bill).</w:t>
      </w:r>
      <w:r w:rsidR="00420BF6" w:rsidRPr="00420BF6">
        <w:t xml:space="preserve"> </w:t>
      </w:r>
    </w:p>
    <w:p w14:paraId="71DD471E" w14:textId="1FAF3762" w:rsidR="0081195B" w:rsidRDefault="009A1521" w:rsidP="00097B13">
      <w:pPr>
        <w:pStyle w:val="ListNumber"/>
        <w:tabs>
          <w:tab w:val="clear" w:pos="360"/>
          <w:tab w:val="num" w:pos="720"/>
        </w:tabs>
        <w:ind w:left="720" w:hanging="357"/>
        <w:contextualSpacing w:val="0"/>
      </w:pPr>
      <w:r>
        <w:t xml:space="preserve">In February 2017, the then Commonwealth Attorney-General invited the </w:t>
      </w:r>
      <w:r w:rsidR="0023257A">
        <w:t>Commission</w:t>
      </w:r>
      <w:r>
        <w:t xml:space="preserve"> to lead </w:t>
      </w:r>
      <w:r w:rsidR="00DB10E6">
        <w:t xml:space="preserve">a </w:t>
      </w:r>
      <w:r>
        <w:t xml:space="preserve">consultation on how Australia should implement </w:t>
      </w:r>
      <w:r w:rsidR="003D3EF7">
        <w:t xml:space="preserve">the </w:t>
      </w:r>
      <w:r w:rsidR="003D3EF7" w:rsidRPr="003D3EF7">
        <w:t>Optional Protocol to the Convention against Torture and Other Cruel, Inhuman or Degrading Treatment or Punishment (OPCAT)</w:t>
      </w:r>
      <w:r>
        <w:t xml:space="preserve">. </w:t>
      </w:r>
    </w:p>
    <w:p w14:paraId="69FEFAAE" w14:textId="7B9CC8BC" w:rsidR="00B41CE3" w:rsidRDefault="004D0CB1" w:rsidP="00097B13">
      <w:pPr>
        <w:pStyle w:val="ListNumber"/>
        <w:tabs>
          <w:tab w:val="clear" w:pos="360"/>
          <w:tab w:val="num" w:pos="720"/>
        </w:tabs>
        <w:ind w:left="720" w:hanging="357"/>
        <w:contextualSpacing w:val="0"/>
      </w:pPr>
      <w:r>
        <w:t>O</w:t>
      </w:r>
      <w:r w:rsidRPr="00830206">
        <w:t>n 29 June 2020</w:t>
      </w:r>
      <w:r>
        <w:t xml:space="preserve"> the Commission </w:t>
      </w:r>
      <w:r w:rsidRPr="00830206">
        <w:t xml:space="preserve">published </w:t>
      </w:r>
      <w:r w:rsidRPr="00DB3CFC">
        <w:rPr>
          <w:i/>
          <w:iCs/>
        </w:rPr>
        <w:t>Implementing OPCAT in Australia</w:t>
      </w:r>
      <w:r w:rsidR="0047179A">
        <w:t>.</w:t>
      </w:r>
      <w:r>
        <w:rPr>
          <w:rStyle w:val="EndnoteReference"/>
        </w:rPr>
        <w:endnoteReference w:id="1"/>
      </w:r>
      <w:r w:rsidRPr="00830206">
        <w:t xml:space="preserve"> This was the final </w:t>
      </w:r>
      <w:r w:rsidR="00055B84">
        <w:t>st</w:t>
      </w:r>
      <w:r w:rsidR="003C7A57">
        <w:t>ep</w:t>
      </w:r>
      <w:r w:rsidRPr="00830206">
        <w:t xml:space="preserve"> for the Commission’s OPCAT project, and followed extensive consultations conducted by the Commission in 2017 and 2018. The final report contained 17 recommendations as to how Australia should implement OPCAT</w:t>
      </w:r>
      <w:r>
        <w:t>.</w:t>
      </w:r>
      <w:r w:rsidR="0081195B" w:rsidRPr="0081195B">
        <w:t xml:space="preserve"> </w:t>
      </w:r>
    </w:p>
    <w:p w14:paraId="3D0FF3B7" w14:textId="1F527D77" w:rsidR="0081195B" w:rsidRDefault="0081195B" w:rsidP="00097B13">
      <w:pPr>
        <w:pStyle w:val="ListNumber"/>
        <w:tabs>
          <w:tab w:val="clear" w:pos="360"/>
          <w:tab w:val="num" w:pos="720"/>
        </w:tabs>
        <w:ind w:left="720" w:hanging="357"/>
        <w:contextualSpacing w:val="0"/>
      </w:pPr>
      <w:r>
        <w:t>Under OPCAT, State Parties agree to establish an independent National Preventive Mechanism (NPM) to conduct inspections of all places of detention and closed environments, and to also agree to international inspections of places of detention by the United Nation Subcommittee on the Prevention of Torture (</w:t>
      </w:r>
      <w:r w:rsidR="00C13C0F">
        <w:t xml:space="preserve">UN </w:t>
      </w:r>
      <w:r>
        <w:t xml:space="preserve">SPT). </w:t>
      </w:r>
    </w:p>
    <w:p w14:paraId="0E8A4BAE" w14:textId="041218A5" w:rsidR="0081195B" w:rsidRDefault="0081195B" w:rsidP="00097B13">
      <w:pPr>
        <w:pStyle w:val="ListNumber"/>
        <w:tabs>
          <w:tab w:val="clear" w:pos="360"/>
          <w:tab w:val="num" w:pos="720"/>
        </w:tabs>
        <w:ind w:left="720" w:hanging="357"/>
        <w:contextualSpacing w:val="0"/>
      </w:pPr>
      <w:r>
        <w:t xml:space="preserve">Australia ratified OPCAT in 2017 and has chosen to adopt a multiple-body monitoring system, with each state and territory asked to designate their own NPM within their jurisdictions.  </w:t>
      </w:r>
    </w:p>
    <w:p w14:paraId="428EA90F" w14:textId="10582AE3" w:rsidR="00B41CE3" w:rsidRDefault="0081195B" w:rsidP="00097B13">
      <w:pPr>
        <w:pStyle w:val="ListNumber"/>
        <w:tabs>
          <w:tab w:val="clear" w:pos="360"/>
          <w:tab w:val="num" w:pos="720"/>
        </w:tabs>
        <w:ind w:left="720" w:hanging="357"/>
        <w:contextualSpacing w:val="0"/>
      </w:pPr>
      <w:r>
        <w:t>At the time of ratification, Australia made a declaration under Article 24 of OPCAT delaying the obligation to establish an NPM for three years. This extension</w:t>
      </w:r>
      <w:r w:rsidR="004A0A45">
        <w:t xml:space="preserve"> formally</w:t>
      </w:r>
      <w:r>
        <w:t xml:space="preserve"> ended on 20 January 2022.  </w:t>
      </w:r>
    </w:p>
    <w:p w14:paraId="34B5ADDC" w14:textId="01CD8E9E" w:rsidR="009519FC" w:rsidRDefault="009519FC" w:rsidP="00097B13">
      <w:pPr>
        <w:pStyle w:val="ListNumber"/>
        <w:tabs>
          <w:tab w:val="clear" w:pos="360"/>
          <w:tab w:val="num" w:pos="720"/>
        </w:tabs>
        <w:ind w:left="720" w:hanging="357"/>
        <w:contextualSpacing w:val="0"/>
      </w:pPr>
      <w:r>
        <w:t xml:space="preserve">In 2018, the Northern Territory Government passed the </w:t>
      </w:r>
      <w:r w:rsidRPr="009519FC">
        <w:rPr>
          <w:i/>
          <w:iCs/>
        </w:rPr>
        <w:t>Monitoring of Places of Detention (Optional Protocol to the Convention Against Torture) Act 2018</w:t>
      </w:r>
      <w:r>
        <w:t xml:space="preserve"> establishing the necessary legislative arrangements for the </w:t>
      </w:r>
      <w:r w:rsidR="00C13C0F">
        <w:t xml:space="preserve">UN </w:t>
      </w:r>
      <w:r>
        <w:t>SPT to inspect places of detention in the Northern Territory. This Act was based on national model legislation previously drafted by the Parliamentary Counsel’s Committee and developed with the collaboration of all Australian States and Territories.</w:t>
      </w:r>
      <w:r>
        <w:rPr>
          <w:rStyle w:val="EndnoteReference"/>
        </w:rPr>
        <w:endnoteReference w:id="2"/>
      </w:r>
    </w:p>
    <w:p w14:paraId="38DB922F" w14:textId="3A790990" w:rsidR="009519FC" w:rsidRDefault="009519FC" w:rsidP="00097B13">
      <w:pPr>
        <w:pStyle w:val="ListNumber"/>
        <w:tabs>
          <w:tab w:val="clear" w:pos="360"/>
          <w:tab w:val="num" w:pos="717"/>
        </w:tabs>
        <w:ind w:left="717" w:hanging="357"/>
        <w:contextualSpacing w:val="0"/>
      </w:pPr>
      <w:r>
        <w:t xml:space="preserve">In April 2021, the Northern Territory Government also nominated the Northern Territory Ombudsman as its interim NPM. With regard </w:t>
      </w:r>
      <w:r w:rsidR="002A72BA">
        <w:t xml:space="preserve">to </w:t>
      </w:r>
      <w:r>
        <w:t>its role</w:t>
      </w:r>
      <w:r w:rsidR="002A72BA">
        <w:t>,</w:t>
      </w:r>
      <w:r>
        <w:t xml:space="preserve"> the Commonwealth Ombudsman has remarked: </w:t>
      </w:r>
      <w:r w:rsidR="00931C92">
        <w:t>‘</w:t>
      </w:r>
      <w:r>
        <w:t xml:space="preserve">As interim coordinating NPM, their focus will be on considering amendments to existing legislation </w:t>
      </w:r>
      <w:r>
        <w:lastRenderedPageBreak/>
        <w:t>and engaging with existing oversight bodies and relevant stakeholders to progress NPM implementation</w:t>
      </w:r>
      <w:r w:rsidR="00931C92">
        <w:t>’</w:t>
      </w:r>
      <w:r>
        <w:t>.</w:t>
      </w:r>
      <w:r>
        <w:rPr>
          <w:rStyle w:val="EndnoteReference"/>
        </w:rPr>
        <w:endnoteReference w:id="3"/>
      </w:r>
    </w:p>
    <w:p w14:paraId="7B9455CB" w14:textId="3F393D28" w:rsidR="00420BF6" w:rsidRDefault="009519FC" w:rsidP="00097B13">
      <w:pPr>
        <w:pStyle w:val="ListNumber"/>
        <w:tabs>
          <w:tab w:val="clear" w:pos="360"/>
          <w:tab w:val="num" w:pos="717"/>
        </w:tabs>
        <w:ind w:left="717" w:hanging="357"/>
        <w:contextualSpacing w:val="0"/>
      </w:pPr>
      <w:r>
        <w:t xml:space="preserve">The draft Bill seeks to augment the </w:t>
      </w:r>
      <w:r w:rsidRPr="00B56D2B">
        <w:rPr>
          <w:i/>
          <w:iCs/>
        </w:rPr>
        <w:t>Monitoring of Places of Detention (Optional Protocol to the Convention Against Torture) Act 2018</w:t>
      </w:r>
      <w:r w:rsidRPr="00DB3CFC">
        <w:t>,</w:t>
      </w:r>
      <w:r>
        <w:rPr>
          <w:i/>
          <w:iCs/>
        </w:rPr>
        <w:t xml:space="preserve"> </w:t>
      </w:r>
      <w:r>
        <w:t xml:space="preserve">with the intention of establishing NPMs for places of detention within the Northern Territory. </w:t>
      </w:r>
    </w:p>
    <w:bookmarkEnd w:id="1"/>
    <w:bookmarkEnd w:id="2"/>
    <w:bookmarkEnd w:id="3"/>
    <w:p w14:paraId="58A01F5B" w14:textId="614849E1" w:rsidR="00510390" w:rsidRDefault="00B41CE3" w:rsidP="00A27ABE">
      <w:pPr>
        <w:pStyle w:val="Heading1"/>
      </w:pPr>
      <w:r>
        <w:t>The OPCAT Bill</w:t>
      </w:r>
    </w:p>
    <w:p w14:paraId="1878DD00" w14:textId="5FF16C08" w:rsidR="00C22CA0" w:rsidRDefault="00C22CA0" w:rsidP="00097B13">
      <w:pPr>
        <w:pStyle w:val="ListNumber"/>
        <w:tabs>
          <w:tab w:val="clear" w:pos="360"/>
          <w:tab w:val="num" w:pos="717"/>
        </w:tabs>
        <w:ind w:left="714" w:hanging="357"/>
        <w:contextualSpacing w:val="0"/>
      </w:pPr>
      <w:r w:rsidRPr="00C22CA0">
        <w:t>The Commission strongly supports the introduction</w:t>
      </w:r>
      <w:r>
        <w:t xml:space="preserve"> of</w:t>
      </w:r>
      <w:r w:rsidR="00112D56">
        <w:t xml:space="preserve"> dedicated</w:t>
      </w:r>
      <w:r>
        <w:t xml:space="preserve"> legislation </w:t>
      </w:r>
      <w:r w:rsidR="005034DC">
        <w:t xml:space="preserve">that gives full effect to the key provisions of OPCAT. </w:t>
      </w:r>
      <w:r w:rsidR="008D3D0E">
        <w:t xml:space="preserve">Legislation should provide </w:t>
      </w:r>
      <w:r w:rsidR="005034DC" w:rsidRPr="005034DC">
        <w:t>unfettered powers of access to all places of detention by NPMs; provide a clear foundation for visits</w:t>
      </w:r>
      <w:r w:rsidR="00DC6FEC">
        <w:t>;</w:t>
      </w:r>
      <w:r w:rsidR="00005751">
        <w:t xml:space="preserve"> </w:t>
      </w:r>
      <w:r w:rsidR="005034DC" w:rsidRPr="005034DC">
        <w:t xml:space="preserve">ensure access to facilities and information; and secure the continued, </w:t>
      </w:r>
      <w:r w:rsidR="001C2728" w:rsidRPr="005034DC">
        <w:t>long-term,</w:t>
      </w:r>
      <w:r w:rsidR="005034DC" w:rsidRPr="005034DC">
        <w:t xml:space="preserve"> and effective operation of OPCAT.</w:t>
      </w:r>
      <w:r w:rsidR="008D3D0E">
        <w:rPr>
          <w:rStyle w:val="EndnoteReference"/>
        </w:rPr>
        <w:endnoteReference w:id="4"/>
      </w:r>
    </w:p>
    <w:p w14:paraId="16BAA464" w14:textId="6CD4FF34" w:rsidR="009B1121" w:rsidRDefault="009B1121" w:rsidP="00097B13">
      <w:pPr>
        <w:pStyle w:val="ListNumber"/>
        <w:tabs>
          <w:tab w:val="clear" w:pos="360"/>
          <w:tab w:val="num" w:pos="717"/>
        </w:tabs>
        <w:ind w:left="714" w:hanging="357"/>
        <w:contextualSpacing w:val="0"/>
      </w:pPr>
      <w:r>
        <w:t>M</w:t>
      </w:r>
      <w:r w:rsidR="00263405">
        <w:t>any</w:t>
      </w:r>
      <w:r>
        <w:t xml:space="preserve"> provisions of the Bill are consistent with the objective </w:t>
      </w:r>
      <w:r w:rsidR="00A37814">
        <w:t>of OPCAT</w:t>
      </w:r>
      <w:r w:rsidR="004B6299">
        <w:t xml:space="preserve">. </w:t>
      </w:r>
      <w:r w:rsidR="00D24F64">
        <w:t>The Bill</w:t>
      </w:r>
      <w:r w:rsidR="00C02C3A">
        <w:t xml:space="preserve"> </w:t>
      </w:r>
      <w:r w:rsidR="00BF1542">
        <w:t>requires</w:t>
      </w:r>
      <w:r w:rsidR="00C02C3A">
        <w:t xml:space="preserve"> the NPM to </w:t>
      </w:r>
      <w:r w:rsidR="00C02C3A" w:rsidRPr="00C02C3A">
        <w:t>regularly examine the treatment of people deprived of their liberty</w:t>
      </w:r>
      <w:r w:rsidR="00DE4D2D">
        <w:t>.</w:t>
      </w:r>
      <w:r w:rsidR="00BF1542">
        <w:rPr>
          <w:rStyle w:val="EndnoteReference"/>
        </w:rPr>
        <w:endnoteReference w:id="5"/>
      </w:r>
      <w:r w:rsidR="00634C6A">
        <w:t xml:space="preserve"> The Bill e</w:t>
      </w:r>
      <w:r w:rsidR="00AF028B">
        <w:t>nables</w:t>
      </w:r>
      <w:r w:rsidR="00634C6A">
        <w:t xml:space="preserve"> the NPM to </w:t>
      </w:r>
      <w:r w:rsidR="00634C6A" w:rsidRPr="00634C6A">
        <w:t>make unannounced visits</w:t>
      </w:r>
      <w:r w:rsidR="00CB56AC">
        <w:t xml:space="preserve">, </w:t>
      </w:r>
      <w:r w:rsidR="00AF028B">
        <w:t>offer</w:t>
      </w:r>
      <w:r w:rsidR="00CB56AC" w:rsidRPr="00CB56AC">
        <w:t xml:space="preserve"> recommendations</w:t>
      </w:r>
      <w:r w:rsidR="00CB56AC">
        <w:t xml:space="preserve"> </w:t>
      </w:r>
      <w:r w:rsidR="00CB56AC" w:rsidRPr="00CB56AC">
        <w:t>to improve the treatment of people deprived of their liberty</w:t>
      </w:r>
      <w:r w:rsidR="00CB56AC">
        <w:t xml:space="preserve"> and </w:t>
      </w:r>
      <w:r w:rsidR="00C8148B" w:rsidRPr="00C8148B">
        <w:t>conduct private interviews with detainees and any person they wish to interview</w:t>
      </w:r>
      <w:r w:rsidR="00C8148B">
        <w:t>.</w:t>
      </w:r>
      <w:r w:rsidR="00C8148B">
        <w:rPr>
          <w:rStyle w:val="EndnoteReference"/>
        </w:rPr>
        <w:endnoteReference w:id="6"/>
      </w:r>
    </w:p>
    <w:p w14:paraId="7A145ED8" w14:textId="45905449" w:rsidR="002309AA" w:rsidRDefault="00986B81" w:rsidP="00097B13">
      <w:pPr>
        <w:pStyle w:val="ListNumber"/>
        <w:tabs>
          <w:tab w:val="clear" w:pos="360"/>
          <w:tab w:val="num" w:pos="717"/>
        </w:tabs>
        <w:ind w:left="714" w:hanging="357"/>
        <w:contextualSpacing w:val="0"/>
      </w:pPr>
      <w:r>
        <w:t>The Bill also provides for the outward</w:t>
      </w:r>
      <w:r w:rsidR="007A3843">
        <w:t>-</w:t>
      </w:r>
      <w:r>
        <w:t>facing functions of an NPM</w:t>
      </w:r>
      <w:r w:rsidR="006A7BF2">
        <w:t>,</w:t>
      </w:r>
      <w:r>
        <w:t xml:space="preserve"> including the ability to </w:t>
      </w:r>
      <w:r w:rsidR="0032231F">
        <w:t>make proposals</w:t>
      </w:r>
      <w:r>
        <w:t xml:space="preserve"> on</w:t>
      </w:r>
      <w:r w:rsidR="0032231F">
        <w:t xml:space="preserve"> existing and draft</w:t>
      </w:r>
      <w:r>
        <w:t xml:space="preserve"> legislation and policy</w:t>
      </w:r>
      <w:r w:rsidR="006A7BF2">
        <w:t>;</w:t>
      </w:r>
      <w:r w:rsidR="00117161">
        <w:t xml:space="preserve"> </w:t>
      </w:r>
      <w:r w:rsidR="003328CA">
        <w:t>and</w:t>
      </w:r>
      <w:r w:rsidR="0032231F">
        <w:t xml:space="preserve"> the</w:t>
      </w:r>
      <w:r w:rsidR="00095C25">
        <w:t xml:space="preserve"> </w:t>
      </w:r>
      <w:r w:rsidR="005F0CBB">
        <w:t>ability to regularly</w:t>
      </w:r>
      <w:r w:rsidR="003328CA">
        <w:t xml:space="preserve"> </w:t>
      </w:r>
      <w:r w:rsidR="008A3EFF">
        <w:t>publish reports</w:t>
      </w:r>
      <w:r w:rsidR="00117161">
        <w:t>.</w:t>
      </w:r>
      <w:r w:rsidR="00117161">
        <w:rPr>
          <w:rStyle w:val="EndnoteReference"/>
        </w:rPr>
        <w:endnoteReference w:id="7"/>
      </w:r>
    </w:p>
    <w:p w14:paraId="6901BDD0" w14:textId="3A532A53" w:rsidR="00474058" w:rsidRDefault="002A3CBD" w:rsidP="00097B13">
      <w:pPr>
        <w:pStyle w:val="ListNumber"/>
        <w:tabs>
          <w:tab w:val="clear" w:pos="360"/>
          <w:tab w:val="num" w:pos="717"/>
        </w:tabs>
        <w:ind w:left="714" w:hanging="357"/>
        <w:contextualSpacing w:val="0"/>
      </w:pPr>
      <w:r>
        <w:t>The Bill safeguards the</w:t>
      </w:r>
      <w:r w:rsidR="0091311F">
        <w:t xml:space="preserve"> functional</w:t>
      </w:r>
      <w:r>
        <w:t xml:space="preserve"> independence of the NPM</w:t>
      </w:r>
      <w:r w:rsidR="0091311F">
        <w:t xml:space="preserve"> by ensuring the NPM is not subject to the direction</w:t>
      </w:r>
      <w:r w:rsidR="00AE6D89">
        <w:t xml:space="preserve"> </w:t>
      </w:r>
      <w:r w:rsidR="0091311F">
        <w:t>o</w:t>
      </w:r>
      <w:r w:rsidR="003054E2">
        <w:t>r control</w:t>
      </w:r>
      <w:r w:rsidR="0091311F">
        <w:t xml:space="preserve"> a Minister</w:t>
      </w:r>
      <w:r w:rsidR="003054E2">
        <w:t>, as well as introducing eligibility and conflict of interest criteria for NPM</w:t>
      </w:r>
      <w:r w:rsidR="00886048">
        <w:t xml:space="preserve"> staff.</w:t>
      </w:r>
      <w:r w:rsidR="00886048">
        <w:rPr>
          <w:rStyle w:val="EndnoteReference"/>
        </w:rPr>
        <w:endnoteReference w:id="8"/>
      </w:r>
      <w:r w:rsidR="00944487">
        <w:t xml:space="preserve"> </w:t>
      </w:r>
      <w:r w:rsidR="0003240C" w:rsidRPr="00C01004">
        <w:t>The Bill</w:t>
      </w:r>
      <w:r w:rsidR="0003240C">
        <w:t xml:space="preserve"> </w:t>
      </w:r>
      <w:r w:rsidR="00944487">
        <w:t xml:space="preserve">additionally </w:t>
      </w:r>
      <w:r w:rsidR="0003240C" w:rsidRPr="00C01004">
        <w:t>prohibits</w:t>
      </w:r>
      <w:r w:rsidR="0003240C">
        <w:t xml:space="preserve"> </w:t>
      </w:r>
      <w:r w:rsidR="0003240C" w:rsidRPr="00FB428D">
        <w:t xml:space="preserve">reprisal or sanction </w:t>
      </w:r>
      <w:r w:rsidR="0003240C">
        <w:t xml:space="preserve">against </w:t>
      </w:r>
      <w:r w:rsidR="0003240C" w:rsidRPr="00FB428D">
        <w:t xml:space="preserve">anyone assisting </w:t>
      </w:r>
      <w:r w:rsidR="0003240C">
        <w:t>the NPM</w:t>
      </w:r>
      <w:r w:rsidR="0003240C" w:rsidRPr="00FB428D">
        <w:t xml:space="preserve"> in its functions</w:t>
      </w:r>
      <w:r w:rsidR="00B91873">
        <w:t>,</w:t>
      </w:r>
      <w:r w:rsidR="0003240C">
        <w:t xml:space="preserve"> through the </w:t>
      </w:r>
      <w:r w:rsidR="006A7BF2">
        <w:t>inclusion</w:t>
      </w:r>
      <w:r w:rsidR="0003240C">
        <w:t xml:space="preserve"> of protection and offence clauses.</w:t>
      </w:r>
      <w:r w:rsidR="0003240C">
        <w:rPr>
          <w:rStyle w:val="EndnoteReference"/>
        </w:rPr>
        <w:endnoteReference w:id="9"/>
      </w:r>
    </w:p>
    <w:p w14:paraId="272A43AD" w14:textId="1AFECEA1" w:rsidR="001F2F68" w:rsidRDefault="00E948B2" w:rsidP="00097B13">
      <w:pPr>
        <w:pStyle w:val="ListNumber"/>
        <w:tabs>
          <w:tab w:val="clear" w:pos="360"/>
          <w:tab w:val="num" w:pos="717"/>
        </w:tabs>
        <w:ind w:left="714" w:hanging="357"/>
        <w:contextualSpacing w:val="0"/>
      </w:pPr>
      <w:r>
        <w:t xml:space="preserve">The Commission </w:t>
      </w:r>
      <w:r w:rsidR="001806AD">
        <w:t xml:space="preserve">recognises that </w:t>
      </w:r>
      <w:r w:rsidR="001F2F68">
        <w:t>Australia’s diffuse NPM model will rely on</w:t>
      </w:r>
      <w:r w:rsidR="001806AD">
        <w:t xml:space="preserve"> </w:t>
      </w:r>
      <w:r w:rsidR="001F2F68">
        <w:t>good coordination between the various bodies</w:t>
      </w:r>
      <w:r w:rsidR="001806AD">
        <w:t xml:space="preserve"> </w:t>
      </w:r>
      <w:r w:rsidR="001F2F68">
        <w:t>performing the NPM function</w:t>
      </w:r>
      <w:r w:rsidR="001806AD">
        <w:t>.</w:t>
      </w:r>
      <w:r w:rsidR="001806AD">
        <w:rPr>
          <w:rStyle w:val="EndnoteReference"/>
        </w:rPr>
        <w:endnoteReference w:id="10"/>
      </w:r>
      <w:r w:rsidR="00AD6782">
        <w:t xml:space="preserve"> The Bill </w:t>
      </w:r>
      <w:r w:rsidR="00125E76">
        <w:t xml:space="preserve">provides </w:t>
      </w:r>
      <w:r w:rsidR="006A7BF2">
        <w:t>for</w:t>
      </w:r>
      <w:r w:rsidR="00AD6782">
        <w:t xml:space="preserve"> </w:t>
      </w:r>
      <w:r w:rsidR="00E838E0">
        <w:t>coordination through the designation of a Chief NPM and</w:t>
      </w:r>
      <w:r w:rsidR="00D22EE6">
        <w:t xml:space="preserve"> encourages</w:t>
      </w:r>
      <w:r w:rsidR="00AD6782">
        <w:t xml:space="preserve"> </w:t>
      </w:r>
      <w:r w:rsidR="00474058">
        <w:t>cooperation between the N</w:t>
      </w:r>
      <w:r w:rsidR="0075418E">
        <w:t>orthern Territory</w:t>
      </w:r>
      <w:r w:rsidR="00474058">
        <w:t xml:space="preserve"> NPMs including through the ability to share staff, make joint reports</w:t>
      </w:r>
      <w:r w:rsidR="007C67C1">
        <w:t xml:space="preserve">, </w:t>
      </w:r>
      <w:r w:rsidR="00474058">
        <w:t xml:space="preserve">share </w:t>
      </w:r>
      <w:r w:rsidR="00DB181A">
        <w:t>information,</w:t>
      </w:r>
      <w:r w:rsidR="007C67C1">
        <w:t xml:space="preserve"> and cooperate with other oversight bodies</w:t>
      </w:r>
      <w:r w:rsidR="00DB181A">
        <w:t xml:space="preserve"> </w:t>
      </w:r>
      <w:r w:rsidR="007C67C1">
        <w:t xml:space="preserve">and the </w:t>
      </w:r>
      <w:r w:rsidR="00C13C0F">
        <w:t xml:space="preserve">UN </w:t>
      </w:r>
      <w:r w:rsidR="007C67C1">
        <w:t>SPT.</w:t>
      </w:r>
    </w:p>
    <w:p w14:paraId="776F4367" w14:textId="317FD7BE" w:rsidR="002B6A35" w:rsidRDefault="006937F7" w:rsidP="00097B13">
      <w:pPr>
        <w:pStyle w:val="ListNumber"/>
        <w:tabs>
          <w:tab w:val="clear" w:pos="360"/>
          <w:tab w:val="num" w:pos="717"/>
        </w:tabs>
        <w:ind w:left="714" w:hanging="357"/>
        <w:contextualSpacing w:val="0"/>
      </w:pPr>
      <w:r>
        <w:t xml:space="preserve">The Commission endorses these elements of the Bill. </w:t>
      </w:r>
      <w:r w:rsidR="002D1FB7" w:rsidRPr="002D1FB7">
        <w:t xml:space="preserve">However, the Commission </w:t>
      </w:r>
      <w:r w:rsidR="00E23DD3">
        <w:t>considers</w:t>
      </w:r>
      <w:r w:rsidR="002D1FB7" w:rsidRPr="002D1FB7">
        <w:t xml:space="preserve"> that, in other respects, the Bill </w:t>
      </w:r>
      <w:r w:rsidR="002D1FB7">
        <w:t>could be strengthened.</w:t>
      </w:r>
    </w:p>
    <w:p w14:paraId="29D5AFA7" w14:textId="7B7ACD36" w:rsidR="00D22EE6" w:rsidRDefault="002B6A35" w:rsidP="00097B13">
      <w:pPr>
        <w:pStyle w:val="ListNumber"/>
        <w:tabs>
          <w:tab w:val="clear" w:pos="360"/>
          <w:tab w:val="num" w:pos="717"/>
        </w:tabs>
        <w:ind w:left="714" w:hanging="357"/>
        <w:contextualSpacing w:val="0"/>
      </w:pPr>
      <w:r>
        <w:lastRenderedPageBreak/>
        <w:t xml:space="preserve">The Commission’s </w:t>
      </w:r>
      <w:r w:rsidR="00E23DD3">
        <w:t xml:space="preserve">recommended amendments to </w:t>
      </w:r>
      <w:r>
        <w:t>the Bill are as follows.</w:t>
      </w:r>
    </w:p>
    <w:p w14:paraId="6E83A4B7" w14:textId="77D926E0" w:rsidR="008713D7" w:rsidRDefault="002B6A35" w:rsidP="00097B13">
      <w:pPr>
        <w:pStyle w:val="ListNumber"/>
        <w:tabs>
          <w:tab w:val="clear" w:pos="360"/>
          <w:tab w:val="num" w:pos="717"/>
        </w:tabs>
        <w:ind w:left="714" w:hanging="357"/>
        <w:contextualSpacing w:val="0"/>
      </w:pPr>
      <w:r w:rsidRPr="00D22EE6">
        <w:rPr>
          <w:b/>
          <w:bCs/>
        </w:rPr>
        <w:t>First</w:t>
      </w:r>
      <w:r>
        <w:t xml:space="preserve">, </w:t>
      </w:r>
      <w:r w:rsidR="000E5EB9">
        <w:t>the Bill currently requires the NPM to ‘</w:t>
      </w:r>
      <w:r w:rsidR="000E5EB9" w:rsidRPr="00EE2C65">
        <w:t>report on its activities</w:t>
      </w:r>
      <w:r w:rsidR="000E5EB9">
        <w:t>’</w:t>
      </w:r>
      <w:r w:rsidR="00B91873">
        <w:t>,</w:t>
      </w:r>
      <w:r w:rsidR="000E5EB9">
        <w:t xml:space="preserve"> but does not offer guidance on the content of these reports. </w:t>
      </w:r>
      <w:r w:rsidR="00C1147B" w:rsidRPr="00C1147B">
        <w:t xml:space="preserve">The Commission considers all OPCAT reporting should adopt a human rights framework, which requires, at a base level, consideration of whether NPM activities and outcomes have </w:t>
      </w:r>
      <w:r w:rsidR="00125E76">
        <w:t xml:space="preserve">resulted in </w:t>
      </w:r>
      <w:r w:rsidR="00C1147B" w:rsidRPr="00C1147B">
        <w:t xml:space="preserve">better </w:t>
      </w:r>
      <w:r w:rsidR="000C6E58" w:rsidRPr="00C1147B">
        <w:t>protect</w:t>
      </w:r>
      <w:r w:rsidR="000C6E58">
        <w:t>ion of</w:t>
      </w:r>
      <w:r w:rsidR="000C6E58" w:rsidRPr="00C1147B">
        <w:t xml:space="preserve"> </w:t>
      </w:r>
      <w:r w:rsidR="00C1147B" w:rsidRPr="00C1147B">
        <w:t>human rights in places of detention</w:t>
      </w:r>
      <w:r w:rsidR="00C1147B">
        <w:t>.</w:t>
      </w:r>
      <w:r w:rsidR="00BD3439">
        <w:t xml:space="preserve"> </w:t>
      </w:r>
      <w:r w:rsidR="008E2EE8">
        <w:t>The Commission</w:t>
      </w:r>
      <w:r w:rsidR="008B6754">
        <w:t xml:space="preserve"> therefore</w:t>
      </w:r>
      <w:r w:rsidR="008E2EE8">
        <w:t xml:space="preserve"> recommends </w:t>
      </w:r>
      <w:r w:rsidR="00874A3D">
        <w:t>NPMs report</w:t>
      </w:r>
      <w:r w:rsidR="008E2EE8">
        <w:t xml:space="preserve"> on</w:t>
      </w:r>
      <w:r w:rsidR="000C6E58">
        <w:t>:</w:t>
      </w:r>
      <w:r w:rsidR="008E2EE8">
        <w:t xml:space="preserve"> the extent to which government</w:t>
      </w:r>
      <w:r w:rsidR="00874A3D">
        <w:t xml:space="preserve">s </w:t>
      </w:r>
      <w:r w:rsidR="008E2EE8">
        <w:t xml:space="preserve">and </w:t>
      </w:r>
      <w:bookmarkStart w:id="5" w:name="_Hlk94615822"/>
      <w:r w:rsidR="008E2EE8">
        <w:t>relevant authorities</w:t>
      </w:r>
      <w:r w:rsidR="000F7CB8">
        <w:t xml:space="preserve"> are protecting detainee human rights</w:t>
      </w:r>
      <w:r w:rsidR="0094363A">
        <w:t>;</w:t>
      </w:r>
      <w:r w:rsidR="000F7CB8">
        <w:t xml:space="preserve"> whether law, policy and procedures </w:t>
      </w:r>
      <w:r w:rsidR="000F7CB8" w:rsidRPr="000F7CB8">
        <w:t>reflect best practice standards</w:t>
      </w:r>
      <w:r w:rsidR="000C6E58">
        <w:t>;</w:t>
      </w:r>
      <w:r w:rsidR="000F7CB8">
        <w:t xml:space="preserve"> and w</w:t>
      </w:r>
      <w:r w:rsidR="0094363A">
        <w:t>hether recommendations made by the NPM are being implemented</w:t>
      </w:r>
      <w:bookmarkEnd w:id="5"/>
      <w:r w:rsidR="008B6754">
        <w:t>.</w:t>
      </w:r>
      <w:r w:rsidR="00AD6E12">
        <w:rPr>
          <w:rStyle w:val="EndnoteReference"/>
        </w:rPr>
        <w:endnoteReference w:id="11"/>
      </w:r>
    </w:p>
    <w:p w14:paraId="16F31DAB" w14:textId="18FCA2AD" w:rsidR="00465819" w:rsidRDefault="00095949" w:rsidP="00097B13">
      <w:pPr>
        <w:pStyle w:val="ListNumber"/>
        <w:tabs>
          <w:tab w:val="clear" w:pos="360"/>
          <w:tab w:val="num" w:pos="717"/>
        </w:tabs>
        <w:ind w:left="714" w:hanging="357"/>
        <w:contextualSpacing w:val="0"/>
      </w:pPr>
      <w:r w:rsidRPr="008713D7">
        <w:rPr>
          <w:b/>
          <w:bCs/>
        </w:rPr>
        <w:t>Secondly</w:t>
      </w:r>
      <w:r>
        <w:t xml:space="preserve">, </w:t>
      </w:r>
      <w:r w:rsidR="00602209">
        <w:t xml:space="preserve">the </w:t>
      </w:r>
      <w:r w:rsidR="007D2470">
        <w:t xml:space="preserve">Bill </w:t>
      </w:r>
      <w:r w:rsidR="00D5726B">
        <w:t>requires the Minister</w:t>
      </w:r>
      <w:r w:rsidR="00D82413">
        <w:t xml:space="preserve"> to</w:t>
      </w:r>
      <w:r w:rsidR="00D5726B">
        <w:t xml:space="preserve"> respond to any recommendation</w:t>
      </w:r>
      <w:r w:rsidR="00841463">
        <w:t>s</w:t>
      </w:r>
      <w:r w:rsidR="00D5726B">
        <w:t xml:space="preserve"> made</w:t>
      </w:r>
      <w:r w:rsidR="004D6305">
        <w:t xml:space="preserve"> by the NPM</w:t>
      </w:r>
      <w:r w:rsidR="00B84FB7">
        <w:t xml:space="preserve"> in its reports</w:t>
      </w:r>
      <w:r>
        <w:t>.</w:t>
      </w:r>
      <w:r w:rsidR="008528CB">
        <w:t xml:space="preserve"> </w:t>
      </w:r>
      <w:r w:rsidR="008713D7">
        <w:t>The</w:t>
      </w:r>
      <w:r w:rsidR="008528CB">
        <w:t xml:space="preserve"> Bill also affords the NPM the ability to </w:t>
      </w:r>
      <w:r w:rsidR="007B5F0C">
        <w:t>request that</w:t>
      </w:r>
      <w:r w:rsidR="008528CB">
        <w:t xml:space="preserve"> a response </w:t>
      </w:r>
      <w:r w:rsidR="009A23C5">
        <w:t xml:space="preserve">to </w:t>
      </w:r>
      <w:r w:rsidR="007B5F0C">
        <w:t xml:space="preserve">its </w:t>
      </w:r>
      <w:r w:rsidR="008528CB">
        <w:t xml:space="preserve">recommendations </w:t>
      </w:r>
      <w:r w:rsidR="007B5F0C">
        <w:t xml:space="preserve">be provided by </w:t>
      </w:r>
      <w:r w:rsidR="008528CB">
        <w:t>an agency Chief Executive Officer</w:t>
      </w:r>
      <w:r w:rsidR="007B5F0C">
        <w:t xml:space="preserve"> within a specified time</w:t>
      </w:r>
      <w:r w:rsidR="003F7044">
        <w:t>.</w:t>
      </w:r>
      <w:r>
        <w:t xml:space="preserve"> </w:t>
      </w:r>
      <w:r w:rsidR="003F7044">
        <w:t>There</w:t>
      </w:r>
      <w:r w:rsidR="00841463">
        <w:t xml:space="preserve"> is</w:t>
      </w:r>
      <w:r w:rsidR="003D2C20">
        <w:t>,</w:t>
      </w:r>
      <w:r w:rsidR="003F7044">
        <w:t xml:space="preserve"> however</w:t>
      </w:r>
      <w:r w:rsidR="003D2C20">
        <w:t>,</w:t>
      </w:r>
      <w:r w:rsidR="00841463">
        <w:t xml:space="preserve"> no requirement for the response</w:t>
      </w:r>
      <w:r w:rsidR="00D63B8E">
        <w:t xml:space="preserve"> of either the Chief Executive Officer or Minister</w:t>
      </w:r>
      <w:r w:rsidR="00383805">
        <w:t xml:space="preserve"> to be tabled</w:t>
      </w:r>
      <w:r w:rsidR="003F7044">
        <w:t xml:space="preserve"> </w:t>
      </w:r>
      <w:r w:rsidR="00383805">
        <w:t>in the Legislative Assembly</w:t>
      </w:r>
      <w:r w:rsidR="00D63B8E">
        <w:t>.</w:t>
      </w:r>
      <w:r w:rsidR="00383805">
        <w:t xml:space="preserve"> </w:t>
      </w:r>
      <w:r w:rsidR="003D2C20">
        <w:t xml:space="preserve">Nor </w:t>
      </w:r>
      <w:r w:rsidR="001D0B35">
        <w:t>is</w:t>
      </w:r>
      <w:r w:rsidR="00383805">
        <w:t xml:space="preserve"> a timeframe</w:t>
      </w:r>
      <w:r w:rsidR="001D0B35">
        <w:t xml:space="preserve"> specified</w:t>
      </w:r>
      <w:r w:rsidR="00383805">
        <w:t xml:space="preserve"> for</w:t>
      </w:r>
      <w:r w:rsidR="003F7044">
        <w:t xml:space="preserve"> when</w:t>
      </w:r>
      <w:r>
        <w:t xml:space="preserve"> the response</w:t>
      </w:r>
      <w:r w:rsidR="003F7044">
        <w:t xml:space="preserve"> of the Minister is</w:t>
      </w:r>
      <w:r>
        <w:t xml:space="preserve"> to be made. </w:t>
      </w:r>
    </w:p>
    <w:p w14:paraId="49EB9D6A" w14:textId="3341E925" w:rsidR="007D2470" w:rsidRPr="007D2470" w:rsidRDefault="00CC510E" w:rsidP="00097B13">
      <w:pPr>
        <w:pStyle w:val="ListNumber"/>
        <w:tabs>
          <w:tab w:val="clear" w:pos="360"/>
          <w:tab w:val="num" w:pos="717"/>
        </w:tabs>
        <w:ind w:left="714" w:hanging="357"/>
        <w:contextualSpacing w:val="0"/>
      </w:pPr>
      <w:r>
        <w:t>The Commissio</w:t>
      </w:r>
      <w:r w:rsidR="0065436C">
        <w:t xml:space="preserve">n’s Interim report </w:t>
      </w:r>
      <w:r w:rsidR="0057715E">
        <w:t>documented</w:t>
      </w:r>
      <w:r w:rsidR="00465819">
        <w:t xml:space="preserve"> that</w:t>
      </w:r>
      <w:r w:rsidR="0040397E">
        <w:t xml:space="preserve"> </w:t>
      </w:r>
      <w:r w:rsidR="008713D7">
        <w:t>mandating</w:t>
      </w:r>
      <w:r w:rsidR="00465819">
        <w:t xml:space="preserve"> a timeframe for</w:t>
      </w:r>
      <w:r w:rsidR="008713D7">
        <w:t xml:space="preserve"> response from government to recommendations</w:t>
      </w:r>
      <w:r w:rsidR="00EA41B4">
        <w:t xml:space="preserve"> </w:t>
      </w:r>
      <w:r w:rsidR="0084142F">
        <w:t>was supported by several stakeholders.</w:t>
      </w:r>
      <w:r w:rsidR="0084142F">
        <w:rPr>
          <w:rStyle w:val="EndnoteReference"/>
        </w:rPr>
        <w:endnoteReference w:id="12"/>
      </w:r>
      <w:r w:rsidR="00EA41B4">
        <w:t xml:space="preserve"> </w:t>
      </w:r>
      <w:r w:rsidR="00912058">
        <w:t>The Commission</w:t>
      </w:r>
      <w:r w:rsidR="003F6B74">
        <w:t xml:space="preserve"> also</w:t>
      </w:r>
      <w:r w:rsidR="00912058">
        <w:t xml:space="preserve"> note</w:t>
      </w:r>
      <w:r w:rsidR="000E7C36">
        <w:t>s</w:t>
      </w:r>
      <w:r w:rsidR="00912058">
        <w:t xml:space="preserve"> </w:t>
      </w:r>
      <w:r w:rsidR="005C7082">
        <w:t>another</w:t>
      </w:r>
      <w:r w:rsidR="00912058">
        <w:t xml:space="preserve"> Australian jurisdiction</w:t>
      </w:r>
      <w:r w:rsidR="005C7082">
        <w:t xml:space="preserve"> </w:t>
      </w:r>
      <w:r w:rsidR="003F6B74">
        <w:t>has</w:t>
      </w:r>
      <w:r w:rsidR="005C7082">
        <w:t xml:space="preserve"> </w:t>
      </w:r>
      <w:r w:rsidR="00B84FB7">
        <w:t>mandated</w:t>
      </w:r>
      <w:r w:rsidR="00792199">
        <w:t xml:space="preserve"> a timeframe</w:t>
      </w:r>
      <w:r w:rsidR="005C7082">
        <w:t xml:space="preserve"> in </w:t>
      </w:r>
      <w:r w:rsidR="00BF5514">
        <w:t xml:space="preserve">its </w:t>
      </w:r>
      <w:r w:rsidR="005C7082">
        <w:t>implementing legislation.</w:t>
      </w:r>
      <w:r w:rsidR="003F6B74">
        <w:rPr>
          <w:rStyle w:val="EndnoteReference"/>
        </w:rPr>
        <w:endnoteReference w:id="13"/>
      </w:r>
      <w:r w:rsidR="003C4DEC">
        <w:t xml:space="preserve"> The Commission recommends </w:t>
      </w:r>
      <w:r w:rsidR="009A23C5">
        <w:t xml:space="preserve">that the Bill be amended to require that </w:t>
      </w:r>
      <w:r w:rsidR="003C4DEC">
        <w:t>the Minster</w:t>
      </w:r>
      <w:r w:rsidR="00AD296F">
        <w:t>s</w:t>
      </w:r>
      <w:r w:rsidR="003C4DEC">
        <w:t xml:space="preserve"> </w:t>
      </w:r>
      <w:r w:rsidR="00293CB8">
        <w:t xml:space="preserve">table the </w:t>
      </w:r>
      <w:r w:rsidR="00797540">
        <w:t>government’s</w:t>
      </w:r>
      <w:r w:rsidR="00293CB8">
        <w:t xml:space="preserve"> response to recommendation</w:t>
      </w:r>
      <w:r w:rsidR="00792199">
        <w:t>s</w:t>
      </w:r>
      <w:r w:rsidR="00293CB8">
        <w:t xml:space="preserve"> made by the NPM in the Legislative Assembly</w:t>
      </w:r>
      <w:r w:rsidR="00797540">
        <w:t>,</w:t>
      </w:r>
      <w:r w:rsidR="00293CB8">
        <w:t xml:space="preserve"> no later than six months after </w:t>
      </w:r>
      <w:r w:rsidR="00797540">
        <w:t>an NPM report has been tabled.</w:t>
      </w:r>
      <w:r w:rsidR="003C4DEC">
        <w:t xml:space="preserve"> </w:t>
      </w:r>
      <w:r w:rsidR="005C7082">
        <w:t xml:space="preserve">  </w:t>
      </w:r>
    </w:p>
    <w:p w14:paraId="37098B4A" w14:textId="780D3994" w:rsidR="005569B9" w:rsidRDefault="00095949" w:rsidP="00097B13">
      <w:pPr>
        <w:pStyle w:val="ListNumber"/>
        <w:tabs>
          <w:tab w:val="clear" w:pos="360"/>
          <w:tab w:val="num" w:pos="717"/>
        </w:tabs>
        <w:ind w:left="714" w:hanging="357"/>
        <w:contextualSpacing w:val="0"/>
      </w:pPr>
      <w:r>
        <w:rPr>
          <w:b/>
          <w:bCs/>
        </w:rPr>
        <w:t>Thirdly</w:t>
      </w:r>
      <w:r w:rsidR="00A122E7">
        <w:t xml:space="preserve">, the </w:t>
      </w:r>
      <w:r w:rsidR="00CA19B3">
        <w:t xml:space="preserve">Bill </w:t>
      </w:r>
      <w:r w:rsidR="00D22EE6">
        <w:t>outlines</w:t>
      </w:r>
      <w:r w:rsidR="005D3581">
        <w:t xml:space="preserve"> th</w:t>
      </w:r>
      <w:r w:rsidR="00D22EE6">
        <w:t>e</w:t>
      </w:r>
      <w:r w:rsidR="005D3581">
        <w:t xml:space="preserve"> eligibility for appointment as an NPM inspector</w:t>
      </w:r>
      <w:r w:rsidR="00D22EE6">
        <w:t>,</w:t>
      </w:r>
      <w:r w:rsidR="005D3581">
        <w:t xml:space="preserve"> requir</w:t>
      </w:r>
      <w:r w:rsidR="00D22EE6">
        <w:t>ing</w:t>
      </w:r>
      <w:r w:rsidR="00C80E38">
        <w:t xml:space="preserve"> that</w:t>
      </w:r>
      <w:r w:rsidR="005D3581">
        <w:t xml:space="preserve"> a person ‘has suitable qualifications or experience relating to the NT NPM</w:t>
      </w:r>
      <w:r w:rsidR="00A86E4E">
        <w:t>’</w:t>
      </w:r>
      <w:r w:rsidR="005D3581">
        <w:t>s functions</w:t>
      </w:r>
      <w:r w:rsidR="005E5FBB">
        <w:t>’</w:t>
      </w:r>
      <w:r w:rsidR="005D3581">
        <w:t>.</w:t>
      </w:r>
      <w:r w:rsidR="00726F7F">
        <w:t xml:space="preserve"> However,</w:t>
      </w:r>
      <w:r w:rsidR="008E58B3">
        <w:t xml:space="preserve"> </w:t>
      </w:r>
      <w:r w:rsidR="00726F7F">
        <w:t xml:space="preserve">Article 18 of the OPCAT also notes that attention should be given toward achieving </w:t>
      </w:r>
      <w:r w:rsidR="00726F7F" w:rsidRPr="00992B88">
        <w:t xml:space="preserve">a </w:t>
      </w:r>
      <w:r w:rsidR="00726F7F">
        <w:t>‘</w:t>
      </w:r>
      <w:r w:rsidR="00726F7F" w:rsidRPr="00992B88">
        <w:t>gender balance and the adequate representation of ethnic and minority groups in the country</w:t>
      </w:r>
      <w:r w:rsidR="005E5FBB">
        <w:t>’</w:t>
      </w:r>
      <w:r w:rsidR="00726F7F" w:rsidRPr="00992B88">
        <w:t>.</w:t>
      </w:r>
      <w:r w:rsidR="00DD3754">
        <w:t xml:space="preserve"> </w:t>
      </w:r>
      <w:r w:rsidR="006C34AF">
        <w:t xml:space="preserve">The Commission </w:t>
      </w:r>
      <w:r w:rsidR="008322BB">
        <w:t>acknowledges</w:t>
      </w:r>
      <w:r w:rsidR="006C34AF">
        <w:t xml:space="preserve"> other Australian jurisdictions have </w:t>
      </w:r>
      <w:r w:rsidR="009F4E66">
        <w:t>sought to incorporate</w:t>
      </w:r>
      <w:r w:rsidR="006C34AF">
        <w:t xml:space="preserve"> Article 18 in their implementing legislation.</w:t>
      </w:r>
      <w:r w:rsidR="006C34AF">
        <w:rPr>
          <w:rStyle w:val="EndnoteReference"/>
        </w:rPr>
        <w:endnoteReference w:id="14"/>
      </w:r>
      <w:r w:rsidR="006C34AF">
        <w:t xml:space="preserve"> </w:t>
      </w:r>
    </w:p>
    <w:p w14:paraId="2CF295F9" w14:textId="0192F923" w:rsidR="008B46E1" w:rsidRDefault="00302BD7" w:rsidP="00097B13">
      <w:pPr>
        <w:pStyle w:val="ListNumber"/>
        <w:tabs>
          <w:tab w:val="clear" w:pos="360"/>
          <w:tab w:val="num" w:pos="717"/>
        </w:tabs>
        <w:ind w:left="714" w:hanging="357"/>
        <w:contextualSpacing w:val="0"/>
      </w:pPr>
      <w:r>
        <w:t>The</w:t>
      </w:r>
      <w:r w:rsidR="00DA1C82">
        <w:t xml:space="preserve"> importance of </w:t>
      </w:r>
      <w:r w:rsidR="007D2A26">
        <w:t>this</w:t>
      </w:r>
      <w:r w:rsidR="00DA1C82">
        <w:t xml:space="preserve"> approach</w:t>
      </w:r>
      <w:r w:rsidR="00976EC6">
        <w:t>,</w:t>
      </w:r>
      <w:r w:rsidR="00DA1C82">
        <w:t xml:space="preserve"> </w:t>
      </w:r>
      <w:r w:rsidR="00976EC6">
        <w:t xml:space="preserve">as noted </w:t>
      </w:r>
      <w:r w:rsidR="007D2A26">
        <w:t>by the Commonwealth Ombudsman</w:t>
      </w:r>
      <w:r w:rsidR="00976EC6">
        <w:t>, is</w:t>
      </w:r>
      <w:r w:rsidR="00932FC2">
        <w:t xml:space="preserve"> </w:t>
      </w:r>
      <w:r w:rsidR="00976EC6">
        <w:t>‘</w:t>
      </w:r>
      <w:r w:rsidR="007D2A26">
        <w:t>to ensure that NPMs are able to effectively assess places of detention and take into account all relevant perspectives</w:t>
      </w:r>
      <w:r w:rsidR="005E5FBB">
        <w:t>’</w:t>
      </w:r>
      <w:r w:rsidR="007D2A26">
        <w:t>.</w:t>
      </w:r>
      <w:r w:rsidR="00976EC6">
        <w:rPr>
          <w:rStyle w:val="EndnoteReference"/>
        </w:rPr>
        <w:endnoteReference w:id="15"/>
      </w:r>
    </w:p>
    <w:p w14:paraId="4FA978EA" w14:textId="62564212" w:rsidR="00F14AC4" w:rsidRDefault="00DD3754" w:rsidP="00097B13">
      <w:pPr>
        <w:pStyle w:val="ListNumber"/>
        <w:tabs>
          <w:tab w:val="clear" w:pos="360"/>
          <w:tab w:val="num" w:pos="717"/>
        </w:tabs>
        <w:ind w:left="714" w:hanging="357"/>
        <w:contextualSpacing w:val="0"/>
      </w:pPr>
      <w:r>
        <w:t>The Commission’s</w:t>
      </w:r>
      <w:r w:rsidR="003E47B4">
        <w:t xml:space="preserve"> </w:t>
      </w:r>
      <w:r>
        <w:t>final report</w:t>
      </w:r>
      <w:r w:rsidR="003E47B4">
        <w:t xml:space="preserve"> </w:t>
      </w:r>
      <w:r w:rsidR="005711B7">
        <w:t xml:space="preserve">referred to </w:t>
      </w:r>
      <w:r w:rsidR="008E0624">
        <w:t xml:space="preserve">stakeholder </w:t>
      </w:r>
      <w:r w:rsidR="003E47B4">
        <w:t>suggest</w:t>
      </w:r>
      <w:r w:rsidR="008B46E1">
        <w:t>ions that</w:t>
      </w:r>
      <w:r w:rsidR="003E47B4">
        <w:t xml:space="preserve"> the incorporation of relevant expertise could be secured by an ancillar</w:t>
      </w:r>
      <w:r w:rsidR="00FA33F5">
        <w:t>y</w:t>
      </w:r>
      <w:r w:rsidR="003E47B4">
        <w:t xml:space="preserve"> </w:t>
      </w:r>
      <w:r w:rsidR="003E47B4">
        <w:lastRenderedPageBreak/>
        <w:t>agreement with civil society organisations.</w:t>
      </w:r>
      <w:r w:rsidR="006613F6">
        <w:rPr>
          <w:rStyle w:val="EndnoteReference"/>
        </w:rPr>
        <w:endnoteReference w:id="16"/>
      </w:r>
      <w:r w:rsidR="003E47B4">
        <w:t xml:space="preserve"> </w:t>
      </w:r>
      <w:r w:rsidR="008B46E1">
        <w:t>Some submissions</w:t>
      </w:r>
      <w:r w:rsidR="001E5E32">
        <w:t xml:space="preserve"> also</w:t>
      </w:r>
      <w:r w:rsidR="008B46E1">
        <w:t xml:space="preserve"> noted the importance of the NPM being disability aware and inclusive of people with disability.</w:t>
      </w:r>
      <w:r w:rsidR="006613F6">
        <w:rPr>
          <w:rStyle w:val="EndnoteReference"/>
        </w:rPr>
        <w:endnoteReference w:id="17"/>
      </w:r>
      <w:r w:rsidR="008B46E1">
        <w:t xml:space="preserve"> Other</w:t>
      </w:r>
      <w:r w:rsidR="00B85D99">
        <w:t xml:space="preserve"> </w:t>
      </w:r>
      <w:r w:rsidR="003E47B4">
        <w:t>stakeholders submitted there should be</w:t>
      </w:r>
      <w:r w:rsidR="00B85D99">
        <w:t xml:space="preserve"> </w:t>
      </w:r>
      <w:r w:rsidR="003E47B4">
        <w:t>Aboriginal and Torres Strait Islander representation</w:t>
      </w:r>
      <w:r w:rsidR="00B85D99">
        <w:t xml:space="preserve"> </w:t>
      </w:r>
      <w:r w:rsidR="003E47B4">
        <w:t>in the NPM body or</w:t>
      </w:r>
      <w:r w:rsidR="00FB369B">
        <w:t xml:space="preserve"> on</w:t>
      </w:r>
      <w:r w:rsidR="003E47B4">
        <w:t xml:space="preserve"> its visits to places of detention.</w:t>
      </w:r>
      <w:r w:rsidR="00033672">
        <w:rPr>
          <w:rStyle w:val="EndnoteReference"/>
        </w:rPr>
        <w:endnoteReference w:id="18"/>
      </w:r>
    </w:p>
    <w:p w14:paraId="16523A1F" w14:textId="3AFF72A3" w:rsidR="001A54D8" w:rsidRDefault="001A54D8" w:rsidP="00097B13">
      <w:pPr>
        <w:pStyle w:val="ListNumber"/>
        <w:tabs>
          <w:tab w:val="clear" w:pos="360"/>
          <w:tab w:val="num" w:pos="717"/>
        </w:tabs>
        <w:ind w:left="714" w:hanging="357"/>
        <w:contextualSpacing w:val="0"/>
      </w:pPr>
      <w:r>
        <w:t xml:space="preserve">The inclusion of </w:t>
      </w:r>
      <w:r w:rsidRPr="001A54D8">
        <w:t>Aboriginal and Torres Strait Islander representation in the NPM body</w:t>
      </w:r>
      <w:r>
        <w:t xml:space="preserve"> is particularly </w:t>
      </w:r>
      <w:r w:rsidR="00B36014">
        <w:t>significant</w:t>
      </w:r>
      <w:r>
        <w:t xml:space="preserve"> in the Northern Territory context. In </w:t>
      </w:r>
      <w:r w:rsidR="00112289">
        <w:t>its</w:t>
      </w:r>
      <w:r>
        <w:t xml:space="preserve"> Final Report, the </w:t>
      </w:r>
      <w:bookmarkStart w:id="6" w:name="_Hlk94527082"/>
      <w:r w:rsidR="00341B3C" w:rsidRPr="00341B3C">
        <w:t>Royal Commission into the Protection and Detention of Children in the Northern Territor</w:t>
      </w:r>
      <w:r w:rsidR="00341B3C">
        <w:t xml:space="preserve">y </w:t>
      </w:r>
      <w:bookmarkEnd w:id="6"/>
      <w:r w:rsidR="00341B3C">
        <w:t>observed that</w:t>
      </w:r>
      <w:r w:rsidR="005E5FBB">
        <w:t>:</w:t>
      </w:r>
      <w:r w:rsidR="00341B3C">
        <w:t xml:space="preserve"> </w:t>
      </w:r>
      <w:r w:rsidR="00603D8E">
        <w:t>‘The youth justice and child protection systems in the Northern Territory are disproportionately populated by Aboriginal young people from disadvantaged backgrounds.’</w:t>
      </w:r>
      <w:r w:rsidR="00603D8E">
        <w:rPr>
          <w:rStyle w:val="EndnoteReference"/>
        </w:rPr>
        <w:endnoteReference w:id="19"/>
      </w:r>
      <w:r w:rsidR="00734556">
        <w:t xml:space="preserve"> The Royal </w:t>
      </w:r>
      <w:r w:rsidR="00F14AC4">
        <w:t>Commission</w:t>
      </w:r>
      <w:r w:rsidR="00734556">
        <w:t xml:space="preserve"> </w:t>
      </w:r>
      <w:r w:rsidR="00F14AC4">
        <w:t>therefore recommended, with respect to the</w:t>
      </w:r>
      <w:r w:rsidR="007C6CE9">
        <w:t xml:space="preserve"> proposed</w:t>
      </w:r>
      <w:r w:rsidR="00F14AC4">
        <w:t xml:space="preserve"> </w:t>
      </w:r>
      <w:r w:rsidR="00A85152">
        <w:t>Commission for Children and Young People</w:t>
      </w:r>
      <w:r w:rsidR="00F14AC4">
        <w:t>, ‘that a significant proportion of the staff be Aboriginal</w:t>
      </w:r>
      <w:r w:rsidR="005E5FBB">
        <w:t>’</w:t>
      </w:r>
      <w:r w:rsidR="00F14AC4">
        <w:t>.</w:t>
      </w:r>
      <w:r w:rsidR="00F14AC4">
        <w:rPr>
          <w:rStyle w:val="EndnoteReference"/>
        </w:rPr>
        <w:endnoteReference w:id="20"/>
      </w:r>
    </w:p>
    <w:p w14:paraId="1EABE2A4" w14:textId="38842434" w:rsidR="003B0C5D" w:rsidRDefault="003B0C5D" w:rsidP="00097B13">
      <w:pPr>
        <w:pStyle w:val="ListNumber"/>
        <w:tabs>
          <w:tab w:val="clear" w:pos="360"/>
          <w:tab w:val="num" w:pos="717"/>
        </w:tabs>
        <w:ind w:left="714" w:hanging="357"/>
        <w:contextualSpacing w:val="0"/>
      </w:pPr>
      <w:r>
        <w:t xml:space="preserve">The Commission recommends </w:t>
      </w:r>
      <w:r w:rsidR="00B31B46">
        <w:t xml:space="preserve">attention be </w:t>
      </w:r>
      <w:r w:rsidR="005072BF">
        <w:t>given</w:t>
      </w:r>
      <w:r w:rsidR="00B31B46">
        <w:t xml:space="preserve"> to ensuring Article 18 is complied with in the staffing of NPMs</w:t>
      </w:r>
      <w:r w:rsidR="00A12B9D">
        <w:t xml:space="preserve">. Specific efforts should be made to employ Aboriginal and Torres Strait Islander </w:t>
      </w:r>
      <w:r w:rsidR="00117D18">
        <w:t>staff and people with a lived experience of disability.</w:t>
      </w:r>
      <w:r w:rsidR="00117D18">
        <w:rPr>
          <w:rStyle w:val="EndnoteReference"/>
        </w:rPr>
        <w:endnoteReference w:id="21"/>
      </w:r>
      <w:r w:rsidR="00117D18">
        <w:t xml:space="preserve"> </w:t>
      </w:r>
    </w:p>
    <w:p w14:paraId="2B161A42" w14:textId="20351CAE" w:rsidR="00633BA4" w:rsidRDefault="002D4872" w:rsidP="00097B13">
      <w:pPr>
        <w:pStyle w:val="ListNumber"/>
        <w:tabs>
          <w:tab w:val="clear" w:pos="360"/>
          <w:tab w:val="num" w:pos="717"/>
        </w:tabs>
        <w:ind w:left="714" w:hanging="357"/>
        <w:contextualSpacing w:val="0"/>
      </w:pPr>
      <w:r w:rsidRPr="002D4872">
        <w:rPr>
          <w:b/>
          <w:bCs/>
        </w:rPr>
        <w:t>Fo</w:t>
      </w:r>
      <w:r w:rsidR="00A85152">
        <w:rPr>
          <w:b/>
          <w:bCs/>
        </w:rPr>
        <w:t>u</w:t>
      </w:r>
      <w:r w:rsidRPr="002D4872">
        <w:rPr>
          <w:b/>
          <w:bCs/>
        </w:rPr>
        <w:t>rthly</w:t>
      </w:r>
      <w:r>
        <w:t>,</w:t>
      </w:r>
      <w:r w:rsidR="005020DA">
        <w:t xml:space="preserve"> the</w:t>
      </w:r>
      <w:r>
        <w:t xml:space="preserve"> </w:t>
      </w:r>
      <w:r w:rsidR="005020DA" w:rsidRPr="005020DA">
        <w:t xml:space="preserve">Bill amends the </w:t>
      </w:r>
      <w:r w:rsidR="005020DA" w:rsidRPr="005020DA">
        <w:rPr>
          <w:i/>
          <w:iCs/>
        </w:rPr>
        <w:t>Children</w:t>
      </w:r>
      <w:r w:rsidR="005E5FBB">
        <w:rPr>
          <w:i/>
          <w:iCs/>
        </w:rPr>
        <w:t>’</w:t>
      </w:r>
      <w:r w:rsidR="005020DA" w:rsidRPr="005020DA">
        <w:rPr>
          <w:i/>
          <w:iCs/>
        </w:rPr>
        <w:t>s Commissioner Act 2013</w:t>
      </w:r>
      <w:r w:rsidR="005020DA" w:rsidRPr="005020DA">
        <w:t xml:space="preserve"> to </w:t>
      </w:r>
      <w:r w:rsidR="005020DA">
        <w:t>allow</w:t>
      </w:r>
      <w:r w:rsidR="005020DA" w:rsidRPr="005020DA">
        <w:t xml:space="preserve"> the Office of the Children’s Commissioner</w:t>
      </w:r>
      <w:r w:rsidR="005020DA">
        <w:t xml:space="preserve"> </w:t>
      </w:r>
      <w:r w:rsidR="005E5FBB">
        <w:t xml:space="preserve">of the Northern Territory </w:t>
      </w:r>
      <w:r w:rsidR="005020DA">
        <w:t xml:space="preserve">to be designated </w:t>
      </w:r>
      <w:r w:rsidR="005020DA" w:rsidRPr="005020DA">
        <w:t xml:space="preserve">the NPM for monitoring places of detention administered under Part 8 of the </w:t>
      </w:r>
      <w:r w:rsidR="005020DA" w:rsidRPr="005020DA">
        <w:rPr>
          <w:i/>
          <w:iCs/>
        </w:rPr>
        <w:t>Youth Justice Act 2005</w:t>
      </w:r>
      <w:r w:rsidR="005020DA">
        <w:rPr>
          <w:i/>
          <w:iCs/>
        </w:rPr>
        <w:t xml:space="preserve"> </w:t>
      </w:r>
      <w:r w:rsidR="005020DA">
        <w:t>(</w:t>
      </w:r>
      <w:r w:rsidR="005020DA" w:rsidRPr="005020DA">
        <w:t>unless another appointment is made</w:t>
      </w:r>
      <w:r w:rsidR="005020DA">
        <w:t>)</w:t>
      </w:r>
      <w:r w:rsidR="005020DA" w:rsidRPr="005020DA">
        <w:t>.</w:t>
      </w:r>
    </w:p>
    <w:p w14:paraId="1B7E34CF" w14:textId="568F47A3" w:rsidR="005020DA" w:rsidRDefault="00CE7301" w:rsidP="00097B13">
      <w:pPr>
        <w:pStyle w:val="ListNumber"/>
        <w:tabs>
          <w:tab w:val="clear" w:pos="360"/>
          <w:tab w:val="num" w:pos="717"/>
        </w:tabs>
        <w:ind w:left="714" w:hanging="357"/>
        <w:contextualSpacing w:val="0"/>
      </w:pPr>
      <w:r>
        <w:t xml:space="preserve">The Commission </w:t>
      </w:r>
      <w:r w:rsidR="001C5B99">
        <w:t xml:space="preserve">supports the designation of the Children’s Commissioner as an NPM </w:t>
      </w:r>
      <w:r w:rsidR="00633BA4">
        <w:t>observing</w:t>
      </w:r>
      <w:r w:rsidR="001C5B99">
        <w:t xml:space="preserve"> </w:t>
      </w:r>
      <w:r w:rsidR="00633BA4">
        <w:t>that the</w:t>
      </w:r>
      <w:r w:rsidR="001C5B99">
        <w:t xml:space="preserve"> </w:t>
      </w:r>
      <w:r w:rsidR="001C5B99" w:rsidRPr="001C5B99">
        <w:t>Royal Commission into the Protection and Detention of Children in the Northern Territory</w:t>
      </w:r>
      <w:r w:rsidR="004E24F1">
        <w:t xml:space="preserve"> assessed it would be</w:t>
      </w:r>
      <w:r w:rsidR="001C5B99">
        <w:t xml:space="preserve"> </w:t>
      </w:r>
      <w:r w:rsidR="004E24F1">
        <w:t>‘</w:t>
      </w:r>
      <w:r w:rsidR="001C5B99">
        <w:t>the natural body to undertake the inspection of places of detention that house children and young people for the purposes of Australia’s implementation of the OPCAT</w:t>
      </w:r>
      <w:r w:rsidR="005E5FBB">
        <w:t>’</w:t>
      </w:r>
      <w:r w:rsidR="004E24F1">
        <w:t>.</w:t>
      </w:r>
      <w:r w:rsidR="004E24F1">
        <w:rPr>
          <w:rStyle w:val="EndnoteReference"/>
        </w:rPr>
        <w:endnoteReference w:id="22"/>
      </w:r>
    </w:p>
    <w:p w14:paraId="057933E6" w14:textId="37B963F5" w:rsidR="00976E15" w:rsidRDefault="00976E15" w:rsidP="00097B13">
      <w:pPr>
        <w:pStyle w:val="ListNumber"/>
        <w:tabs>
          <w:tab w:val="clear" w:pos="360"/>
          <w:tab w:val="num" w:pos="717"/>
        </w:tabs>
        <w:ind w:left="714" w:hanging="357"/>
        <w:contextualSpacing w:val="0"/>
      </w:pPr>
      <w:r>
        <w:t xml:space="preserve">The Commission </w:t>
      </w:r>
      <w:r w:rsidR="002A0211">
        <w:t>i</w:t>
      </w:r>
      <w:r>
        <w:t xml:space="preserve">s concerned </w:t>
      </w:r>
      <w:r w:rsidR="00175817">
        <w:t>that the Bill does not</w:t>
      </w:r>
      <w:r w:rsidR="00175817" w:rsidRPr="00175817">
        <w:t xml:space="preserve"> </w:t>
      </w:r>
      <w:r w:rsidR="00776C8A">
        <w:t>support the</w:t>
      </w:r>
      <w:r w:rsidR="00CB2A3B">
        <w:t xml:space="preserve"> </w:t>
      </w:r>
      <w:r w:rsidR="00776C8A">
        <w:t>full</w:t>
      </w:r>
      <w:r w:rsidR="00CB2A3B">
        <w:t xml:space="preserve"> </w:t>
      </w:r>
      <w:r w:rsidR="00776C8A">
        <w:t>implementation of</w:t>
      </w:r>
      <w:r w:rsidR="00CB2A3B">
        <w:t xml:space="preserve"> the Royal Commission</w:t>
      </w:r>
      <w:r w:rsidR="000F2656">
        <w:t>’</w:t>
      </w:r>
      <w:r w:rsidR="00CB2A3B">
        <w:t xml:space="preserve">s </w:t>
      </w:r>
      <w:r w:rsidR="00676B77">
        <w:t>recommendation</w:t>
      </w:r>
      <w:r w:rsidR="00C42AA2">
        <w:t xml:space="preserve"> </w:t>
      </w:r>
      <w:r w:rsidR="00676B77">
        <w:t>for</w:t>
      </w:r>
      <w:r w:rsidR="00175817" w:rsidRPr="00175817">
        <w:t xml:space="preserve"> the Children’s Commissioner to </w:t>
      </w:r>
      <w:r w:rsidR="00A41A2F">
        <w:t>’</w:t>
      </w:r>
      <w:r w:rsidR="00C42AA2" w:rsidRPr="00C42AA2">
        <w:t>monitor and inspect all institutional settings where children and young people are routinely accommodated, or where children are involuntarily detained. Such places include detention centres, police cells, residential facilities, secure bail accommodation, and diversion programs that require significant overnight stays away from home.</w:t>
      </w:r>
      <w:r w:rsidR="00175817" w:rsidRPr="00175817">
        <w:t>’</w:t>
      </w:r>
      <w:r w:rsidR="005837BB">
        <w:rPr>
          <w:rStyle w:val="EndnoteReference"/>
        </w:rPr>
        <w:endnoteReference w:id="23"/>
      </w:r>
    </w:p>
    <w:p w14:paraId="41CEBBF5" w14:textId="1CE80ABF" w:rsidR="001137B9" w:rsidRDefault="00676B77" w:rsidP="00097B13">
      <w:pPr>
        <w:pStyle w:val="ListNumber"/>
        <w:tabs>
          <w:tab w:val="clear" w:pos="360"/>
          <w:tab w:val="num" w:pos="717"/>
        </w:tabs>
        <w:ind w:left="714" w:hanging="357"/>
        <w:contextualSpacing w:val="0"/>
      </w:pPr>
      <w:r>
        <w:t xml:space="preserve">The Commission </w:t>
      </w:r>
      <w:r w:rsidR="00240401">
        <w:t>considers it necess</w:t>
      </w:r>
      <w:r w:rsidR="009B1D5B">
        <w:t>ary</w:t>
      </w:r>
      <w:r w:rsidR="00240401">
        <w:t xml:space="preserve"> for</w:t>
      </w:r>
      <w:r w:rsidR="00776C8A">
        <w:t xml:space="preserve"> all</w:t>
      </w:r>
      <w:r w:rsidR="00240401">
        <w:t xml:space="preserve"> NPMs to </w:t>
      </w:r>
      <w:r w:rsidR="005E3E3F">
        <w:t>have</w:t>
      </w:r>
      <w:r w:rsidR="00240401">
        <w:t xml:space="preserve"> technical expertise about child development, children’s rights, trauma and how detention can affect children</w:t>
      </w:r>
      <w:r w:rsidR="00A41A2F">
        <w:t xml:space="preserve"> – </w:t>
      </w:r>
      <w:r w:rsidR="003C13EE">
        <w:t xml:space="preserve">particularly when visiting </w:t>
      </w:r>
      <w:r w:rsidR="005E3E3F">
        <w:t>institutions where</w:t>
      </w:r>
      <w:r w:rsidR="003C13EE">
        <w:t xml:space="preserve"> </w:t>
      </w:r>
      <w:r w:rsidR="003C13EE">
        <w:lastRenderedPageBreak/>
        <w:t>children and young people</w:t>
      </w:r>
      <w:r w:rsidR="005E3E3F">
        <w:t xml:space="preserve"> are detained</w:t>
      </w:r>
      <w:r w:rsidR="00240401">
        <w:t>.</w:t>
      </w:r>
      <w:r w:rsidR="00240401">
        <w:rPr>
          <w:rStyle w:val="EndnoteReference"/>
        </w:rPr>
        <w:endnoteReference w:id="24"/>
      </w:r>
      <w:r w:rsidR="004778A2">
        <w:t xml:space="preserve"> </w:t>
      </w:r>
      <w:r w:rsidR="00776C8A">
        <w:t>The Commission</w:t>
      </w:r>
      <w:r w:rsidR="00282BED">
        <w:t xml:space="preserve"> therefore</w:t>
      </w:r>
      <w:r w:rsidR="004778A2">
        <w:t xml:space="preserve"> </w:t>
      </w:r>
      <w:r w:rsidR="00B07BE3">
        <w:t>supports</w:t>
      </w:r>
      <w:r w:rsidR="00282BED">
        <w:t xml:space="preserve"> the</w:t>
      </w:r>
      <w:r w:rsidR="00B07BE3">
        <w:t xml:space="preserve"> expansion of the </w:t>
      </w:r>
      <w:r w:rsidR="00197559" w:rsidRPr="00175817">
        <w:t>Children’s Commissioner</w:t>
      </w:r>
      <w:r w:rsidR="00A41A2F">
        <w:t>’s</w:t>
      </w:r>
      <w:r w:rsidR="00B07BE3">
        <w:t xml:space="preserve"> jurisdiction</w:t>
      </w:r>
      <w:r w:rsidR="00197559">
        <w:t xml:space="preserve"> to include all places of detention where </w:t>
      </w:r>
      <w:r w:rsidR="00A476DC">
        <w:t>children and young people are detained</w:t>
      </w:r>
      <w:r w:rsidR="003C745C">
        <w:t>.</w:t>
      </w:r>
      <w:r w:rsidR="00BC0B03">
        <w:rPr>
          <w:rStyle w:val="EndnoteReference"/>
        </w:rPr>
        <w:endnoteReference w:id="25"/>
      </w:r>
      <w:r w:rsidR="00197559">
        <w:t xml:space="preserve"> </w:t>
      </w:r>
    </w:p>
    <w:p w14:paraId="5590CC0F" w14:textId="21BD80CD" w:rsidR="00933BD3" w:rsidRDefault="00090DBB" w:rsidP="00097B13">
      <w:pPr>
        <w:pStyle w:val="ListNumber"/>
        <w:tabs>
          <w:tab w:val="clear" w:pos="360"/>
          <w:tab w:val="num" w:pos="717"/>
        </w:tabs>
        <w:ind w:left="714" w:hanging="357"/>
        <w:contextualSpacing w:val="0"/>
      </w:pPr>
      <w:r w:rsidRPr="001137B9">
        <w:rPr>
          <w:b/>
          <w:bCs/>
        </w:rPr>
        <w:t>Fifthly</w:t>
      </w:r>
      <w:r>
        <w:t>, the Bill allows for the Minister o</w:t>
      </w:r>
      <w:r w:rsidR="001137B9">
        <w:t>r</w:t>
      </w:r>
      <w:r>
        <w:t xml:space="preserve"> detaining authority to</w:t>
      </w:r>
      <w:r w:rsidR="001137B9">
        <w:t xml:space="preserve"> temporarily</w:t>
      </w:r>
      <w:r>
        <w:t xml:space="preserve"> object to an NPM visit</w:t>
      </w:r>
      <w:r w:rsidR="001137B9">
        <w:t xml:space="preserve"> on urgent and compelling grounds of national security, public safety, natural </w:t>
      </w:r>
      <w:r w:rsidR="00BE4507">
        <w:t>disaster,</w:t>
      </w:r>
      <w:r w:rsidR="001137B9">
        <w:t xml:space="preserve"> or serious disorder in the place to be visited</w:t>
      </w:r>
      <w:r w:rsidR="008307A1">
        <w:t>.</w:t>
      </w:r>
      <w:r w:rsidR="003A36F4">
        <w:rPr>
          <w:rStyle w:val="EndnoteReference"/>
        </w:rPr>
        <w:endnoteReference w:id="26"/>
      </w:r>
      <w:r w:rsidR="008307A1">
        <w:t xml:space="preserve"> </w:t>
      </w:r>
      <w:r w:rsidR="00BE4507" w:rsidRPr="00BE4507">
        <w:t xml:space="preserve">Article 14(2) of OPCAT allows for the temporary restriction of UN SPT visits during a declared state of emergency. </w:t>
      </w:r>
      <w:r w:rsidR="0059288F" w:rsidRPr="00BE4507">
        <w:t>Article</w:t>
      </w:r>
      <w:r w:rsidR="0059288F">
        <w:t> </w:t>
      </w:r>
      <w:r w:rsidR="00BE4507" w:rsidRPr="00BE4507">
        <w:t xml:space="preserve">14(2) </w:t>
      </w:r>
      <w:r w:rsidR="00BD5D19">
        <w:t>has</w:t>
      </w:r>
      <w:r w:rsidR="00BE4507" w:rsidRPr="00BE4507">
        <w:t xml:space="preserve"> equal application to NPMs</w:t>
      </w:r>
      <w:r w:rsidR="00BD5D19">
        <w:t>.</w:t>
      </w:r>
      <w:r w:rsidR="00BD5D19">
        <w:rPr>
          <w:rStyle w:val="EndnoteReference"/>
        </w:rPr>
        <w:endnoteReference w:id="27"/>
      </w:r>
      <w:r w:rsidR="00B9165A" w:rsidRPr="00B9165A">
        <w:t xml:space="preserve"> </w:t>
      </w:r>
    </w:p>
    <w:p w14:paraId="21CD590B" w14:textId="1D782520" w:rsidR="008E71B2" w:rsidRDefault="00B9165A" w:rsidP="00097B13">
      <w:pPr>
        <w:pStyle w:val="ListNumber"/>
        <w:tabs>
          <w:tab w:val="clear" w:pos="360"/>
          <w:tab w:val="num" w:pos="717"/>
        </w:tabs>
        <w:ind w:left="714" w:hanging="357"/>
        <w:contextualSpacing w:val="0"/>
      </w:pPr>
      <w:r>
        <w:t>W</w:t>
      </w:r>
      <w:r w:rsidRPr="00B9165A">
        <w:t>hile a declared state of emergency may temporarily restrict a</w:t>
      </w:r>
      <w:r w:rsidR="00933BD3">
        <w:t>n NPM</w:t>
      </w:r>
      <w:r w:rsidRPr="00B9165A">
        <w:t xml:space="preserve"> visit,</w:t>
      </w:r>
      <w:r w:rsidR="00E204EF">
        <w:t xml:space="preserve"> </w:t>
      </w:r>
      <w:r w:rsidRPr="00B9165A">
        <w:t>restrictions</w:t>
      </w:r>
      <w:r w:rsidR="00E204EF">
        <w:t xml:space="preserve"> </w:t>
      </w:r>
      <w:r w:rsidR="00703060">
        <w:t>might not</w:t>
      </w:r>
      <w:r w:rsidRPr="00B9165A">
        <w:t xml:space="preserve"> </w:t>
      </w:r>
      <w:r w:rsidR="00A85152">
        <w:t xml:space="preserve">need to </w:t>
      </w:r>
      <w:r w:rsidRPr="00B9165A">
        <w:t xml:space="preserve">apply in all </w:t>
      </w:r>
      <w:r w:rsidR="00A85152">
        <w:t xml:space="preserve">such </w:t>
      </w:r>
      <w:r w:rsidRPr="00B9165A">
        <w:t>situations or prevent an NPM from entering a place of detention</w:t>
      </w:r>
      <w:r>
        <w:t xml:space="preserve">. </w:t>
      </w:r>
      <w:r w:rsidR="00836431">
        <w:t xml:space="preserve">The </w:t>
      </w:r>
      <w:r w:rsidR="00836431" w:rsidRPr="00836431">
        <w:t>COVID-19 pandemic has</w:t>
      </w:r>
      <w:r w:rsidR="0059288F">
        <w:t>,</w:t>
      </w:r>
      <w:r w:rsidR="00836431">
        <w:t xml:space="preserve"> for example</w:t>
      </w:r>
      <w:r w:rsidR="0059288F">
        <w:t>,</w:t>
      </w:r>
      <w:r w:rsidR="00836431" w:rsidRPr="00836431">
        <w:t xml:space="preserve"> shown the importance of continued visits during a declared state of emergency.</w:t>
      </w:r>
      <w:r w:rsidR="00A60149">
        <w:rPr>
          <w:rStyle w:val="EndnoteReference"/>
        </w:rPr>
        <w:endnoteReference w:id="28"/>
      </w:r>
      <w:r w:rsidR="00836431">
        <w:t xml:space="preserve"> </w:t>
      </w:r>
    </w:p>
    <w:p w14:paraId="770D65E2" w14:textId="2BAE0EDF" w:rsidR="00836431" w:rsidRPr="00836431" w:rsidRDefault="00836431" w:rsidP="00097B13">
      <w:pPr>
        <w:pStyle w:val="ListNumber"/>
        <w:tabs>
          <w:tab w:val="clear" w:pos="360"/>
          <w:tab w:val="num" w:pos="717"/>
        </w:tabs>
        <w:ind w:left="714" w:hanging="357"/>
        <w:contextualSpacing w:val="0"/>
      </w:pPr>
      <w:r w:rsidRPr="00836431">
        <w:t xml:space="preserve">The Association for Prevention of Torture </w:t>
      </w:r>
      <w:r>
        <w:t>has</w:t>
      </w:r>
      <w:r w:rsidR="00703060">
        <w:t xml:space="preserve"> also</w:t>
      </w:r>
      <w:r w:rsidRPr="00836431">
        <w:t xml:space="preserve"> note</w:t>
      </w:r>
      <w:r>
        <w:t>d</w:t>
      </w:r>
      <w:r w:rsidRPr="00836431">
        <w:t xml:space="preserve"> that ‘preventive visits can be particularly relevant during times of emergency when safeguards against unlawful detention, torture, other ill-treatment, and the violation of the right to life may come under threat from state or other interference</w:t>
      </w:r>
      <w:r w:rsidR="000F2656">
        <w:t>’</w:t>
      </w:r>
      <w:r w:rsidRPr="00836431">
        <w:t>.</w:t>
      </w:r>
      <w:r>
        <w:rPr>
          <w:rStyle w:val="EndnoteReference"/>
        </w:rPr>
        <w:endnoteReference w:id="29"/>
      </w:r>
    </w:p>
    <w:p w14:paraId="4A375A89" w14:textId="39551379" w:rsidR="00090DBB" w:rsidRDefault="00CE2F5E" w:rsidP="00097B13">
      <w:pPr>
        <w:pStyle w:val="ListNumber"/>
        <w:tabs>
          <w:tab w:val="clear" w:pos="360"/>
          <w:tab w:val="num" w:pos="717"/>
        </w:tabs>
        <w:ind w:left="714" w:hanging="357"/>
        <w:contextualSpacing w:val="0"/>
      </w:pPr>
      <w:r>
        <w:t xml:space="preserve">The Commission </w:t>
      </w:r>
      <w:r w:rsidR="00E93409">
        <w:t>strongly recommends that</w:t>
      </w:r>
      <w:r w:rsidR="0059288F">
        <w:t>,</w:t>
      </w:r>
      <w:r w:rsidR="00E93409">
        <w:t xml:space="preserve"> should an objection to an NPM visit be made, the reasons for that objection should be provided to the NPM in writing</w:t>
      </w:r>
      <w:r w:rsidR="00933BD3">
        <w:t>,</w:t>
      </w:r>
      <w:r w:rsidR="00EE598B">
        <w:t xml:space="preserve"> detailing why the objection was made</w:t>
      </w:r>
      <w:r w:rsidR="007C72CA">
        <w:t xml:space="preserve"> and the period </w:t>
      </w:r>
      <w:r w:rsidR="00592A8A">
        <w:t xml:space="preserve">for </w:t>
      </w:r>
      <w:r w:rsidR="007C72CA">
        <w:t xml:space="preserve">which the temporary </w:t>
      </w:r>
      <w:r w:rsidR="002B3D3D">
        <w:t xml:space="preserve">restriction </w:t>
      </w:r>
      <w:r w:rsidR="00592A8A">
        <w:t xml:space="preserve">will remain </w:t>
      </w:r>
      <w:r w:rsidR="002B3D3D">
        <w:t xml:space="preserve">in place. </w:t>
      </w:r>
      <w:r w:rsidR="00E93409">
        <w:t xml:space="preserve"> </w:t>
      </w:r>
    </w:p>
    <w:p w14:paraId="2933E3C3" w14:textId="65E34FCE" w:rsidR="002E7F34" w:rsidRDefault="00C16E81" w:rsidP="00097B13">
      <w:pPr>
        <w:pStyle w:val="ListNumber"/>
        <w:tabs>
          <w:tab w:val="clear" w:pos="360"/>
          <w:tab w:val="num" w:pos="717"/>
        </w:tabs>
        <w:ind w:left="714" w:hanging="357"/>
        <w:contextualSpacing w:val="0"/>
      </w:pPr>
      <w:r>
        <w:rPr>
          <w:b/>
          <w:bCs/>
        </w:rPr>
        <w:t>Sixthly</w:t>
      </w:r>
      <w:r w:rsidR="002E7F34">
        <w:t xml:space="preserve">, the Bill facilitates information sharing, including identifying information, between the NPM and </w:t>
      </w:r>
      <w:r w:rsidR="002E7F34" w:rsidRPr="00B87415">
        <w:rPr>
          <w:i/>
          <w:iCs/>
        </w:rPr>
        <w:t>other oversight bodies</w:t>
      </w:r>
      <w:r w:rsidR="002E7F34">
        <w:t xml:space="preserve">. The meaning of </w:t>
      </w:r>
      <w:r w:rsidR="00055D71">
        <w:t>‘</w:t>
      </w:r>
      <w:r w:rsidR="002E7F34">
        <w:t>oversight bodies</w:t>
      </w:r>
      <w:r w:rsidR="00055D71">
        <w:t>’</w:t>
      </w:r>
      <w:r w:rsidR="002E7F34">
        <w:t xml:space="preserve"> is provided for in the Bill</w:t>
      </w:r>
      <w:r w:rsidR="00592A8A">
        <w:t>,</w:t>
      </w:r>
      <w:r w:rsidR="002E7F34">
        <w:t xml:space="preserve"> however whether this extends to sharing information with the UN SPT is unclear. The Northern Territory Legislative Assembly </w:t>
      </w:r>
      <w:r w:rsidR="002E7F34" w:rsidRPr="009E6BF2">
        <w:t>Social Policy Scrutiny Committee</w:t>
      </w:r>
      <w:r w:rsidR="002E7F34">
        <w:t xml:space="preserve"> previously considered the UN SPT’s access to identifying information and recommended that access be provided ‘</w:t>
      </w:r>
      <w:r w:rsidR="002E7F34" w:rsidRPr="00C2620E">
        <w:t>to ensure full compliance with Article 14(1)(a) of the Optional Protocol</w:t>
      </w:r>
      <w:r w:rsidR="000F2656">
        <w:t>’</w:t>
      </w:r>
      <w:r w:rsidR="002E7F34">
        <w:t>.</w:t>
      </w:r>
      <w:r w:rsidR="002E7F34">
        <w:rPr>
          <w:rStyle w:val="EndnoteReference"/>
        </w:rPr>
        <w:endnoteReference w:id="30"/>
      </w:r>
      <w:r w:rsidR="002E7F34">
        <w:t xml:space="preserve"> The Commission recommends the Bill be amended to clarify that the information sharing provisions also extend to the UN SPT. </w:t>
      </w:r>
    </w:p>
    <w:p w14:paraId="0BDF421D" w14:textId="516788F5" w:rsidR="008C30BC" w:rsidRDefault="002E7F34" w:rsidP="00097B13">
      <w:pPr>
        <w:pStyle w:val="ListNumber"/>
        <w:tabs>
          <w:tab w:val="clear" w:pos="360"/>
          <w:tab w:val="num" w:pos="717"/>
        </w:tabs>
        <w:ind w:left="714" w:hanging="357"/>
        <w:contextualSpacing w:val="0"/>
      </w:pPr>
      <w:r>
        <w:rPr>
          <w:b/>
          <w:bCs/>
        </w:rPr>
        <w:t>S</w:t>
      </w:r>
      <w:r w:rsidR="00C16E81">
        <w:rPr>
          <w:b/>
          <w:bCs/>
        </w:rPr>
        <w:t>eventhly</w:t>
      </w:r>
      <w:r w:rsidR="009F49AB">
        <w:t xml:space="preserve">, </w:t>
      </w:r>
      <w:r w:rsidR="005F4613">
        <w:t>recognising that OPCAT is a human rights treaty, fulfilling the NPM functions requires human rights expertise. Given that some proposed NPM bodies may not have a specific grounding in human rights law or policy, it is necessary to consider how to provide the requisite human rights training and education.</w:t>
      </w:r>
      <w:r w:rsidR="005F4613">
        <w:rPr>
          <w:rStyle w:val="EndnoteReference"/>
        </w:rPr>
        <w:endnoteReference w:id="31"/>
      </w:r>
      <w:r w:rsidR="005F4613" w:rsidRPr="0043389C">
        <w:t xml:space="preserve"> </w:t>
      </w:r>
      <w:r w:rsidR="005F4613">
        <w:t xml:space="preserve">NPM bodies </w:t>
      </w:r>
      <w:r w:rsidR="00AF19D1">
        <w:t>will also need to</w:t>
      </w:r>
      <w:r w:rsidR="005F4613">
        <w:t xml:space="preserve"> retain </w:t>
      </w:r>
      <w:r w:rsidR="005F4613">
        <w:lastRenderedPageBreak/>
        <w:t xml:space="preserve">expertise and receive training on the needs of vulnerable people in places of detention. </w:t>
      </w:r>
    </w:p>
    <w:p w14:paraId="750A208D" w14:textId="101A8095" w:rsidR="002B6BFD" w:rsidRDefault="008C30BC" w:rsidP="00097B13">
      <w:pPr>
        <w:pStyle w:val="ListNumber"/>
        <w:tabs>
          <w:tab w:val="clear" w:pos="360"/>
          <w:tab w:val="num" w:pos="717"/>
        </w:tabs>
        <w:ind w:left="714" w:hanging="357"/>
        <w:contextualSpacing w:val="0"/>
      </w:pPr>
      <w:r w:rsidRPr="008C30BC">
        <w:t>Human rights institutions, or civil society organisations and individuals with expertise in human rights and preventive detention, would be well placed to deliver this kind of training</w:t>
      </w:r>
      <w:r>
        <w:t>.</w:t>
      </w:r>
      <w:r w:rsidRPr="008C30BC">
        <w:t xml:space="preserve"> </w:t>
      </w:r>
      <w:r w:rsidRPr="0000528D">
        <w:t>The Commission</w:t>
      </w:r>
      <w:r>
        <w:t xml:space="preserve"> therefore</w:t>
      </w:r>
      <w:r w:rsidRPr="0000528D">
        <w:t xml:space="preserve"> </w:t>
      </w:r>
      <w:r>
        <w:t>recommends</w:t>
      </w:r>
      <w:r w:rsidRPr="0000528D">
        <w:t xml:space="preserve"> education and training on the human rights framework</w:t>
      </w:r>
      <w:r w:rsidR="00D815AE">
        <w:t>,</w:t>
      </w:r>
      <w:r w:rsidRPr="0000528D">
        <w:t xml:space="preserve"> of which OPCAT is a part</w:t>
      </w:r>
      <w:r w:rsidR="00D815AE">
        <w:t>,</w:t>
      </w:r>
      <w:r>
        <w:t xml:space="preserve"> be included in the resourcing considerations of the NPM.</w:t>
      </w:r>
      <w:r>
        <w:rPr>
          <w:rStyle w:val="EndnoteReference"/>
        </w:rPr>
        <w:endnoteReference w:id="32"/>
      </w:r>
    </w:p>
    <w:p w14:paraId="20BB3826" w14:textId="2A0D2D64" w:rsidR="000803C1" w:rsidRDefault="00856D96" w:rsidP="00097B13">
      <w:pPr>
        <w:pStyle w:val="ListNumber"/>
        <w:tabs>
          <w:tab w:val="clear" w:pos="360"/>
          <w:tab w:val="num" w:pos="717"/>
        </w:tabs>
        <w:ind w:left="714" w:hanging="357"/>
        <w:contextualSpacing w:val="0"/>
      </w:pPr>
      <w:r>
        <w:rPr>
          <w:b/>
          <w:bCs/>
        </w:rPr>
        <w:t>Lastly</w:t>
      </w:r>
      <w:r w:rsidR="00201B0C">
        <w:t xml:space="preserve">, </w:t>
      </w:r>
      <w:r w:rsidR="00372FD3">
        <w:t>throughout the Commission</w:t>
      </w:r>
      <w:r w:rsidR="00D815AE">
        <w:t>’</w:t>
      </w:r>
      <w:r w:rsidR="00372FD3">
        <w:t>s consultations on OPCAT</w:t>
      </w:r>
      <w:r w:rsidR="00C13C0F">
        <w:t>,</w:t>
      </w:r>
      <w:r w:rsidR="00372FD3">
        <w:t xml:space="preserve"> there was a strong theme </w:t>
      </w:r>
      <w:r w:rsidR="00C13C0F">
        <w:t xml:space="preserve">of </w:t>
      </w:r>
      <w:r w:rsidR="00372FD3">
        <w:t>the ‘importance of ongoing involvement in the OPCAT process of civil society organisations, academic and other experts and people with lived experience of detention</w:t>
      </w:r>
      <w:r w:rsidR="00D815AE">
        <w:t>’</w:t>
      </w:r>
      <w:r w:rsidR="00372FD3">
        <w:t>.</w:t>
      </w:r>
      <w:r w:rsidR="00372FD3">
        <w:rPr>
          <w:rStyle w:val="EndnoteReference"/>
        </w:rPr>
        <w:endnoteReference w:id="33"/>
      </w:r>
      <w:r w:rsidR="002808CD">
        <w:t xml:space="preserve"> </w:t>
      </w:r>
      <w:r w:rsidR="002B6BFD">
        <w:t>Both domestic and international commentators, including the</w:t>
      </w:r>
      <w:r w:rsidR="0093021A">
        <w:t xml:space="preserve"> UN</w:t>
      </w:r>
      <w:r w:rsidR="002B6BFD">
        <w:t xml:space="preserve"> SPT</w:t>
      </w:r>
      <w:r w:rsidR="002A3BED">
        <w:t xml:space="preserve"> and </w:t>
      </w:r>
      <w:r w:rsidR="00591811">
        <w:t xml:space="preserve">UN </w:t>
      </w:r>
      <w:r w:rsidR="002A3BED">
        <w:t>Committee</w:t>
      </w:r>
      <w:r w:rsidR="002B6BFD">
        <w:t xml:space="preserve"> </w:t>
      </w:r>
      <w:r w:rsidR="00591811" w:rsidRPr="00591811">
        <w:t>on the Rights of Persons with Disabilities</w:t>
      </w:r>
      <w:r w:rsidR="00866355">
        <w:t>,</w:t>
      </w:r>
      <w:r w:rsidR="00591811" w:rsidRPr="00591811">
        <w:t xml:space="preserve"> </w:t>
      </w:r>
      <w:r w:rsidR="002B6BFD">
        <w:t>have recommended strong and formal relationships be established</w:t>
      </w:r>
      <w:r w:rsidR="006A2EC3">
        <w:t xml:space="preserve"> between the NPM and civil society</w:t>
      </w:r>
      <w:r w:rsidR="002B6BFD">
        <w:t>.</w:t>
      </w:r>
      <w:r w:rsidR="003A3E63">
        <w:rPr>
          <w:rStyle w:val="EndnoteReference"/>
        </w:rPr>
        <w:endnoteReference w:id="34"/>
      </w:r>
      <w:r w:rsidR="001D1503">
        <w:t xml:space="preserve"> </w:t>
      </w:r>
    </w:p>
    <w:p w14:paraId="3AAD9C9B" w14:textId="7E59A052" w:rsidR="00464051" w:rsidRDefault="0087665F" w:rsidP="00097B13">
      <w:pPr>
        <w:pStyle w:val="ListNumber"/>
        <w:tabs>
          <w:tab w:val="clear" w:pos="360"/>
          <w:tab w:val="num" w:pos="717"/>
        </w:tabs>
        <w:ind w:left="714" w:hanging="357"/>
        <w:contextualSpacing w:val="0"/>
      </w:pPr>
      <w:r>
        <w:t>Evidence in other</w:t>
      </w:r>
      <w:r w:rsidR="00E03D16">
        <w:t xml:space="preserve"> Australian</w:t>
      </w:r>
      <w:r>
        <w:t xml:space="preserve"> jurisdictions </w:t>
      </w:r>
      <w:r w:rsidR="006A2EC3">
        <w:t>is indicative that</w:t>
      </w:r>
      <w:r>
        <w:t xml:space="preserve"> </w:t>
      </w:r>
      <w:r w:rsidR="000803C1">
        <w:t xml:space="preserve">involvement of civil society </w:t>
      </w:r>
      <w:r w:rsidR="006A2EC3">
        <w:t>is becoming common practice.</w:t>
      </w:r>
      <w:r w:rsidR="006A2EC3">
        <w:rPr>
          <w:rStyle w:val="EndnoteReference"/>
        </w:rPr>
        <w:endnoteReference w:id="35"/>
      </w:r>
      <w:r w:rsidR="008A7237">
        <w:t xml:space="preserve"> The Commission strongly encourages the continued</w:t>
      </w:r>
      <w:r w:rsidR="007B2E6E">
        <w:t xml:space="preserve"> and formalised</w:t>
      </w:r>
      <w:r w:rsidR="008A7237">
        <w:t xml:space="preserve"> involvement of civil society in the work of the </w:t>
      </w:r>
      <w:r w:rsidR="007B2E6E">
        <w:t>NPM</w:t>
      </w:r>
      <w:r w:rsidR="00CC03D7">
        <w:t xml:space="preserve"> and recommends it be included in the resourcing considerations of the NPM</w:t>
      </w:r>
      <w:r w:rsidR="007B2E6E">
        <w:t xml:space="preserve">. </w:t>
      </w:r>
    </w:p>
    <w:p w14:paraId="11DFC033" w14:textId="7324084B" w:rsidR="009F2764" w:rsidRDefault="00CF748E" w:rsidP="009E08D1">
      <w:pPr>
        <w:pStyle w:val="Heading1"/>
      </w:pPr>
      <w:bookmarkStart w:id="7" w:name="_Toc89418777"/>
      <w:r>
        <w:t>Recommendations</w:t>
      </w:r>
      <w:bookmarkEnd w:id="7"/>
    </w:p>
    <w:p w14:paraId="422D09EF" w14:textId="3AC79D49" w:rsidR="00CE1A00" w:rsidRDefault="00CE1A00" w:rsidP="00F607BD">
      <w:pPr>
        <w:pStyle w:val="ListNumber"/>
        <w:tabs>
          <w:tab w:val="clear" w:pos="360"/>
        </w:tabs>
        <w:ind w:left="1094" w:hanging="737"/>
        <w:contextualSpacing w:val="0"/>
      </w:pPr>
      <w:r>
        <w:t>The Commission makes the following</w:t>
      </w:r>
      <w:r w:rsidR="008F0B35">
        <w:t xml:space="preserve"> </w:t>
      </w:r>
      <w:r>
        <w:t>recommendation</w:t>
      </w:r>
      <w:r w:rsidR="00770EF4">
        <w:t>s</w:t>
      </w:r>
      <w:r w:rsidR="00CC52A9">
        <w:t>.</w:t>
      </w:r>
    </w:p>
    <w:p w14:paraId="0029D1AE" w14:textId="476A783A" w:rsidR="00C41235" w:rsidRPr="00C41235" w:rsidRDefault="00C41235" w:rsidP="00C41235">
      <w:pPr>
        <w:pStyle w:val="ListNumber"/>
        <w:keepNext/>
        <w:numPr>
          <w:ilvl w:val="0"/>
          <w:numId w:val="0"/>
        </w:numPr>
        <w:ind w:left="1094"/>
        <w:contextualSpacing w:val="0"/>
        <w:rPr>
          <w:b/>
          <w:bCs/>
        </w:rPr>
      </w:pPr>
      <w:r w:rsidRPr="00C41235">
        <w:rPr>
          <w:b/>
          <w:bCs/>
        </w:rPr>
        <w:t>Recommendation 1</w:t>
      </w:r>
    </w:p>
    <w:p w14:paraId="18FC94F7" w14:textId="6397FC13" w:rsidR="00C17B50" w:rsidRPr="00797540" w:rsidRDefault="00C41235" w:rsidP="008E3898">
      <w:pPr>
        <w:pStyle w:val="ListNumber"/>
        <w:numPr>
          <w:ilvl w:val="0"/>
          <w:numId w:val="0"/>
        </w:numPr>
        <w:ind w:left="1094"/>
        <w:contextualSpacing w:val="0"/>
        <w:rPr>
          <w:b/>
          <w:bCs/>
        </w:rPr>
      </w:pPr>
      <w:r>
        <w:t>The Commission recommends that</w:t>
      </w:r>
      <w:r w:rsidR="008E3898">
        <w:t xml:space="preserve"> </w:t>
      </w:r>
      <w:r w:rsidR="00D815AE">
        <w:t>proposed</w:t>
      </w:r>
      <w:r w:rsidR="00E96017">
        <w:t xml:space="preserve"> </w:t>
      </w:r>
      <w:r w:rsidR="00D815AE">
        <w:t>ss </w:t>
      </w:r>
      <w:r w:rsidR="000623B7">
        <w:t xml:space="preserve">40(1) and </w:t>
      </w:r>
      <w:r w:rsidR="00E96017">
        <w:t>(2)</w:t>
      </w:r>
      <w:r w:rsidR="00C17B50">
        <w:t xml:space="preserve"> </w:t>
      </w:r>
      <w:r w:rsidR="00E96017">
        <w:t xml:space="preserve">be amended </w:t>
      </w:r>
      <w:r w:rsidR="000623B7">
        <w:t>t</w:t>
      </w:r>
      <w:r w:rsidR="00E96017">
        <w:t>o</w:t>
      </w:r>
      <w:r w:rsidR="000623B7">
        <w:t xml:space="preserve"> include</w:t>
      </w:r>
      <w:r w:rsidR="000623B7" w:rsidRPr="000623B7">
        <w:t xml:space="preserve"> report</w:t>
      </w:r>
      <w:r w:rsidR="000623B7">
        <w:t>ing</w:t>
      </w:r>
      <w:r w:rsidR="000623B7" w:rsidRPr="000623B7">
        <w:t xml:space="preserve"> on the extent to which government and relevant authorities </w:t>
      </w:r>
      <w:r w:rsidR="0094363A" w:rsidRPr="0094363A">
        <w:t>are protecting detainee human rights; whether law, policy and procedures reflect best practice standards, and whether recommendations made by the NPM are being implemented</w:t>
      </w:r>
      <w:r w:rsidR="0094363A">
        <w:t>.</w:t>
      </w:r>
    </w:p>
    <w:p w14:paraId="6D2BF114" w14:textId="275A18C0" w:rsidR="00797540" w:rsidRPr="00C41235" w:rsidRDefault="00797540" w:rsidP="00797540">
      <w:pPr>
        <w:pStyle w:val="ListNumber"/>
        <w:keepNext/>
        <w:numPr>
          <w:ilvl w:val="0"/>
          <w:numId w:val="0"/>
        </w:numPr>
        <w:ind w:left="1094"/>
        <w:contextualSpacing w:val="0"/>
        <w:rPr>
          <w:b/>
          <w:bCs/>
        </w:rPr>
      </w:pPr>
      <w:r w:rsidRPr="00C41235">
        <w:rPr>
          <w:b/>
          <w:bCs/>
        </w:rPr>
        <w:t xml:space="preserve">Recommendation </w:t>
      </w:r>
      <w:r>
        <w:rPr>
          <w:b/>
          <w:bCs/>
        </w:rPr>
        <w:t>2</w:t>
      </w:r>
    </w:p>
    <w:p w14:paraId="564122FF" w14:textId="2E93076A" w:rsidR="00797540" w:rsidRPr="00797540" w:rsidRDefault="00797540" w:rsidP="008E3898">
      <w:pPr>
        <w:pStyle w:val="ListNumber"/>
        <w:numPr>
          <w:ilvl w:val="0"/>
          <w:numId w:val="0"/>
        </w:numPr>
        <w:ind w:left="1094"/>
        <w:contextualSpacing w:val="0"/>
        <w:rPr>
          <w:b/>
          <w:bCs/>
        </w:rPr>
      </w:pPr>
      <w:r>
        <w:t>The Commission recommends that</w:t>
      </w:r>
      <w:r w:rsidR="008E3898">
        <w:t xml:space="preserve"> </w:t>
      </w:r>
      <w:r w:rsidR="008F5825">
        <w:t>proposed s </w:t>
      </w:r>
      <w:r>
        <w:t>40(</w:t>
      </w:r>
      <w:r w:rsidR="006C5FA1">
        <w:t>4)</w:t>
      </w:r>
      <w:r>
        <w:t xml:space="preserve"> be amended to </w:t>
      </w:r>
      <w:r w:rsidR="006C5FA1">
        <w:t>require the Minister to table</w:t>
      </w:r>
      <w:r w:rsidR="007A3338">
        <w:t xml:space="preserve"> in the Legislative Assembly a response to any recommendation made</w:t>
      </w:r>
      <w:r w:rsidR="0036797F">
        <w:t xml:space="preserve"> by the NP</w:t>
      </w:r>
      <w:r w:rsidR="001E3F94">
        <w:t>M</w:t>
      </w:r>
      <w:r w:rsidR="0036797F">
        <w:t xml:space="preserve">, no later than six months after </w:t>
      </w:r>
      <w:r w:rsidR="001E3F94">
        <w:t>a</w:t>
      </w:r>
      <w:r w:rsidR="009637FC">
        <w:t xml:space="preserve"> report is table</w:t>
      </w:r>
      <w:r w:rsidR="00C74AEC">
        <w:t>d</w:t>
      </w:r>
      <w:r w:rsidR="009637FC">
        <w:t xml:space="preserve"> </w:t>
      </w:r>
      <w:r w:rsidR="008F5825">
        <w:t>pursuant to s </w:t>
      </w:r>
      <w:r w:rsidR="00C74AEC">
        <w:t xml:space="preserve">40(3). </w:t>
      </w:r>
    </w:p>
    <w:p w14:paraId="4CF0A16A" w14:textId="77039C87" w:rsidR="007405ED" w:rsidRPr="00DB7FDD" w:rsidRDefault="007405ED" w:rsidP="00DB3CFC">
      <w:pPr>
        <w:pStyle w:val="ListNumber"/>
        <w:keepNext/>
        <w:numPr>
          <w:ilvl w:val="0"/>
          <w:numId w:val="0"/>
        </w:numPr>
        <w:ind w:left="1134"/>
        <w:contextualSpacing w:val="0"/>
        <w:rPr>
          <w:b/>
          <w:bCs/>
        </w:rPr>
      </w:pPr>
      <w:r w:rsidRPr="00DB7FDD">
        <w:rPr>
          <w:b/>
          <w:bCs/>
        </w:rPr>
        <w:lastRenderedPageBreak/>
        <w:t xml:space="preserve">Recommendation </w:t>
      </w:r>
      <w:r w:rsidR="00797540">
        <w:rPr>
          <w:b/>
          <w:bCs/>
        </w:rPr>
        <w:t>3</w:t>
      </w:r>
    </w:p>
    <w:p w14:paraId="3D7E9F5A" w14:textId="48B52266" w:rsidR="006627E5" w:rsidRDefault="003728C0" w:rsidP="00E906A8">
      <w:pPr>
        <w:pStyle w:val="ListNumber"/>
        <w:numPr>
          <w:ilvl w:val="0"/>
          <w:numId w:val="0"/>
        </w:numPr>
        <w:ind w:left="1094"/>
        <w:contextualSpacing w:val="0"/>
      </w:pPr>
      <w:r>
        <w:t>The Commission recommends that</w:t>
      </w:r>
      <w:r w:rsidR="008E3898">
        <w:t xml:space="preserve"> </w:t>
      </w:r>
      <w:r w:rsidR="008F5825">
        <w:t>proposed s </w:t>
      </w:r>
      <w:r w:rsidR="0079295F">
        <w:t>22</w:t>
      </w:r>
      <w:r>
        <w:t xml:space="preserve">(1) be amended to </w:t>
      </w:r>
      <w:r w:rsidR="00E57DE2">
        <w:t>implement</w:t>
      </w:r>
      <w:r w:rsidR="0079295F">
        <w:t xml:space="preserve"> Article 18</w:t>
      </w:r>
      <w:r w:rsidR="00E57DE2">
        <w:t>(2)</w:t>
      </w:r>
      <w:r w:rsidR="0079295F">
        <w:t xml:space="preserve"> of OPCAT. Special attention should be made to ensuring </w:t>
      </w:r>
      <w:r w:rsidR="00820082">
        <w:t xml:space="preserve">NPMs </w:t>
      </w:r>
      <w:r w:rsidR="006627E5">
        <w:t xml:space="preserve">attract, </w:t>
      </w:r>
      <w:r w:rsidR="00ED4479">
        <w:t>employ,</w:t>
      </w:r>
      <w:r w:rsidR="00820082">
        <w:t xml:space="preserve"> and retain</w:t>
      </w:r>
      <w:r w:rsidR="00E906A8">
        <w:t xml:space="preserve"> </w:t>
      </w:r>
      <w:r w:rsidR="00E57DE2">
        <w:t>s</w:t>
      </w:r>
      <w:r w:rsidR="006627E5">
        <w:t xml:space="preserve">taff from an </w:t>
      </w:r>
      <w:r w:rsidR="00820082">
        <w:t xml:space="preserve">Aboriginal and Torres Strait Islander </w:t>
      </w:r>
      <w:r w:rsidR="006627E5">
        <w:t>background</w:t>
      </w:r>
      <w:r w:rsidR="00E906A8">
        <w:t xml:space="preserve"> and </w:t>
      </w:r>
      <w:r w:rsidR="00E57DE2">
        <w:t>s</w:t>
      </w:r>
      <w:r w:rsidR="006627E5" w:rsidRPr="006627E5">
        <w:t>taff</w:t>
      </w:r>
      <w:r w:rsidR="006627E5">
        <w:t xml:space="preserve"> with lived </w:t>
      </w:r>
      <w:r w:rsidR="00B758EF">
        <w:t xml:space="preserve">disability experience. </w:t>
      </w:r>
    </w:p>
    <w:p w14:paraId="4561F6DE" w14:textId="047F5FC7" w:rsidR="00282BED" w:rsidRPr="00C41235" w:rsidRDefault="00282BED" w:rsidP="00282BED">
      <w:pPr>
        <w:pStyle w:val="ListNumber"/>
        <w:keepNext/>
        <w:numPr>
          <w:ilvl w:val="0"/>
          <w:numId w:val="0"/>
        </w:numPr>
        <w:ind w:left="1094"/>
        <w:contextualSpacing w:val="0"/>
        <w:rPr>
          <w:b/>
          <w:bCs/>
        </w:rPr>
      </w:pPr>
      <w:bookmarkStart w:id="8" w:name="_Hlk94530191"/>
      <w:r w:rsidRPr="00C41235">
        <w:rPr>
          <w:b/>
          <w:bCs/>
        </w:rPr>
        <w:t xml:space="preserve">Recommendation </w:t>
      </w:r>
      <w:r>
        <w:rPr>
          <w:b/>
          <w:bCs/>
        </w:rPr>
        <w:t>4</w:t>
      </w:r>
    </w:p>
    <w:p w14:paraId="59D2D513" w14:textId="77777777" w:rsidR="00E906A8" w:rsidRDefault="00282BED" w:rsidP="00E906A8">
      <w:pPr>
        <w:pStyle w:val="ListNumber"/>
        <w:numPr>
          <w:ilvl w:val="0"/>
          <w:numId w:val="0"/>
        </w:numPr>
        <w:ind w:left="1094"/>
        <w:contextualSpacing w:val="0"/>
      </w:pPr>
      <w:r>
        <w:t>The Commission recommends that</w:t>
      </w:r>
      <w:bookmarkEnd w:id="8"/>
      <w:r w:rsidR="008E3898">
        <w:t xml:space="preserve"> t</w:t>
      </w:r>
      <w:r w:rsidR="008E3898">
        <w:t xml:space="preserve">he </w:t>
      </w:r>
      <w:r w:rsidR="00701F0A">
        <w:t xml:space="preserve">Office of the Children’s Commissioner Northern Territory be designated </w:t>
      </w:r>
      <w:r w:rsidR="00D45463">
        <w:t>an</w:t>
      </w:r>
      <w:r w:rsidR="00701F0A">
        <w:t xml:space="preserve"> </w:t>
      </w:r>
      <w:r w:rsidR="00D45463">
        <w:t xml:space="preserve">NPM with </w:t>
      </w:r>
      <w:r w:rsidR="003E636F">
        <w:t xml:space="preserve">responsibility and jurisdiction to monitor all institutions within the Northern Territory where </w:t>
      </w:r>
      <w:r w:rsidR="003E636F" w:rsidRPr="003E636F">
        <w:t>children and young people are</w:t>
      </w:r>
      <w:r w:rsidR="003E636F">
        <w:t xml:space="preserve"> or may be</w:t>
      </w:r>
      <w:r w:rsidR="003E636F" w:rsidRPr="003E636F">
        <w:t xml:space="preserve"> detained</w:t>
      </w:r>
      <w:r w:rsidR="003E636F">
        <w:t xml:space="preserve">. </w:t>
      </w:r>
    </w:p>
    <w:p w14:paraId="27F6CEF1" w14:textId="1D79843D" w:rsidR="00282BED" w:rsidRPr="00C16E81" w:rsidRDefault="00D50694" w:rsidP="00E906A8">
      <w:pPr>
        <w:pStyle w:val="ListNumber"/>
        <w:numPr>
          <w:ilvl w:val="0"/>
          <w:numId w:val="0"/>
        </w:numPr>
        <w:ind w:left="1094"/>
        <w:contextualSpacing w:val="0"/>
        <w:rPr>
          <w:b/>
          <w:bCs/>
        </w:rPr>
      </w:pPr>
      <w:r w:rsidRPr="00D50694">
        <w:t>The Office of the Children’s Commissioner Northern Territory</w:t>
      </w:r>
      <w:r w:rsidR="00282BED">
        <w:t xml:space="preserve"> </w:t>
      </w:r>
      <w:r>
        <w:t xml:space="preserve">should </w:t>
      </w:r>
      <w:r w:rsidR="00686F6F">
        <w:t xml:space="preserve">work collaboratively with the Chief NPM and other NPMs in the exercise of this function. </w:t>
      </w:r>
    </w:p>
    <w:p w14:paraId="64157541" w14:textId="625FE7B5" w:rsidR="00F24BDE" w:rsidRPr="00C41235" w:rsidRDefault="00F24BDE" w:rsidP="00F24BDE">
      <w:pPr>
        <w:pStyle w:val="ListNumber"/>
        <w:keepNext/>
        <w:numPr>
          <w:ilvl w:val="0"/>
          <w:numId w:val="0"/>
        </w:numPr>
        <w:ind w:left="1094"/>
        <w:contextualSpacing w:val="0"/>
        <w:rPr>
          <w:b/>
          <w:bCs/>
        </w:rPr>
      </w:pPr>
      <w:r w:rsidRPr="00C41235">
        <w:rPr>
          <w:b/>
          <w:bCs/>
        </w:rPr>
        <w:t xml:space="preserve">Recommendation </w:t>
      </w:r>
      <w:r>
        <w:rPr>
          <w:b/>
          <w:bCs/>
        </w:rPr>
        <w:t>5</w:t>
      </w:r>
    </w:p>
    <w:p w14:paraId="36141C8F" w14:textId="3B6FA101" w:rsidR="00C16E81" w:rsidRPr="00B440FA" w:rsidRDefault="00F24BDE" w:rsidP="00E906A8">
      <w:pPr>
        <w:pStyle w:val="ListNumber"/>
        <w:numPr>
          <w:ilvl w:val="0"/>
          <w:numId w:val="0"/>
        </w:numPr>
        <w:ind w:left="1094"/>
        <w:contextualSpacing w:val="0"/>
        <w:rPr>
          <w:b/>
          <w:bCs/>
        </w:rPr>
      </w:pPr>
      <w:r>
        <w:t>The Commission recommends that</w:t>
      </w:r>
      <w:r w:rsidR="00E906A8">
        <w:t xml:space="preserve"> </w:t>
      </w:r>
      <w:r w:rsidR="00E57DE2">
        <w:t>proposed</w:t>
      </w:r>
      <w:r>
        <w:t xml:space="preserve"> </w:t>
      </w:r>
      <w:r w:rsidR="00E57DE2">
        <w:t>s </w:t>
      </w:r>
      <w:r w:rsidR="008937A8">
        <w:t>3</w:t>
      </w:r>
      <w:r w:rsidR="00E57DE2">
        <w:t>3</w:t>
      </w:r>
      <w:r>
        <w:t>(</w:t>
      </w:r>
      <w:r w:rsidR="008937A8">
        <w:t>4</w:t>
      </w:r>
      <w:r>
        <w:t>) be amend</w:t>
      </w:r>
      <w:r w:rsidR="006B169D">
        <w:t>ed</w:t>
      </w:r>
      <w:r>
        <w:t xml:space="preserve"> to </w:t>
      </w:r>
      <w:r w:rsidR="00EF1CA8">
        <w:t xml:space="preserve">require the Minister or detaining authority to provide the </w:t>
      </w:r>
      <w:r w:rsidR="00EF1CA8" w:rsidRPr="00EF1CA8">
        <w:t xml:space="preserve">NPM </w:t>
      </w:r>
      <w:r w:rsidR="006B169D">
        <w:t>written</w:t>
      </w:r>
      <w:r w:rsidR="00316B01">
        <w:t xml:space="preserve"> notice</w:t>
      </w:r>
      <w:r w:rsidR="006303C0">
        <w:t xml:space="preserve"> </w:t>
      </w:r>
      <w:r w:rsidR="00E57DE2">
        <w:t xml:space="preserve">of </w:t>
      </w:r>
      <w:r w:rsidR="006303C0">
        <w:t>an</w:t>
      </w:r>
      <w:r w:rsidR="006B169D">
        <w:t xml:space="preserve"> </w:t>
      </w:r>
      <w:r w:rsidR="006303C0">
        <w:t>objection</w:t>
      </w:r>
      <w:r w:rsidR="006B169D">
        <w:t xml:space="preserve"> to a visit</w:t>
      </w:r>
      <w:r w:rsidR="00316B01">
        <w:t xml:space="preserve"> including</w:t>
      </w:r>
      <w:r w:rsidR="00E906A8">
        <w:t xml:space="preserve"> </w:t>
      </w:r>
      <w:r w:rsidR="00EF1CA8" w:rsidRPr="00EF1CA8">
        <w:t xml:space="preserve">why the objection was made and the period </w:t>
      </w:r>
      <w:r w:rsidR="007C6CE9">
        <w:t>for</w:t>
      </w:r>
      <w:r w:rsidR="007C6CE9" w:rsidRPr="00EF1CA8">
        <w:t xml:space="preserve"> </w:t>
      </w:r>
      <w:r w:rsidR="00EF1CA8" w:rsidRPr="00EF1CA8">
        <w:t xml:space="preserve">which the temporary restriction </w:t>
      </w:r>
      <w:r w:rsidR="007C6CE9">
        <w:t>will remain</w:t>
      </w:r>
      <w:r w:rsidR="007C6CE9" w:rsidRPr="00EF1CA8">
        <w:t xml:space="preserve"> </w:t>
      </w:r>
      <w:r w:rsidR="00EF1CA8" w:rsidRPr="00EF1CA8">
        <w:t>in place</w:t>
      </w:r>
      <w:r w:rsidR="006303C0">
        <w:t>.</w:t>
      </w:r>
    </w:p>
    <w:p w14:paraId="32D36D3B" w14:textId="13B4CB02" w:rsidR="008C30BC" w:rsidRPr="00C41235" w:rsidRDefault="008C30BC" w:rsidP="008C30BC">
      <w:pPr>
        <w:pStyle w:val="ListNumber"/>
        <w:keepNext/>
        <w:numPr>
          <w:ilvl w:val="0"/>
          <w:numId w:val="0"/>
        </w:numPr>
        <w:ind w:left="1094"/>
        <w:contextualSpacing w:val="0"/>
        <w:rPr>
          <w:b/>
          <w:bCs/>
        </w:rPr>
      </w:pPr>
      <w:r w:rsidRPr="00C41235">
        <w:rPr>
          <w:b/>
          <w:bCs/>
        </w:rPr>
        <w:t xml:space="preserve">Recommendation </w:t>
      </w:r>
      <w:r w:rsidR="00C16E81">
        <w:rPr>
          <w:b/>
          <w:bCs/>
        </w:rPr>
        <w:t>6</w:t>
      </w:r>
    </w:p>
    <w:p w14:paraId="5C5137B8" w14:textId="7E75CABD" w:rsidR="008C30BC" w:rsidRPr="002E7F34" w:rsidRDefault="008C30BC" w:rsidP="00E906A8">
      <w:pPr>
        <w:pStyle w:val="ListNumber"/>
        <w:numPr>
          <w:ilvl w:val="0"/>
          <w:numId w:val="0"/>
        </w:numPr>
        <w:ind w:left="1094"/>
        <w:contextualSpacing w:val="0"/>
        <w:rPr>
          <w:b/>
          <w:bCs/>
        </w:rPr>
      </w:pPr>
      <w:r>
        <w:t>The Commission recommends that</w:t>
      </w:r>
      <w:r w:rsidR="00E906A8">
        <w:t xml:space="preserve"> </w:t>
      </w:r>
      <w:r w:rsidR="00C60540">
        <w:t>proposed s </w:t>
      </w:r>
      <w:r w:rsidR="00AA736E">
        <w:t>44(1) be amend</w:t>
      </w:r>
      <w:r w:rsidR="006B169D">
        <w:t>ed</w:t>
      </w:r>
      <w:r w:rsidR="00AA736E">
        <w:t xml:space="preserve"> to explicitly include the UN SPT</w:t>
      </w:r>
      <w:r w:rsidR="006155A9">
        <w:t>.</w:t>
      </w:r>
    </w:p>
    <w:p w14:paraId="687C9948" w14:textId="48715397" w:rsidR="002E7F34" w:rsidRPr="00C41235" w:rsidRDefault="002E7F34" w:rsidP="002E7F34">
      <w:pPr>
        <w:pStyle w:val="ListNumber"/>
        <w:keepNext/>
        <w:numPr>
          <w:ilvl w:val="0"/>
          <w:numId w:val="0"/>
        </w:numPr>
        <w:ind w:left="1094"/>
        <w:contextualSpacing w:val="0"/>
        <w:rPr>
          <w:b/>
          <w:bCs/>
        </w:rPr>
      </w:pPr>
      <w:r w:rsidRPr="00C41235">
        <w:rPr>
          <w:b/>
          <w:bCs/>
        </w:rPr>
        <w:t xml:space="preserve">Recommendation </w:t>
      </w:r>
      <w:r w:rsidR="00C16E81">
        <w:rPr>
          <w:b/>
          <w:bCs/>
        </w:rPr>
        <w:t>7</w:t>
      </w:r>
    </w:p>
    <w:p w14:paraId="28C07B61" w14:textId="23D80286" w:rsidR="002E7F34" w:rsidRPr="00572B09" w:rsidRDefault="002E7F34" w:rsidP="00E906A8">
      <w:pPr>
        <w:pStyle w:val="ListNumber"/>
        <w:numPr>
          <w:ilvl w:val="0"/>
          <w:numId w:val="0"/>
        </w:numPr>
        <w:ind w:left="1094"/>
        <w:contextualSpacing w:val="0"/>
        <w:rPr>
          <w:b/>
          <w:bCs/>
        </w:rPr>
      </w:pPr>
      <w:r>
        <w:t>The Commission recommends that</w:t>
      </w:r>
      <w:r w:rsidR="00E906A8">
        <w:t xml:space="preserve"> t</w:t>
      </w:r>
      <w:r>
        <w:t xml:space="preserve">he NPM be adequately resourced to undertake </w:t>
      </w:r>
      <w:r w:rsidRPr="008C30BC">
        <w:t>human rights training and education</w:t>
      </w:r>
      <w:r>
        <w:t xml:space="preserve"> on an ongoing basis. </w:t>
      </w:r>
    </w:p>
    <w:p w14:paraId="1185CD2F" w14:textId="1E001A71" w:rsidR="00572B09" w:rsidRPr="00C41235" w:rsidRDefault="00572B09" w:rsidP="00572B09">
      <w:pPr>
        <w:pStyle w:val="ListNumber"/>
        <w:keepNext/>
        <w:numPr>
          <w:ilvl w:val="0"/>
          <w:numId w:val="0"/>
        </w:numPr>
        <w:ind w:left="1094"/>
        <w:contextualSpacing w:val="0"/>
        <w:rPr>
          <w:b/>
          <w:bCs/>
        </w:rPr>
      </w:pPr>
      <w:r w:rsidRPr="00C41235">
        <w:rPr>
          <w:b/>
          <w:bCs/>
        </w:rPr>
        <w:t xml:space="preserve">Recommendation </w:t>
      </w:r>
      <w:r w:rsidR="00E23DD3">
        <w:rPr>
          <w:b/>
          <w:bCs/>
        </w:rPr>
        <w:t>8</w:t>
      </w:r>
    </w:p>
    <w:p w14:paraId="5B50C042" w14:textId="657D5436" w:rsidR="00572B09" w:rsidRPr="008C30BC" w:rsidRDefault="00572B09" w:rsidP="00AC4FA7">
      <w:pPr>
        <w:pStyle w:val="ListNumber"/>
        <w:numPr>
          <w:ilvl w:val="0"/>
          <w:numId w:val="0"/>
        </w:numPr>
        <w:ind w:left="1094"/>
        <w:contextualSpacing w:val="0"/>
        <w:rPr>
          <w:b/>
          <w:bCs/>
        </w:rPr>
      </w:pPr>
      <w:r>
        <w:t>The Commission recommends that</w:t>
      </w:r>
      <w:r w:rsidR="00E906A8">
        <w:t xml:space="preserve"> t</w:t>
      </w:r>
      <w:r>
        <w:t>he NPM</w:t>
      </w:r>
      <w:r w:rsidR="00EE1C48">
        <w:t xml:space="preserve"> be adequately resourced to</w:t>
      </w:r>
      <w:r>
        <w:t xml:space="preserve"> establish </w:t>
      </w:r>
      <w:r w:rsidR="00EE1C48">
        <w:t>formal and ongoing</w:t>
      </w:r>
      <w:r>
        <w:t xml:space="preserve"> relationships with civil society</w:t>
      </w:r>
      <w:r w:rsidR="00A25086">
        <w:t xml:space="preserve">. </w:t>
      </w:r>
      <w:r>
        <w:t xml:space="preserve"> </w:t>
      </w:r>
    </w:p>
    <w:p w14:paraId="1CBFCC33" w14:textId="77777777" w:rsidR="00572B09" w:rsidRPr="008C30BC" w:rsidRDefault="00572B09" w:rsidP="00A25086">
      <w:pPr>
        <w:pStyle w:val="ListNumber"/>
        <w:numPr>
          <w:ilvl w:val="0"/>
          <w:numId w:val="0"/>
        </w:numPr>
        <w:contextualSpacing w:val="0"/>
        <w:rPr>
          <w:b/>
          <w:bCs/>
        </w:rPr>
      </w:pPr>
    </w:p>
    <w:p w14:paraId="28B5FB76" w14:textId="77777777" w:rsidR="002E7F34" w:rsidRPr="008C30BC" w:rsidRDefault="002E7F34" w:rsidP="002E7F34">
      <w:pPr>
        <w:pStyle w:val="ListNumber"/>
        <w:numPr>
          <w:ilvl w:val="0"/>
          <w:numId w:val="0"/>
        </w:numPr>
        <w:ind w:left="360" w:hanging="360"/>
        <w:contextualSpacing w:val="0"/>
        <w:rPr>
          <w:b/>
          <w:bCs/>
        </w:rPr>
      </w:pPr>
    </w:p>
    <w:p w14:paraId="07D65AB1" w14:textId="77777777" w:rsidR="00282BED" w:rsidRPr="006627E5" w:rsidRDefault="00282BED" w:rsidP="00A25086">
      <w:pPr>
        <w:pStyle w:val="ListNumber"/>
        <w:numPr>
          <w:ilvl w:val="0"/>
          <w:numId w:val="0"/>
        </w:numPr>
        <w:contextualSpacing w:val="0"/>
      </w:pPr>
    </w:p>
    <w:p w14:paraId="3F7B78AB" w14:textId="4B8F51A4" w:rsidR="007F1B1F" w:rsidRPr="007F1B1F" w:rsidRDefault="007F1B1F" w:rsidP="007F1B1F">
      <w:pPr>
        <w:pStyle w:val="ListNumber"/>
        <w:numPr>
          <w:ilvl w:val="0"/>
          <w:numId w:val="0"/>
        </w:numPr>
        <w:ind w:left="360" w:hanging="360"/>
        <w:contextualSpacing w:val="0"/>
        <w:rPr>
          <w:b/>
          <w:bCs/>
          <w:sz w:val="28"/>
          <w:szCs w:val="28"/>
        </w:rPr>
      </w:pPr>
      <w:r w:rsidRPr="007F1B1F">
        <w:rPr>
          <w:b/>
          <w:bCs/>
          <w:sz w:val="28"/>
          <w:szCs w:val="28"/>
        </w:rPr>
        <w:t>Endnotes</w:t>
      </w:r>
    </w:p>
    <w:sectPr w:rsidR="007F1B1F" w:rsidRPr="007F1B1F" w:rsidSect="00460EE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95AA" w14:textId="77777777" w:rsidR="00EE77EF" w:rsidRDefault="00EE77EF" w:rsidP="00F14C6D">
      <w:r>
        <w:separator/>
      </w:r>
    </w:p>
  </w:endnote>
  <w:endnote w:type="continuationSeparator" w:id="0">
    <w:p w14:paraId="23EEBD0D" w14:textId="77777777" w:rsidR="00EE77EF" w:rsidRDefault="00EE77EF" w:rsidP="00F14C6D">
      <w:r>
        <w:continuationSeparator/>
      </w:r>
    </w:p>
  </w:endnote>
  <w:endnote w:id="1">
    <w:p w14:paraId="3FA906D4" w14:textId="77777777" w:rsidR="004D0CB1" w:rsidRPr="00882661" w:rsidRDefault="004D0CB1" w:rsidP="004D0CB1">
      <w:pPr>
        <w:pStyle w:val="EndnoteText"/>
      </w:pPr>
      <w:r>
        <w:rPr>
          <w:rStyle w:val="EndnoteReference"/>
        </w:rPr>
        <w:endnoteRef/>
      </w:r>
      <w:r>
        <w:t xml:space="preserve"> Australian Human Rights Commission, </w:t>
      </w:r>
      <w:r w:rsidRPr="00882661">
        <w:rPr>
          <w:i/>
          <w:iCs/>
        </w:rPr>
        <w:t>Implementing OPCAT in Australia</w:t>
      </w:r>
      <w:r>
        <w:t xml:space="preserve">, 29 June 2020, </w:t>
      </w:r>
      <w:hyperlink r:id="rId1" w:history="1">
        <w:r w:rsidRPr="00E7292B">
          <w:rPr>
            <w:rStyle w:val="Hyperlink"/>
          </w:rPr>
          <w:t>https://humanrights.gov.au/our-work/rights-and-freedoms/publications/implementing-opcat-australia-2020</w:t>
        </w:r>
      </w:hyperlink>
      <w:r>
        <w:t xml:space="preserve"> </w:t>
      </w:r>
    </w:p>
  </w:endnote>
  <w:endnote w:id="2">
    <w:p w14:paraId="13A4EAD8" w14:textId="77777777" w:rsidR="009519FC" w:rsidRPr="0033545E" w:rsidRDefault="009519FC" w:rsidP="009519FC">
      <w:pPr>
        <w:pStyle w:val="EndnoteText"/>
      </w:pPr>
      <w:r>
        <w:rPr>
          <w:rStyle w:val="EndnoteReference"/>
        </w:rPr>
        <w:endnoteRef/>
      </w:r>
      <w:r>
        <w:t xml:space="preserve"> Legislative Assembly of the Northern Territory, </w:t>
      </w:r>
      <w:r w:rsidRPr="00827BCA">
        <w:t>Debates Day 6 - 23 August 2018</w:t>
      </w:r>
      <w:r>
        <w:t xml:space="preserve">, </w:t>
      </w:r>
      <w:r w:rsidRPr="00827BCA">
        <w:rPr>
          <w:i/>
          <w:iCs/>
        </w:rPr>
        <w:t xml:space="preserve">13th Assembly 2016 </w:t>
      </w:r>
      <w:r>
        <w:rPr>
          <w:i/>
          <w:iCs/>
        </w:rPr>
        <w:t>–</w:t>
      </w:r>
      <w:r w:rsidRPr="00827BCA">
        <w:rPr>
          <w:i/>
          <w:iCs/>
        </w:rPr>
        <w:t xml:space="preserve"> 2020</w:t>
      </w:r>
      <w:r>
        <w:rPr>
          <w:i/>
          <w:iCs/>
        </w:rPr>
        <w:t xml:space="preserve"> </w:t>
      </w:r>
      <w:r>
        <w:t xml:space="preserve">[4407], </w:t>
      </w:r>
      <w:hyperlink r:id="rId2" w:history="1">
        <w:r w:rsidRPr="00E7292B">
          <w:rPr>
            <w:rStyle w:val="Hyperlink"/>
          </w:rPr>
          <w:t>https://hdl.handle.net/10070/376458</w:t>
        </w:r>
      </w:hyperlink>
      <w:r>
        <w:t xml:space="preserve"> </w:t>
      </w:r>
    </w:p>
  </w:endnote>
  <w:endnote w:id="3">
    <w:p w14:paraId="38D226E7" w14:textId="77777777" w:rsidR="009519FC" w:rsidRDefault="009519FC" w:rsidP="009519FC">
      <w:pPr>
        <w:pStyle w:val="EndnoteText"/>
      </w:pPr>
      <w:r>
        <w:rPr>
          <w:rStyle w:val="EndnoteReference"/>
        </w:rPr>
        <w:endnoteRef/>
      </w:r>
      <w:r>
        <w:t xml:space="preserve"> </w:t>
      </w:r>
      <w:r w:rsidRPr="00233E63">
        <w:t>Michael Manthorpe</w:t>
      </w:r>
      <w:r>
        <w:t xml:space="preserve"> (</w:t>
      </w:r>
      <w:r w:rsidRPr="00233E63">
        <w:t>Commonwealth Ombudsman</w:t>
      </w:r>
      <w:r>
        <w:t xml:space="preserve">), 15 June 2021, </w:t>
      </w:r>
      <w:r w:rsidRPr="0048335A">
        <w:rPr>
          <w:i/>
          <w:iCs/>
        </w:rPr>
        <w:t>10th Annual Prisons Conference Presentation by Michael Manthorpe PSM, Commonwealth Ombudsman ‘The Implementation of OPCAT in Australia and challenges for detention inspections in a COVID-19 world’</w:t>
      </w:r>
      <w:r>
        <w:t xml:space="preserve">, </w:t>
      </w:r>
      <w:hyperlink r:id="rId3" w:history="1">
        <w:r w:rsidRPr="00E7292B">
          <w:rPr>
            <w:rStyle w:val="Hyperlink"/>
          </w:rPr>
          <w:t>https://www.ombudsman.gov.au/__data/assets/pdf_file/0015/112533/Prisons-2021-speech-FINAL-A2174238.pdf</w:t>
        </w:r>
      </w:hyperlink>
      <w:r>
        <w:t xml:space="preserve"> </w:t>
      </w:r>
    </w:p>
  </w:endnote>
  <w:endnote w:id="4">
    <w:p w14:paraId="332EAC65" w14:textId="0B8EF845" w:rsidR="008D3D0E" w:rsidRDefault="008D3D0E">
      <w:pPr>
        <w:pStyle w:val="EndnoteText"/>
      </w:pPr>
      <w:r>
        <w:rPr>
          <w:rStyle w:val="EndnoteReference"/>
        </w:rPr>
        <w:endnoteRef/>
      </w:r>
      <w:r>
        <w:t xml:space="preserve"> Australian Human Rights Commission, </w:t>
      </w:r>
      <w:r w:rsidRPr="00882661">
        <w:rPr>
          <w:i/>
          <w:iCs/>
        </w:rPr>
        <w:t>Implementing OPCAT in Australia</w:t>
      </w:r>
      <w:r>
        <w:t xml:space="preserve">, 29 June 2020, </w:t>
      </w:r>
      <w:r w:rsidR="00A96732">
        <w:t xml:space="preserve">p </w:t>
      </w:r>
      <w:r w:rsidR="009519FC">
        <w:t xml:space="preserve">55 </w:t>
      </w:r>
      <w:hyperlink r:id="rId4" w:history="1">
        <w:r w:rsidR="009519FC" w:rsidRPr="00817122">
          <w:rPr>
            <w:rStyle w:val="Hyperlink"/>
          </w:rPr>
          <w:t>https://humanrights.gov.au/our-work/rights-and-freedoms/publications/implementing-opcat-australia-2020</w:t>
        </w:r>
      </w:hyperlink>
    </w:p>
  </w:endnote>
  <w:endnote w:id="5">
    <w:p w14:paraId="6316101F" w14:textId="3A055A98" w:rsidR="00BF1542" w:rsidRDefault="00BF1542">
      <w:pPr>
        <w:pStyle w:val="EndnoteText"/>
      </w:pPr>
      <w:r>
        <w:rPr>
          <w:rStyle w:val="EndnoteReference"/>
        </w:rPr>
        <w:endnoteRef/>
      </w:r>
      <w:r>
        <w:t xml:space="preserve"> Article 19(2)</w:t>
      </w:r>
      <w:r w:rsidR="002923BD">
        <w:t>, OPCAT</w:t>
      </w:r>
      <w:r w:rsidR="00931C92">
        <w:t>;</w:t>
      </w:r>
      <w:r w:rsidR="009A01DA">
        <w:t xml:space="preserve"> proposed </w:t>
      </w:r>
      <w:r w:rsidR="00AD296F">
        <w:t>s16(2)(a)</w:t>
      </w:r>
    </w:p>
  </w:endnote>
  <w:endnote w:id="6">
    <w:p w14:paraId="513CFA61" w14:textId="4BBEC614" w:rsidR="00C8148B" w:rsidRDefault="00C8148B">
      <w:pPr>
        <w:pStyle w:val="EndnoteText"/>
      </w:pPr>
      <w:r>
        <w:rPr>
          <w:rStyle w:val="EndnoteReference"/>
        </w:rPr>
        <w:endnoteRef/>
      </w:r>
      <w:r>
        <w:t xml:space="preserve"> Articles </w:t>
      </w:r>
      <w:r w:rsidR="0093163D" w:rsidRPr="001D3C93">
        <w:t>12(a), 14(c)</w:t>
      </w:r>
      <w:r w:rsidR="0093163D">
        <w:t xml:space="preserve">, 19(a), </w:t>
      </w:r>
      <w:r w:rsidR="0093163D" w:rsidRPr="001D3C93">
        <w:t>20(c)</w:t>
      </w:r>
      <w:r w:rsidR="0093163D">
        <w:t xml:space="preserve"> and 20(d)</w:t>
      </w:r>
      <w:r w:rsidR="002923BD">
        <w:t>, OPCAT</w:t>
      </w:r>
      <w:r w:rsidR="00065F25">
        <w:t>;</w:t>
      </w:r>
      <w:r w:rsidR="00DB3074">
        <w:t xml:space="preserve"> </w:t>
      </w:r>
      <w:r w:rsidR="00AD296F">
        <w:t>proposed ss32(1) and (2), proposed s47, proposed s35</w:t>
      </w:r>
    </w:p>
  </w:endnote>
  <w:endnote w:id="7">
    <w:p w14:paraId="79F9498B" w14:textId="277EC94D" w:rsidR="00117161" w:rsidRDefault="00117161" w:rsidP="000942FD">
      <w:pPr>
        <w:pStyle w:val="EndnoteText"/>
      </w:pPr>
      <w:r>
        <w:rPr>
          <w:rStyle w:val="EndnoteReference"/>
        </w:rPr>
        <w:endnoteRef/>
      </w:r>
      <w:r>
        <w:t xml:space="preserve"> Article</w:t>
      </w:r>
      <w:r w:rsidR="00A16B7E">
        <w:t>s</w:t>
      </w:r>
      <w:r>
        <w:t xml:space="preserve"> 19(c)</w:t>
      </w:r>
      <w:r w:rsidR="00A16B7E">
        <w:t xml:space="preserve"> and 23</w:t>
      </w:r>
      <w:r w:rsidR="002923BD">
        <w:t>, OPCAT</w:t>
      </w:r>
      <w:r w:rsidR="00065F25">
        <w:t xml:space="preserve">; </w:t>
      </w:r>
      <w:r w:rsidR="00AD296F">
        <w:t>proposed s16(2)(d), proposed s46, proposed ss39 and 40</w:t>
      </w:r>
      <w:r w:rsidR="00A96732">
        <w:t xml:space="preserve">. </w:t>
      </w:r>
      <w:r w:rsidR="00966F8B">
        <w:t xml:space="preserve">See also </w:t>
      </w:r>
      <w:r w:rsidR="0032231F">
        <w:t xml:space="preserve">Australian Human Rights Commission, </w:t>
      </w:r>
      <w:r w:rsidR="0032231F" w:rsidRPr="00882661">
        <w:rPr>
          <w:i/>
          <w:iCs/>
        </w:rPr>
        <w:t>Implementing OPCAT in Australia</w:t>
      </w:r>
      <w:r w:rsidR="0032231F">
        <w:t xml:space="preserve">, 29 June 2020, </w:t>
      </w:r>
      <w:r w:rsidR="00065F25">
        <w:t>pp </w:t>
      </w:r>
      <w:r w:rsidR="0032231F">
        <w:t>29-31</w:t>
      </w:r>
      <w:r w:rsidR="00065F25">
        <w:t xml:space="preserve"> and</w:t>
      </w:r>
      <w:r w:rsidR="006D7E92">
        <w:t xml:space="preserve"> 36</w:t>
      </w:r>
      <w:r w:rsidR="0032231F">
        <w:t xml:space="preserve"> </w:t>
      </w:r>
      <w:hyperlink r:id="rId5" w:history="1">
        <w:r w:rsidR="0032231F" w:rsidRPr="00817122">
          <w:rPr>
            <w:rStyle w:val="Hyperlink"/>
          </w:rPr>
          <w:t>https://humanrights.gov.au/our-work/rights-and-freedoms/publications/implementing-opcat-australia-2020</w:t>
        </w:r>
      </w:hyperlink>
      <w:r w:rsidR="00065F25">
        <w:rPr>
          <w:rStyle w:val="Hyperlink"/>
        </w:rPr>
        <w:t>.</w:t>
      </w:r>
      <w:r w:rsidR="00A16B7E">
        <w:t xml:space="preserve"> </w:t>
      </w:r>
      <w:r w:rsidR="00966F8B">
        <w:t>While OPCAT does not expressly require NPMs to publish reports of their visits, or recommendations to government, it does require States Parties to publish annual reports.</w:t>
      </w:r>
      <w:r w:rsidR="000942FD">
        <w:t xml:space="preserve"> The Commission considers that all reporting by the NPMs should be made public.</w:t>
      </w:r>
      <w:r w:rsidR="00966F8B">
        <w:t xml:space="preserve"> </w:t>
      </w:r>
      <w:r w:rsidR="005F0CBB">
        <w:t>The Commission</w:t>
      </w:r>
      <w:r w:rsidR="0032231F">
        <w:t xml:space="preserve"> </w:t>
      </w:r>
      <w:r w:rsidR="005F0CBB">
        <w:t>considers transparency of how NPMs operate is an important mechanism to ensure accountability, both of the NPM and authorities for places of detention.</w:t>
      </w:r>
      <w:r w:rsidR="00576132">
        <w:t xml:space="preserve"> R</w:t>
      </w:r>
      <w:r w:rsidR="00264655">
        <w:t>eporting should</w:t>
      </w:r>
      <w:r w:rsidR="00576132">
        <w:t xml:space="preserve"> therefore be</w:t>
      </w:r>
      <w:r w:rsidR="00264655">
        <w:t xml:space="preserve"> regular and comprehensive.</w:t>
      </w:r>
    </w:p>
  </w:endnote>
  <w:endnote w:id="8">
    <w:p w14:paraId="5230A55C" w14:textId="4EBEC96F" w:rsidR="00886048" w:rsidRDefault="00886048">
      <w:pPr>
        <w:pStyle w:val="EndnoteText"/>
      </w:pPr>
      <w:r>
        <w:rPr>
          <w:rStyle w:val="EndnoteReference"/>
        </w:rPr>
        <w:endnoteRef/>
      </w:r>
      <w:r>
        <w:t xml:space="preserve"> Article 18(1)</w:t>
      </w:r>
      <w:r w:rsidR="002923BD">
        <w:t>, OPCAT</w:t>
      </w:r>
      <w:r w:rsidR="00065F25">
        <w:t xml:space="preserve">; </w:t>
      </w:r>
      <w:r w:rsidR="00AD296F">
        <w:t>proposed s18(2), proposed ss22 and 25, proposed s19(3)</w:t>
      </w:r>
    </w:p>
  </w:endnote>
  <w:endnote w:id="9">
    <w:p w14:paraId="43A2CEE3" w14:textId="2572C486" w:rsidR="0003240C" w:rsidRDefault="0003240C" w:rsidP="0003240C">
      <w:pPr>
        <w:pStyle w:val="EndnoteText"/>
      </w:pPr>
      <w:r>
        <w:rPr>
          <w:rStyle w:val="EndnoteReference"/>
        </w:rPr>
        <w:endnoteRef/>
      </w:r>
      <w:r>
        <w:t xml:space="preserve"> Article 22(1)</w:t>
      </w:r>
      <w:r w:rsidR="002923BD">
        <w:t>, OPCAT</w:t>
      </w:r>
      <w:r w:rsidR="00065F25">
        <w:t xml:space="preserve">; </w:t>
      </w:r>
      <w:r w:rsidR="00AD296F">
        <w:t>proposed ss49-52</w:t>
      </w:r>
    </w:p>
  </w:endnote>
  <w:endnote w:id="10">
    <w:p w14:paraId="40EAA12E" w14:textId="05B0AE2E" w:rsidR="001806AD" w:rsidRDefault="001806AD">
      <w:pPr>
        <w:pStyle w:val="EndnoteText"/>
      </w:pPr>
      <w:r>
        <w:rPr>
          <w:rStyle w:val="EndnoteReference"/>
        </w:rPr>
        <w:endnoteRef/>
      </w:r>
      <w:r>
        <w:t xml:space="preserve"> </w:t>
      </w:r>
      <w:r w:rsidR="004D3DC2">
        <w:t xml:space="preserve">Australian Human Rights Commission, </w:t>
      </w:r>
      <w:r w:rsidR="004D3DC2" w:rsidRPr="00882661">
        <w:rPr>
          <w:i/>
          <w:iCs/>
        </w:rPr>
        <w:t>Implementing OPCAT in Australia</w:t>
      </w:r>
      <w:r w:rsidR="004D3DC2">
        <w:t xml:space="preserve">, 29 June 2020, </w:t>
      </w:r>
      <w:r w:rsidR="00E23DD3">
        <w:t>p </w:t>
      </w:r>
      <w:r w:rsidR="004D3DC2">
        <w:t xml:space="preserve">5 </w:t>
      </w:r>
      <w:hyperlink r:id="rId6" w:history="1">
        <w:r w:rsidR="004D3DC2" w:rsidRPr="00817122">
          <w:rPr>
            <w:rStyle w:val="Hyperlink"/>
          </w:rPr>
          <w:t>https://humanrights.gov.au/our-work/rights-and-freedoms/publications/implementing-opcat-australia-2020</w:t>
        </w:r>
      </w:hyperlink>
      <w:r w:rsidR="004D3DC2">
        <w:rPr>
          <w:rStyle w:val="Hyperlink"/>
        </w:rPr>
        <w:t>.</w:t>
      </w:r>
    </w:p>
  </w:endnote>
  <w:endnote w:id="11">
    <w:p w14:paraId="20B18665" w14:textId="4FC542FE" w:rsidR="00AD6E12" w:rsidRDefault="00AD6E12" w:rsidP="00AD6E12">
      <w:pPr>
        <w:pStyle w:val="EndnoteText"/>
      </w:pPr>
      <w:r>
        <w:rPr>
          <w:rStyle w:val="EndnoteReference"/>
        </w:rPr>
        <w:endnoteRef/>
      </w:r>
      <w:r>
        <w:t xml:space="preserve"> Australian Human Rights Commission, </w:t>
      </w:r>
      <w:r w:rsidRPr="00882661">
        <w:rPr>
          <w:i/>
          <w:iCs/>
        </w:rPr>
        <w:t>Implementing OPCAT in Australia</w:t>
      </w:r>
      <w:r>
        <w:t xml:space="preserve">, 29 June 2020, </w:t>
      </w:r>
      <w:r w:rsidR="00BF5514">
        <w:t>p </w:t>
      </w:r>
      <w:r>
        <w:t xml:space="preserve">36 </w:t>
      </w:r>
      <w:hyperlink r:id="rId7" w:history="1">
        <w:r w:rsidRPr="00817122">
          <w:rPr>
            <w:rStyle w:val="Hyperlink"/>
          </w:rPr>
          <w:t>https://humanrights.gov.au/our-work/rights-and-freedoms/publications/implementing-opcat-australia-2020</w:t>
        </w:r>
      </w:hyperlink>
      <w:r>
        <w:rPr>
          <w:rStyle w:val="Hyperlink"/>
        </w:rPr>
        <w:t xml:space="preserve">. </w:t>
      </w:r>
      <w:r>
        <w:t xml:space="preserve">See also United Nations, </w:t>
      </w:r>
      <w:r w:rsidRPr="00B548E1">
        <w:rPr>
          <w:i/>
          <w:iCs/>
        </w:rPr>
        <w:t>Preventing Torture: The Role of National Preventive</w:t>
      </w:r>
      <w:r w:rsidR="00BF5514">
        <w:rPr>
          <w:i/>
          <w:iCs/>
        </w:rPr>
        <w:t xml:space="preserve"> </w:t>
      </w:r>
      <w:r w:rsidRPr="00B548E1">
        <w:rPr>
          <w:i/>
          <w:iCs/>
        </w:rPr>
        <w:t>Mechanisms (A Practical Guide: Professional Training Series No. 21)</w:t>
      </w:r>
      <w:r>
        <w:t xml:space="preserve">, 2018), </w:t>
      </w:r>
      <w:r w:rsidR="00A96732">
        <w:t xml:space="preserve">pp </w:t>
      </w:r>
      <w:r>
        <w:t xml:space="preserve">26-27, </w:t>
      </w:r>
      <w:hyperlink r:id="rId8" w:history="1">
        <w:r w:rsidR="000B2020" w:rsidRPr="000B2020">
          <w:rPr>
            <w:rStyle w:val="Hyperlink"/>
          </w:rPr>
          <w:t>https://www.ohchr.org/Documents/HRBodies/OPCAT/NPM/NPM_Guide.pdf</w:t>
        </w:r>
      </w:hyperlink>
      <w:r w:rsidR="00EF3116">
        <w:t xml:space="preserve">, </w:t>
      </w:r>
      <w:r w:rsidR="00841A89">
        <w:rPr>
          <w:rStyle w:val="Hyperlink"/>
          <w:color w:val="000000" w:themeColor="text1"/>
          <w:u w:val="none"/>
        </w:rPr>
        <w:t>S</w:t>
      </w:r>
      <w:r w:rsidR="000B2020" w:rsidRPr="00841A89">
        <w:rPr>
          <w:rStyle w:val="Hyperlink"/>
          <w:color w:val="000000" w:themeColor="text1"/>
          <w:u w:val="none"/>
        </w:rPr>
        <w:t>ee also</w:t>
      </w:r>
      <w:r w:rsidR="00841A89">
        <w:rPr>
          <w:rStyle w:val="Hyperlink"/>
          <w:color w:val="000000" w:themeColor="text1"/>
        </w:rPr>
        <w:t xml:space="preserve"> </w:t>
      </w:r>
      <w:r w:rsidR="00BF5514" w:rsidRPr="00DB3CFC">
        <w:rPr>
          <w:i/>
          <w:iCs/>
        </w:rPr>
        <w:t>Inspector of Correctional Services Act 2017</w:t>
      </w:r>
      <w:r w:rsidR="00BF5514">
        <w:t xml:space="preserve"> </w:t>
      </w:r>
      <w:r w:rsidR="00BF5514" w:rsidRPr="00DB3CFC">
        <w:t>(</w:t>
      </w:r>
      <w:r w:rsidR="00BF5514">
        <w:t>ACT</w:t>
      </w:r>
      <w:r w:rsidR="00BF5514" w:rsidRPr="00DB3CFC">
        <w:t>)</w:t>
      </w:r>
      <w:r w:rsidR="000B2020">
        <w:t>, s 27(2)</w:t>
      </w:r>
    </w:p>
  </w:endnote>
  <w:endnote w:id="12">
    <w:p w14:paraId="539AE6C6" w14:textId="5E71532D" w:rsidR="0084142F" w:rsidRPr="00E83D4C" w:rsidRDefault="0084142F" w:rsidP="00E83D4C">
      <w:pPr>
        <w:pStyle w:val="EndnoteText"/>
        <w:rPr>
          <w:i/>
          <w:iCs/>
        </w:rPr>
      </w:pPr>
      <w:r>
        <w:rPr>
          <w:rStyle w:val="EndnoteReference"/>
        </w:rPr>
        <w:endnoteRef/>
      </w:r>
      <w:r>
        <w:t xml:space="preserve"> </w:t>
      </w:r>
      <w:r w:rsidR="000A439A">
        <w:t xml:space="preserve">Australian Human Rights Commission, </w:t>
      </w:r>
      <w:r w:rsidR="00E83D4C" w:rsidRPr="00E83D4C">
        <w:rPr>
          <w:i/>
          <w:iCs/>
        </w:rPr>
        <w:t>OPCAT in Australia</w:t>
      </w:r>
      <w:r w:rsidR="00E83D4C">
        <w:rPr>
          <w:i/>
          <w:iCs/>
        </w:rPr>
        <w:t xml:space="preserve"> </w:t>
      </w:r>
      <w:r w:rsidR="00E83D4C" w:rsidRPr="00E83D4C">
        <w:rPr>
          <w:i/>
          <w:iCs/>
        </w:rPr>
        <w:t>Interim Report to the</w:t>
      </w:r>
      <w:r w:rsidR="00E83D4C">
        <w:rPr>
          <w:i/>
          <w:iCs/>
        </w:rPr>
        <w:t xml:space="preserve"> </w:t>
      </w:r>
      <w:r w:rsidR="00E83D4C" w:rsidRPr="00E83D4C">
        <w:rPr>
          <w:i/>
          <w:iCs/>
        </w:rPr>
        <w:t>Commonwealth Attorney-General</w:t>
      </w:r>
      <w:r w:rsidR="000A439A">
        <w:t xml:space="preserve">, </w:t>
      </w:r>
      <w:r w:rsidR="009333B0">
        <w:t>September 2017</w:t>
      </w:r>
      <w:r w:rsidR="000A439A">
        <w:t xml:space="preserve">, </w:t>
      </w:r>
      <w:r w:rsidR="00A96732">
        <w:t xml:space="preserve">p </w:t>
      </w:r>
      <w:r w:rsidR="009333B0">
        <w:t>24</w:t>
      </w:r>
      <w:r w:rsidR="00A96732">
        <w:t xml:space="preserve"> </w:t>
      </w:r>
      <w:hyperlink r:id="rId9" w:history="1">
        <w:r w:rsidR="00A96732" w:rsidRPr="00541ACB">
          <w:rPr>
            <w:rStyle w:val="Hyperlink"/>
          </w:rPr>
          <w:t>https://humanrights.gov.au/sites/default/files/document/publication/20180618_OPCAT_Stage2_ConsultationPaper_Interim_report.pdf</w:t>
        </w:r>
      </w:hyperlink>
      <w:r w:rsidR="00A96732">
        <w:t xml:space="preserve"> </w:t>
      </w:r>
      <w:r w:rsidR="00912058">
        <w:t xml:space="preserve">See </w:t>
      </w:r>
      <w:r w:rsidR="00912058" w:rsidRPr="00912058">
        <w:t>National Aboriginal &amp; Torres Strait Islander Legal Services , Submission No 47, 3, 17</w:t>
      </w:r>
    </w:p>
  </w:endnote>
  <w:endnote w:id="13">
    <w:p w14:paraId="2F4D23FE" w14:textId="728460F6" w:rsidR="003F6B74" w:rsidRDefault="003F6B74" w:rsidP="00142F29">
      <w:pPr>
        <w:pStyle w:val="EndnoteText"/>
      </w:pPr>
      <w:r>
        <w:rPr>
          <w:rStyle w:val="EndnoteReference"/>
        </w:rPr>
        <w:endnoteRef/>
      </w:r>
      <w:r>
        <w:t xml:space="preserve"> See </w:t>
      </w:r>
      <w:r w:rsidR="00FC4880" w:rsidRPr="00DB3CFC">
        <w:rPr>
          <w:i/>
          <w:iCs/>
        </w:rPr>
        <w:t xml:space="preserve">Correctional Services Act </w:t>
      </w:r>
      <w:r w:rsidR="00A86E4E">
        <w:rPr>
          <w:i/>
          <w:iCs/>
        </w:rPr>
        <w:t>1982</w:t>
      </w:r>
      <w:r w:rsidR="00FC4880" w:rsidRPr="00BA295A">
        <w:t xml:space="preserve"> </w:t>
      </w:r>
      <w:r w:rsidR="00BA295A">
        <w:t xml:space="preserve">(SA), s 20G(4) and </w:t>
      </w:r>
      <w:r w:rsidR="00F40DC6" w:rsidRPr="00BA295A">
        <w:t xml:space="preserve">OPCAT Implementation Bill 2021 </w:t>
      </w:r>
      <w:r w:rsidR="00BA295A">
        <w:t>(SA), s 11(5)</w:t>
      </w:r>
      <w:r w:rsidR="00142F29">
        <w:t xml:space="preserve"> </w:t>
      </w:r>
    </w:p>
  </w:endnote>
  <w:endnote w:id="14">
    <w:p w14:paraId="5E961008" w14:textId="77ADEE9D" w:rsidR="006C34AF" w:rsidRDefault="006C34AF" w:rsidP="006C34AF">
      <w:pPr>
        <w:pStyle w:val="EndnoteText"/>
      </w:pPr>
      <w:r>
        <w:rPr>
          <w:rStyle w:val="EndnoteReference"/>
        </w:rPr>
        <w:endnoteRef/>
      </w:r>
      <w:r>
        <w:t xml:space="preserve"> See </w:t>
      </w:r>
      <w:r w:rsidRPr="00DB3CFC">
        <w:rPr>
          <w:i/>
          <w:iCs/>
        </w:rPr>
        <w:t>OPCAT Implementation Act 2021</w:t>
      </w:r>
      <w:r w:rsidRPr="00BA295A">
        <w:t xml:space="preserve"> </w:t>
      </w:r>
      <w:r w:rsidR="00BA295A">
        <w:t xml:space="preserve">(Tas), s 12(4) </w:t>
      </w:r>
      <w:r>
        <w:t xml:space="preserve">and </w:t>
      </w:r>
      <w:r w:rsidRPr="00DB3CFC">
        <w:rPr>
          <w:i/>
          <w:iCs/>
        </w:rPr>
        <w:t xml:space="preserve">Correctional Services Act </w:t>
      </w:r>
      <w:r w:rsidR="00A86E4E">
        <w:rPr>
          <w:i/>
          <w:iCs/>
        </w:rPr>
        <w:t>1982</w:t>
      </w:r>
      <w:r w:rsidRPr="00BA295A">
        <w:t xml:space="preserve"> </w:t>
      </w:r>
      <w:r w:rsidR="00BA295A">
        <w:t xml:space="preserve">(SA), s 20(2) </w:t>
      </w:r>
    </w:p>
  </w:endnote>
  <w:endnote w:id="15">
    <w:p w14:paraId="15D5E379" w14:textId="4462E560" w:rsidR="00976EC6" w:rsidRDefault="00976EC6">
      <w:pPr>
        <w:pStyle w:val="EndnoteText"/>
      </w:pPr>
      <w:r>
        <w:rPr>
          <w:rStyle w:val="EndnoteReference"/>
        </w:rPr>
        <w:endnoteRef/>
      </w:r>
      <w:r>
        <w:t xml:space="preserve"> </w:t>
      </w:r>
      <w:r w:rsidR="00F0375A" w:rsidRPr="00F0375A">
        <w:t xml:space="preserve">Commonwealth Ombudsman, </w:t>
      </w:r>
      <w:r w:rsidR="00F0375A" w:rsidRPr="00F0375A">
        <w:rPr>
          <w:i/>
          <w:iCs/>
        </w:rPr>
        <w:t>Implementation of the Optional Protocol to the Convention against Torture and Other Cruel, Inhuman or Degrading Treatment or Punishment (OPCAT), Report No. 3 of 2019</w:t>
      </w:r>
      <w:r w:rsidR="00F0375A" w:rsidRPr="00F0375A">
        <w:t xml:space="preserve">, </w:t>
      </w:r>
      <w:r w:rsidR="00A63E19">
        <w:t xml:space="preserve">September 2019 </w:t>
      </w:r>
      <w:r w:rsidR="00A96732">
        <w:t xml:space="preserve">p </w:t>
      </w:r>
      <w:r w:rsidR="00A63E19">
        <w:t xml:space="preserve">17 </w:t>
      </w:r>
      <w:hyperlink r:id="rId10" w:history="1">
        <w:r w:rsidR="004F32C7" w:rsidRPr="00817122">
          <w:rPr>
            <w:rStyle w:val="Hyperlink"/>
          </w:rPr>
          <w:t>https://www.ombudsman.gov.au/__data/assets/pdf_file/0025/106657/Ombudsman-Report-Implementation-of-OPCAT.pdf</w:t>
        </w:r>
      </w:hyperlink>
      <w:r w:rsidR="004F32C7">
        <w:t xml:space="preserve"> </w:t>
      </w:r>
    </w:p>
  </w:endnote>
  <w:endnote w:id="16">
    <w:p w14:paraId="1249D2B2" w14:textId="4E42D847" w:rsidR="006613F6" w:rsidRDefault="006613F6" w:rsidP="00142F29">
      <w:pPr>
        <w:pStyle w:val="EndnoteText"/>
      </w:pPr>
      <w:r>
        <w:rPr>
          <w:rStyle w:val="EndnoteReference"/>
        </w:rPr>
        <w:endnoteRef/>
      </w:r>
      <w:r>
        <w:t xml:space="preserve"> Submissions to CP 1: Victorian Equal Opportunity and Human Rights Commission, 3; National Aboriginal and Torres Strait Islander Legal Services, 6.</w:t>
      </w:r>
      <w:r w:rsidR="00142F29" w:rsidRPr="00142F29">
        <w:t xml:space="preserve"> </w:t>
      </w:r>
    </w:p>
  </w:endnote>
  <w:endnote w:id="17">
    <w:p w14:paraId="36478D6B" w14:textId="2B9E40BA" w:rsidR="006613F6" w:rsidRDefault="006613F6">
      <w:pPr>
        <w:pStyle w:val="EndnoteText"/>
      </w:pPr>
      <w:r>
        <w:rPr>
          <w:rStyle w:val="EndnoteReference"/>
        </w:rPr>
        <w:endnoteRef/>
      </w:r>
      <w:r>
        <w:t xml:space="preserve"> </w:t>
      </w:r>
      <w:r w:rsidR="00033672">
        <w:t>Submissions to CP 1: Disabled People’s Organisations Australia, 2; Advocacy for Inclusion, 9</w:t>
      </w:r>
    </w:p>
  </w:endnote>
  <w:endnote w:id="18">
    <w:p w14:paraId="1DFAB90F" w14:textId="651CE99B" w:rsidR="00033672" w:rsidRDefault="00033672">
      <w:pPr>
        <w:pStyle w:val="EndnoteText"/>
      </w:pPr>
      <w:r>
        <w:rPr>
          <w:rStyle w:val="EndnoteReference"/>
        </w:rPr>
        <w:endnoteRef/>
      </w:r>
      <w:r>
        <w:t xml:space="preserve"> </w:t>
      </w:r>
      <w:r w:rsidR="003B602A">
        <w:t>Submissions to CP 1: National Aboriginal and Torres Strait Islander Legal Services, 7; Commission for Children and Young People (Victoria), 6, 13; Jesuit Social Services, 6, 7; Law Council of Australia, 12; Commission for Children and Young People (Victoria)</w:t>
      </w:r>
      <w:r w:rsidR="00CC5301">
        <w:t xml:space="preserve">. See also </w:t>
      </w:r>
      <w:r w:rsidR="00C355B2">
        <w:t xml:space="preserve">Australian Human Rights Commission, </w:t>
      </w:r>
      <w:r w:rsidR="00C355B2" w:rsidRPr="002923BD">
        <w:rPr>
          <w:i/>
          <w:iCs/>
        </w:rPr>
        <w:t>Media Release: Stop mass incarceration to prevent deaths in custody</w:t>
      </w:r>
      <w:r w:rsidR="002923BD">
        <w:t>, 14 April 2021</w:t>
      </w:r>
      <w:r w:rsidR="00C355B2" w:rsidRPr="00C355B2">
        <w:t xml:space="preserve"> </w:t>
      </w:r>
      <w:hyperlink r:id="rId11" w:history="1">
        <w:r w:rsidR="00C355B2" w:rsidRPr="00817122">
          <w:rPr>
            <w:rStyle w:val="Hyperlink"/>
          </w:rPr>
          <w:t>https://humanrights.gov.au/about/news/media-releases/stop-mass-incarceration-prevent-deaths-custody</w:t>
        </w:r>
      </w:hyperlink>
      <w:r w:rsidR="00CC5301">
        <w:t xml:space="preserve"> </w:t>
      </w:r>
    </w:p>
  </w:endnote>
  <w:endnote w:id="19">
    <w:p w14:paraId="3ABB96D9" w14:textId="4FF9B41F" w:rsidR="00603D8E" w:rsidRDefault="00603D8E">
      <w:pPr>
        <w:pStyle w:val="EndnoteText"/>
      </w:pPr>
      <w:r>
        <w:rPr>
          <w:rStyle w:val="EndnoteReference"/>
        </w:rPr>
        <w:endnoteRef/>
      </w:r>
      <w:r>
        <w:t xml:space="preserve"> </w:t>
      </w:r>
      <w:r w:rsidR="00497BBB">
        <w:t xml:space="preserve">Royal Commission and Board of Inquiry into the Protection and Detention of Children in the Northern Territory, </w:t>
      </w:r>
      <w:r w:rsidR="005A0637" w:rsidRPr="00497BBB">
        <w:rPr>
          <w:i/>
          <w:iCs/>
        </w:rPr>
        <w:t>Report of the Royal Commission and Board of Inquiry</w:t>
      </w:r>
      <w:r w:rsidR="00313D78" w:rsidRPr="00497BBB">
        <w:rPr>
          <w:i/>
          <w:iCs/>
        </w:rPr>
        <w:t xml:space="preserve"> into the Protection and Detention of Children in the Northern Territory, Volume 4</w:t>
      </w:r>
      <w:r w:rsidR="00313D78">
        <w:t xml:space="preserve">, </w:t>
      </w:r>
      <w:r w:rsidR="00497BBB">
        <w:t xml:space="preserve">Chapter 40 </w:t>
      </w:r>
      <w:r w:rsidR="00A96732">
        <w:t xml:space="preserve">p </w:t>
      </w:r>
      <w:r w:rsidR="00497BBB">
        <w:t>8</w:t>
      </w:r>
      <w:r w:rsidR="008E0624">
        <w:t xml:space="preserve"> </w:t>
      </w:r>
      <w:hyperlink r:id="rId12" w:history="1">
        <w:r w:rsidR="008E0624" w:rsidRPr="00817122">
          <w:rPr>
            <w:rStyle w:val="Hyperlink"/>
          </w:rPr>
          <w:t>https://www.royalcommission.gov.au/system/files/2020-09/Volume%204.pdf</w:t>
        </w:r>
      </w:hyperlink>
      <w:r w:rsidR="008E0624">
        <w:t xml:space="preserve"> </w:t>
      </w:r>
    </w:p>
  </w:endnote>
  <w:endnote w:id="20">
    <w:p w14:paraId="5E057D08" w14:textId="37421DB6" w:rsidR="00F14AC4" w:rsidRDefault="00F14AC4">
      <w:pPr>
        <w:pStyle w:val="EndnoteText"/>
      </w:pPr>
      <w:r>
        <w:rPr>
          <w:rStyle w:val="EndnoteReference"/>
        </w:rPr>
        <w:endnoteRef/>
      </w:r>
      <w:r>
        <w:t xml:space="preserve"> </w:t>
      </w:r>
      <w:r w:rsidR="001700DF">
        <w:t xml:space="preserve">Royal Commission and Board of Inquiry into the Protection and Detention of Children in the Northern Territory, </w:t>
      </w:r>
      <w:r w:rsidR="001700DF" w:rsidRPr="00497BBB">
        <w:rPr>
          <w:i/>
          <w:iCs/>
        </w:rPr>
        <w:t>Report of the Royal Commission and Board of Inquiry into the Protection and Detention of Children in the Northern Territory, Volume 4</w:t>
      </w:r>
      <w:r w:rsidR="001700DF">
        <w:t xml:space="preserve">, Chapter 40 </w:t>
      </w:r>
      <w:r w:rsidR="00A96732">
        <w:t xml:space="preserve">p </w:t>
      </w:r>
      <w:r w:rsidR="001700DF">
        <w:t xml:space="preserve">24 </w:t>
      </w:r>
      <w:hyperlink r:id="rId13" w:history="1">
        <w:r w:rsidR="001700DF" w:rsidRPr="00817122">
          <w:rPr>
            <w:rStyle w:val="Hyperlink"/>
          </w:rPr>
          <w:t>https://www.royalcommission.gov.au/system/files/2020-09/Volume%204.pdf</w:t>
        </w:r>
      </w:hyperlink>
    </w:p>
  </w:endnote>
  <w:endnote w:id="21">
    <w:p w14:paraId="6299161F" w14:textId="7B3B9A58" w:rsidR="00117D18" w:rsidRPr="00F51528" w:rsidRDefault="00117D18">
      <w:pPr>
        <w:pStyle w:val="EndnoteText"/>
      </w:pPr>
      <w:r>
        <w:rPr>
          <w:rStyle w:val="EndnoteReference"/>
        </w:rPr>
        <w:endnoteRef/>
      </w:r>
      <w:r>
        <w:t xml:space="preserve"> </w:t>
      </w:r>
      <w:r w:rsidR="00963FBB" w:rsidRPr="00963FBB">
        <w:t>Committee on the Rights of Persons with Disabilities</w:t>
      </w:r>
      <w:r w:rsidR="00963FBB">
        <w:t xml:space="preserve">. </w:t>
      </w:r>
      <w:r w:rsidR="00497B9C" w:rsidRPr="00497B9C">
        <w:rPr>
          <w:i/>
          <w:iCs/>
        </w:rPr>
        <w:t>Concluding observations on the combined second and third periodic reports of Australia</w:t>
      </w:r>
      <w:r w:rsidR="00497B9C">
        <w:rPr>
          <w:i/>
          <w:iCs/>
        </w:rPr>
        <w:t xml:space="preserve">. </w:t>
      </w:r>
      <w:r w:rsidR="00F51528">
        <w:t xml:space="preserve">15 October 2019. </w:t>
      </w:r>
      <w:r w:rsidR="002D4872">
        <w:t xml:space="preserve">[30(c)] </w:t>
      </w:r>
      <w:hyperlink r:id="rId14" w:history="1">
        <w:r w:rsidR="002D4872" w:rsidRPr="00974D39">
          <w:rPr>
            <w:rStyle w:val="Hyperlink"/>
          </w:rPr>
          <w:t>http://docstore.ohchr.org/SelfServices/FilesHandler.ashx?enc=6QkG1d%2FPPRiCAqhKb7yhsnzSGolKOaUX8SsM2PfxU7sdcbNJQCwlRF9xTca9TaCwjm5OInhspoVv2oxnsujKTREtaVWFXhEZM%2F0OdVJz1UEyF5IeK6Ycmqrn8yzTHQCn</w:t>
        </w:r>
      </w:hyperlink>
      <w:r w:rsidR="002D4872">
        <w:t xml:space="preserve"> </w:t>
      </w:r>
    </w:p>
  </w:endnote>
  <w:endnote w:id="22">
    <w:p w14:paraId="05B14276" w14:textId="37132EBC" w:rsidR="004E24F1" w:rsidRDefault="004E24F1">
      <w:pPr>
        <w:pStyle w:val="EndnoteText"/>
      </w:pPr>
      <w:r>
        <w:rPr>
          <w:rStyle w:val="EndnoteReference"/>
        </w:rPr>
        <w:endnoteRef/>
      </w:r>
      <w:r>
        <w:t xml:space="preserve"> Royal Commission and Board of Inquiry into the Protection and Detention of Children in the Northern Territory, </w:t>
      </w:r>
      <w:r w:rsidRPr="00497BBB">
        <w:rPr>
          <w:i/>
          <w:iCs/>
        </w:rPr>
        <w:t>Report of the Royal Commission and Board of Inquiry into the Protection and Detention of Children in the Northern Territory, Volume 4</w:t>
      </w:r>
      <w:r>
        <w:t xml:space="preserve">, Chapter 40 </w:t>
      </w:r>
      <w:r w:rsidR="003203ED">
        <w:t xml:space="preserve">p </w:t>
      </w:r>
      <w:r w:rsidR="00633BA4">
        <w:t>19</w:t>
      </w:r>
      <w:r>
        <w:t xml:space="preserve"> </w:t>
      </w:r>
      <w:hyperlink r:id="rId15" w:history="1">
        <w:r w:rsidRPr="00817122">
          <w:rPr>
            <w:rStyle w:val="Hyperlink"/>
          </w:rPr>
          <w:t>https://www.royalcommission.gov.au/system/files/2020-09/Volume%204.pdf</w:t>
        </w:r>
      </w:hyperlink>
    </w:p>
  </w:endnote>
  <w:endnote w:id="23">
    <w:p w14:paraId="37A98157" w14:textId="753A781A" w:rsidR="005837BB" w:rsidRDefault="005837BB">
      <w:pPr>
        <w:pStyle w:val="EndnoteText"/>
      </w:pPr>
      <w:r>
        <w:rPr>
          <w:rStyle w:val="EndnoteReference"/>
        </w:rPr>
        <w:endnoteRef/>
      </w:r>
      <w:r>
        <w:t xml:space="preserve"> </w:t>
      </w:r>
      <w:r w:rsidR="00466D10">
        <w:t xml:space="preserve">Royal Commission and Board of Inquiry into the Protection and Detention of Children in the Northern Territory, </w:t>
      </w:r>
      <w:r w:rsidR="00466D10" w:rsidRPr="00497BBB">
        <w:rPr>
          <w:i/>
          <w:iCs/>
        </w:rPr>
        <w:t>Report of the Royal Commission and Board of Inquiry into the Protection and Detention of Children in the Northern Territory, Volume 4</w:t>
      </w:r>
      <w:r w:rsidR="00466D10">
        <w:t xml:space="preserve">, Chapter 40 </w:t>
      </w:r>
      <w:r w:rsidR="003203ED">
        <w:t xml:space="preserve">p </w:t>
      </w:r>
      <w:r w:rsidR="00466D10">
        <w:t xml:space="preserve">19 </w:t>
      </w:r>
      <w:hyperlink r:id="rId16" w:history="1">
        <w:r w:rsidR="00466D10" w:rsidRPr="00817122">
          <w:rPr>
            <w:rStyle w:val="Hyperlink"/>
          </w:rPr>
          <w:t>https://www.royalcommission.gov.au/system/files/2020-09/Volume%204.pdf</w:t>
        </w:r>
      </w:hyperlink>
    </w:p>
  </w:endnote>
  <w:endnote w:id="24">
    <w:p w14:paraId="78132A96" w14:textId="065905AA" w:rsidR="00240401" w:rsidRDefault="00240401" w:rsidP="00240401">
      <w:pPr>
        <w:pStyle w:val="EndnoteText"/>
      </w:pPr>
      <w:r>
        <w:rPr>
          <w:rStyle w:val="EndnoteReference"/>
        </w:rPr>
        <w:endnoteRef/>
      </w:r>
      <w:r>
        <w:t xml:space="preserve"> Australian Human Rights Commission, </w:t>
      </w:r>
      <w:r w:rsidRPr="00882661">
        <w:rPr>
          <w:i/>
          <w:iCs/>
        </w:rPr>
        <w:t>Implementing OPCAT in Australia</w:t>
      </w:r>
      <w:r>
        <w:t xml:space="preserve">, 29 June 2020, </w:t>
      </w:r>
      <w:r w:rsidR="003203ED">
        <w:t xml:space="preserve">p </w:t>
      </w:r>
      <w:r>
        <w:t xml:space="preserve">25 </w:t>
      </w:r>
      <w:hyperlink r:id="rId17" w:history="1">
        <w:r w:rsidRPr="00817122">
          <w:rPr>
            <w:rStyle w:val="Hyperlink"/>
          </w:rPr>
          <w:t>https://humanrights.gov.au/our-work/rights-and-freedoms/publications/implementing-opcat-australia-2020</w:t>
        </w:r>
      </w:hyperlink>
      <w:r>
        <w:rPr>
          <w:rStyle w:val="Hyperlink"/>
        </w:rPr>
        <w:t>.</w:t>
      </w:r>
      <w:r w:rsidRPr="002C6810">
        <w:t xml:space="preserve"> </w:t>
      </w:r>
      <w:r>
        <w:t xml:space="preserve">See also National Children’s Commissioner, Australian Human Rights Commission, </w:t>
      </w:r>
      <w:r w:rsidRPr="00EA4C62">
        <w:rPr>
          <w:i/>
          <w:iCs/>
        </w:rPr>
        <w:t>Children’s Rights Report 2016</w:t>
      </w:r>
      <w:r>
        <w:t xml:space="preserve">, October 2016,  </w:t>
      </w:r>
      <w:hyperlink r:id="rId18" w:history="1">
        <w:r w:rsidRPr="00817122">
          <w:rPr>
            <w:rStyle w:val="Hyperlink"/>
          </w:rPr>
          <w:t>https://humanrights.gov.au/our-work/childrens-rights/publications/childrens-rights-report-2016</w:t>
        </w:r>
      </w:hyperlink>
      <w:r>
        <w:t xml:space="preserve"> See also </w:t>
      </w:r>
      <w:r w:rsidRPr="00795176">
        <w:t>Australian and New Zealand Children’s Commissioners and Guardians</w:t>
      </w:r>
      <w:r>
        <w:t>,</w:t>
      </w:r>
      <w:r w:rsidRPr="00795176">
        <w:t xml:space="preserve"> Communique</w:t>
      </w:r>
      <w:r>
        <w:t xml:space="preserve">, November 2018, </w:t>
      </w:r>
      <w:r w:rsidRPr="00795176">
        <w:t xml:space="preserve"> </w:t>
      </w:r>
      <w:hyperlink r:id="rId19" w:history="1">
        <w:r w:rsidRPr="00817122">
          <w:rPr>
            <w:rStyle w:val="Hyperlink"/>
          </w:rPr>
          <w:t>https://humanrights.gov.au/our-work/childrens-rights/publications/australian-and-new-zealand-childrens-commissioners-and-0</w:t>
        </w:r>
      </w:hyperlink>
      <w:r>
        <w:t xml:space="preserve"> </w:t>
      </w:r>
    </w:p>
  </w:endnote>
  <w:endnote w:id="25">
    <w:p w14:paraId="1E7A6763" w14:textId="7EED3230" w:rsidR="00BC0B03" w:rsidRDefault="00BC0B03" w:rsidP="00BC0B03">
      <w:pPr>
        <w:pStyle w:val="EndnoteText"/>
      </w:pPr>
      <w:r>
        <w:rPr>
          <w:rStyle w:val="EndnoteReference"/>
        </w:rPr>
        <w:endnoteRef/>
      </w:r>
      <w:r>
        <w:t xml:space="preserve"> </w:t>
      </w:r>
      <w:r w:rsidR="004F5EE5">
        <w:t xml:space="preserve">Royal Commission and Board of Inquiry into the Protection and Detention of Children in the Northern Territory, </w:t>
      </w:r>
      <w:r w:rsidR="004F5EE5" w:rsidRPr="00497BBB">
        <w:rPr>
          <w:i/>
          <w:iCs/>
        </w:rPr>
        <w:t>Report of the Royal Commission and Board of Inquiry into the Protection and Detention of Children in the Northern Territory, Volume 4</w:t>
      </w:r>
      <w:r w:rsidR="004F5EE5">
        <w:t xml:space="preserve">, Chapter 40 </w:t>
      </w:r>
      <w:r w:rsidR="003203ED">
        <w:t xml:space="preserve">p </w:t>
      </w:r>
      <w:r w:rsidR="004F5EE5">
        <w:t xml:space="preserve">10 </w:t>
      </w:r>
      <w:hyperlink r:id="rId20" w:history="1">
        <w:r w:rsidR="004F5EE5" w:rsidRPr="00817122">
          <w:rPr>
            <w:rStyle w:val="Hyperlink"/>
          </w:rPr>
          <w:t>https://www.royalcommission.gov.au/system/files/2020-09/Volume%204.pdf</w:t>
        </w:r>
      </w:hyperlink>
      <w:r w:rsidR="00065F25">
        <w:rPr>
          <w:rStyle w:val="Hyperlink"/>
        </w:rPr>
        <w:t>.</w:t>
      </w:r>
      <w:r w:rsidR="00065F25">
        <w:t xml:space="preserve"> </w:t>
      </w:r>
      <w:r>
        <w:t xml:space="preserve">The Royal Commission and Board of Inquiry into the Protection and Detention of Children </w:t>
      </w:r>
      <w:r w:rsidR="004F5EE5">
        <w:t>noted</w:t>
      </w:r>
      <w:r>
        <w:t xml:space="preserve"> there is a compelling need for a strong, independent oversight agency with responsibility for children in the Northern Territory with a broader jurisdiction than that conferred by the Children’s Commissioner Act.</w:t>
      </w:r>
    </w:p>
  </w:endnote>
  <w:endnote w:id="26">
    <w:p w14:paraId="38FEF080" w14:textId="6804E470" w:rsidR="003A36F4" w:rsidRPr="003A36F4" w:rsidRDefault="003A36F4">
      <w:pPr>
        <w:pStyle w:val="EndnoteText"/>
        <w:rPr>
          <w:lang w:val="en-US"/>
        </w:rPr>
      </w:pPr>
      <w:r>
        <w:rPr>
          <w:rStyle w:val="EndnoteReference"/>
        </w:rPr>
        <w:endnoteRef/>
      </w:r>
      <w:r>
        <w:t xml:space="preserve"> Consultation draft of the </w:t>
      </w:r>
      <w:r w:rsidRPr="003A36F4">
        <w:rPr>
          <w:lang w:val="en-US"/>
        </w:rPr>
        <w:t>Monitoring of Places of Detention (Optional Protocol to the Convention Against Torture) Amendment Bill 2022</w:t>
      </w:r>
      <w:r>
        <w:rPr>
          <w:lang w:val="en-US"/>
        </w:rPr>
        <w:t>, proposed s 33(4).</w:t>
      </w:r>
    </w:p>
  </w:endnote>
  <w:endnote w:id="27">
    <w:p w14:paraId="1503E041" w14:textId="7A04051F" w:rsidR="00BD5D19" w:rsidRDefault="00BD5D19">
      <w:pPr>
        <w:pStyle w:val="EndnoteText"/>
      </w:pPr>
      <w:r>
        <w:rPr>
          <w:rStyle w:val="EndnoteReference"/>
        </w:rPr>
        <w:endnoteRef/>
      </w:r>
      <w:r>
        <w:t xml:space="preserve"> </w:t>
      </w:r>
      <w:r w:rsidR="006E09CB" w:rsidRPr="006E09CB">
        <w:t>Subcommittee on Prevention of Torture and Other Cruel, Inhuman or Degrading Treatment or Punishment</w:t>
      </w:r>
      <w:r w:rsidR="00DF2301">
        <w:t xml:space="preserve">. </w:t>
      </w:r>
      <w:r w:rsidR="006E09CB" w:rsidRPr="00DF2301">
        <w:rPr>
          <w:i/>
          <w:iCs/>
        </w:rPr>
        <w:t>Advice provided by the Subcommittee to the National Preventive</w:t>
      </w:r>
      <w:r w:rsidR="00DF2301" w:rsidRPr="00DF2301">
        <w:rPr>
          <w:i/>
          <w:iCs/>
        </w:rPr>
        <w:t xml:space="preserve"> Mechanism of the United Kingdom of Great Britain and Northern Ireland regarding compulsory quarantine for</w:t>
      </w:r>
      <w:r w:rsidR="00DF2301" w:rsidRPr="00644C87">
        <w:rPr>
          <w:i/>
          <w:iCs/>
        </w:rPr>
        <w:t xml:space="preserve"> coronavirus (COVID-19</w:t>
      </w:r>
      <w:r w:rsidR="00DF2301">
        <w:rPr>
          <w:i/>
          <w:iCs/>
        </w:rPr>
        <w:t xml:space="preserve"> </w:t>
      </w:r>
      <w:r w:rsidR="00DF2301" w:rsidRPr="00644C87">
        <w:rPr>
          <w:i/>
          <w:iCs/>
        </w:rPr>
        <w:t>virus)</w:t>
      </w:r>
      <w:r w:rsidR="00DF2301">
        <w:t xml:space="preserve">. </w:t>
      </w:r>
      <w:r w:rsidR="00DF2301" w:rsidRPr="006E09CB">
        <w:t>31 March 2020</w:t>
      </w:r>
      <w:r w:rsidR="00DF2301">
        <w:t xml:space="preserve"> [4-5]</w:t>
      </w:r>
    </w:p>
  </w:endnote>
  <w:endnote w:id="28">
    <w:p w14:paraId="3CA9E26F" w14:textId="48CA71AF" w:rsidR="00A60149" w:rsidRDefault="00A60149">
      <w:pPr>
        <w:pStyle w:val="EndnoteText"/>
      </w:pPr>
      <w:r>
        <w:rPr>
          <w:rStyle w:val="EndnoteReference"/>
        </w:rPr>
        <w:endnoteRef/>
      </w:r>
      <w:r>
        <w:t xml:space="preserve"> See </w:t>
      </w:r>
      <w:r w:rsidR="009E03B5" w:rsidRPr="009E03B5">
        <w:t>Her Majesty’s Inspectorate of Prisons</w:t>
      </w:r>
      <w:r w:rsidR="009E03B5">
        <w:t xml:space="preserve">. </w:t>
      </w:r>
      <w:r w:rsidR="009E03B5" w:rsidRPr="00703060">
        <w:rPr>
          <w:i/>
          <w:iCs/>
        </w:rPr>
        <w:t>Annual Report 2020-21</w:t>
      </w:r>
      <w:r w:rsidR="009E03B5">
        <w:t xml:space="preserve">. </w:t>
      </w:r>
      <w:r w:rsidR="009E03B5" w:rsidRPr="009E03B5">
        <w:t xml:space="preserve">20 July 2021. p7. </w:t>
      </w:r>
      <w:hyperlink r:id="rId21" w:history="1">
        <w:r w:rsidR="009E03B5" w:rsidRPr="001B3544">
          <w:rPr>
            <w:rStyle w:val="Hyperlink"/>
          </w:rPr>
          <w:t>https://www.justiceinspectorates.gov.uk/hmiprisons/wp-content/uploads/sites/4/2021/07/6.7391_HMI-Prisons_Annual-Report-and-Accounts-2020_21_v6.1_WEB.pdf</w:t>
        </w:r>
      </w:hyperlink>
      <w:r w:rsidR="00065F25">
        <w:rPr>
          <w:rStyle w:val="Hyperlink"/>
        </w:rPr>
        <w:t>.</w:t>
      </w:r>
      <w:r w:rsidR="009E03B5">
        <w:t xml:space="preserve"> </w:t>
      </w:r>
      <w:r w:rsidR="00703060">
        <w:t xml:space="preserve">The </w:t>
      </w:r>
      <w:r w:rsidR="00703060" w:rsidRPr="00703060">
        <w:t>Chief Inspector for His Majesty’s Inspectorate of Prisons, remark</w:t>
      </w:r>
      <w:r w:rsidR="00703060">
        <w:t>s</w:t>
      </w:r>
      <w:r w:rsidR="00703060" w:rsidRPr="00703060">
        <w:t xml:space="preserve"> in his introduction that ‘[m]uch of the report, inevitably, focuses on the impact on the daily life of those held in prisons and other places of detention in England and Wales, who were subject to unprecedented restrictions. We were able to report on this because we were determined, in the early weeks of the pandemic, to find a safe way to enter and inspect places of detention. We could not report on treatment and conditions remotely.’</w:t>
      </w:r>
    </w:p>
  </w:endnote>
  <w:endnote w:id="29">
    <w:p w14:paraId="7F542D99" w14:textId="6EE58859" w:rsidR="00836431" w:rsidRDefault="00836431">
      <w:pPr>
        <w:pStyle w:val="EndnoteText"/>
      </w:pPr>
      <w:r>
        <w:rPr>
          <w:rStyle w:val="EndnoteReference"/>
        </w:rPr>
        <w:endnoteRef/>
      </w:r>
      <w:r>
        <w:t xml:space="preserve"> </w:t>
      </w:r>
      <w:r w:rsidR="008E71B2" w:rsidRPr="008E71B2">
        <w:t xml:space="preserve">Association for the Prevention of Torture. </w:t>
      </w:r>
      <w:r w:rsidR="008E71B2" w:rsidRPr="008E71B2">
        <w:rPr>
          <w:i/>
          <w:iCs/>
        </w:rPr>
        <w:t>Optional Protocol to the UN Convention against Torture Implementation Manual</w:t>
      </w:r>
      <w:r w:rsidR="008E71B2">
        <w:t>. 2010.</w:t>
      </w:r>
      <w:r w:rsidR="008E71B2" w:rsidRPr="008E71B2">
        <w:t xml:space="preserve"> </w:t>
      </w:r>
      <w:r w:rsidR="003203ED">
        <w:t xml:space="preserve">p </w:t>
      </w:r>
      <w:r w:rsidR="008E71B2" w:rsidRPr="008E71B2">
        <w:t xml:space="preserve">79. </w:t>
      </w:r>
      <w:hyperlink r:id="rId22" w:history="1">
        <w:r w:rsidR="008E71B2" w:rsidRPr="001B3544">
          <w:rPr>
            <w:rStyle w:val="Hyperlink"/>
          </w:rPr>
          <w:t>https://www.apt.ch/sites/default/files/publications/opcat-manual-english-revised2010.pdf</w:t>
        </w:r>
      </w:hyperlink>
      <w:r w:rsidR="008E71B2">
        <w:t xml:space="preserve"> </w:t>
      </w:r>
    </w:p>
  </w:endnote>
  <w:endnote w:id="30">
    <w:p w14:paraId="5BDF3ED6" w14:textId="66BEE100" w:rsidR="002E7F34" w:rsidRPr="00C60AB7" w:rsidRDefault="002E7F34" w:rsidP="002E7F34">
      <w:pPr>
        <w:pStyle w:val="EndnoteText"/>
      </w:pPr>
      <w:r>
        <w:rPr>
          <w:rStyle w:val="EndnoteReference"/>
        </w:rPr>
        <w:endnoteRef/>
      </w:r>
      <w:r>
        <w:t xml:space="preserve"> Legislative Assembly of the Northern Territory Social Policy Scrutiny Committee. </w:t>
      </w:r>
      <w:r w:rsidRPr="00C60AB7">
        <w:rPr>
          <w:i/>
          <w:iCs/>
        </w:rPr>
        <w:t>Inquiry into the Monitoring of Places of Detention (Optional Protocol to the Convention Against Torture) Bill 2018</w:t>
      </w:r>
      <w:r>
        <w:t xml:space="preserve">. June 2018. </w:t>
      </w:r>
      <w:r w:rsidR="003203ED">
        <w:t>p</w:t>
      </w:r>
      <w:r>
        <w:t>p</w:t>
      </w:r>
      <w:r w:rsidR="003203ED">
        <w:t xml:space="preserve"> </w:t>
      </w:r>
      <w:r>
        <w:t xml:space="preserve">17-19. </w:t>
      </w:r>
      <w:hyperlink r:id="rId23" w:history="1">
        <w:r w:rsidRPr="001B3544">
          <w:rPr>
            <w:rStyle w:val="Hyperlink"/>
          </w:rPr>
          <w:t>https://parliament.nt.gov.au/__data/assets/pdf_file/0005/528683/53-2018-Signed-OPCAT-Report-21-June-2018.pdf</w:t>
        </w:r>
      </w:hyperlink>
      <w:r>
        <w:t xml:space="preserve"> </w:t>
      </w:r>
    </w:p>
  </w:endnote>
  <w:endnote w:id="31">
    <w:p w14:paraId="0FA64C9B" w14:textId="58864119" w:rsidR="005F4613" w:rsidRDefault="005F4613" w:rsidP="005F4613">
      <w:pPr>
        <w:pStyle w:val="EndnoteText"/>
      </w:pPr>
      <w:r>
        <w:rPr>
          <w:rStyle w:val="EndnoteReference"/>
        </w:rPr>
        <w:endnoteRef/>
      </w:r>
      <w:r>
        <w:t xml:space="preserve"> Australian Human Rights Commission, </w:t>
      </w:r>
      <w:r w:rsidRPr="00882661">
        <w:rPr>
          <w:i/>
          <w:iCs/>
        </w:rPr>
        <w:t>Implementing OPCAT in Australia</w:t>
      </w:r>
      <w:r>
        <w:t xml:space="preserve">, 29 June 2020, </w:t>
      </w:r>
      <w:r w:rsidR="003203ED">
        <w:t xml:space="preserve">p </w:t>
      </w:r>
      <w:r>
        <w:t xml:space="preserve">26 </w:t>
      </w:r>
      <w:hyperlink r:id="rId24" w:history="1">
        <w:r w:rsidRPr="00817122">
          <w:rPr>
            <w:rStyle w:val="Hyperlink"/>
          </w:rPr>
          <w:t>https://humanrights.gov.au/our-work/rights-and-freedoms/publications/implementing-opcat-australia-2020</w:t>
        </w:r>
      </w:hyperlink>
      <w:r>
        <w:rPr>
          <w:rStyle w:val="Hyperlink"/>
        </w:rPr>
        <w:t>.</w:t>
      </w:r>
    </w:p>
  </w:endnote>
  <w:endnote w:id="32">
    <w:p w14:paraId="0610ACF5" w14:textId="38BFC7BF" w:rsidR="008C30BC" w:rsidRDefault="008C30BC" w:rsidP="008C30BC">
      <w:pPr>
        <w:pStyle w:val="EndnoteText"/>
      </w:pPr>
      <w:r>
        <w:rPr>
          <w:rStyle w:val="EndnoteReference"/>
        </w:rPr>
        <w:endnoteRef/>
      </w:r>
      <w:r>
        <w:t xml:space="preserve"> Australian Human Rights Commission, </w:t>
      </w:r>
      <w:r w:rsidRPr="00882661">
        <w:rPr>
          <w:i/>
          <w:iCs/>
        </w:rPr>
        <w:t>Implementing OPCAT in Australia</w:t>
      </w:r>
      <w:r>
        <w:t xml:space="preserve">, 29 June 2020, </w:t>
      </w:r>
      <w:r w:rsidR="003203ED">
        <w:t xml:space="preserve">pp </w:t>
      </w:r>
      <w:r>
        <w:t xml:space="preserve">26,37-39 </w:t>
      </w:r>
      <w:hyperlink r:id="rId25" w:history="1">
        <w:r w:rsidRPr="00817122">
          <w:rPr>
            <w:rStyle w:val="Hyperlink"/>
          </w:rPr>
          <w:t>https://humanrights.gov.au/our-work/rights-and-freedoms/publications/implementing-opcat-australia-2020</w:t>
        </w:r>
      </w:hyperlink>
    </w:p>
  </w:endnote>
  <w:endnote w:id="33">
    <w:p w14:paraId="2B477214" w14:textId="7F35E862" w:rsidR="00372FD3" w:rsidRDefault="00372FD3">
      <w:pPr>
        <w:pStyle w:val="EndnoteText"/>
      </w:pPr>
      <w:r>
        <w:rPr>
          <w:rStyle w:val="EndnoteReference"/>
        </w:rPr>
        <w:endnoteRef/>
      </w:r>
      <w:r>
        <w:t xml:space="preserve"> </w:t>
      </w:r>
      <w:r w:rsidR="00EE385D">
        <w:t xml:space="preserve">Australian Human Rights Commission, </w:t>
      </w:r>
      <w:r w:rsidR="00EE385D" w:rsidRPr="00882661">
        <w:rPr>
          <w:i/>
          <w:iCs/>
        </w:rPr>
        <w:t>Implementing OPCAT in Australia</w:t>
      </w:r>
      <w:r w:rsidR="00EE385D">
        <w:t xml:space="preserve">, 29 June 2020, </w:t>
      </w:r>
      <w:r w:rsidR="003203ED">
        <w:t xml:space="preserve">pp </w:t>
      </w:r>
      <w:r w:rsidR="00EE385D">
        <w:t xml:space="preserve">57-58 </w:t>
      </w:r>
      <w:hyperlink r:id="rId26" w:history="1">
        <w:r w:rsidR="00EE385D" w:rsidRPr="00817122">
          <w:rPr>
            <w:rStyle w:val="Hyperlink"/>
          </w:rPr>
          <w:t>https://humanrights.gov.au/our-work/rights-and-freedoms/publications/implementing-opcat-australia-2020</w:t>
        </w:r>
      </w:hyperlink>
    </w:p>
  </w:endnote>
  <w:endnote w:id="34">
    <w:p w14:paraId="12772203" w14:textId="06DC0E68" w:rsidR="003A3E63" w:rsidRDefault="003A3E63" w:rsidP="00CB1F98">
      <w:pPr>
        <w:pStyle w:val="EndnoteText"/>
      </w:pPr>
      <w:r>
        <w:rPr>
          <w:rStyle w:val="EndnoteReference"/>
        </w:rPr>
        <w:endnoteRef/>
      </w:r>
      <w:r>
        <w:t xml:space="preserve"> See</w:t>
      </w:r>
      <w:r w:rsidR="00394AF5">
        <w:t xml:space="preserve"> Rebecca Minty. </w:t>
      </w:r>
      <w:r w:rsidR="00CB1F98" w:rsidRPr="00AA6964">
        <w:rPr>
          <w:i/>
          <w:iCs/>
        </w:rPr>
        <w:t>“Involving civil society in preventing ill treatment in detention: maximising OPCAT’s opportunity for Australia”.</w:t>
      </w:r>
      <w:r w:rsidR="00CB1F98">
        <w:t xml:space="preserve"> </w:t>
      </w:r>
      <w:r w:rsidR="00CB1F98" w:rsidRPr="00563CFF">
        <w:t>Australian Journal of Human Rights,</w:t>
      </w:r>
      <w:r w:rsidR="00CB1F98">
        <w:t xml:space="preserve"> Vol 25 (1). April 2019</w:t>
      </w:r>
      <w:r w:rsidR="00AA6964">
        <w:t>.</w:t>
      </w:r>
      <w:r w:rsidR="00282F19">
        <w:t xml:space="preserve"> </w:t>
      </w:r>
      <w:r w:rsidR="003203ED">
        <w:t>p</w:t>
      </w:r>
      <w:r w:rsidR="00282F19">
        <w:t>p</w:t>
      </w:r>
      <w:r w:rsidR="003203ED">
        <w:t xml:space="preserve"> </w:t>
      </w:r>
      <w:r w:rsidR="00282F19">
        <w:t>91-112</w:t>
      </w:r>
      <w:r w:rsidR="00AA6964">
        <w:t>;</w:t>
      </w:r>
      <w:r>
        <w:t xml:space="preserve"> Richard Harding. </w:t>
      </w:r>
      <w:r w:rsidR="00CB1F98" w:rsidRPr="00AA6964">
        <w:rPr>
          <w:i/>
          <w:iCs/>
        </w:rPr>
        <w:t>“</w:t>
      </w:r>
      <w:r w:rsidRPr="00AA6964">
        <w:rPr>
          <w:i/>
          <w:iCs/>
        </w:rPr>
        <w:t>Australia’s circuitous path towards the ratification of OPCAT, 2002–2017: the challenges of implementation</w:t>
      </w:r>
      <w:r w:rsidR="00CB1F98">
        <w:t>”</w:t>
      </w:r>
      <w:r w:rsidR="00563CFF">
        <w:t xml:space="preserve">. </w:t>
      </w:r>
      <w:r w:rsidR="00563CFF" w:rsidRPr="00563CFF">
        <w:t>Australian Journal of Human Rights,</w:t>
      </w:r>
      <w:r w:rsidR="00EE4AD5">
        <w:t xml:space="preserve"> Vol 25 (1). April 2019. </w:t>
      </w:r>
      <w:r w:rsidR="003203ED">
        <w:t xml:space="preserve">p </w:t>
      </w:r>
      <w:r w:rsidR="00EE4AD5">
        <w:t>1</w:t>
      </w:r>
      <w:r w:rsidR="00F00145">
        <w:t>7</w:t>
      </w:r>
      <w:r w:rsidR="00AA6964">
        <w:t xml:space="preserve">; Steven Caruana. </w:t>
      </w:r>
      <w:r w:rsidR="00B31D74" w:rsidRPr="00B31D74">
        <w:t>OPCAT series: The need for formal partnerships between civil society and the National Preventive Mechanism</w:t>
      </w:r>
      <w:r w:rsidR="00B31D74">
        <w:t xml:space="preserve">. University of Western Australia Public Policy Institute. </w:t>
      </w:r>
      <w:r w:rsidR="006C799F">
        <w:t xml:space="preserve">16 December 2019. </w:t>
      </w:r>
      <w:hyperlink r:id="rId27" w:history="1">
        <w:r w:rsidR="006C799F" w:rsidRPr="001B3544">
          <w:rPr>
            <w:rStyle w:val="Hyperlink"/>
          </w:rPr>
          <w:t>https://www.news.uwa.edu.au/archive/2019121611777/uwa-public-policy-institute/opcat-series-need-formal-partnerships-between-civil-societ/</w:t>
        </w:r>
      </w:hyperlink>
      <w:r w:rsidR="002A3BED">
        <w:t xml:space="preserve">; </w:t>
      </w:r>
      <w:r w:rsidR="002A3BED" w:rsidRPr="00963FBB">
        <w:t>Committee on the Rights of Persons with Disabilities</w:t>
      </w:r>
      <w:r w:rsidR="002A3BED">
        <w:t xml:space="preserve">. </w:t>
      </w:r>
      <w:r w:rsidR="002A3BED" w:rsidRPr="00497B9C">
        <w:rPr>
          <w:i/>
          <w:iCs/>
        </w:rPr>
        <w:t>Concluding observations on the combined second and third periodic reports of Australia</w:t>
      </w:r>
      <w:r w:rsidR="002A3BED">
        <w:rPr>
          <w:i/>
          <w:iCs/>
        </w:rPr>
        <w:t xml:space="preserve">. </w:t>
      </w:r>
      <w:r w:rsidR="002A3BED">
        <w:t xml:space="preserve">15 October 2019. [30(c)] </w:t>
      </w:r>
      <w:hyperlink r:id="rId28" w:history="1">
        <w:r w:rsidR="002A3BED" w:rsidRPr="00974D39">
          <w:rPr>
            <w:rStyle w:val="Hyperlink"/>
          </w:rPr>
          <w:t>http://docstore.ohchr.org/SelfServices/FilesHandler.ashx?enc=6QkG1d%2FPPRiCAqhKb7yhsnzSGolKOaUX8SsM2PfxU7sdcbNJQCwlRF9xTca9TaCwjm5OInhspoVv2oxnsujKTREtaVWFXhEZM%2F0OdVJz1UEyF5IeK6Ycmqrn8yzTHQCn</w:t>
        </w:r>
      </w:hyperlink>
      <w:r w:rsidR="002A3BED">
        <w:t xml:space="preserve"> </w:t>
      </w:r>
      <w:r w:rsidR="006C799F">
        <w:t xml:space="preserve"> </w:t>
      </w:r>
    </w:p>
  </w:endnote>
  <w:endnote w:id="35">
    <w:p w14:paraId="74034003" w14:textId="6F19A1C0" w:rsidR="006A2EC3" w:rsidRDefault="006A2EC3">
      <w:pPr>
        <w:pStyle w:val="EndnoteText"/>
      </w:pPr>
      <w:r>
        <w:rPr>
          <w:rStyle w:val="EndnoteReference"/>
        </w:rPr>
        <w:endnoteRef/>
      </w:r>
      <w:r>
        <w:t xml:space="preserve"> </w:t>
      </w:r>
      <w:r w:rsidR="003E39D3">
        <w:t>The Commonwealth Ombudsman established an OPCAT Advisory Group</w:t>
      </w:r>
      <w:r w:rsidR="00592866">
        <w:t xml:space="preserve"> with civil society members </w:t>
      </w:r>
      <w:hyperlink r:id="rId29" w:history="1">
        <w:r w:rsidR="00592866" w:rsidRPr="001B3544">
          <w:rPr>
            <w:rStyle w:val="Hyperlink"/>
          </w:rPr>
          <w:t>https://www.ombudsman.gov.au/__data/assets/pdf_file/0009/112500/Attachment-A-OAG-Terms-of-Reference-A2164827.pdf</w:t>
        </w:r>
      </w:hyperlink>
      <w:r w:rsidR="00592866">
        <w:t xml:space="preserve"> ; </w:t>
      </w:r>
      <w:r w:rsidR="00996525">
        <w:t>The A</w:t>
      </w:r>
      <w:r w:rsidR="00D92195">
        <w:t>CT Inspector of Correctional Services has engaged ‘experts by experience’ in its prison visits.</w:t>
      </w:r>
      <w:r w:rsidR="002C267F">
        <w:t xml:space="preserve"> See pp</w:t>
      </w:r>
      <w:r w:rsidR="00D92195">
        <w:t xml:space="preserve"> </w:t>
      </w:r>
      <w:r w:rsidR="001115C3">
        <w:t xml:space="preserve">5-6 </w:t>
      </w:r>
      <w:hyperlink r:id="rId30" w:history="1">
        <w:r w:rsidR="001115C3" w:rsidRPr="001B3544">
          <w:rPr>
            <w:rStyle w:val="Hyperlink"/>
          </w:rPr>
          <w:t>https://www.ics.act.gov.au/__data/assets/pdf_file/0012/1699608/ACT-OICS-submission-to-Disability-Royal-Commission_web-version.pdf</w:t>
        </w:r>
      </w:hyperlink>
      <w:r w:rsidR="00D92195">
        <w:t xml:space="preserve"> ; </w:t>
      </w:r>
      <w:r w:rsidR="001115C3">
        <w:t xml:space="preserve">The Victorian Ombudsman established an advisory group and </w:t>
      </w:r>
      <w:r w:rsidR="000A4390">
        <w:t xml:space="preserve">used civil society monitors in </w:t>
      </w:r>
      <w:r w:rsidR="00C313D8">
        <w:t>a</w:t>
      </w:r>
      <w:r w:rsidR="000A4390">
        <w:t xml:space="preserve"> trial OPCAT inspection.</w:t>
      </w:r>
      <w:r w:rsidR="00D12ED6">
        <w:t xml:space="preserve"> See p</w:t>
      </w:r>
      <w:r w:rsidR="00C313D8">
        <w:t>p</w:t>
      </w:r>
      <w:r w:rsidR="003203ED">
        <w:t xml:space="preserve"> </w:t>
      </w:r>
      <w:r w:rsidR="00C313D8">
        <w:t xml:space="preserve">18,75. </w:t>
      </w:r>
      <w:hyperlink r:id="rId31" w:history="1">
        <w:r w:rsidR="00C313D8" w:rsidRPr="001B3544">
          <w:rPr>
            <w:rStyle w:val="Hyperlink"/>
          </w:rPr>
          <w:t>https://assets.ombudsman.vic.gov.au/assets/Reports/Parliamentary-Reports/1-PDF-Report-Files/OPCAT-in-Victoria-A-thematic-investigation-of-practices-related-to-solitary-_-September-2019.pdf</w:t>
        </w:r>
      </w:hyperlink>
      <w:r w:rsidR="00C313D8">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0713" w14:textId="77777777" w:rsidR="00AC636D" w:rsidRPr="000465F1" w:rsidRDefault="00AC636D" w:rsidP="000465F1">
    <w:pPr>
      <w:pStyle w:val="Footer"/>
    </w:pPr>
    <w:r w:rsidRPr="000465F1">
      <w:t>ABN 47 996 232 602</w:t>
    </w:r>
  </w:p>
  <w:p w14:paraId="580A3679" w14:textId="77777777" w:rsidR="00AC636D" w:rsidRPr="000465F1" w:rsidRDefault="00AC636D" w:rsidP="000465F1">
    <w:pPr>
      <w:pStyle w:val="Footer"/>
    </w:pPr>
    <w:r w:rsidRPr="000465F1">
      <w:t>GPO Box 5218, Sydney NSW 2001</w:t>
    </w:r>
  </w:p>
  <w:p w14:paraId="1AD8A03E" w14:textId="77777777" w:rsidR="00AC636D" w:rsidRPr="000465F1" w:rsidRDefault="00AC636D" w:rsidP="000465F1">
    <w:pPr>
      <w:pStyle w:val="Footer"/>
    </w:pPr>
    <w:r w:rsidRPr="000465F1">
      <w:t>General enquiries 1300 369 711</w:t>
    </w:r>
  </w:p>
  <w:p w14:paraId="03882DAA" w14:textId="77777777" w:rsidR="00AC636D" w:rsidRPr="000465F1" w:rsidRDefault="00990B81" w:rsidP="000465F1">
    <w:pPr>
      <w:pStyle w:val="Footer"/>
    </w:pPr>
    <w:r>
      <w:t>National Info Service</w:t>
    </w:r>
    <w:r w:rsidR="00AC636D" w:rsidRPr="000465F1">
      <w:t xml:space="preserve"> 1300 656 419</w:t>
    </w:r>
  </w:p>
  <w:p w14:paraId="1A4C7CA5"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3A50"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974"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653D"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8E78F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5A0D" w14:textId="77777777" w:rsidR="00EE77EF" w:rsidRDefault="00EE77EF" w:rsidP="00F14C6D">
      <w:r>
        <w:separator/>
      </w:r>
    </w:p>
  </w:footnote>
  <w:footnote w:type="continuationSeparator" w:id="0">
    <w:p w14:paraId="105496C7" w14:textId="77777777" w:rsidR="00EE77EF" w:rsidRDefault="00EE77E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7317" w14:textId="77777777" w:rsidR="00BF6406" w:rsidRPr="000465F1" w:rsidRDefault="00F31053" w:rsidP="000465F1">
    <w:pPr>
      <w:pStyle w:val="Header"/>
    </w:pPr>
    <w:r>
      <w:pict w14:anchorId="5B021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752;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17A8F274"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C6E9" w14:textId="77777777" w:rsidR="00B34946" w:rsidRPr="000465F1" w:rsidRDefault="00F31053" w:rsidP="000465F1">
    <w:r>
      <w:pict w14:anchorId="7B41F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772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6C6AC2F7"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3C55" w14:textId="77777777" w:rsidR="00CC2AA0" w:rsidRDefault="00F31053" w:rsidP="002012F7">
    <w:pPr>
      <w:pStyle w:val="Header"/>
    </w:pPr>
    <w:r>
      <w:pict w14:anchorId="2BE21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6704;mso-position-horizontal-relative:margin;mso-position-vertical-relative:margin" o:allowincell="f">
          <v:imagedata r:id="rId1" o:title="MS word cover1"/>
          <w10:wrap anchorx="margin" anchory="margin"/>
        </v:shape>
      </w:pict>
    </w:r>
    <w:r>
      <w:pict w14:anchorId="1CAB3B40">
        <v:shape id="WordPictureWatermark1034832" o:spid="_x0000_s1042" type="#_x0000_t75" style="position:absolute;left:0;text-align:left;margin-left:-70.9pt;margin-top:-109.05pt;width:595.1pt;height:869.4pt;z-index:-251659776;mso-position-horizontal-relative:margin;mso-position-vertical-relative:margin" o:allowincell="f">
          <v:imagedata r:id="rId2" o:title="report watermark"/>
          <w10:wrap anchorx="margin" anchory="margin"/>
        </v:shape>
      </w:pict>
    </w:r>
  </w:p>
  <w:p w14:paraId="11824460" w14:textId="77777777" w:rsidR="008B3899" w:rsidRDefault="008B3899" w:rsidP="002012F7">
    <w:pPr>
      <w:pStyle w:val="Header"/>
    </w:pPr>
  </w:p>
  <w:p w14:paraId="4D85D2E4"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A6E7" w14:textId="77777777" w:rsidR="00B00AD5" w:rsidRPr="000465F1" w:rsidRDefault="00B00AD5" w:rsidP="00B00AD5">
    <w:pPr>
      <w:pStyle w:val="Header"/>
    </w:pPr>
    <w:r w:rsidRPr="000465F1">
      <w:t>Australian Human Rights Commission</w:t>
    </w:r>
  </w:p>
  <w:p w14:paraId="7E45BA37" w14:textId="3A9CE712" w:rsidR="00B00AD5" w:rsidRDefault="00B00AD5" w:rsidP="00B00AD5">
    <w:pPr>
      <w:pStyle w:val="HeaderDocumentDate"/>
    </w:pPr>
    <w:r>
      <w:rPr>
        <w:rStyle w:val="HeaderDocumentTitle"/>
      </w:rPr>
      <w:t>Monitoring of Places of Detention (OPCAT) Bill 2022</w:t>
    </w:r>
    <w:r>
      <w:t xml:space="preserve"> </w:t>
    </w:r>
    <w:r w:rsidR="0094363A">
      <w:t xml:space="preserve">4 </w:t>
    </w:r>
    <w:r>
      <w:t>February 2022</w:t>
    </w:r>
  </w:p>
  <w:p w14:paraId="653E4D9B" w14:textId="77777777" w:rsidR="00045466" w:rsidRPr="000465F1" w:rsidRDefault="00045466"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9B8A" w14:textId="77777777" w:rsidR="00B00AD5" w:rsidRPr="000465F1" w:rsidRDefault="00B00AD5" w:rsidP="00B00AD5">
    <w:pPr>
      <w:pStyle w:val="Header"/>
    </w:pPr>
    <w:r w:rsidRPr="000465F1">
      <w:t>Australian Human Rights Commission</w:t>
    </w:r>
  </w:p>
  <w:p w14:paraId="2D90B64E" w14:textId="4712091D" w:rsidR="00B00AD5" w:rsidRDefault="00B00AD5" w:rsidP="00B00AD5">
    <w:pPr>
      <w:pStyle w:val="HeaderDocumentDate"/>
    </w:pPr>
    <w:r>
      <w:rPr>
        <w:rStyle w:val="HeaderDocumentTitle"/>
      </w:rPr>
      <w:t>Monitoring of Places of Detention (OPCAT) Bill 2022</w:t>
    </w:r>
    <w:r>
      <w:t xml:space="preserve"> </w:t>
    </w:r>
    <w:r w:rsidR="0094363A">
      <w:t>4</w:t>
    </w:r>
    <w:r w:rsidR="00B41CE3">
      <w:t xml:space="preserve"> </w:t>
    </w:r>
    <w:r>
      <w:t>February 2022</w:t>
    </w:r>
  </w:p>
  <w:p w14:paraId="459AF1EE" w14:textId="77777777" w:rsidR="00045466" w:rsidRPr="000465F1" w:rsidRDefault="00045466"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3F82" w14:textId="77777777" w:rsidR="0063009F" w:rsidRPr="000465F1" w:rsidRDefault="0063009F" w:rsidP="0063009F">
    <w:pPr>
      <w:pStyle w:val="Header"/>
    </w:pPr>
    <w:r w:rsidRPr="000465F1">
      <w:t>Australian Human Rights Commission</w:t>
    </w:r>
  </w:p>
  <w:p w14:paraId="73112914" w14:textId="7C888795" w:rsidR="0063009F" w:rsidRDefault="00B00AD5" w:rsidP="0063009F">
    <w:pPr>
      <w:pStyle w:val="HeaderDocumentDate"/>
    </w:pPr>
    <w:r>
      <w:rPr>
        <w:rStyle w:val="HeaderDocumentTitle"/>
      </w:rPr>
      <w:t>Monitoring of Places of Detention (OPCAT) Bill 2022</w:t>
    </w:r>
    <w:r w:rsidR="0063009F">
      <w:t xml:space="preserve"> </w:t>
    </w:r>
    <w:r w:rsidR="0094363A">
      <w:t>4</w:t>
    </w:r>
    <w:r w:rsidR="00B41CE3">
      <w:t xml:space="preserve"> </w:t>
    </w:r>
    <w:r>
      <w:t>February</w:t>
    </w:r>
    <w:r w:rsidR="00B81CC6">
      <w:t xml:space="preserve"> 202</w:t>
    </w:r>
    <w:r>
      <w:t>2</w:t>
    </w:r>
  </w:p>
  <w:p w14:paraId="06DC400E" w14:textId="77777777" w:rsidR="00045466" w:rsidRPr="000465F1" w:rsidRDefault="00045466"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AE34F8"/>
    <w:lvl w:ilvl="0">
      <w:start w:val="1"/>
      <w:numFmt w:val="decimal"/>
      <w:pStyle w:val="ListNumber"/>
      <w:lvlText w:val="%1."/>
      <w:lvlJc w:val="left"/>
      <w:pPr>
        <w:tabs>
          <w:tab w:val="num" w:pos="2345"/>
        </w:tabs>
        <w:ind w:left="2345"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0716100"/>
    <w:multiLevelType w:val="hybridMultilevel"/>
    <w:tmpl w:val="D9B47F7C"/>
    <w:lvl w:ilvl="0" w:tplc="4E98B34C">
      <w:start w:val="6"/>
      <w:numFmt w:val="bullet"/>
      <w:lvlText w:val=""/>
      <w:lvlJc w:val="left"/>
      <w:pPr>
        <w:ind w:left="717" w:hanging="360"/>
      </w:pPr>
      <w:rPr>
        <w:rFonts w:ascii="Symbol" w:eastAsia="MS Mincho" w:hAnsi="Symbol"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147176F1"/>
    <w:multiLevelType w:val="hybridMultilevel"/>
    <w:tmpl w:val="9E6074CE"/>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08D78BF"/>
    <w:multiLevelType w:val="hybridMultilevel"/>
    <w:tmpl w:val="EFE274A6"/>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8" w15:restartNumberingAfterBreak="0">
    <w:nsid w:val="522A6623"/>
    <w:multiLevelType w:val="hybridMultilevel"/>
    <w:tmpl w:val="FB3E120A"/>
    <w:lvl w:ilvl="0" w:tplc="7248A2E6">
      <w:start w:val="1"/>
      <w:numFmt w:val="lowerLetter"/>
      <w:lvlText w:val="(%1)"/>
      <w:lvlJc w:val="left"/>
      <w:pPr>
        <w:ind w:left="360" w:hanging="360"/>
      </w:pPr>
      <w:rPr>
        <w:rFonts w:ascii="Open Sans" w:eastAsia="MS Mincho" w:hAnsi="Open Sans"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3E1812"/>
    <w:multiLevelType w:val="hybridMultilevel"/>
    <w:tmpl w:val="4242630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6DCD112F"/>
    <w:multiLevelType w:val="hybridMultilevel"/>
    <w:tmpl w:val="627A4430"/>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02" w:hanging="360"/>
      </w:pPr>
      <w:rPr>
        <w:rFonts w:ascii="Courier New" w:hAnsi="Courier New" w:cs="Courier New" w:hint="default"/>
      </w:rPr>
    </w:lvl>
    <w:lvl w:ilvl="2" w:tplc="0C090005">
      <w:start w:val="1"/>
      <w:numFmt w:val="bullet"/>
      <w:lvlText w:val=""/>
      <w:lvlJc w:val="left"/>
      <w:pPr>
        <w:ind w:left="2322" w:hanging="360"/>
      </w:pPr>
      <w:rPr>
        <w:rFonts w:ascii="Wingdings" w:hAnsi="Wingdings" w:hint="default"/>
      </w:rPr>
    </w:lvl>
    <w:lvl w:ilvl="3" w:tplc="0C090001" w:tentative="1">
      <w:start w:val="1"/>
      <w:numFmt w:val="bullet"/>
      <w:lvlText w:val=""/>
      <w:lvlJc w:val="left"/>
      <w:pPr>
        <w:ind w:left="3042" w:hanging="360"/>
      </w:pPr>
      <w:rPr>
        <w:rFonts w:ascii="Symbol" w:hAnsi="Symbol" w:hint="default"/>
      </w:rPr>
    </w:lvl>
    <w:lvl w:ilvl="4" w:tplc="0C090003" w:tentative="1">
      <w:start w:val="1"/>
      <w:numFmt w:val="bullet"/>
      <w:lvlText w:val="o"/>
      <w:lvlJc w:val="left"/>
      <w:pPr>
        <w:ind w:left="3762" w:hanging="360"/>
      </w:pPr>
      <w:rPr>
        <w:rFonts w:ascii="Courier New" w:hAnsi="Courier New" w:cs="Courier New" w:hint="default"/>
      </w:rPr>
    </w:lvl>
    <w:lvl w:ilvl="5" w:tplc="0C090005" w:tentative="1">
      <w:start w:val="1"/>
      <w:numFmt w:val="bullet"/>
      <w:lvlText w:val=""/>
      <w:lvlJc w:val="left"/>
      <w:pPr>
        <w:ind w:left="4482" w:hanging="360"/>
      </w:pPr>
      <w:rPr>
        <w:rFonts w:ascii="Wingdings" w:hAnsi="Wingdings" w:hint="default"/>
      </w:rPr>
    </w:lvl>
    <w:lvl w:ilvl="6" w:tplc="0C090001" w:tentative="1">
      <w:start w:val="1"/>
      <w:numFmt w:val="bullet"/>
      <w:lvlText w:val=""/>
      <w:lvlJc w:val="left"/>
      <w:pPr>
        <w:ind w:left="5202" w:hanging="360"/>
      </w:pPr>
      <w:rPr>
        <w:rFonts w:ascii="Symbol" w:hAnsi="Symbol" w:hint="default"/>
      </w:rPr>
    </w:lvl>
    <w:lvl w:ilvl="7" w:tplc="0C090003" w:tentative="1">
      <w:start w:val="1"/>
      <w:numFmt w:val="bullet"/>
      <w:lvlText w:val="o"/>
      <w:lvlJc w:val="left"/>
      <w:pPr>
        <w:ind w:left="5922" w:hanging="360"/>
      </w:pPr>
      <w:rPr>
        <w:rFonts w:ascii="Courier New" w:hAnsi="Courier New" w:cs="Courier New" w:hint="default"/>
      </w:rPr>
    </w:lvl>
    <w:lvl w:ilvl="8" w:tplc="0C090005" w:tentative="1">
      <w:start w:val="1"/>
      <w:numFmt w:val="bullet"/>
      <w:lvlText w:val=""/>
      <w:lvlJc w:val="left"/>
      <w:pPr>
        <w:ind w:left="6642"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6"/>
  </w:num>
  <w:num w:numId="13">
    <w:abstractNumId w:val="14"/>
  </w:num>
  <w:num w:numId="14">
    <w:abstractNumId w:val="13"/>
  </w:num>
  <w:num w:numId="15">
    <w:abstractNumId w:val="12"/>
  </w:num>
  <w:num w:numId="16">
    <w:abstractNumId w:val="10"/>
  </w:num>
  <w:num w:numId="17">
    <w:abstractNumId w:val="17"/>
  </w:num>
  <w:num w:numId="18">
    <w:abstractNumId w:val="20"/>
  </w:num>
  <w:num w:numId="19">
    <w:abstractNumId w:val="18"/>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8B"/>
    <w:rsid w:val="000015EC"/>
    <w:rsid w:val="00003DCD"/>
    <w:rsid w:val="00003EA5"/>
    <w:rsid w:val="0000528D"/>
    <w:rsid w:val="00005751"/>
    <w:rsid w:val="0001257E"/>
    <w:rsid w:val="000161C2"/>
    <w:rsid w:val="00020232"/>
    <w:rsid w:val="00020356"/>
    <w:rsid w:val="00020EE6"/>
    <w:rsid w:val="00022396"/>
    <w:rsid w:val="00023DDF"/>
    <w:rsid w:val="00023FB4"/>
    <w:rsid w:val="0002476A"/>
    <w:rsid w:val="00024B47"/>
    <w:rsid w:val="00025367"/>
    <w:rsid w:val="00027522"/>
    <w:rsid w:val="000316F0"/>
    <w:rsid w:val="0003240C"/>
    <w:rsid w:val="0003303C"/>
    <w:rsid w:val="00033132"/>
    <w:rsid w:val="00033672"/>
    <w:rsid w:val="00034BEC"/>
    <w:rsid w:val="00036BE4"/>
    <w:rsid w:val="0004052E"/>
    <w:rsid w:val="00040D3E"/>
    <w:rsid w:val="00042553"/>
    <w:rsid w:val="000428F7"/>
    <w:rsid w:val="000430B8"/>
    <w:rsid w:val="00045466"/>
    <w:rsid w:val="00045712"/>
    <w:rsid w:val="00045C4B"/>
    <w:rsid w:val="000465F1"/>
    <w:rsid w:val="000478CC"/>
    <w:rsid w:val="0005024D"/>
    <w:rsid w:val="0005099F"/>
    <w:rsid w:val="00051573"/>
    <w:rsid w:val="00051AE6"/>
    <w:rsid w:val="00051C5E"/>
    <w:rsid w:val="0005366D"/>
    <w:rsid w:val="00054D8C"/>
    <w:rsid w:val="00054E90"/>
    <w:rsid w:val="00054F7B"/>
    <w:rsid w:val="00055B84"/>
    <w:rsid w:val="00055D71"/>
    <w:rsid w:val="000574A5"/>
    <w:rsid w:val="000579B1"/>
    <w:rsid w:val="00060612"/>
    <w:rsid w:val="00061C6C"/>
    <w:rsid w:val="00061D2A"/>
    <w:rsid w:val="000623B7"/>
    <w:rsid w:val="000637D1"/>
    <w:rsid w:val="00065483"/>
    <w:rsid w:val="00065ECD"/>
    <w:rsid w:val="00065F25"/>
    <w:rsid w:val="0006666E"/>
    <w:rsid w:val="00066C68"/>
    <w:rsid w:val="00072EDA"/>
    <w:rsid w:val="00076293"/>
    <w:rsid w:val="0008009E"/>
    <w:rsid w:val="000803C1"/>
    <w:rsid w:val="00084901"/>
    <w:rsid w:val="00086D9C"/>
    <w:rsid w:val="00087202"/>
    <w:rsid w:val="0008749C"/>
    <w:rsid w:val="000901BC"/>
    <w:rsid w:val="0009084A"/>
    <w:rsid w:val="00090DBB"/>
    <w:rsid w:val="00090FB0"/>
    <w:rsid w:val="00091C0E"/>
    <w:rsid w:val="0009201B"/>
    <w:rsid w:val="000942FD"/>
    <w:rsid w:val="00094A7B"/>
    <w:rsid w:val="00094A91"/>
    <w:rsid w:val="000956AE"/>
    <w:rsid w:val="00095949"/>
    <w:rsid w:val="00095C25"/>
    <w:rsid w:val="00096451"/>
    <w:rsid w:val="00096C39"/>
    <w:rsid w:val="000975E1"/>
    <w:rsid w:val="00097B13"/>
    <w:rsid w:val="000A1DB8"/>
    <w:rsid w:val="000A26A9"/>
    <w:rsid w:val="000A2E98"/>
    <w:rsid w:val="000A317B"/>
    <w:rsid w:val="000A3AAB"/>
    <w:rsid w:val="000A4390"/>
    <w:rsid w:val="000A439A"/>
    <w:rsid w:val="000A48AC"/>
    <w:rsid w:val="000A520E"/>
    <w:rsid w:val="000A593B"/>
    <w:rsid w:val="000B0603"/>
    <w:rsid w:val="000B0A5D"/>
    <w:rsid w:val="000B2020"/>
    <w:rsid w:val="000B3599"/>
    <w:rsid w:val="000B3DA4"/>
    <w:rsid w:val="000B5B68"/>
    <w:rsid w:val="000C3C71"/>
    <w:rsid w:val="000C469A"/>
    <w:rsid w:val="000C5608"/>
    <w:rsid w:val="000C5DA6"/>
    <w:rsid w:val="000C6E58"/>
    <w:rsid w:val="000D0365"/>
    <w:rsid w:val="000D5C57"/>
    <w:rsid w:val="000E0E45"/>
    <w:rsid w:val="000E130A"/>
    <w:rsid w:val="000E4A24"/>
    <w:rsid w:val="000E5EB9"/>
    <w:rsid w:val="000E6838"/>
    <w:rsid w:val="000E6CD4"/>
    <w:rsid w:val="000E7B3F"/>
    <w:rsid w:val="000E7C36"/>
    <w:rsid w:val="000F0451"/>
    <w:rsid w:val="000F2656"/>
    <w:rsid w:val="000F4134"/>
    <w:rsid w:val="000F4E1C"/>
    <w:rsid w:val="000F59BA"/>
    <w:rsid w:val="000F614A"/>
    <w:rsid w:val="000F7CB8"/>
    <w:rsid w:val="00100864"/>
    <w:rsid w:val="001014E9"/>
    <w:rsid w:val="0010210A"/>
    <w:rsid w:val="001036E2"/>
    <w:rsid w:val="00106F4E"/>
    <w:rsid w:val="001115C3"/>
    <w:rsid w:val="00112289"/>
    <w:rsid w:val="00112CFC"/>
    <w:rsid w:val="00112D56"/>
    <w:rsid w:val="001131F7"/>
    <w:rsid w:val="001137B9"/>
    <w:rsid w:val="0011541D"/>
    <w:rsid w:val="00115CBF"/>
    <w:rsid w:val="00116913"/>
    <w:rsid w:val="00117161"/>
    <w:rsid w:val="00117BFF"/>
    <w:rsid w:val="00117D18"/>
    <w:rsid w:val="00120236"/>
    <w:rsid w:val="00122808"/>
    <w:rsid w:val="00122852"/>
    <w:rsid w:val="00122E23"/>
    <w:rsid w:val="00124C1B"/>
    <w:rsid w:val="00125B71"/>
    <w:rsid w:val="00125E76"/>
    <w:rsid w:val="00126BF8"/>
    <w:rsid w:val="0012781C"/>
    <w:rsid w:val="00132970"/>
    <w:rsid w:val="00134774"/>
    <w:rsid w:val="00135F3C"/>
    <w:rsid w:val="00136C62"/>
    <w:rsid w:val="00140274"/>
    <w:rsid w:val="00140473"/>
    <w:rsid w:val="00141A79"/>
    <w:rsid w:val="00142F29"/>
    <w:rsid w:val="00145AB2"/>
    <w:rsid w:val="00145D60"/>
    <w:rsid w:val="00146F35"/>
    <w:rsid w:val="00147376"/>
    <w:rsid w:val="00147E6A"/>
    <w:rsid w:val="00150227"/>
    <w:rsid w:val="00151263"/>
    <w:rsid w:val="00151D7A"/>
    <w:rsid w:val="0015239E"/>
    <w:rsid w:val="00152F93"/>
    <w:rsid w:val="001535AE"/>
    <w:rsid w:val="001536CB"/>
    <w:rsid w:val="00155244"/>
    <w:rsid w:val="00155FCB"/>
    <w:rsid w:val="001564BB"/>
    <w:rsid w:val="0016164E"/>
    <w:rsid w:val="0016266F"/>
    <w:rsid w:val="00162A8D"/>
    <w:rsid w:val="001640FF"/>
    <w:rsid w:val="001641DE"/>
    <w:rsid w:val="0016496F"/>
    <w:rsid w:val="0016597E"/>
    <w:rsid w:val="00165E3C"/>
    <w:rsid w:val="00166969"/>
    <w:rsid w:val="00166D7D"/>
    <w:rsid w:val="001700DF"/>
    <w:rsid w:val="001701D1"/>
    <w:rsid w:val="001705D1"/>
    <w:rsid w:val="00170658"/>
    <w:rsid w:val="001710A9"/>
    <w:rsid w:val="001714BB"/>
    <w:rsid w:val="00172238"/>
    <w:rsid w:val="00172956"/>
    <w:rsid w:val="00172DB7"/>
    <w:rsid w:val="00173C30"/>
    <w:rsid w:val="00173FB5"/>
    <w:rsid w:val="00174D9A"/>
    <w:rsid w:val="00175817"/>
    <w:rsid w:val="001767EA"/>
    <w:rsid w:val="00177F54"/>
    <w:rsid w:val="001806AD"/>
    <w:rsid w:val="00180D56"/>
    <w:rsid w:val="00182380"/>
    <w:rsid w:val="00182D97"/>
    <w:rsid w:val="001839D6"/>
    <w:rsid w:val="00183D65"/>
    <w:rsid w:val="00184FBA"/>
    <w:rsid w:val="00186B04"/>
    <w:rsid w:val="001876B3"/>
    <w:rsid w:val="00187E41"/>
    <w:rsid w:val="00190FDD"/>
    <w:rsid w:val="001910A6"/>
    <w:rsid w:val="00193A31"/>
    <w:rsid w:val="0019494F"/>
    <w:rsid w:val="00195EDE"/>
    <w:rsid w:val="00196476"/>
    <w:rsid w:val="00196F06"/>
    <w:rsid w:val="00197559"/>
    <w:rsid w:val="001A1C14"/>
    <w:rsid w:val="001A24F4"/>
    <w:rsid w:val="001A54D8"/>
    <w:rsid w:val="001A610A"/>
    <w:rsid w:val="001A616E"/>
    <w:rsid w:val="001A6AE0"/>
    <w:rsid w:val="001B0353"/>
    <w:rsid w:val="001B0873"/>
    <w:rsid w:val="001B166B"/>
    <w:rsid w:val="001B1A55"/>
    <w:rsid w:val="001B49CC"/>
    <w:rsid w:val="001B4A16"/>
    <w:rsid w:val="001B4CB9"/>
    <w:rsid w:val="001B57A0"/>
    <w:rsid w:val="001C1F8B"/>
    <w:rsid w:val="001C2728"/>
    <w:rsid w:val="001C30D6"/>
    <w:rsid w:val="001C336F"/>
    <w:rsid w:val="001C5B99"/>
    <w:rsid w:val="001C6329"/>
    <w:rsid w:val="001C6767"/>
    <w:rsid w:val="001D010C"/>
    <w:rsid w:val="001D01C9"/>
    <w:rsid w:val="001D04ED"/>
    <w:rsid w:val="001D0858"/>
    <w:rsid w:val="001D0B35"/>
    <w:rsid w:val="001D1503"/>
    <w:rsid w:val="001D1D3B"/>
    <w:rsid w:val="001D2B20"/>
    <w:rsid w:val="001D380E"/>
    <w:rsid w:val="001D53BD"/>
    <w:rsid w:val="001D56EF"/>
    <w:rsid w:val="001D5A83"/>
    <w:rsid w:val="001D77DA"/>
    <w:rsid w:val="001D7BC3"/>
    <w:rsid w:val="001E0207"/>
    <w:rsid w:val="001E0267"/>
    <w:rsid w:val="001E0F36"/>
    <w:rsid w:val="001E11EA"/>
    <w:rsid w:val="001E2228"/>
    <w:rsid w:val="001E337F"/>
    <w:rsid w:val="001E3613"/>
    <w:rsid w:val="001E3AF2"/>
    <w:rsid w:val="001E3F94"/>
    <w:rsid w:val="001E4501"/>
    <w:rsid w:val="001E46D7"/>
    <w:rsid w:val="001E4DCB"/>
    <w:rsid w:val="001E5676"/>
    <w:rsid w:val="001E5E32"/>
    <w:rsid w:val="001E5FF6"/>
    <w:rsid w:val="001E61DD"/>
    <w:rsid w:val="001E65A9"/>
    <w:rsid w:val="001E66FD"/>
    <w:rsid w:val="001E7711"/>
    <w:rsid w:val="001E779C"/>
    <w:rsid w:val="001F0C14"/>
    <w:rsid w:val="001F165B"/>
    <w:rsid w:val="001F1DA7"/>
    <w:rsid w:val="001F2166"/>
    <w:rsid w:val="001F2BBB"/>
    <w:rsid w:val="001F2F68"/>
    <w:rsid w:val="001F52FD"/>
    <w:rsid w:val="001F62CC"/>
    <w:rsid w:val="001F7400"/>
    <w:rsid w:val="001F76B8"/>
    <w:rsid w:val="002005D9"/>
    <w:rsid w:val="00200677"/>
    <w:rsid w:val="00200CE1"/>
    <w:rsid w:val="002012F7"/>
    <w:rsid w:val="00201B0C"/>
    <w:rsid w:val="002027F6"/>
    <w:rsid w:val="00204626"/>
    <w:rsid w:val="002060A4"/>
    <w:rsid w:val="002061BA"/>
    <w:rsid w:val="002068EB"/>
    <w:rsid w:val="00211B6F"/>
    <w:rsid w:val="00213805"/>
    <w:rsid w:val="00213956"/>
    <w:rsid w:val="002148B4"/>
    <w:rsid w:val="00216CAA"/>
    <w:rsid w:val="002170B2"/>
    <w:rsid w:val="0021785E"/>
    <w:rsid w:val="0022092D"/>
    <w:rsid w:val="002209C7"/>
    <w:rsid w:val="002211F7"/>
    <w:rsid w:val="00221C86"/>
    <w:rsid w:val="002223FA"/>
    <w:rsid w:val="00224B1D"/>
    <w:rsid w:val="00225B4C"/>
    <w:rsid w:val="002264B2"/>
    <w:rsid w:val="00226751"/>
    <w:rsid w:val="002278FE"/>
    <w:rsid w:val="002309AA"/>
    <w:rsid w:val="00230B09"/>
    <w:rsid w:val="00231ED1"/>
    <w:rsid w:val="0023257A"/>
    <w:rsid w:val="00232925"/>
    <w:rsid w:val="002329AE"/>
    <w:rsid w:val="00232D15"/>
    <w:rsid w:val="002330BC"/>
    <w:rsid w:val="0023338C"/>
    <w:rsid w:val="00233A98"/>
    <w:rsid w:val="00233E63"/>
    <w:rsid w:val="002358CF"/>
    <w:rsid w:val="002375D0"/>
    <w:rsid w:val="00240401"/>
    <w:rsid w:val="00241523"/>
    <w:rsid w:val="002425AA"/>
    <w:rsid w:val="00242624"/>
    <w:rsid w:val="0024557E"/>
    <w:rsid w:val="002471FD"/>
    <w:rsid w:val="002529A2"/>
    <w:rsid w:val="00252BF2"/>
    <w:rsid w:val="00253E5D"/>
    <w:rsid w:val="0026136A"/>
    <w:rsid w:val="002632EA"/>
    <w:rsid w:val="00263405"/>
    <w:rsid w:val="00263B27"/>
    <w:rsid w:val="00264655"/>
    <w:rsid w:val="00265F9D"/>
    <w:rsid w:val="0026716B"/>
    <w:rsid w:val="0026719A"/>
    <w:rsid w:val="002701BE"/>
    <w:rsid w:val="0027036E"/>
    <w:rsid w:val="0027163D"/>
    <w:rsid w:val="00275768"/>
    <w:rsid w:val="00277660"/>
    <w:rsid w:val="00280356"/>
    <w:rsid w:val="002808A4"/>
    <w:rsid w:val="002808CD"/>
    <w:rsid w:val="00281063"/>
    <w:rsid w:val="00282BED"/>
    <w:rsid w:val="00282F19"/>
    <w:rsid w:val="00284368"/>
    <w:rsid w:val="0028506A"/>
    <w:rsid w:val="002850B0"/>
    <w:rsid w:val="002863D7"/>
    <w:rsid w:val="00286A48"/>
    <w:rsid w:val="002873B4"/>
    <w:rsid w:val="00287471"/>
    <w:rsid w:val="0029021B"/>
    <w:rsid w:val="00291641"/>
    <w:rsid w:val="002923BD"/>
    <w:rsid w:val="00292A5F"/>
    <w:rsid w:val="00292AB5"/>
    <w:rsid w:val="00292C15"/>
    <w:rsid w:val="00293653"/>
    <w:rsid w:val="00293CB8"/>
    <w:rsid w:val="00296818"/>
    <w:rsid w:val="00297732"/>
    <w:rsid w:val="002A0211"/>
    <w:rsid w:val="002A12B6"/>
    <w:rsid w:val="002A3BED"/>
    <w:rsid w:val="002A3CBD"/>
    <w:rsid w:val="002A43C2"/>
    <w:rsid w:val="002A72BA"/>
    <w:rsid w:val="002A77D3"/>
    <w:rsid w:val="002B15C8"/>
    <w:rsid w:val="002B1B65"/>
    <w:rsid w:val="002B2E0E"/>
    <w:rsid w:val="002B3303"/>
    <w:rsid w:val="002B3D3D"/>
    <w:rsid w:val="002B6A35"/>
    <w:rsid w:val="002B6BFD"/>
    <w:rsid w:val="002C02DB"/>
    <w:rsid w:val="002C1866"/>
    <w:rsid w:val="002C1AE9"/>
    <w:rsid w:val="002C23F2"/>
    <w:rsid w:val="002C267F"/>
    <w:rsid w:val="002C3138"/>
    <w:rsid w:val="002C3E4B"/>
    <w:rsid w:val="002C5011"/>
    <w:rsid w:val="002C5943"/>
    <w:rsid w:val="002C59BE"/>
    <w:rsid w:val="002C60CC"/>
    <w:rsid w:val="002C6810"/>
    <w:rsid w:val="002D09EA"/>
    <w:rsid w:val="002D1721"/>
    <w:rsid w:val="002D1FB7"/>
    <w:rsid w:val="002D4872"/>
    <w:rsid w:val="002D62FB"/>
    <w:rsid w:val="002D7A70"/>
    <w:rsid w:val="002E0E99"/>
    <w:rsid w:val="002E2D45"/>
    <w:rsid w:val="002E4594"/>
    <w:rsid w:val="002E45F9"/>
    <w:rsid w:val="002E4DEB"/>
    <w:rsid w:val="002E5A1B"/>
    <w:rsid w:val="002E5DCE"/>
    <w:rsid w:val="002E61A7"/>
    <w:rsid w:val="002E7F34"/>
    <w:rsid w:val="002F02BA"/>
    <w:rsid w:val="002F35AF"/>
    <w:rsid w:val="002F4CE1"/>
    <w:rsid w:val="002F5775"/>
    <w:rsid w:val="002F5E96"/>
    <w:rsid w:val="002F6A63"/>
    <w:rsid w:val="002F7E0C"/>
    <w:rsid w:val="0030053D"/>
    <w:rsid w:val="003005AB"/>
    <w:rsid w:val="00300754"/>
    <w:rsid w:val="00300F22"/>
    <w:rsid w:val="00301CCE"/>
    <w:rsid w:val="00301D15"/>
    <w:rsid w:val="00302BD7"/>
    <w:rsid w:val="00304441"/>
    <w:rsid w:val="00304A37"/>
    <w:rsid w:val="003054E2"/>
    <w:rsid w:val="0031040E"/>
    <w:rsid w:val="00310ED4"/>
    <w:rsid w:val="00311468"/>
    <w:rsid w:val="00311DD6"/>
    <w:rsid w:val="00312301"/>
    <w:rsid w:val="003132F4"/>
    <w:rsid w:val="00313D78"/>
    <w:rsid w:val="0031492A"/>
    <w:rsid w:val="00316B01"/>
    <w:rsid w:val="00316C1A"/>
    <w:rsid w:val="00316F87"/>
    <w:rsid w:val="003203ED"/>
    <w:rsid w:val="00321FEC"/>
    <w:rsid w:val="0032231F"/>
    <w:rsid w:val="003235CC"/>
    <w:rsid w:val="00323C73"/>
    <w:rsid w:val="003242C2"/>
    <w:rsid w:val="003247A2"/>
    <w:rsid w:val="00324864"/>
    <w:rsid w:val="00325CB8"/>
    <w:rsid w:val="00331141"/>
    <w:rsid w:val="003320F0"/>
    <w:rsid w:val="003328CA"/>
    <w:rsid w:val="00333204"/>
    <w:rsid w:val="0033545E"/>
    <w:rsid w:val="003403F0"/>
    <w:rsid w:val="00341249"/>
    <w:rsid w:val="00341B3C"/>
    <w:rsid w:val="003423F4"/>
    <w:rsid w:val="00343F2A"/>
    <w:rsid w:val="003446C2"/>
    <w:rsid w:val="00344758"/>
    <w:rsid w:val="00344898"/>
    <w:rsid w:val="003459E6"/>
    <w:rsid w:val="00347142"/>
    <w:rsid w:val="00347784"/>
    <w:rsid w:val="00350C9F"/>
    <w:rsid w:val="00350D1B"/>
    <w:rsid w:val="00352282"/>
    <w:rsid w:val="0035246E"/>
    <w:rsid w:val="00354232"/>
    <w:rsid w:val="00355BA8"/>
    <w:rsid w:val="003565A8"/>
    <w:rsid w:val="003566EA"/>
    <w:rsid w:val="003603A2"/>
    <w:rsid w:val="003620F5"/>
    <w:rsid w:val="003628E2"/>
    <w:rsid w:val="00362E65"/>
    <w:rsid w:val="00364504"/>
    <w:rsid w:val="00365A76"/>
    <w:rsid w:val="00367531"/>
    <w:rsid w:val="0036797F"/>
    <w:rsid w:val="00370BF4"/>
    <w:rsid w:val="003711DF"/>
    <w:rsid w:val="003724A9"/>
    <w:rsid w:val="003728C0"/>
    <w:rsid w:val="0037294A"/>
    <w:rsid w:val="00372C79"/>
    <w:rsid w:val="00372FD3"/>
    <w:rsid w:val="00373868"/>
    <w:rsid w:val="0037472D"/>
    <w:rsid w:val="00375788"/>
    <w:rsid w:val="00381F72"/>
    <w:rsid w:val="00383805"/>
    <w:rsid w:val="00386DE8"/>
    <w:rsid w:val="00386E96"/>
    <w:rsid w:val="003870DF"/>
    <w:rsid w:val="003910D4"/>
    <w:rsid w:val="00393A0D"/>
    <w:rsid w:val="00393D23"/>
    <w:rsid w:val="00394497"/>
    <w:rsid w:val="00394AF5"/>
    <w:rsid w:val="00394D62"/>
    <w:rsid w:val="00396D5C"/>
    <w:rsid w:val="00397C85"/>
    <w:rsid w:val="003A168E"/>
    <w:rsid w:val="003A20F0"/>
    <w:rsid w:val="003A241D"/>
    <w:rsid w:val="003A36F4"/>
    <w:rsid w:val="003A3A89"/>
    <w:rsid w:val="003A3E63"/>
    <w:rsid w:val="003A3FEF"/>
    <w:rsid w:val="003A4545"/>
    <w:rsid w:val="003A48B7"/>
    <w:rsid w:val="003A5450"/>
    <w:rsid w:val="003A5598"/>
    <w:rsid w:val="003A5773"/>
    <w:rsid w:val="003A5DBD"/>
    <w:rsid w:val="003A6D66"/>
    <w:rsid w:val="003A7748"/>
    <w:rsid w:val="003B0C5D"/>
    <w:rsid w:val="003B368F"/>
    <w:rsid w:val="003B602A"/>
    <w:rsid w:val="003B7BCF"/>
    <w:rsid w:val="003B7F12"/>
    <w:rsid w:val="003C0BA8"/>
    <w:rsid w:val="003C13EE"/>
    <w:rsid w:val="003C435C"/>
    <w:rsid w:val="003C4DEC"/>
    <w:rsid w:val="003C6405"/>
    <w:rsid w:val="003C6641"/>
    <w:rsid w:val="003C684F"/>
    <w:rsid w:val="003C69A5"/>
    <w:rsid w:val="003C745C"/>
    <w:rsid w:val="003C7A57"/>
    <w:rsid w:val="003D0696"/>
    <w:rsid w:val="003D0A49"/>
    <w:rsid w:val="003D2C20"/>
    <w:rsid w:val="003D3EF7"/>
    <w:rsid w:val="003D4306"/>
    <w:rsid w:val="003D4FD3"/>
    <w:rsid w:val="003D52FA"/>
    <w:rsid w:val="003D6085"/>
    <w:rsid w:val="003D6232"/>
    <w:rsid w:val="003D7D52"/>
    <w:rsid w:val="003E1979"/>
    <w:rsid w:val="003E39D3"/>
    <w:rsid w:val="003E47B4"/>
    <w:rsid w:val="003E5DEF"/>
    <w:rsid w:val="003E5E64"/>
    <w:rsid w:val="003E636F"/>
    <w:rsid w:val="003E65F1"/>
    <w:rsid w:val="003E7FB0"/>
    <w:rsid w:val="003F09A0"/>
    <w:rsid w:val="003F0B14"/>
    <w:rsid w:val="003F3407"/>
    <w:rsid w:val="003F6B74"/>
    <w:rsid w:val="003F7044"/>
    <w:rsid w:val="00400AB0"/>
    <w:rsid w:val="004038D5"/>
    <w:rsid w:val="0040397E"/>
    <w:rsid w:val="00403DEA"/>
    <w:rsid w:val="0040497E"/>
    <w:rsid w:val="004057E2"/>
    <w:rsid w:val="00406CC7"/>
    <w:rsid w:val="00407022"/>
    <w:rsid w:val="004078F2"/>
    <w:rsid w:val="004178E5"/>
    <w:rsid w:val="00420BF6"/>
    <w:rsid w:val="004214A0"/>
    <w:rsid w:val="00422250"/>
    <w:rsid w:val="00422417"/>
    <w:rsid w:val="00424233"/>
    <w:rsid w:val="004255EC"/>
    <w:rsid w:val="0042761A"/>
    <w:rsid w:val="00430C81"/>
    <w:rsid w:val="00433148"/>
    <w:rsid w:val="0043389C"/>
    <w:rsid w:val="00433CCF"/>
    <w:rsid w:val="00433DE0"/>
    <w:rsid w:val="00434945"/>
    <w:rsid w:val="00440609"/>
    <w:rsid w:val="00440EE6"/>
    <w:rsid w:val="0044130E"/>
    <w:rsid w:val="00445CB5"/>
    <w:rsid w:val="00447851"/>
    <w:rsid w:val="004501FD"/>
    <w:rsid w:val="004539A7"/>
    <w:rsid w:val="0045680D"/>
    <w:rsid w:val="00460EE0"/>
    <w:rsid w:val="00461782"/>
    <w:rsid w:val="004618EA"/>
    <w:rsid w:val="0046284D"/>
    <w:rsid w:val="00464051"/>
    <w:rsid w:val="00464E7B"/>
    <w:rsid w:val="00465819"/>
    <w:rsid w:val="00466D10"/>
    <w:rsid w:val="004712FB"/>
    <w:rsid w:val="0047179A"/>
    <w:rsid w:val="00471BB7"/>
    <w:rsid w:val="00472EFF"/>
    <w:rsid w:val="00474058"/>
    <w:rsid w:val="00474063"/>
    <w:rsid w:val="0047589F"/>
    <w:rsid w:val="00476793"/>
    <w:rsid w:val="004778A2"/>
    <w:rsid w:val="00481B2A"/>
    <w:rsid w:val="00481F79"/>
    <w:rsid w:val="00482091"/>
    <w:rsid w:val="0048292E"/>
    <w:rsid w:val="0048335A"/>
    <w:rsid w:val="0048368B"/>
    <w:rsid w:val="00484C9D"/>
    <w:rsid w:val="0048531F"/>
    <w:rsid w:val="004863C8"/>
    <w:rsid w:val="0048728F"/>
    <w:rsid w:val="00490FA4"/>
    <w:rsid w:val="004913F9"/>
    <w:rsid w:val="00492036"/>
    <w:rsid w:val="0049300D"/>
    <w:rsid w:val="00495A7C"/>
    <w:rsid w:val="00496715"/>
    <w:rsid w:val="00496857"/>
    <w:rsid w:val="00496C3E"/>
    <w:rsid w:val="00497873"/>
    <w:rsid w:val="00497B9C"/>
    <w:rsid w:val="00497BBB"/>
    <w:rsid w:val="00497E83"/>
    <w:rsid w:val="004A0A45"/>
    <w:rsid w:val="004A187B"/>
    <w:rsid w:val="004A2D3C"/>
    <w:rsid w:val="004A5DE5"/>
    <w:rsid w:val="004B192D"/>
    <w:rsid w:val="004B274A"/>
    <w:rsid w:val="004B3E80"/>
    <w:rsid w:val="004B5E8C"/>
    <w:rsid w:val="004B6299"/>
    <w:rsid w:val="004B673C"/>
    <w:rsid w:val="004C18E3"/>
    <w:rsid w:val="004C1FB1"/>
    <w:rsid w:val="004C2457"/>
    <w:rsid w:val="004C2811"/>
    <w:rsid w:val="004C48B5"/>
    <w:rsid w:val="004C7412"/>
    <w:rsid w:val="004D04BF"/>
    <w:rsid w:val="004D0CB1"/>
    <w:rsid w:val="004D3DC2"/>
    <w:rsid w:val="004D4883"/>
    <w:rsid w:val="004D4A49"/>
    <w:rsid w:val="004D4A65"/>
    <w:rsid w:val="004D5D3A"/>
    <w:rsid w:val="004D6305"/>
    <w:rsid w:val="004D7817"/>
    <w:rsid w:val="004E0DFF"/>
    <w:rsid w:val="004E2094"/>
    <w:rsid w:val="004E24F1"/>
    <w:rsid w:val="004E7B77"/>
    <w:rsid w:val="004F1952"/>
    <w:rsid w:val="004F1C7C"/>
    <w:rsid w:val="004F32C7"/>
    <w:rsid w:val="004F5975"/>
    <w:rsid w:val="004F5EE5"/>
    <w:rsid w:val="00500757"/>
    <w:rsid w:val="005020DA"/>
    <w:rsid w:val="00502B59"/>
    <w:rsid w:val="005034DC"/>
    <w:rsid w:val="00504930"/>
    <w:rsid w:val="005072BF"/>
    <w:rsid w:val="00507DA1"/>
    <w:rsid w:val="00510390"/>
    <w:rsid w:val="0051123E"/>
    <w:rsid w:val="00511320"/>
    <w:rsid w:val="005123F0"/>
    <w:rsid w:val="005131EE"/>
    <w:rsid w:val="00513540"/>
    <w:rsid w:val="00513941"/>
    <w:rsid w:val="00517CA9"/>
    <w:rsid w:val="0052024F"/>
    <w:rsid w:val="0052136C"/>
    <w:rsid w:val="00522769"/>
    <w:rsid w:val="005239F4"/>
    <w:rsid w:val="005253BC"/>
    <w:rsid w:val="0052659D"/>
    <w:rsid w:val="0053051D"/>
    <w:rsid w:val="00533A98"/>
    <w:rsid w:val="00533F9C"/>
    <w:rsid w:val="00534A99"/>
    <w:rsid w:val="0053745E"/>
    <w:rsid w:val="00537881"/>
    <w:rsid w:val="005448CD"/>
    <w:rsid w:val="005456EA"/>
    <w:rsid w:val="00546DB8"/>
    <w:rsid w:val="0054734C"/>
    <w:rsid w:val="00547D2F"/>
    <w:rsid w:val="00552B37"/>
    <w:rsid w:val="00553583"/>
    <w:rsid w:val="00554232"/>
    <w:rsid w:val="00554D1D"/>
    <w:rsid w:val="005569B9"/>
    <w:rsid w:val="00560CC3"/>
    <w:rsid w:val="00561019"/>
    <w:rsid w:val="00561CD3"/>
    <w:rsid w:val="0056205D"/>
    <w:rsid w:val="00563CFF"/>
    <w:rsid w:val="00563F7E"/>
    <w:rsid w:val="00564208"/>
    <w:rsid w:val="00564E8E"/>
    <w:rsid w:val="00565CA1"/>
    <w:rsid w:val="00565E94"/>
    <w:rsid w:val="00565FCF"/>
    <w:rsid w:val="00570995"/>
    <w:rsid w:val="005711B7"/>
    <w:rsid w:val="00571CEB"/>
    <w:rsid w:val="00572B09"/>
    <w:rsid w:val="0057456B"/>
    <w:rsid w:val="005758D2"/>
    <w:rsid w:val="00575E73"/>
    <w:rsid w:val="00576131"/>
    <w:rsid w:val="00576132"/>
    <w:rsid w:val="005767D8"/>
    <w:rsid w:val="0057715E"/>
    <w:rsid w:val="00577A89"/>
    <w:rsid w:val="00577CC5"/>
    <w:rsid w:val="005837BB"/>
    <w:rsid w:val="00583DEB"/>
    <w:rsid w:val="00583F7B"/>
    <w:rsid w:val="005841B5"/>
    <w:rsid w:val="0058590B"/>
    <w:rsid w:val="00586E2E"/>
    <w:rsid w:val="00590F25"/>
    <w:rsid w:val="00591811"/>
    <w:rsid w:val="00591926"/>
    <w:rsid w:val="00591951"/>
    <w:rsid w:val="00592866"/>
    <w:rsid w:val="0059288F"/>
    <w:rsid w:val="00592A8A"/>
    <w:rsid w:val="005943DB"/>
    <w:rsid w:val="005950E0"/>
    <w:rsid w:val="00596E3F"/>
    <w:rsid w:val="00597E45"/>
    <w:rsid w:val="005A0637"/>
    <w:rsid w:val="005A0964"/>
    <w:rsid w:val="005A582B"/>
    <w:rsid w:val="005A626A"/>
    <w:rsid w:val="005A7F49"/>
    <w:rsid w:val="005B0323"/>
    <w:rsid w:val="005B0D15"/>
    <w:rsid w:val="005B26F5"/>
    <w:rsid w:val="005B2A29"/>
    <w:rsid w:val="005B2BBC"/>
    <w:rsid w:val="005B36F6"/>
    <w:rsid w:val="005B3C07"/>
    <w:rsid w:val="005B5053"/>
    <w:rsid w:val="005B709D"/>
    <w:rsid w:val="005C0971"/>
    <w:rsid w:val="005C158B"/>
    <w:rsid w:val="005C2DD9"/>
    <w:rsid w:val="005C2ECF"/>
    <w:rsid w:val="005C425C"/>
    <w:rsid w:val="005C47F7"/>
    <w:rsid w:val="005C5A84"/>
    <w:rsid w:val="005C5D41"/>
    <w:rsid w:val="005C6816"/>
    <w:rsid w:val="005C6CBA"/>
    <w:rsid w:val="005C6E61"/>
    <w:rsid w:val="005C7082"/>
    <w:rsid w:val="005C7BE3"/>
    <w:rsid w:val="005D1F34"/>
    <w:rsid w:val="005D29FF"/>
    <w:rsid w:val="005D3581"/>
    <w:rsid w:val="005D383D"/>
    <w:rsid w:val="005E2234"/>
    <w:rsid w:val="005E244C"/>
    <w:rsid w:val="005E3E3F"/>
    <w:rsid w:val="005E52A8"/>
    <w:rsid w:val="005E59BA"/>
    <w:rsid w:val="005E5FA3"/>
    <w:rsid w:val="005E5FBB"/>
    <w:rsid w:val="005E6735"/>
    <w:rsid w:val="005F004B"/>
    <w:rsid w:val="005F0CBB"/>
    <w:rsid w:val="005F39AC"/>
    <w:rsid w:val="005F4361"/>
    <w:rsid w:val="005F4613"/>
    <w:rsid w:val="005F773C"/>
    <w:rsid w:val="005F78FF"/>
    <w:rsid w:val="00601130"/>
    <w:rsid w:val="0060153B"/>
    <w:rsid w:val="00602209"/>
    <w:rsid w:val="00603D8E"/>
    <w:rsid w:val="00604620"/>
    <w:rsid w:val="0060657D"/>
    <w:rsid w:val="00610D29"/>
    <w:rsid w:val="006117A8"/>
    <w:rsid w:val="006127C6"/>
    <w:rsid w:val="00613617"/>
    <w:rsid w:val="00613E1D"/>
    <w:rsid w:val="00614385"/>
    <w:rsid w:val="0061529A"/>
    <w:rsid w:val="006155A9"/>
    <w:rsid w:val="0061614B"/>
    <w:rsid w:val="00616F88"/>
    <w:rsid w:val="006216B8"/>
    <w:rsid w:val="00622508"/>
    <w:rsid w:val="006225C3"/>
    <w:rsid w:val="00627443"/>
    <w:rsid w:val="0063009F"/>
    <w:rsid w:val="006303C0"/>
    <w:rsid w:val="00630FD8"/>
    <w:rsid w:val="00631B8A"/>
    <w:rsid w:val="00631E41"/>
    <w:rsid w:val="00633BA4"/>
    <w:rsid w:val="00634844"/>
    <w:rsid w:val="00634C6A"/>
    <w:rsid w:val="00634D46"/>
    <w:rsid w:val="006356C5"/>
    <w:rsid w:val="006359DA"/>
    <w:rsid w:val="00635C88"/>
    <w:rsid w:val="0064024A"/>
    <w:rsid w:val="00640A77"/>
    <w:rsid w:val="00643AEE"/>
    <w:rsid w:val="00646288"/>
    <w:rsid w:val="0065064C"/>
    <w:rsid w:val="00650E26"/>
    <w:rsid w:val="00653119"/>
    <w:rsid w:val="0065353A"/>
    <w:rsid w:val="00653BD7"/>
    <w:rsid w:val="00653E29"/>
    <w:rsid w:val="0065436C"/>
    <w:rsid w:val="00654793"/>
    <w:rsid w:val="006547C2"/>
    <w:rsid w:val="006562E3"/>
    <w:rsid w:val="006613F6"/>
    <w:rsid w:val="006627E5"/>
    <w:rsid w:val="00663081"/>
    <w:rsid w:val="00665217"/>
    <w:rsid w:val="00667DD0"/>
    <w:rsid w:val="006703F8"/>
    <w:rsid w:val="00671689"/>
    <w:rsid w:val="00673C0C"/>
    <w:rsid w:val="006750B0"/>
    <w:rsid w:val="006750BE"/>
    <w:rsid w:val="0067554F"/>
    <w:rsid w:val="006769BD"/>
    <w:rsid w:val="00676B77"/>
    <w:rsid w:val="00686F6F"/>
    <w:rsid w:val="006877AE"/>
    <w:rsid w:val="00690C4A"/>
    <w:rsid w:val="0069113D"/>
    <w:rsid w:val="006937F7"/>
    <w:rsid w:val="00694A06"/>
    <w:rsid w:val="0069534C"/>
    <w:rsid w:val="00695377"/>
    <w:rsid w:val="00695DCA"/>
    <w:rsid w:val="00696AB3"/>
    <w:rsid w:val="006A0638"/>
    <w:rsid w:val="006A2EC3"/>
    <w:rsid w:val="006A3883"/>
    <w:rsid w:val="006A39C6"/>
    <w:rsid w:val="006A3B1E"/>
    <w:rsid w:val="006A60C3"/>
    <w:rsid w:val="006A6BB3"/>
    <w:rsid w:val="006A7B7F"/>
    <w:rsid w:val="006A7BF2"/>
    <w:rsid w:val="006B169D"/>
    <w:rsid w:val="006B1E43"/>
    <w:rsid w:val="006B2B81"/>
    <w:rsid w:val="006B3126"/>
    <w:rsid w:val="006B3C84"/>
    <w:rsid w:val="006B3DE1"/>
    <w:rsid w:val="006B6850"/>
    <w:rsid w:val="006B6EAC"/>
    <w:rsid w:val="006B7DE2"/>
    <w:rsid w:val="006C0642"/>
    <w:rsid w:val="006C08F9"/>
    <w:rsid w:val="006C10E3"/>
    <w:rsid w:val="006C11B4"/>
    <w:rsid w:val="006C1361"/>
    <w:rsid w:val="006C2A3C"/>
    <w:rsid w:val="006C34AF"/>
    <w:rsid w:val="006C3C7B"/>
    <w:rsid w:val="006C5B47"/>
    <w:rsid w:val="006C5FA1"/>
    <w:rsid w:val="006C759E"/>
    <w:rsid w:val="006C799F"/>
    <w:rsid w:val="006D0407"/>
    <w:rsid w:val="006D2625"/>
    <w:rsid w:val="006D3F2E"/>
    <w:rsid w:val="006D5EE5"/>
    <w:rsid w:val="006D71CE"/>
    <w:rsid w:val="006D7E92"/>
    <w:rsid w:val="006E0085"/>
    <w:rsid w:val="006E02B4"/>
    <w:rsid w:val="006E09CB"/>
    <w:rsid w:val="006E620E"/>
    <w:rsid w:val="006E67DA"/>
    <w:rsid w:val="006E6D3B"/>
    <w:rsid w:val="006E7225"/>
    <w:rsid w:val="006F03A9"/>
    <w:rsid w:val="006F08D3"/>
    <w:rsid w:val="006F22BC"/>
    <w:rsid w:val="006F43EB"/>
    <w:rsid w:val="006F46EE"/>
    <w:rsid w:val="007015CB"/>
    <w:rsid w:val="00701F0A"/>
    <w:rsid w:val="00702BB7"/>
    <w:rsid w:val="00703060"/>
    <w:rsid w:val="0070565E"/>
    <w:rsid w:val="00714787"/>
    <w:rsid w:val="00714FF5"/>
    <w:rsid w:val="00715D17"/>
    <w:rsid w:val="00724AC9"/>
    <w:rsid w:val="00726F7F"/>
    <w:rsid w:val="00727A7C"/>
    <w:rsid w:val="00730BD2"/>
    <w:rsid w:val="00730E77"/>
    <w:rsid w:val="00734556"/>
    <w:rsid w:val="007358C0"/>
    <w:rsid w:val="007405ED"/>
    <w:rsid w:val="00740BD6"/>
    <w:rsid w:val="00740E57"/>
    <w:rsid w:val="00742C0B"/>
    <w:rsid w:val="00744E0B"/>
    <w:rsid w:val="007456FA"/>
    <w:rsid w:val="0074629F"/>
    <w:rsid w:val="007473F0"/>
    <w:rsid w:val="0075053B"/>
    <w:rsid w:val="00750B60"/>
    <w:rsid w:val="00751978"/>
    <w:rsid w:val="0075263A"/>
    <w:rsid w:val="0075263D"/>
    <w:rsid w:val="00752D62"/>
    <w:rsid w:val="007540BF"/>
    <w:rsid w:val="0075418E"/>
    <w:rsid w:val="007607E0"/>
    <w:rsid w:val="00760871"/>
    <w:rsid w:val="00760E47"/>
    <w:rsid w:val="00761E17"/>
    <w:rsid w:val="00762416"/>
    <w:rsid w:val="00762591"/>
    <w:rsid w:val="00762D64"/>
    <w:rsid w:val="007637A8"/>
    <w:rsid w:val="00765B58"/>
    <w:rsid w:val="00765B87"/>
    <w:rsid w:val="00770DCB"/>
    <w:rsid w:val="00770EF4"/>
    <w:rsid w:val="00771C36"/>
    <w:rsid w:val="00772292"/>
    <w:rsid w:val="00772B32"/>
    <w:rsid w:val="007740D5"/>
    <w:rsid w:val="00774A13"/>
    <w:rsid w:val="00775485"/>
    <w:rsid w:val="00776C8A"/>
    <w:rsid w:val="00783532"/>
    <w:rsid w:val="007845AF"/>
    <w:rsid w:val="007846B5"/>
    <w:rsid w:val="00792199"/>
    <w:rsid w:val="00792778"/>
    <w:rsid w:val="00792862"/>
    <w:rsid w:val="0079295F"/>
    <w:rsid w:val="00793309"/>
    <w:rsid w:val="00793651"/>
    <w:rsid w:val="00794263"/>
    <w:rsid w:val="00795176"/>
    <w:rsid w:val="00795E32"/>
    <w:rsid w:val="00796E04"/>
    <w:rsid w:val="00797540"/>
    <w:rsid w:val="007A3338"/>
    <w:rsid w:val="007A3843"/>
    <w:rsid w:val="007A559E"/>
    <w:rsid w:val="007B06EA"/>
    <w:rsid w:val="007B2E6E"/>
    <w:rsid w:val="007B3234"/>
    <w:rsid w:val="007B5F0C"/>
    <w:rsid w:val="007B761D"/>
    <w:rsid w:val="007C31C2"/>
    <w:rsid w:val="007C4C81"/>
    <w:rsid w:val="007C5CF6"/>
    <w:rsid w:val="007C67C1"/>
    <w:rsid w:val="007C6CE9"/>
    <w:rsid w:val="007C72CA"/>
    <w:rsid w:val="007D2035"/>
    <w:rsid w:val="007D2470"/>
    <w:rsid w:val="007D2997"/>
    <w:rsid w:val="007D2A26"/>
    <w:rsid w:val="007D2F00"/>
    <w:rsid w:val="007D34F7"/>
    <w:rsid w:val="007D36E9"/>
    <w:rsid w:val="007D769A"/>
    <w:rsid w:val="007D7FB8"/>
    <w:rsid w:val="007E122D"/>
    <w:rsid w:val="007E1598"/>
    <w:rsid w:val="007E1D89"/>
    <w:rsid w:val="007E2F6C"/>
    <w:rsid w:val="007E34B5"/>
    <w:rsid w:val="007E40B3"/>
    <w:rsid w:val="007E5450"/>
    <w:rsid w:val="007E5B88"/>
    <w:rsid w:val="007E709F"/>
    <w:rsid w:val="007F0D0B"/>
    <w:rsid w:val="007F1B1F"/>
    <w:rsid w:val="007F40A0"/>
    <w:rsid w:val="007F6088"/>
    <w:rsid w:val="007F60FD"/>
    <w:rsid w:val="007F74EC"/>
    <w:rsid w:val="008007A8"/>
    <w:rsid w:val="00802FF7"/>
    <w:rsid w:val="00803665"/>
    <w:rsid w:val="008042D9"/>
    <w:rsid w:val="0081195B"/>
    <w:rsid w:val="008130CE"/>
    <w:rsid w:val="0081348A"/>
    <w:rsid w:val="00813688"/>
    <w:rsid w:val="00814FC0"/>
    <w:rsid w:val="00815337"/>
    <w:rsid w:val="00817C73"/>
    <w:rsid w:val="00820082"/>
    <w:rsid w:val="008219E8"/>
    <w:rsid w:val="00823005"/>
    <w:rsid w:val="008251B5"/>
    <w:rsid w:val="00826A82"/>
    <w:rsid w:val="00826BAA"/>
    <w:rsid w:val="00827BCA"/>
    <w:rsid w:val="00830206"/>
    <w:rsid w:val="008307A1"/>
    <w:rsid w:val="008322BB"/>
    <w:rsid w:val="008329C8"/>
    <w:rsid w:val="00836431"/>
    <w:rsid w:val="00837C32"/>
    <w:rsid w:val="008402B7"/>
    <w:rsid w:val="0084142F"/>
    <w:rsid w:val="00841463"/>
    <w:rsid w:val="00841A89"/>
    <w:rsid w:val="008449B9"/>
    <w:rsid w:val="00845FA7"/>
    <w:rsid w:val="008464C4"/>
    <w:rsid w:val="00847191"/>
    <w:rsid w:val="00847A87"/>
    <w:rsid w:val="008505D5"/>
    <w:rsid w:val="008506CA"/>
    <w:rsid w:val="008528CB"/>
    <w:rsid w:val="00856D96"/>
    <w:rsid w:val="00857D92"/>
    <w:rsid w:val="0086254F"/>
    <w:rsid w:val="00864E23"/>
    <w:rsid w:val="00866355"/>
    <w:rsid w:val="0086749C"/>
    <w:rsid w:val="00867D5B"/>
    <w:rsid w:val="00870023"/>
    <w:rsid w:val="0087002B"/>
    <w:rsid w:val="00870451"/>
    <w:rsid w:val="008713D7"/>
    <w:rsid w:val="008724DE"/>
    <w:rsid w:val="0087281A"/>
    <w:rsid w:val="0087448B"/>
    <w:rsid w:val="008746D3"/>
    <w:rsid w:val="00874A3D"/>
    <w:rsid w:val="00874C37"/>
    <w:rsid w:val="008758D9"/>
    <w:rsid w:val="0087665F"/>
    <w:rsid w:val="00880B50"/>
    <w:rsid w:val="008824AC"/>
    <w:rsid w:val="00882661"/>
    <w:rsid w:val="00882B0A"/>
    <w:rsid w:val="00883006"/>
    <w:rsid w:val="008839B3"/>
    <w:rsid w:val="00884B3C"/>
    <w:rsid w:val="00886048"/>
    <w:rsid w:val="00886051"/>
    <w:rsid w:val="00890D0F"/>
    <w:rsid w:val="0089133E"/>
    <w:rsid w:val="0089332A"/>
    <w:rsid w:val="008937A8"/>
    <w:rsid w:val="0089467E"/>
    <w:rsid w:val="00895031"/>
    <w:rsid w:val="00897BD6"/>
    <w:rsid w:val="00897C79"/>
    <w:rsid w:val="008A3D57"/>
    <w:rsid w:val="008A3E57"/>
    <w:rsid w:val="008A3EFF"/>
    <w:rsid w:val="008A4D92"/>
    <w:rsid w:val="008A5D40"/>
    <w:rsid w:val="008A649F"/>
    <w:rsid w:val="008A6B54"/>
    <w:rsid w:val="008A7237"/>
    <w:rsid w:val="008A7305"/>
    <w:rsid w:val="008B1044"/>
    <w:rsid w:val="008B1289"/>
    <w:rsid w:val="008B23BC"/>
    <w:rsid w:val="008B26FA"/>
    <w:rsid w:val="008B3899"/>
    <w:rsid w:val="008B46E1"/>
    <w:rsid w:val="008B488D"/>
    <w:rsid w:val="008B4EC7"/>
    <w:rsid w:val="008B6754"/>
    <w:rsid w:val="008B6798"/>
    <w:rsid w:val="008B6CC3"/>
    <w:rsid w:val="008B7439"/>
    <w:rsid w:val="008C00F7"/>
    <w:rsid w:val="008C1CBF"/>
    <w:rsid w:val="008C30BC"/>
    <w:rsid w:val="008C65C0"/>
    <w:rsid w:val="008C67E3"/>
    <w:rsid w:val="008D00A1"/>
    <w:rsid w:val="008D0222"/>
    <w:rsid w:val="008D02CB"/>
    <w:rsid w:val="008D3D0E"/>
    <w:rsid w:val="008D7D68"/>
    <w:rsid w:val="008E0624"/>
    <w:rsid w:val="008E16C6"/>
    <w:rsid w:val="008E21A7"/>
    <w:rsid w:val="008E21C3"/>
    <w:rsid w:val="008E2EE8"/>
    <w:rsid w:val="008E2FD9"/>
    <w:rsid w:val="008E303B"/>
    <w:rsid w:val="008E328C"/>
    <w:rsid w:val="008E3898"/>
    <w:rsid w:val="008E3D60"/>
    <w:rsid w:val="008E3F4C"/>
    <w:rsid w:val="008E4AE4"/>
    <w:rsid w:val="008E58B3"/>
    <w:rsid w:val="008E6D11"/>
    <w:rsid w:val="008E71B2"/>
    <w:rsid w:val="008E78F0"/>
    <w:rsid w:val="008F062E"/>
    <w:rsid w:val="008F0A82"/>
    <w:rsid w:val="008F0B35"/>
    <w:rsid w:val="008F18D5"/>
    <w:rsid w:val="008F4A07"/>
    <w:rsid w:val="008F514F"/>
    <w:rsid w:val="008F5825"/>
    <w:rsid w:val="008F6D8A"/>
    <w:rsid w:val="008F7300"/>
    <w:rsid w:val="0090104F"/>
    <w:rsid w:val="0090165F"/>
    <w:rsid w:val="00901B82"/>
    <w:rsid w:val="00907017"/>
    <w:rsid w:val="00912058"/>
    <w:rsid w:val="00912371"/>
    <w:rsid w:val="009127CE"/>
    <w:rsid w:val="00912B09"/>
    <w:rsid w:val="0091311F"/>
    <w:rsid w:val="00914F0D"/>
    <w:rsid w:val="0091657E"/>
    <w:rsid w:val="00916E14"/>
    <w:rsid w:val="00917080"/>
    <w:rsid w:val="0091791D"/>
    <w:rsid w:val="00917B08"/>
    <w:rsid w:val="00917C1A"/>
    <w:rsid w:val="009223BF"/>
    <w:rsid w:val="00923FE7"/>
    <w:rsid w:val="00924D51"/>
    <w:rsid w:val="00925A7A"/>
    <w:rsid w:val="00926448"/>
    <w:rsid w:val="00926862"/>
    <w:rsid w:val="00927ECA"/>
    <w:rsid w:val="0093021A"/>
    <w:rsid w:val="009310D9"/>
    <w:rsid w:val="0093163D"/>
    <w:rsid w:val="00931C92"/>
    <w:rsid w:val="00932FC2"/>
    <w:rsid w:val="009333B0"/>
    <w:rsid w:val="00933BD3"/>
    <w:rsid w:val="00935494"/>
    <w:rsid w:val="0093556F"/>
    <w:rsid w:val="00935613"/>
    <w:rsid w:val="009365A5"/>
    <w:rsid w:val="009368EC"/>
    <w:rsid w:val="0094115D"/>
    <w:rsid w:val="00941778"/>
    <w:rsid w:val="00942C99"/>
    <w:rsid w:val="009432CF"/>
    <w:rsid w:val="0094363A"/>
    <w:rsid w:val="00944487"/>
    <w:rsid w:val="00944E6B"/>
    <w:rsid w:val="00945F44"/>
    <w:rsid w:val="009476A5"/>
    <w:rsid w:val="009519FC"/>
    <w:rsid w:val="00952336"/>
    <w:rsid w:val="0095326F"/>
    <w:rsid w:val="009559A6"/>
    <w:rsid w:val="00955C36"/>
    <w:rsid w:val="00956074"/>
    <w:rsid w:val="00957336"/>
    <w:rsid w:val="009578CC"/>
    <w:rsid w:val="00957D51"/>
    <w:rsid w:val="00960B9D"/>
    <w:rsid w:val="009628F2"/>
    <w:rsid w:val="00962AE3"/>
    <w:rsid w:val="009637FC"/>
    <w:rsid w:val="00963FBB"/>
    <w:rsid w:val="009654F9"/>
    <w:rsid w:val="0096600E"/>
    <w:rsid w:val="00966C2F"/>
    <w:rsid w:val="00966F8B"/>
    <w:rsid w:val="0096742A"/>
    <w:rsid w:val="00967B6D"/>
    <w:rsid w:val="009741A9"/>
    <w:rsid w:val="0097512B"/>
    <w:rsid w:val="00976E15"/>
    <w:rsid w:val="00976EC6"/>
    <w:rsid w:val="00980656"/>
    <w:rsid w:val="009806DD"/>
    <w:rsid w:val="00981132"/>
    <w:rsid w:val="00982404"/>
    <w:rsid w:val="00982E00"/>
    <w:rsid w:val="0098615F"/>
    <w:rsid w:val="00986527"/>
    <w:rsid w:val="00986B81"/>
    <w:rsid w:val="0099020B"/>
    <w:rsid w:val="009909C7"/>
    <w:rsid w:val="00990B81"/>
    <w:rsid w:val="00992B88"/>
    <w:rsid w:val="00995038"/>
    <w:rsid w:val="009961C8"/>
    <w:rsid w:val="00996525"/>
    <w:rsid w:val="0099732E"/>
    <w:rsid w:val="00997A20"/>
    <w:rsid w:val="00997B69"/>
    <w:rsid w:val="009A01DA"/>
    <w:rsid w:val="009A1259"/>
    <w:rsid w:val="009A1521"/>
    <w:rsid w:val="009A1C54"/>
    <w:rsid w:val="009A23C5"/>
    <w:rsid w:val="009A3750"/>
    <w:rsid w:val="009A38AE"/>
    <w:rsid w:val="009A3A29"/>
    <w:rsid w:val="009A3D9B"/>
    <w:rsid w:val="009A51AA"/>
    <w:rsid w:val="009A654E"/>
    <w:rsid w:val="009A79A2"/>
    <w:rsid w:val="009A7D85"/>
    <w:rsid w:val="009B0A1F"/>
    <w:rsid w:val="009B1121"/>
    <w:rsid w:val="009B1CCE"/>
    <w:rsid w:val="009B1D5B"/>
    <w:rsid w:val="009B237D"/>
    <w:rsid w:val="009B40A5"/>
    <w:rsid w:val="009B68B2"/>
    <w:rsid w:val="009C1115"/>
    <w:rsid w:val="009C6FF2"/>
    <w:rsid w:val="009C7639"/>
    <w:rsid w:val="009C77C2"/>
    <w:rsid w:val="009D0829"/>
    <w:rsid w:val="009D12BB"/>
    <w:rsid w:val="009D15E1"/>
    <w:rsid w:val="009D41DA"/>
    <w:rsid w:val="009D492B"/>
    <w:rsid w:val="009D5552"/>
    <w:rsid w:val="009D67F6"/>
    <w:rsid w:val="009E03B5"/>
    <w:rsid w:val="009E08D1"/>
    <w:rsid w:val="009E0FE1"/>
    <w:rsid w:val="009E2BAA"/>
    <w:rsid w:val="009E3D3B"/>
    <w:rsid w:val="009E422A"/>
    <w:rsid w:val="009E4BD0"/>
    <w:rsid w:val="009E6BF2"/>
    <w:rsid w:val="009F00B9"/>
    <w:rsid w:val="009F00BC"/>
    <w:rsid w:val="009F2142"/>
    <w:rsid w:val="009F2764"/>
    <w:rsid w:val="009F3A48"/>
    <w:rsid w:val="009F49AB"/>
    <w:rsid w:val="009F4E66"/>
    <w:rsid w:val="009F6181"/>
    <w:rsid w:val="009F6E7B"/>
    <w:rsid w:val="009F7D00"/>
    <w:rsid w:val="00A0406E"/>
    <w:rsid w:val="00A11307"/>
    <w:rsid w:val="00A122E7"/>
    <w:rsid w:val="00A12A2A"/>
    <w:rsid w:val="00A12B9D"/>
    <w:rsid w:val="00A13AF3"/>
    <w:rsid w:val="00A13BC9"/>
    <w:rsid w:val="00A16B7E"/>
    <w:rsid w:val="00A210DD"/>
    <w:rsid w:val="00A21388"/>
    <w:rsid w:val="00A21682"/>
    <w:rsid w:val="00A217F0"/>
    <w:rsid w:val="00A21ABD"/>
    <w:rsid w:val="00A24D0F"/>
    <w:rsid w:val="00A25086"/>
    <w:rsid w:val="00A25620"/>
    <w:rsid w:val="00A25CF2"/>
    <w:rsid w:val="00A25D23"/>
    <w:rsid w:val="00A261B0"/>
    <w:rsid w:val="00A27700"/>
    <w:rsid w:val="00A27791"/>
    <w:rsid w:val="00A277EF"/>
    <w:rsid w:val="00A27ABE"/>
    <w:rsid w:val="00A31C25"/>
    <w:rsid w:val="00A351B7"/>
    <w:rsid w:val="00A355F9"/>
    <w:rsid w:val="00A35C5F"/>
    <w:rsid w:val="00A35E89"/>
    <w:rsid w:val="00A37814"/>
    <w:rsid w:val="00A4026A"/>
    <w:rsid w:val="00A40CAD"/>
    <w:rsid w:val="00A41355"/>
    <w:rsid w:val="00A41A2F"/>
    <w:rsid w:val="00A42D8E"/>
    <w:rsid w:val="00A437B6"/>
    <w:rsid w:val="00A43B92"/>
    <w:rsid w:val="00A4508A"/>
    <w:rsid w:val="00A476DC"/>
    <w:rsid w:val="00A50071"/>
    <w:rsid w:val="00A5033B"/>
    <w:rsid w:val="00A507A1"/>
    <w:rsid w:val="00A50F8F"/>
    <w:rsid w:val="00A5147E"/>
    <w:rsid w:val="00A5228F"/>
    <w:rsid w:val="00A52A60"/>
    <w:rsid w:val="00A53512"/>
    <w:rsid w:val="00A53A0B"/>
    <w:rsid w:val="00A54251"/>
    <w:rsid w:val="00A54E39"/>
    <w:rsid w:val="00A5581F"/>
    <w:rsid w:val="00A57DDC"/>
    <w:rsid w:val="00A60091"/>
    <w:rsid w:val="00A60149"/>
    <w:rsid w:val="00A6179E"/>
    <w:rsid w:val="00A62243"/>
    <w:rsid w:val="00A6356B"/>
    <w:rsid w:val="00A63E19"/>
    <w:rsid w:val="00A64316"/>
    <w:rsid w:val="00A709D5"/>
    <w:rsid w:val="00A715C5"/>
    <w:rsid w:val="00A7240B"/>
    <w:rsid w:val="00A72FDE"/>
    <w:rsid w:val="00A732CF"/>
    <w:rsid w:val="00A802EE"/>
    <w:rsid w:val="00A804D9"/>
    <w:rsid w:val="00A83605"/>
    <w:rsid w:val="00A85152"/>
    <w:rsid w:val="00A8573B"/>
    <w:rsid w:val="00A86E4E"/>
    <w:rsid w:val="00A92915"/>
    <w:rsid w:val="00A92F92"/>
    <w:rsid w:val="00A93CAF"/>
    <w:rsid w:val="00A96732"/>
    <w:rsid w:val="00A96892"/>
    <w:rsid w:val="00A96BE6"/>
    <w:rsid w:val="00A96C9A"/>
    <w:rsid w:val="00AA0575"/>
    <w:rsid w:val="00AA2051"/>
    <w:rsid w:val="00AA2B95"/>
    <w:rsid w:val="00AA3521"/>
    <w:rsid w:val="00AA3B06"/>
    <w:rsid w:val="00AA3E68"/>
    <w:rsid w:val="00AA4E8D"/>
    <w:rsid w:val="00AA6964"/>
    <w:rsid w:val="00AA70C4"/>
    <w:rsid w:val="00AA716C"/>
    <w:rsid w:val="00AA736E"/>
    <w:rsid w:val="00AB022B"/>
    <w:rsid w:val="00AB0D41"/>
    <w:rsid w:val="00AB16AA"/>
    <w:rsid w:val="00AB33CC"/>
    <w:rsid w:val="00AB717E"/>
    <w:rsid w:val="00AB7C8F"/>
    <w:rsid w:val="00AC2192"/>
    <w:rsid w:val="00AC220A"/>
    <w:rsid w:val="00AC24B4"/>
    <w:rsid w:val="00AC3BB2"/>
    <w:rsid w:val="00AC4FA7"/>
    <w:rsid w:val="00AC636D"/>
    <w:rsid w:val="00AC66A2"/>
    <w:rsid w:val="00AC7AA4"/>
    <w:rsid w:val="00AD296F"/>
    <w:rsid w:val="00AD41D3"/>
    <w:rsid w:val="00AD6782"/>
    <w:rsid w:val="00AD6E12"/>
    <w:rsid w:val="00AE61EC"/>
    <w:rsid w:val="00AE660F"/>
    <w:rsid w:val="00AE6939"/>
    <w:rsid w:val="00AE6D89"/>
    <w:rsid w:val="00AE7215"/>
    <w:rsid w:val="00AF028B"/>
    <w:rsid w:val="00AF0291"/>
    <w:rsid w:val="00AF0827"/>
    <w:rsid w:val="00AF19D1"/>
    <w:rsid w:val="00AF423D"/>
    <w:rsid w:val="00AF5053"/>
    <w:rsid w:val="00AF5527"/>
    <w:rsid w:val="00AF6AEA"/>
    <w:rsid w:val="00AF7D4E"/>
    <w:rsid w:val="00B0080D"/>
    <w:rsid w:val="00B00AB6"/>
    <w:rsid w:val="00B00AD5"/>
    <w:rsid w:val="00B00F61"/>
    <w:rsid w:val="00B01132"/>
    <w:rsid w:val="00B0245B"/>
    <w:rsid w:val="00B02537"/>
    <w:rsid w:val="00B02F21"/>
    <w:rsid w:val="00B05894"/>
    <w:rsid w:val="00B0762E"/>
    <w:rsid w:val="00B07BE3"/>
    <w:rsid w:val="00B07DE8"/>
    <w:rsid w:val="00B10864"/>
    <w:rsid w:val="00B11748"/>
    <w:rsid w:val="00B11A04"/>
    <w:rsid w:val="00B12AC0"/>
    <w:rsid w:val="00B12DD7"/>
    <w:rsid w:val="00B13708"/>
    <w:rsid w:val="00B179F7"/>
    <w:rsid w:val="00B2101F"/>
    <w:rsid w:val="00B21461"/>
    <w:rsid w:val="00B216C0"/>
    <w:rsid w:val="00B217B8"/>
    <w:rsid w:val="00B228A2"/>
    <w:rsid w:val="00B237FB"/>
    <w:rsid w:val="00B24738"/>
    <w:rsid w:val="00B24B1D"/>
    <w:rsid w:val="00B25BA5"/>
    <w:rsid w:val="00B261D0"/>
    <w:rsid w:val="00B26C33"/>
    <w:rsid w:val="00B26CBF"/>
    <w:rsid w:val="00B276D1"/>
    <w:rsid w:val="00B277E0"/>
    <w:rsid w:val="00B31B46"/>
    <w:rsid w:val="00B31CE8"/>
    <w:rsid w:val="00B31D74"/>
    <w:rsid w:val="00B3354F"/>
    <w:rsid w:val="00B34946"/>
    <w:rsid w:val="00B36014"/>
    <w:rsid w:val="00B36171"/>
    <w:rsid w:val="00B41CE3"/>
    <w:rsid w:val="00B433B2"/>
    <w:rsid w:val="00B440FA"/>
    <w:rsid w:val="00B469BC"/>
    <w:rsid w:val="00B47552"/>
    <w:rsid w:val="00B519FD"/>
    <w:rsid w:val="00B520BC"/>
    <w:rsid w:val="00B539CC"/>
    <w:rsid w:val="00B54687"/>
    <w:rsid w:val="00B548E1"/>
    <w:rsid w:val="00B567DE"/>
    <w:rsid w:val="00B56D2B"/>
    <w:rsid w:val="00B57CE2"/>
    <w:rsid w:val="00B616C6"/>
    <w:rsid w:val="00B62BEE"/>
    <w:rsid w:val="00B63D24"/>
    <w:rsid w:val="00B63DF0"/>
    <w:rsid w:val="00B651F5"/>
    <w:rsid w:val="00B6655C"/>
    <w:rsid w:val="00B6782F"/>
    <w:rsid w:val="00B71124"/>
    <w:rsid w:val="00B74301"/>
    <w:rsid w:val="00B74A51"/>
    <w:rsid w:val="00B758EF"/>
    <w:rsid w:val="00B75ABB"/>
    <w:rsid w:val="00B77459"/>
    <w:rsid w:val="00B80592"/>
    <w:rsid w:val="00B81CC6"/>
    <w:rsid w:val="00B830E1"/>
    <w:rsid w:val="00B8417B"/>
    <w:rsid w:val="00B847D6"/>
    <w:rsid w:val="00B84FB7"/>
    <w:rsid w:val="00B85D99"/>
    <w:rsid w:val="00B87415"/>
    <w:rsid w:val="00B87F64"/>
    <w:rsid w:val="00B90C5D"/>
    <w:rsid w:val="00B91138"/>
    <w:rsid w:val="00B9165A"/>
    <w:rsid w:val="00B91873"/>
    <w:rsid w:val="00B919EC"/>
    <w:rsid w:val="00B924E6"/>
    <w:rsid w:val="00B93702"/>
    <w:rsid w:val="00B959B6"/>
    <w:rsid w:val="00B966BD"/>
    <w:rsid w:val="00B97ED3"/>
    <w:rsid w:val="00B97FCE"/>
    <w:rsid w:val="00BA262D"/>
    <w:rsid w:val="00BA295A"/>
    <w:rsid w:val="00BA5698"/>
    <w:rsid w:val="00BA5C71"/>
    <w:rsid w:val="00BA607E"/>
    <w:rsid w:val="00BA7100"/>
    <w:rsid w:val="00BA77AD"/>
    <w:rsid w:val="00BA7DF4"/>
    <w:rsid w:val="00BB26D9"/>
    <w:rsid w:val="00BB3A8E"/>
    <w:rsid w:val="00BB3E9C"/>
    <w:rsid w:val="00BB4040"/>
    <w:rsid w:val="00BB6AD2"/>
    <w:rsid w:val="00BC0011"/>
    <w:rsid w:val="00BC01F0"/>
    <w:rsid w:val="00BC0B03"/>
    <w:rsid w:val="00BC11A0"/>
    <w:rsid w:val="00BC3FB9"/>
    <w:rsid w:val="00BC79EB"/>
    <w:rsid w:val="00BC7B3A"/>
    <w:rsid w:val="00BD00F3"/>
    <w:rsid w:val="00BD0969"/>
    <w:rsid w:val="00BD16A2"/>
    <w:rsid w:val="00BD3439"/>
    <w:rsid w:val="00BD5D19"/>
    <w:rsid w:val="00BD5F40"/>
    <w:rsid w:val="00BD7FCF"/>
    <w:rsid w:val="00BE0E45"/>
    <w:rsid w:val="00BE0FE8"/>
    <w:rsid w:val="00BE14C3"/>
    <w:rsid w:val="00BE258A"/>
    <w:rsid w:val="00BE2655"/>
    <w:rsid w:val="00BE294E"/>
    <w:rsid w:val="00BE2A76"/>
    <w:rsid w:val="00BE2D34"/>
    <w:rsid w:val="00BE4507"/>
    <w:rsid w:val="00BE5CDE"/>
    <w:rsid w:val="00BE6B28"/>
    <w:rsid w:val="00BF0D34"/>
    <w:rsid w:val="00BF1542"/>
    <w:rsid w:val="00BF5514"/>
    <w:rsid w:val="00BF6406"/>
    <w:rsid w:val="00BF7AC7"/>
    <w:rsid w:val="00C0003D"/>
    <w:rsid w:val="00C00603"/>
    <w:rsid w:val="00C01004"/>
    <w:rsid w:val="00C02C3A"/>
    <w:rsid w:val="00C05C8B"/>
    <w:rsid w:val="00C064DC"/>
    <w:rsid w:val="00C07DFE"/>
    <w:rsid w:val="00C1147B"/>
    <w:rsid w:val="00C132CA"/>
    <w:rsid w:val="00C13C0F"/>
    <w:rsid w:val="00C149BD"/>
    <w:rsid w:val="00C16023"/>
    <w:rsid w:val="00C16E81"/>
    <w:rsid w:val="00C17B50"/>
    <w:rsid w:val="00C22698"/>
    <w:rsid w:val="00C22BB9"/>
    <w:rsid w:val="00C22CA0"/>
    <w:rsid w:val="00C25BDA"/>
    <w:rsid w:val="00C2620E"/>
    <w:rsid w:val="00C266CF"/>
    <w:rsid w:val="00C302C8"/>
    <w:rsid w:val="00C313D8"/>
    <w:rsid w:val="00C31E20"/>
    <w:rsid w:val="00C33104"/>
    <w:rsid w:val="00C332D4"/>
    <w:rsid w:val="00C343B4"/>
    <w:rsid w:val="00C355B2"/>
    <w:rsid w:val="00C357F3"/>
    <w:rsid w:val="00C40FBC"/>
    <w:rsid w:val="00C41235"/>
    <w:rsid w:val="00C426FD"/>
    <w:rsid w:val="00C42AA2"/>
    <w:rsid w:val="00C4526C"/>
    <w:rsid w:val="00C46EC9"/>
    <w:rsid w:val="00C471D1"/>
    <w:rsid w:val="00C4776D"/>
    <w:rsid w:val="00C47AE4"/>
    <w:rsid w:val="00C47B6E"/>
    <w:rsid w:val="00C51011"/>
    <w:rsid w:val="00C512EE"/>
    <w:rsid w:val="00C559BD"/>
    <w:rsid w:val="00C560AC"/>
    <w:rsid w:val="00C5781C"/>
    <w:rsid w:val="00C57CA2"/>
    <w:rsid w:val="00C60343"/>
    <w:rsid w:val="00C60540"/>
    <w:rsid w:val="00C60AB7"/>
    <w:rsid w:val="00C63223"/>
    <w:rsid w:val="00C65659"/>
    <w:rsid w:val="00C663F0"/>
    <w:rsid w:val="00C66674"/>
    <w:rsid w:val="00C6748F"/>
    <w:rsid w:val="00C67672"/>
    <w:rsid w:val="00C70B00"/>
    <w:rsid w:val="00C70E07"/>
    <w:rsid w:val="00C7387B"/>
    <w:rsid w:val="00C738D5"/>
    <w:rsid w:val="00C74AEC"/>
    <w:rsid w:val="00C75198"/>
    <w:rsid w:val="00C76572"/>
    <w:rsid w:val="00C80E38"/>
    <w:rsid w:val="00C8148B"/>
    <w:rsid w:val="00C8361C"/>
    <w:rsid w:val="00C83B89"/>
    <w:rsid w:val="00C854D4"/>
    <w:rsid w:val="00C90556"/>
    <w:rsid w:val="00C91F2E"/>
    <w:rsid w:val="00C95D09"/>
    <w:rsid w:val="00C95D9D"/>
    <w:rsid w:val="00CA0D78"/>
    <w:rsid w:val="00CA175B"/>
    <w:rsid w:val="00CA19B3"/>
    <w:rsid w:val="00CA4855"/>
    <w:rsid w:val="00CA5010"/>
    <w:rsid w:val="00CA5D90"/>
    <w:rsid w:val="00CA6C8A"/>
    <w:rsid w:val="00CB139C"/>
    <w:rsid w:val="00CB1F98"/>
    <w:rsid w:val="00CB24FE"/>
    <w:rsid w:val="00CB2A3B"/>
    <w:rsid w:val="00CB3D19"/>
    <w:rsid w:val="00CB4785"/>
    <w:rsid w:val="00CB56AC"/>
    <w:rsid w:val="00CB68F1"/>
    <w:rsid w:val="00CB6E11"/>
    <w:rsid w:val="00CB707B"/>
    <w:rsid w:val="00CC010F"/>
    <w:rsid w:val="00CC03D7"/>
    <w:rsid w:val="00CC20C5"/>
    <w:rsid w:val="00CC2AA0"/>
    <w:rsid w:val="00CC510E"/>
    <w:rsid w:val="00CC52A9"/>
    <w:rsid w:val="00CC52C9"/>
    <w:rsid w:val="00CC5301"/>
    <w:rsid w:val="00CC67B2"/>
    <w:rsid w:val="00CD04C3"/>
    <w:rsid w:val="00CD3249"/>
    <w:rsid w:val="00CD511A"/>
    <w:rsid w:val="00CD58FD"/>
    <w:rsid w:val="00CD6EE5"/>
    <w:rsid w:val="00CE1A00"/>
    <w:rsid w:val="00CE2991"/>
    <w:rsid w:val="00CE2F5E"/>
    <w:rsid w:val="00CE407B"/>
    <w:rsid w:val="00CE4DD2"/>
    <w:rsid w:val="00CE5D15"/>
    <w:rsid w:val="00CE7301"/>
    <w:rsid w:val="00CF0AC3"/>
    <w:rsid w:val="00CF3C45"/>
    <w:rsid w:val="00CF5D6E"/>
    <w:rsid w:val="00CF6C7C"/>
    <w:rsid w:val="00CF748E"/>
    <w:rsid w:val="00D0122A"/>
    <w:rsid w:val="00D01865"/>
    <w:rsid w:val="00D03307"/>
    <w:rsid w:val="00D04128"/>
    <w:rsid w:val="00D0683F"/>
    <w:rsid w:val="00D10C57"/>
    <w:rsid w:val="00D117AB"/>
    <w:rsid w:val="00D11928"/>
    <w:rsid w:val="00D12B3A"/>
    <w:rsid w:val="00D12ED6"/>
    <w:rsid w:val="00D13417"/>
    <w:rsid w:val="00D159EA"/>
    <w:rsid w:val="00D20714"/>
    <w:rsid w:val="00D20B68"/>
    <w:rsid w:val="00D21975"/>
    <w:rsid w:val="00D22EE6"/>
    <w:rsid w:val="00D249DD"/>
    <w:rsid w:val="00D24F64"/>
    <w:rsid w:val="00D307FD"/>
    <w:rsid w:val="00D3111B"/>
    <w:rsid w:val="00D3159C"/>
    <w:rsid w:val="00D316D4"/>
    <w:rsid w:val="00D31A44"/>
    <w:rsid w:val="00D32166"/>
    <w:rsid w:val="00D32B62"/>
    <w:rsid w:val="00D3332C"/>
    <w:rsid w:val="00D343FA"/>
    <w:rsid w:val="00D418FF"/>
    <w:rsid w:val="00D426C8"/>
    <w:rsid w:val="00D430FE"/>
    <w:rsid w:val="00D4322C"/>
    <w:rsid w:val="00D44E9A"/>
    <w:rsid w:val="00D45463"/>
    <w:rsid w:val="00D4661B"/>
    <w:rsid w:val="00D46D0F"/>
    <w:rsid w:val="00D47DA5"/>
    <w:rsid w:val="00D50694"/>
    <w:rsid w:val="00D556D6"/>
    <w:rsid w:val="00D55F84"/>
    <w:rsid w:val="00D5726B"/>
    <w:rsid w:val="00D57ADA"/>
    <w:rsid w:val="00D61AB4"/>
    <w:rsid w:val="00D6222D"/>
    <w:rsid w:val="00D63B8E"/>
    <w:rsid w:val="00D65C76"/>
    <w:rsid w:val="00D67359"/>
    <w:rsid w:val="00D67825"/>
    <w:rsid w:val="00D719BD"/>
    <w:rsid w:val="00D734C7"/>
    <w:rsid w:val="00D740E5"/>
    <w:rsid w:val="00D7542B"/>
    <w:rsid w:val="00D7717D"/>
    <w:rsid w:val="00D7747F"/>
    <w:rsid w:val="00D80516"/>
    <w:rsid w:val="00D80A84"/>
    <w:rsid w:val="00D815AE"/>
    <w:rsid w:val="00D82413"/>
    <w:rsid w:val="00D82A34"/>
    <w:rsid w:val="00D8333B"/>
    <w:rsid w:val="00D8351F"/>
    <w:rsid w:val="00D8462A"/>
    <w:rsid w:val="00D851A7"/>
    <w:rsid w:val="00D853F1"/>
    <w:rsid w:val="00D87541"/>
    <w:rsid w:val="00D909C3"/>
    <w:rsid w:val="00D90A6A"/>
    <w:rsid w:val="00D92195"/>
    <w:rsid w:val="00D92F86"/>
    <w:rsid w:val="00D94BAC"/>
    <w:rsid w:val="00D96A9C"/>
    <w:rsid w:val="00D975CB"/>
    <w:rsid w:val="00D97FA3"/>
    <w:rsid w:val="00DA1C82"/>
    <w:rsid w:val="00DA1D32"/>
    <w:rsid w:val="00DA2F73"/>
    <w:rsid w:val="00DA55B4"/>
    <w:rsid w:val="00DA60DE"/>
    <w:rsid w:val="00DA6300"/>
    <w:rsid w:val="00DA7A55"/>
    <w:rsid w:val="00DB0CDF"/>
    <w:rsid w:val="00DB10E6"/>
    <w:rsid w:val="00DB130E"/>
    <w:rsid w:val="00DB181A"/>
    <w:rsid w:val="00DB2355"/>
    <w:rsid w:val="00DB29E5"/>
    <w:rsid w:val="00DB3074"/>
    <w:rsid w:val="00DB3CFC"/>
    <w:rsid w:val="00DB458C"/>
    <w:rsid w:val="00DB5309"/>
    <w:rsid w:val="00DB7FDD"/>
    <w:rsid w:val="00DC0659"/>
    <w:rsid w:val="00DC13D2"/>
    <w:rsid w:val="00DC307B"/>
    <w:rsid w:val="00DC342F"/>
    <w:rsid w:val="00DC343B"/>
    <w:rsid w:val="00DC462F"/>
    <w:rsid w:val="00DC499A"/>
    <w:rsid w:val="00DC6F1A"/>
    <w:rsid w:val="00DC6FEC"/>
    <w:rsid w:val="00DD03B5"/>
    <w:rsid w:val="00DD0794"/>
    <w:rsid w:val="00DD181E"/>
    <w:rsid w:val="00DD33FD"/>
    <w:rsid w:val="00DD3754"/>
    <w:rsid w:val="00DD4BC4"/>
    <w:rsid w:val="00DD50E2"/>
    <w:rsid w:val="00DD63D2"/>
    <w:rsid w:val="00DD6A21"/>
    <w:rsid w:val="00DE05A6"/>
    <w:rsid w:val="00DE08BD"/>
    <w:rsid w:val="00DE18A7"/>
    <w:rsid w:val="00DE19CA"/>
    <w:rsid w:val="00DE238B"/>
    <w:rsid w:val="00DE2E5B"/>
    <w:rsid w:val="00DE2EFB"/>
    <w:rsid w:val="00DE331C"/>
    <w:rsid w:val="00DE40C7"/>
    <w:rsid w:val="00DE4243"/>
    <w:rsid w:val="00DE448D"/>
    <w:rsid w:val="00DE4D2D"/>
    <w:rsid w:val="00DE5DA5"/>
    <w:rsid w:val="00DE60CA"/>
    <w:rsid w:val="00DE70B8"/>
    <w:rsid w:val="00DE7FFE"/>
    <w:rsid w:val="00DF01B6"/>
    <w:rsid w:val="00DF2301"/>
    <w:rsid w:val="00DF277F"/>
    <w:rsid w:val="00DF357D"/>
    <w:rsid w:val="00DF3E3F"/>
    <w:rsid w:val="00DF3F63"/>
    <w:rsid w:val="00DF6163"/>
    <w:rsid w:val="00DF75AB"/>
    <w:rsid w:val="00DF7864"/>
    <w:rsid w:val="00DF7BDF"/>
    <w:rsid w:val="00E02517"/>
    <w:rsid w:val="00E03818"/>
    <w:rsid w:val="00E03D16"/>
    <w:rsid w:val="00E050B2"/>
    <w:rsid w:val="00E10114"/>
    <w:rsid w:val="00E10792"/>
    <w:rsid w:val="00E116B5"/>
    <w:rsid w:val="00E14303"/>
    <w:rsid w:val="00E14310"/>
    <w:rsid w:val="00E14833"/>
    <w:rsid w:val="00E160C2"/>
    <w:rsid w:val="00E1675F"/>
    <w:rsid w:val="00E16A5C"/>
    <w:rsid w:val="00E1707A"/>
    <w:rsid w:val="00E204EF"/>
    <w:rsid w:val="00E23DB3"/>
    <w:rsid w:val="00E23DD3"/>
    <w:rsid w:val="00E24D24"/>
    <w:rsid w:val="00E24FA3"/>
    <w:rsid w:val="00E262AC"/>
    <w:rsid w:val="00E26639"/>
    <w:rsid w:val="00E269BB"/>
    <w:rsid w:val="00E26B28"/>
    <w:rsid w:val="00E3027C"/>
    <w:rsid w:val="00E308D1"/>
    <w:rsid w:val="00E31465"/>
    <w:rsid w:val="00E31CC0"/>
    <w:rsid w:val="00E328CD"/>
    <w:rsid w:val="00E330FD"/>
    <w:rsid w:val="00E3489E"/>
    <w:rsid w:val="00E350EC"/>
    <w:rsid w:val="00E3546C"/>
    <w:rsid w:val="00E3558B"/>
    <w:rsid w:val="00E362F0"/>
    <w:rsid w:val="00E36B95"/>
    <w:rsid w:val="00E37595"/>
    <w:rsid w:val="00E37FE8"/>
    <w:rsid w:val="00E4003F"/>
    <w:rsid w:val="00E41E44"/>
    <w:rsid w:val="00E458F6"/>
    <w:rsid w:val="00E45954"/>
    <w:rsid w:val="00E46704"/>
    <w:rsid w:val="00E47707"/>
    <w:rsid w:val="00E4792A"/>
    <w:rsid w:val="00E51085"/>
    <w:rsid w:val="00E51D1F"/>
    <w:rsid w:val="00E5247D"/>
    <w:rsid w:val="00E53507"/>
    <w:rsid w:val="00E53546"/>
    <w:rsid w:val="00E555DB"/>
    <w:rsid w:val="00E55F24"/>
    <w:rsid w:val="00E57135"/>
    <w:rsid w:val="00E57DE2"/>
    <w:rsid w:val="00E61068"/>
    <w:rsid w:val="00E62B17"/>
    <w:rsid w:val="00E66D3F"/>
    <w:rsid w:val="00E6736E"/>
    <w:rsid w:val="00E67F20"/>
    <w:rsid w:val="00E70E2C"/>
    <w:rsid w:val="00E70EB3"/>
    <w:rsid w:val="00E71A9F"/>
    <w:rsid w:val="00E730BB"/>
    <w:rsid w:val="00E752E7"/>
    <w:rsid w:val="00E77E63"/>
    <w:rsid w:val="00E77E7A"/>
    <w:rsid w:val="00E83393"/>
    <w:rsid w:val="00E838E0"/>
    <w:rsid w:val="00E83D4C"/>
    <w:rsid w:val="00E8450C"/>
    <w:rsid w:val="00E86276"/>
    <w:rsid w:val="00E87FEA"/>
    <w:rsid w:val="00E906A8"/>
    <w:rsid w:val="00E90ADB"/>
    <w:rsid w:val="00E92209"/>
    <w:rsid w:val="00E932D9"/>
    <w:rsid w:val="00E9339C"/>
    <w:rsid w:val="00E93409"/>
    <w:rsid w:val="00E948B2"/>
    <w:rsid w:val="00E95081"/>
    <w:rsid w:val="00E95B97"/>
    <w:rsid w:val="00E96017"/>
    <w:rsid w:val="00E96825"/>
    <w:rsid w:val="00E96852"/>
    <w:rsid w:val="00E9693F"/>
    <w:rsid w:val="00EA022E"/>
    <w:rsid w:val="00EA2FF1"/>
    <w:rsid w:val="00EA321E"/>
    <w:rsid w:val="00EA41B4"/>
    <w:rsid w:val="00EA44D9"/>
    <w:rsid w:val="00EA471C"/>
    <w:rsid w:val="00EA4C62"/>
    <w:rsid w:val="00EA588E"/>
    <w:rsid w:val="00EA6D81"/>
    <w:rsid w:val="00EB3DC6"/>
    <w:rsid w:val="00EB65F8"/>
    <w:rsid w:val="00EB6A76"/>
    <w:rsid w:val="00EB7CA0"/>
    <w:rsid w:val="00EC0112"/>
    <w:rsid w:val="00EC04AF"/>
    <w:rsid w:val="00EC0709"/>
    <w:rsid w:val="00EC27C7"/>
    <w:rsid w:val="00EC2BD7"/>
    <w:rsid w:val="00EC7769"/>
    <w:rsid w:val="00ED1BA0"/>
    <w:rsid w:val="00ED1F0D"/>
    <w:rsid w:val="00ED4479"/>
    <w:rsid w:val="00ED460F"/>
    <w:rsid w:val="00ED4E50"/>
    <w:rsid w:val="00ED77B4"/>
    <w:rsid w:val="00EE0511"/>
    <w:rsid w:val="00EE05EC"/>
    <w:rsid w:val="00EE1722"/>
    <w:rsid w:val="00EE1C48"/>
    <w:rsid w:val="00EE2C65"/>
    <w:rsid w:val="00EE385D"/>
    <w:rsid w:val="00EE4AD5"/>
    <w:rsid w:val="00EE4E07"/>
    <w:rsid w:val="00EE52DB"/>
    <w:rsid w:val="00EE598B"/>
    <w:rsid w:val="00EE5A3E"/>
    <w:rsid w:val="00EE77EF"/>
    <w:rsid w:val="00EF155E"/>
    <w:rsid w:val="00EF1CA8"/>
    <w:rsid w:val="00EF3116"/>
    <w:rsid w:val="00EF4034"/>
    <w:rsid w:val="00EF4DC0"/>
    <w:rsid w:val="00EF5C19"/>
    <w:rsid w:val="00EF7E53"/>
    <w:rsid w:val="00F00145"/>
    <w:rsid w:val="00F00549"/>
    <w:rsid w:val="00F006B3"/>
    <w:rsid w:val="00F02421"/>
    <w:rsid w:val="00F029CA"/>
    <w:rsid w:val="00F03544"/>
    <w:rsid w:val="00F0375A"/>
    <w:rsid w:val="00F0446E"/>
    <w:rsid w:val="00F05350"/>
    <w:rsid w:val="00F066D4"/>
    <w:rsid w:val="00F06EF8"/>
    <w:rsid w:val="00F075C3"/>
    <w:rsid w:val="00F0799D"/>
    <w:rsid w:val="00F107A0"/>
    <w:rsid w:val="00F10BA1"/>
    <w:rsid w:val="00F122E3"/>
    <w:rsid w:val="00F127A8"/>
    <w:rsid w:val="00F12A07"/>
    <w:rsid w:val="00F12A77"/>
    <w:rsid w:val="00F14AC4"/>
    <w:rsid w:val="00F14C6D"/>
    <w:rsid w:val="00F15515"/>
    <w:rsid w:val="00F17A61"/>
    <w:rsid w:val="00F17C2C"/>
    <w:rsid w:val="00F20C24"/>
    <w:rsid w:val="00F220A5"/>
    <w:rsid w:val="00F23411"/>
    <w:rsid w:val="00F24BDE"/>
    <w:rsid w:val="00F26CF0"/>
    <w:rsid w:val="00F318F2"/>
    <w:rsid w:val="00F33303"/>
    <w:rsid w:val="00F340F0"/>
    <w:rsid w:val="00F34362"/>
    <w:rsid w:val="00F34425"/>
    <w:rsid w:val="00F34BC9"/>
    <w:rsid w:val="00F364AB"/>
    <w:rsid w:val="00F40DC6"/>
    <w:rsid w:val="00F418CA"/>
    <w:rsid w:val="00F42EA5"/>
    <w:rsid w:val="00F443B0"/>
    <w:rsid w:val="00F46931"/>
    <w:rsid w:val="00F47160"/>
    <w:rsid w:val="00F513AE"/>
    <w:rsid w:val="00F51528"/>
    <w:rsid w:val="00F518C8"/>
    <w:rsid w:val="00F545CE"/>
    <w:rsid w:val="00F5652F"/>
    <w:rsid w:val="00F56CA8"/>
    <w:rsid w:val="00F57F50"/>
    <w:rsid w:val="00F607BD"/>
    <w:rsid w:val="00F60EF7"/>
    <w:rsid w:val="00F64CFC"/>
    <w:rsid w:val="00F67892"/>
    <w:rsid w:val="00F77C16"/>
    <w:rsid w:val="00F8011C"/>
    <w:rsid w:val="00F81C6D"/>
    <w:rsid w:val="00F8302E"/>
    <w:rsid w:val="00F8373F"/>
    <w:rsid w:val="00F83AB0"/>
    <w:rsid w:val="00F85562"/>
    <w:rsid w:val="00F86DAB"/>
    <w:rsid w:val="00F8756A"/>
    <w:rsid w:val="00F909B7"/>
    <w:rsid w:val="00F91F16"/>
    <w:rsid w:val="00F92ECD"/>
    <w:rsid w:val="00F9366F"/>
    <w:rsid w:val="00F9398E"/>
    <w:rsid w:val="00F95AAA"/>
    <w:rsid w:val="00F96425"/>
    <w:rsid w:val="00F969BF"/>
    <w:rsid w:val="00F9705E"/>
    <w:rsid w:val="00FA1FF6"/>
    <w:rsid w:val="00FA22A8"/>
    <w:rsid w:val="00FA22C3"/>
    <w:rsid w:val="00FA33F5"/>
    <w:rsid w:val="00FA4916"/>
    <w:rsid w:val="00FA5A8B"/>
    <w:rsid w:val="00FA6BBE"/>
    <w:rsid w:val="00FA6FFA"/>
    <w:rsid w:val="00FA7E5C"/>
    <w:rsid w:val="00FB193D"/>
    <w:rsid w:val="00FB3422"/>
    <w:rsid w:val="00FB369B"/>
    <w:rsid w:val="00FB4191"/>
    <w:rsid w:val="00FB428D"/>
    <w:rsid w:val="00FC2383"/>
    <w:rsid w:val="00FC4880"/>
    <w:rsid w:val="00FC560B"/>
    <w:rsid w:val="00FC7E12"/>
    <w:rsid w:val="00FD0032"/>
    <w:rsid w:val="00FD01B5"/>
    <w:rsid w:val="00FD049D"/>
    <w:rsid w:val="00FD2C64"/>
    <w:rsid w:val="00FD3E09"/>
    <w:rsid w:val="00FD42CB"/>
    <w:rsid w:val="00FD5BF0"/>
    <w:rsid w:val="00FD5D3F"/>
    <w:rsid w:val="00FD660B"/>
    <w:rsid w:val="00FE0970"/>
    <w:rsid w:val="00FE145A"/>
    <w:rsid w:val="00FE1C32"/>
    <w:rsid w:val="00FE2EBC"/>
    <w:rsid w:val="00FE37AC"/>
    <w:rsid w:val="00FE3A92"/>
    <w:rsid w:val="00FE4AFB"/>
    <w:rsid w:val="00FE544E"/>
    <w:rsid w:val="00FE7C02"/>
    <w:rsid w:val="00FF3518"/>
    <w:rsid w:val="00FF3AD5"/>
    <w:rsid w:val="00FF3CB1"/>
    <w:rsid w:val="00FF6C60"/>
    <w:rsid w:val="00FF6CB8"/>
    <w:rsid w:val="00FF70AC"/>
    <w:rsid w:val="00FF7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24BCE"/>
  <w15:chartTrackingRefBased/>
  <w15:docId w15:val="{932FB15C-FEEB-4F58-9681-3D27EE18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2345"/>
        <w:tab w:val="num" w:pos="360"/>
        <w:tab w:val="left" w:pos="1134"/>
      </w:tabs>
      <w:spacing w:before="120" w:after="120"/>
      <w:ind w:left="360"/>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E350EC"/>
    <w:rPr>
      <w:color w:val="605E5C"/>
      <w:shd w:val="clear" w:color="auto" w:fill="E1DFDD"/>
    </w:rPr>
  </w:style>
  <w:style w:type="paragraph" w:styleId="FootnoteText">
    <w:name w:val="footnote text"/>
    <w:basedOn w:val="Normal"/>
    <w:link w:val="FootnoteTextChar"/>
    <w:locked/>
    <w:rsid w:val="00D430FE"/>
    <w:pPr>
      <w:spacing w:before="0" w:after="0"/>
    </w:pPr>
    <w:rPr>
      <w:sz w:val="20"/>
      <w:szCs w:val="20"/>
    </w:rPr>
  </w:style>
  <w:style w:type="character" w:customStyle="1" w:styleId="FootnoteTextChar">
    <w:name w:val="Footnote Text Char"/>
    <w:basedOn w:val="DefaultParagraphFont"/>
    <w:link w:val="FootnoteText"/>
    <w:rsid w:val="00D430FE"/>
    <w:rPr>
      <w:rFonts w:ascii="Open Sans" w:eastAsia="MS Mincho" w:hAnsi="Open Sans"/>
    </w:rPr>
  </w:style>
  <w:style w:type="character" w:styleId="FootnoteReference">
    <w:name w:val="footnote reference"/>
    <w:basedOn w:val="DefaultParagraphFont"/>
    <w:locked/>
    <w:rsid w:val="00D430FE"/>
    <w:rPr>
      <w:vertAlign w:val="superscript"/>
    </w:rPr>
  </w:style>
  <w:style w:type="paragraph" w:styleId="Revision">
    <w:name w:val="Revision"/>
    <w:hidden/>
    <w:uiPriority w:val="99"/>
    <w:semiHidden/>
    <w:rsid w:val="00221C86"/>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371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ohchr.org/Documents/HRBodies/OPCAT/NPM/NPM_Guide.pdf" TargetMode="External"/><Relationship Id="rId13" Type="http://schemas.openxmlformats.org/officeDocument/2006/relationships/hyperlink" Target="https://www.royalcommission.gov.au/system/files/2020-09/Volume%204.pdf" TargetMode="External"/><Relationship Id="rId18" Type="http://schemas.openxmlformats.org/officeDocument/2006/relationships/hyperlink" Target="https://humanrights.gov.au/our-work/childrens-rights/publications/childrens-rights-report-2016" TargetMode="External"/><Relationship Id="rId26" Type="http://schemas.openxmlformats.org/officeDocument/2006/relationships/hyperlink" Target="https://humanrights.gov.au/our-work/rights-and-freedoms/publications/implementing-opcat-australia-2020" TargetMode="External"/><Relationship Id="rId3" Type="http://schemas.openxmlformats.org/officeDocument/2006/relationships/hyperlink" Target="https://www.ombudsman.gov.au/__data/assets/pdf_file/0015/112533/Prisons-2021-speech-FINAL-A2174238.pdf" TargetMode="External"/><Relationship Id="rId21" Type="http://schemas.openxmlformats.org/officeDocument/2006/relationships/hyperlink" Target="https://www.justiceinspectorates.gov.uk/hmiprisons/wp-content/uploads/sites/4/2021/07/6.7391_HMI-Prisons_Annual-Report-and-Accounts-2020_21_v6.1_WEB.pdf" TargetMode="External"/><Relationship Id="rId7" Type="http://schemas.openxmlformats.org/officeDocument/2006/relationships/hyperlink" Target="https://humanrights.gov.au/our-work/rights-and-freedoms/publications/implementing-opcat-australia-2020" TargetMode="External"/><Relationship Id="rId12" Type="http://schemas.openxmlformats.org/officeDocument/2006/relationships/hyperlink" Target="https://www.royalcommission.gov.au/system/files/2020-09/Volume%204.pdf" TargetMode="External"/><Relationship Id="rId17" Type="http://schemas.openxmlformats.org/officeDocument/2006/relationships/hyperlink" Target="https://humanrights.gov.au/our-work/rights-and-freedoms/publications/implementing-opcat-australia-2020" TargetMode="External"/><Relationship Id="rId25" Type="http://schemas.openxmlformats.org/officeDocument/2006/relationships/hyperlink" Target="https://humanrights.gov.au/our-work/rights-and-freedoms/publications/implementing-opcat-australia-2020" TargetMode="External"/><Relationship Id="rId2" Type="http://schemas.openxmlformats.org/officeDocument/2006/relationships/hyperlink" Target="https://hdl.handle.net/10070/376458" TargetMode="External"/><Relationship Id="rId16" Type="http://schemas.openxmlformats.org/officeDocument/2006/relationships/hyperlink" Target="https://www.royalcommission.gov.au/system/files/2020-09/Volume%204.pdf" TargetMode="External"/><Relationship Id="rId20" Type="http://schemas.openxmlformats.org/officeDocument/2006/relationships/hyperlink" Target="https://www.royalcommission.gov.au/system/files/2020-09/Volume%204.pdf" TargetMode="External"/><Relationship Id="rId29" Type="http://schemas.openxmlformats.org/officeDocument/2006/relationships/hyperlink" Target="https://www.ombudsman.gov.au/__data/assets/pdf_file/0009/112500/Attachment-A-OAG-Terms-of-Reference-A2164827.pdf" TargetMode="External"/><Relationship Id="rId1" Type="http://schemas.openxmlformats.org/officeDocument/2006/relationships/hyperlink" Target="https://humanrights.gov.au/our-work/rights-and-freedoms/publications/implementing-opcat-australia-2020" TargetMode="External"/><Relationship Id="rId6" Type="http://schemas.openxmlformats.org/officeDocument/2006/relationships/hyperlink" Target="https://humanrights.gov.au/our-work/rights-and-freedoms/publications/implementing-opcat-australia-2020" TargetMode="External"/><Relationship Id="rId11" Type="http://schemas.openxmlformats.org/officeDocument/2006/relationships/hyperlink" Target="https://humanrights.gov.au/about/news/media-releases/stop-mass-incarceration-prevent-deaths-custody" TargetMode="External"/><Relationship Id="rId24" Type="http://schemas.openxmlformats.org/officeDocument/2006/relationships/hyperlink" Target="https://humanrights.gov.au/our-work/rights-and-freedoms/publications/implementing-opcat-australia-2020" TargetMode="External"/><Relationship Id="rId5" Type="http://schemas.openxmlformats.org/officeDocument/2006/relationships/hyperlink" Target="https://humanrights.gov.au/our-work/rights-and-freedoms/publications/implementing-opcat-australia-2020" TargetMode="External"/><Relationship Id="rId15" Type="http://schemas.openxmlformats.org/officeDocument/2006/relationships/hyperlink" Target="https://www.royalcommission.gov.au/system/files/2020-09/Volume%204.pdf" TargetMode="External"/><Relationship Id="rId23" Type="http://schemas.openxmlformats.org/officeDocument/2006/relationships/hyperlink" Target="https://parliament.nt.gov.au/__data/assets/pdf_file/0005/528683/53-2018-Signed-OPCAT-Report-21-June-2018.pdf" TargetMode="External"/><Relationship Id="rId28"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10" Type="http://schemas.openxmlformats.org/officeDocument/2006/relationships/hyperlink" Target="https://www.ombudsman.gov.au/__data/assets/pdf_file/0025/106657/Ombudsman-Report-Implementation-of-OPCAT.pdf" TargetMode="External"/><Relationship Id="rId19" Type="http://schemas.openxmlformats.org/officeDocument/2006/relationships/hyperlink" Target="https://humanrights.gov.au/our-work/childrens-rights/publications/australian-and-new-zealand-childrens-commissioners-and-0" TargetMode="External"/><Relationship Id="rId31" Type="http://schemas.openxmlformats.org/officeDocument/2006/relationships/hyperlink" Target="https://assets.ombudsman.vic.gov.au/assets/Reports/Parliamentary-Reports/1-PDF-Report-Files/OPCAT-in-Victoria-A-thematic-investigation-of-practices-related-to-solitary-_-September-2019.pdf" TargetMode="External"/><Relationship Id="rId4" Type="http://schemas.openxmlformats.org/officeDocument/2006/relationships/hyperlink" Target="https://humanrights.gov.au/our-work/rights-and-freedoms/publications/implementing-opcat-australia-2020" TargetMode="External"/><Relationship Id="rId9" Type="http://schemas.openxmlformats.org/officeDocument/2006/relationships/hyperlink" Target="https://humanrights.gov.au/sites/default/files/document/publication/20180618_OPCAT_Stage2_ConsultationPaper_Interim_report.pdf" TargetMode="External"/><Relationship Id="rId14"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22" Type="http://schemas.openxmlformats.org/officeDocument/2006/relationships/hyperlink" Target="https://www.apt.ch/sites/default/files/publications/opcat-manual-english-revised2010.pdf" TargetMode="External"/><Relationship Id="rId27" Type="http://schemas.openxmlformats.org/officeDocument/2006/relationships/hyperlink" Target="https://www.news.uwa.edu.au/archive/2019121611777/uwa-public-policy-institute/opcat-series-need-formal-partnerships-between-civil-societ/" TargetMode="External"/><Relationship Id="rId30" Type="http://schemas.openxmlformats.org/officeDocument/2006/relationships/hyperlink" Target="https://www.ics.act.gov.au/__data/assets/pdf_file/0012/1699608/ACT-OICS-submission-to-Disability-Royal-Commission_web-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Guidelines%20or%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DGE6U7RJ2EFV-31920988-8542</_dlc_DocId>
    <_dlc_DocIdUrl xmlns="6500fe01-343b-4fb9-a1b0-68ac19d62e01">
      <Url>https://australianhrc.sharepoint.com/sites/LegalServicesWorkspace/_layouts/15/DocIdRedir.aspx?ID=DGE6U7RJ2EFV-31920988-8542</Url>
      <Description>DGE6U7RJ2EFV-31920988-8542</Description>
    </_dlc_DocIdUrl>
    <Received_x002f_Sent xmlns="57f1fb52-79b9-4278-9d54-1e5db41bfcda" xsi:nil="true"/>
    <EmailasAttachment xmlns="1a69bdef-c635-48ac-9cf9-b687dab64bb7">
      <Url xsi:nil="true"/>
      <Description xsi:nil="true"/>
    </EmailasAttachment>
    <Divider xmlns="6500fe01-343b-4fb9-a1b0-68ac19d62e01"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9fc1403281b2246f6f00a229a239113">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98fcf6e74e987bc9f34e01231bd29ea5"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E6B83B-146E-4AC4-A37E-93BE923A109C}">
  <ds:schemaRefs>
    <ds:schemaRef ds:uri="http://schemas.microsoft.com/sharepoint/v3/contenttype/forms"/>
  </ds:schemaRefs>
</ds:datastoreItem>
</file>

<file path=customXml/itemProps2.xml><?xml version="1.0" encoding="utf-8"?>
<ds:datastoreItem xmlns:ds="http://schemas.openxmlformats.org/officeDocument/2006/customXml" ds:itemID="{53BFE142-8A40-4E2A-B52D-66A677DE6949}">
  <ds:schemaRefs>
    <ds:schemaRef ds:uri="Microsoft.SharePoint.Taxonomy.ContentTypeSync"/>
  </ds:schemaRefs>
</ds:datastoreItem>
</file>

<file path=customXml/itemProps3.xml><?xml version="1.0" encoding="utf-8"?>
<ds:datastoreItem xmlns:ds="http://schemas.openxmlformats.org/officeDocument/2006/customXml" ds:itemID="{852FBCA4-297A-4636-8A01-F92221CAE384}">
  <ds:schemaRefs>
    <ds:schemaRef ds:uri="http://schemas.microsoft.com/office/2006/metadata/customXsn"/>
  </ds:schemaRefs>
</ds:datastoreItem>
</file>

<file path=customXml/itemProps4.xml><?xml version="1.0" encoding="utf-8"?>
<ds:datastoreItem xmlns:ds="http://schemas.openxmlformats.org/officeDocument/2006/customXml" ds:itemID="{9F6D1B6B-A796-48AB-A1B2-2D084C3FF0F0}">
  <ds:schemaRefs>
    <ds:schemaRef ds:uri="http://schemas.microsoft.com/office/2006/metadata/properties"/>
    <ds:schemaRef ds:uri="http://schemas.microsoft.com/office/infopath/2007/PartnerControls"/>
    <ds:schemaRef ds:uri="6500fe01-343b-4fb9-a1b0-68ac19d62e01"/>
    <ds:schemaRef ds:uri="57f1fb52-79b9-4278-9d54-1e5db41bfcda"/>
    <ds:schemaRef ds:uri="1a69bdef-c635-48ac-9cf9-b687dab64bb7"/>
  </ds:schemaRefs>
</ds:datastoreItem>
</file>

<file path=customXml/itemProps5.xml><?xml version="1.0" encoding="utf-8"?>
<ds:datastoreItem xmlns:ds="http://schemas.openxmlformats.org/officeDocument/2006/customXml" ds:itemID="{B9D4B9BB-F549-4D49-83AC-E2D91173C7AE}">
  <ds:schemaRefs>
    <ds:schemaRef ds:uri="http://schemas.openxmlformats.org/officeDocument/2006/bibliography"/>
  </ds:schemaRefs>
</ds:datastoreItem>
</file>

<file path=customXml/itemProps6.xml><?xml version="1.0" encoding="utf-8"?>
<ds:datastoreItem xmlns:ds="http://schemas.openxmlformats.org/officeDocument/2006/customXml" ds:itemID="{F3A0714A-46DF-4F81-995A-F34EFB66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298C5E2-9461-4DB5-BBCC-80CF04E526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Guidelines%20or%20Policy%20template.dotx</Template>
  <TotalTime>0</TotalTime>
  <Pages>13</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16087</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AHRC User</dc:creator>
  <cp:keywords/>
  <cp:lastModifiedBy>Steven Caruana</cp:lastModifiedBy>
  <cp:revision>2</cp:revision>
  <cp:lastPrinted>2021-12-02T23:14:00Z</cp:lastPrinted>
  <dcterms:created xsi:type="dcterms:W3CDTF">2022-02-02T22:09:00Z</dcterms:created>
  <dcterms:modified xsi:type="dcterms:W3CDTF">2022-02-02T22:09:00Z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7bbfdaac-5987-497f-84ad-25801eb5a157</vt:lpwstr>
  </property>
  <property fmtid="{D5CDD505-2E9C-101B-9397-08002B2CF9AE}" pid="4" name="TaxKeyword">
    <vt:lpwstr/>
  </property>
  <property fmtid="{D5CDD505-2E9C-101B-9397-08002B2CF9AE}" pid="5" name="Document Type">
    <vt:lpwstr/>
  </property>
</Properties>
</file>