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49A1" w14:textId="50A721D9" w:rsidR="00525EFA" w:rsidRPr="00525EFA" w:rsidRDefault="00525EFA" w:rsidP="00525EFA">
      <w:pPr>
        <w:pStyle w:val="MainTitle"/>
        <w:ind w:left="851"/>
      </w:pPr>
      <w:r w:rsidRPr="00525EFA">
        <w:t>Counter-Terrorism Legislation Amendment (High Risk Terrorist Offenders) Bill 2020</w:t>
      </w:r>
    </w:p>
    <w:p w14:paraId="41576B26" w14:textId="6EDD9414" w:rsidR="00817C73" w:rsidRPr="00E66FC4" w:rsidRDefault="00C86324" w:rsidP="00BF03DD">
      <w:pPr>
        <w:pStyle w:val="Date"/>
        <w:spacing w:before="440"/>
        <w:rPr>
          <w:color w:val="2E74B5" w:themeColor="accent1" w:themeShade="BF"/>
          <w:sz w:val="28"/>
        </w:rPr>
      </w:pPr>
      <w:bookmarkStart w:id="0" w:name="_Toc525894097"/>
      <w:r w:rsidRPr="00E66FC4">
        <w:rPr>
          <w:color w:val="2E74B5" w:themeColor="accent1" w:themeShade="BF"/>
          <w:sz w:val="28"/>
        </w:rPr>
        <w:t xml:space="preserve">Submission to the </w:t>
      </w:r>
      <w:r w:rsidR="00525EFA" w:rsidRPr="00E66FC4">
        <w:rPr>
          <w:color w:val="2E74B5" w:themeColor="accent1" w:themeShade="BF"/>
          <w:sz w:val="28"/>
        </w:rPr>
        <w:t>Parliamentary Joint Committee on Intelligence and Security</w:t>
      </w:r>
      <w:bookmarkEnd w:id="0"/>
    </w:p>
    <w:p w14:paraId="51B65F54" w14:textId="67F1AB93" w:rsidR="00F220A5" w:rsidRPr="00817C73" w:rsidRDefault="00525EFA" w:rsidP="00AA1402">
      <w:pPr>
        <w:pStyle w:val="Date"/>
        <w:spacing w:before="360"/>
      </w:pPr>
      <w:r>
        <w:t>29 October 2020</w:t>
      </w:r>
    </w:p>
    <w:p w14:paraId="5C740124" w14:textId="77777777" w:rsidR="00AC636D" w:rsidRDefault="00AC636D" w:rsidP="00AC636D"/>
    <w:p w14:paraId="695CA3EF"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10F15B43" w14:textId="3188628A" w:rsidR="000D726B"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54876144" w:history="1">
        <w:r w:rsidR="000D726B" w:rsidRPr="000F248C">
          <w:rPr>
            <w:rStyle w:val="Hyperlink"/>
          </w:rPr>
          <w:t>1</w:t>
        </w:r>
        <w:r w:rsidR="000D726B">
          <w:rPr>
            <w:rFonts w:asciiTheme="minorHAnsi" w:eastAsiaTheme="minorEastAsia" w:hAnsiTheme="minorHAnsi" w:cstheme="minorBidi"/>
            <w:b w:val="0"/>
            <w:sz w:val="22"/>
            <w:szCs w:val="22"/>
          </w:rPr>
          <w:tab/>
        </w:r>
        <w:r w:rsidR="000D726B" w:rsidRPr="000F248C">
          <w:rPr>
            <w:rStyle w:val="Hyperlink"/>
          </w:rPr>
          <w:t>Introduction</w:t>
        </w:r>
        <w:r w:rsidR="000D726B">
          <w:rPr>
            <w:webHidden/>
          </w:rPr>
          <w:tab/>
        </w:r>
        <w:r w:rsidR="000D726B">
          <w:rPr>
            <w:webHidden/>
          </w:rPr>
          <w:fldChar w:fldCharType="begin"/>
        </w:r>
        <w:r w:rsidR="000D726B">
          <w:rPr>
            <w:webHidden/>
          </w:rPr>
          <w:instrText xml:space="preserve"> PAGEREF _Toc54876144 \h </w:instrText>
        </w:r>
        <w:r w:rsidR="000D726B">
          <w:rPr>
            <w:webHidden/>
          </w:rPr>
        </w:r>
        <w:r w:rsidR="000D726B">
          <w:rPr>
            <w:webHidden/>
          </w:rPr>
          <w:fldChar w:fldCharType="separate"/>
        </w:r>
        <w:r w:rsidR="004E2F67">
          <w:rPr>
            <w:webHidden/>
          </w:rPr>
          <w:t>3</w:t>
        </w:r>
        <w:r w:rsidR="000D726B">
          <w:rPr>
            <w:webHidden/>
          </w:rPr>
          <w:fldChar w:fldCharType="end"/>
        </w:r>
      </w:hyperlink>
    </w:p>
    <w:p w14:paraId="1646C3FA" w14:textId="3C7116F4" w:rsidR="000D726B" w:rsidRDefault="000D726B">
      <w:pPr>
        <w:pStyle w:val="TOC1"/>
        <w:rPr>
          <w:rFonts w:asciiTheme="minorHAnsi" w:eastAsiaTheme="minorEastAsia" w:hAnsiTheme="minorHAnsi" w:cstheme="minorBidi"/>
          <w:b w:val="0"/>
          <w:sz w:val="22"/>
          <w:szCs w:val="22"/>
        </w:rPr>
      </w:pPr>
      <w:hyperlink w:anchor="_Toc54876145" w:history="1">
        <w:r w:rsidRPr="000F248C">
          <w:rPr>
            <w:rStyle w:val="Hyperlink"/>
          </w:rPr>
          <w:t>2</w:t>
        </w:r>
        <w:r>
          <w:rPr>
            <w:rFonts w:asciiTheme="minorHAnsi" w:eastAsiaTheme="minorEastAsia" w:hAnsiTheme="minorHAnsi" w:cstheme="minorBidi"/>
            <w:b w:val="0"/>
            <w:sz w:val="22"/>
            <w:szCs w:val="22"/>
          </w:rPr>
          <w:tab/>
        </w:r>
        <w:r w:rsidRPr="000F248C">
          <w:rPr>
            <w:rStyle w:val="Hyperlink"/>
          </w:rPr>
          <w:t>Summary</w:t>
        </w:r>
        <w:r>
          <w:rPr>
            <w:webHidden/>
          </w:rPr>
          <w:tab/>
        </w:r>
        <w:r>
          <w:rPr>
            <w:webHidden/>
          </w:rPr>
          <w:fldChar w:fldCharType="begin"/>
        </w:r>
        <w:r>
          <w:rPr>
            <w:webHidden/>
          </w:rPr>
          <w:instrText xml:space="preserve"> PAGEREF _Toc54876145 \h </w:instrText>
        </w:r>
        <w:r>
          <w:rPr>
            <w:webHidden/>
          </w:rPr>
        </w:r>
        <w:r>
          <w:rPr>
            <w:webHidden/>
          </w:rPr>
          <w:fldChar w:fldCharType="separate"/>
        </w:r>
        <w:r w:rsidR="004E2F67">
          <w:rPr>
            <w:webHidden/>
          </w:rPr>
          <w:t>3</w:t>
        </w:r>
        <w:r>
          <w:rPr>
            <w:webHidden/>
          </w:rPr>
          <w:fldChar w:fldCharType="end"/>
        </w:r>
      </w:hyperlink>
    </w:p>
    <w:p w14:paraId="33D90EDC" w14:textId="2F133A22" w:rsidR="000D726B" w:rsidRDefault="000D726B">
      <w:pPr>
        <w:pStyle w:val="TOC1"/>
        <w:rPr>
          <w:rFonts w:asciiTheme="minorHAnsi" w:eastAsiaTheme="minorEastAsia" w:hAnsiTheme="minorHAnsi" w:cstheme="minorBidi"/>
          <w:b w:val="0"/>
          <w:sz w:val="22"/>
          <w:szCs w:val="22"/>
        </w:rPr>
      </w:pPr>
      <w:hyperlink w:anchor="_Toc54876146" w:history="1">
        <w:r w:rsidRPr="000F248C">
          <w:rPr>
            <w:rStyle w:val="Hyperlink"/>
          </w:rPr>
          <w:t>3</w:t>
        </w:r>
        <w:r>
          <w:rPr>
            <w:rFonts w:asciiTheme="minorHAnsi" w:eastAsiaTheme="minorEastAsia" w:hAnsiTheme="minorHAnsi" w:cstheme="minorBidi"/>
            <w:b w:val="0"/>
            <w:sz w:val="22"/>
            <w:szCs w:val="22"/>
          </w:rPr>
          <w:tab/>
        </w:r>
        <w:r w:rsidRPr="000F248C">
          <w:rPr>
            <w:rStyle w:val="Hyperlink"/>
          </w:rPr>
          <w:t>Recommendations</w:t>
        </w:r>
        <w:r>
          <w:rPr>
            <w:webHidden/>
          </w:rPr>
          <w:tab/>
        </w:r>
        <w:r>
          <w:rPr>
            <w:webHidden/>
          </w:rPr>
          <w:fldChar w:fldCharType="begin"/>
        </w:r>
        <w:r>
          <w:rPr>
            <w:webHidden/>
          </w:rPr>
          <w:instrText xml:space="preserve"> PAGEREF _Toc54876146 \h </w:instrText>
        </w:r>
        <w:r>
          <w:rPr>
            <w:webHidden/>
          </w:rPr>
        </w:r>
        <w:r>
          <w:rPr>
            <w:webHidden/>
          </w:rPr>
          <w:fldChar w:fldCharType="separate"/>
        </w:r>
        <w:r w:rsidR="004E2F67">
          <w:rPr>
            <w:webHidden/>
          </w:rPr>
          <w:t>6</w:t>
        </w:r>
        <w:r>
          <w:rPr>
            <w:webHidden/>
          </w:rPr>
          <w:fldChar w:fldCharType="end"/>
        </w:r>
      </w:hyperlink>
    </w:p>
    <w:p w14:paraId="291BDAE0" w14:textId="03ACD450" w:rsidR="000D726B" w:rsidRDefault="000D726B">
      <w:pPr>
        <w:pStyle w:val="TOC1"/>
        <w:rPr>
          <w:rFonts w:asciiTheme="minorHAnsi" w:eastAsiaTheme="minorEastAsia" w:hAnsiTheme="minorHAnsi" w:cstheme="minorBidi"/>
          <w:b w:val="0"/>
          <w:sz w:val="22"/>
          <w:szCs w:val="22"/>
        </w:rPr>
      </w:pPr>
      <w:hyperlink w:anchor="_Toc54876147" w:history="1">
        <w:r w:rsidRPr="000F248C">
          <w:rPr>
            <w:rStyle w:val="Hyperlink"/>
          </w:rPr>
          <w:t>4</w:t>
        </w:r>
        <w:r>
          <w:rPr>
            <w:rFonts w:asciiTheme="minorHAnsi" w:eastAsiaTheme="minorEastAsia" w:hAnsiTheme="minorHAnsi" w:cstheme="minorBidi"/>
            <w:b w:val="0"/>
            <w:sz w:val="22"/>
            <w:szCs w:val="22"/>
          </w:rPr>
          <w:tab/>
        </w:r>
        <w:r w:rsidRPr="000F248C">
          <w:rPr>
            <w:rStyle w:val="Hyperlink"/>
          </w:rPr>
          <w:t>Background</w:t>
        </w:r>
        <w:r>
          <w:rPr>
            <w:webHidden/>
          </w:rPr>
          <w:tab/>
        </w:r>
        <w:r>
          <w:rPr>
            <w:webHidden/>
          </w:rPr>
          <w:fldChar w:fldCharType="begin"/>
        </w:r>
        <w:r>
          <w:rPr>
            <w:webHidden/>
          </w:rPr>
          <w:instrText xml:space="preserve"> PAGEREF _Toc54876147 \h </w:instrText>
        </w:r>
        <w:r>
          <w:rPr>
            <w:webHidden/>
          </w:rPr>
        </w:r>
        <w:r>
          <w:rPr>
            <w:webHidden/>
          </w:rPr>
          <w:fldChar w:fldCharType="separate"/>
        </w:r>
        <w:r w:rsidR="004E2F67">
          <w:rPr>
            <w:webHidden/>
          </w:rPr>
          <w:t>11</w:t>
        </w:r>
        <w:r>
          <w:rPr>
            <w:webHidden/>
          </w:rPr>
          <w:fldChar w:fldCharType="end"/>
        </w:r>
      </w:hyperlink>
    </w:p>
    <w:p w14:paraId="2CA88BC2" w14:textId="41C3C296" w:rsidR="000D726B" w:rsidRDefault="000D726B">
      <w:pPr>
        <w:pStyle w:val="TOC2"/>
        <w:rPr>
          <w:rFonts w:asciiTheme="minorHAnsi" w:eastAsiaTheme="minorEastAsia" w:hAnsiTheme="minorHAnsi" w:cstheme="minorBidi"/>
          <w:b w:val="0"/>
          <w:i w:val="0"/>
          <w:sz w:val="22"/>
          <w:szCs w:val="22"/>
        </w:rPr>
      </w:pPr>
      <w:hyperlink w:anchor="_Toc54876148" w:history="1">
        <w:r w:rsidRPr="000F248C">
          <w:rPr>
            <w:rStyle w:val="Hyperlink"/>
          </w:rPr>
          <w:t>4.1</w:t>
        </w:r>
        <w:r>
          <w:rPr>
            <w:rFonts w:asciiTheme="minorHAnsi" w:eastAsiaTheme="minorEastAsia" w:hAnsiTheme="minorHAnsi" w:cstheme="minorBidi"/>
            <w:b w:val="0"/>
            <w:i w:val="0"/>
            <w:sz w:val="22"/>
            <w:szCs w:val="22"/>
          </w:rPr>
          <w:tab/>
        </w:r>
        <w:r w:rsidRPr="000F248C">
          <w:rPr>
            <w:rStyle w:val="Hyperlink"/>
          </w:rPr>
          <w:t>Commonwealth regime</w:t>
        </w:r>
        <w:r>
          <w:rPr>
            <w:webHidden/>
          </w:rPr>
          <w:tab/>
        </w:r>
        <w:r>
          <w:rPr>
            <w:webHidden/>
          </w:rPr>
          <w:fldChar w:fldCharType="begin"/>
        </w:r>
        <w:r>
          <w:rPr>
            <w:webHidden/>
          </w:rPr>
          <w:instrText xml:space="preserve"> PAGEREF _Toc54876148 \h </w:instrText>
        </w:r>
        <w:r>
          <w:rPr>
            <w:webHidden/>
          </w:rPr>
        </w:r>
        <w:r>
          <w:rPr>
            <w:webHidden/>
          </w:rPr>
          <w:fldChar w:fldCharType="separate"/>
        </w:r>
        <w:r w:rsidR="004E2F67">
          <w:rPr>
            <w:webHidden/>
          </w:rPr>
          <w:t>11</w:t>
        </w:r>
        <w:r>
          <w:rPr>
            <w:webHidden/>
          </w:rPr>
          <w:fldChar w:fldCharType="end"/>
        </w:r>
      </w:hyperlink>
    </w:p>
    <w:p w14:paraId="590656C9" w14:textId="19C5020A" w:rsidR="000D726B" w:rsidRDefault="000D726B">
      <w:pPr>
        <w:pStyle w:val="TOC2"/>
        <w:rPr>
          <w:rFonts w:asciiTheme="minorHAnsi" w:eastAsiaTheme="minorEastAsia" w:hAnsiTheme="minorHAnsi" w:cstheme="minorBidi"/>
          <w:b w:val="0"/>
          <w:i w:val="0"/>
          <w:sz w:val="22"/>
          <w:szCs w:val="22"/>
        </w:rPr>
      </w:pPr>
      <w:hyperlink w:anchor="_Toc54876149" w:history="1">
        <w:r w:rsidRPr="000F248C">
          <w:rPr>
            <w:rStyle w:val="Hyperlink"/>
          </w:rPr>
          <w:t>4.2</w:t>
        </w:r>
        <w:r>
          <w:rPr>
            <w:rFonts w:asciiTheme="minorHAnsi" w:eastAsiaTheme="minorEastAsia" w:hAnsiTheme="minorHAnsi" w:cstheme="minorBidi"/>
            <w:b w:val="0"/>
            <w:i w:val="0"/>
            <w:sz w:val="22"/>
            <w:szCs w:val="22"/>
          </w:rPr>
          <w:tab/>
        </w:r>
        <w:r w:rsidRPr="000F248C">
          <w:rPr>
            <w:rStyle w:val="Hyperlink"/>
          </w:rPr>
          <w:t>State and Territory regimes</w:t>
        </w:r>
        <w:r>
          <w:rPr>
            <w:webHidden/>
          </w:rPr>
          <w:tab/>
        </w:r>
        <w:r>
          <w:rPr>
            <w:webHidden/>
          </w:rPr>
          <w:fldChar w:fldCharType="begin"/>
        </w:r>
        <w:r>
          <w:rPr>
            <w:webHidden/>
          </w:rPr>
          <w:instrText xml:space="preserve"> PAGEREF _Toc54876149 \h </w:instrText>
        </w:r>
        <w:r>
          <w:rPr>
            <w:webHidden/>
          </w:rPr>
        </w:r>
        <w:r>
          <w:rPr>
            <w:webHidden/>
          </w:rPr>
          <w:fldChar w:fldCharType="separate"/>
        </w:r>
        <w:r w:rsidR="004E2F67">
          <w:rPr>
            <w:webHidden/>
          </w:rPr>
          <w:t>13</w:t>
        </w:r>
        <w:r>
          <w:rPr>
            <w:webHidden/>
          </w:rPr>
          <w:fldChar w:fldCharType="end"/>
        </w:r>
      </w:hyperlink>
    </w:p>
    <w:p w14:paraId="633C3788" w14:textId="39B73D08" w:rsidR="000D726B" w:rsidRDefault="000D726B">
      <w:pPr>
        <w:pStyle w:val="TOC1"/>
        <w:rPr>
          <w:rFonts w:asciiTheme="minorHAnsi" w:eastAsiaTheme="minorEastAsia" w:hAnsiTheme="minorHAnsi" w:cstheme="minorBidi"/>
          <w:b w:val="0"/>
          <w:sz w:val="22"/>
          <w:szCs w:val="22"/>
        </w:rPr>
      </w:pPr>
      <w:hyperlink w:anchor="_Toc54876150" w:history="1">
        <w:r w:rsidRPr="000F248C">
          <w:rPr>
            <w:rStyle w:val="Hyperlink"/>
          </w:rPr>
          <w:t>5</w:t>
        </w:r>
        <w:r>
          <w:rPr>
            <w:rFonts w:asciiTheme="minorHAnsi" w:eastAsiaTheme="minorEastAsia" w:hAnsiTheme="minorHAnsi" w:cstheme="minorBidi"/>
            <w:b w:val="0"/>
            <w:sz w:val="22"/>
            <w:szCs w:val="22"/>
          </w:rPr>
          <w:tab/>
        </w:r>
        <w:r w:rsidRPr="000F248C">
          <w:rPr>
            <w:rStyle w:val="Hyperlink"/>
          </w:rPr>
          <w:t>Relationship with control orders</w:t>
        </w:r>
        <w:r>
          <w:rPr>
            <w:webHidden/>
          </w:rPr>
          <w:tab/>
        </w:r>
        <w:r>
          <w:rPr>
            <w:webHidden/>
          </w:rPr>
          <w:fldChar w:fldCharType="begin"/>
        </w:r>
        <w:r>
          <w:rPr>
            <w:webHidden/>
          </w:rPr>
          <w:instrText xml:space="preserve"> PAGEREF _Toc54876150 \h </w:instrText>
        </w:r>
        <w:r>
          <w:rPr>
            <w:webHidden/>
          </w:rPr>
        </w:r>
        <w:r>
          <w:rPr>
            <w:webHidden/>
          </w:rPr>
          <w:fldChar w:fldCharType="separate"/>
        </w:r>
        <w:r w:rsidR="004E2F67">
          <w:rPr>
            <w:webHidden/>
          </w:rPr>
          <w:t>15</w:t>
        </w:r>
        <w:r>
          <w:rPr>
            <w:webHidden/>
          </w:rPr>
          <w:fldChar w:fldCharType="end"/>
        </w:r>
      </w:hyperlink>
    </w:p>
    <w:p w14:paraId="182B466F" w14:textId="1E6FCF08" w:rsidR="000D726B" w:rsidRDefault="000D726B">
      <w:pPr>
        <w:pStyle w:val="TOC1"/>
        <w:rPr>
          <w:rFonts w:asciiTheme="minorHAnsi" w:eastAsiaTheme="minorEastAsia" w:hAnsiTheme="minorHAnsi" w:cstheme="minorBidi"/>
          <w:b w:val="0"/>
          <w:sz w:val="22"/>
          <w:szCs w:val="22"/>
        </w:rPr>
      </w:pPr>
      <w:hyperlink w:anchor="_Toc54876151" w:history="1">
        <w:r w:rsidRPr="000F248C">
          <w:rPr>
            <w:rStyle w:val="Hyperlink"/>
          </w:rPr>
          <w:t>6</w:t>
        </w:r>
        <w:r>
          <w:rPr>
            <w:rFonts w:asciiTheme="minorHAnsi" w:eastAsiaTheme="minorEastAsia" w:hAnsiTheme="minorHAnsi" w:cstheme="minorBidi"/>
            <w:b w:val="0"/>
            <w:sz w:val="22"/>
            <w:szCs w:val="22"/>
          </w:rPr>
          <w:tab/>
        </w:r>
        <w:r w:rsidRPr="000F248C">
          <w:rPr>
            <w:rStyle w:val="Hyperlink"/>
          </w:rPr>
          <w:t>Structure of the extended supervision order regime</w:t>
        </w:r>
        <w:r>
          <w:rPr>
            <w:webHidden/>
          </w:rPr>
          <w:tab/>
        </w:r>
        <w:r>
          <w:rPr>
            <w:webHidden/>
          </w:rPr>
          <w:fldChar w:fldCharType="begin"/>
        </w:r>
        <w:r>
          <w:rPr>
            <w:webHidden/>
          </w:rPr>
          <w:instrText xml:space="preserve"> PAGEREF _Toc54876151 \h </w:instrText>
        </w:r>
        <w:r>
          <w:rPr>
            <w:webHidden/>
          </w:rPr>
        </w:r>
        <w:r>
          <w:rPr>
            <w:webHidden/>
          </w:rPr>
          <w:fldChar w:fldCharType="separate"/>
        </w:r>
        <w:r w:rsidR="004E2F67">
          <w:rPr>
            <w:webHidden/>
          </w:rPr>
          <w:t>18</w:t>
        </w:r>
        <w:r>
          <w:rPr>
            <w:webHidden/>
          </w:rPr>
          <w:fldChar w:fldCharType="end"/>
        </w:r>
      </w:hyperlink>
    </w:p>
    <w:p w14:paraId="4F39C4A0" w14:textId="623352E9" w:rsidR="000D726B" w:rsidRDefault="000D726B">
      <w:pPr>
        <w:pStyle w:val="TOC1"/>
        <w:rPr>
          <w:rFonts w:asciiTheme="minorHAnsi" w:eastAsiaTheme="minorEastAsia" w:hAnsiTheme="minorHAnsi" w:cstheme="minorBidi"/>
          <w:b w:val="0"/>
          <w:sz w:val="22"/>
          <w:szCs w:val="22"/>
        </w:rPr>
      </w:pPr>
      <w:hyperlink w:anchor="_Toc54876152" w:history="1">
        <w:r w:rsidRPr="000F248C">
          <w:rPr>
            <w:rStyle w:val="Hyperlink"/>
          </w:rPr>
          <w:t>7</w:t>
        </w:r>
        <w:r>
          <w:rPr>
            <w:rFonts w:asciiTheme="minorHAnsi" w:eastAsiaTheme="minorEastAsia" w:hAnsiTheme="minorHAnsi" w:cstheme="minorBidi"/>
            <w:b w:val="0"/>
            <w:sz w:val="22"/>
            <w:szCs w:val="22"/>
          </w:rPr>
          <w:tab/>
        </w:r>
        <w:r w:rsidRPr="000F248C">
          <w:rPr>
            <w:rStyle w:val="Hyperlink"/>
          </w:rPr>
          <w:t>Proposed amendments to the extended supervision order regime</w:t>
        </w:r>
        <w:r>
          <w:rPr>
            <w:webHidden/>
          </w:rPr>
          <w:tab/>
        </w:r>
        <w:r>
          <w:rPr>
            <w:webHidden/>
          </w:rPr>
          <w:fldChar w:fldCharType="begin"/>
        </w:r>
        <w:r>
          <w:rPr>
            <w:webHidden/>
          </w:rPr>
          <w:instrText xml:space="preserve"> PAGEREF _Toc54876152 \h </w:instrText>
        </w:r>
        <w:r>
          <w:rPr>
            <w:webHidden/>
          </w:rPr>
        </w:r>
        <w:r>
          <w:rPr>
            <w:webHidden/>
          </w:rPr>
          <w:fldChar w:fldCharType="separate"/>
        </w:r>
        <w:r w:rsidR="004E2F67">
          <w:rPr>
            <w:webHidden/>
          </w:rPr>
          <w:t>19</w:t>
        </w:r>
        <w:r>
          <w:rPr>
            <w:webHidden/>
          </w:rPr>
          <w:fldChar w:fldCharType="end"/>
        </w:r>
      </w:hyperlink>
    </w:p>
    <w:p w14:paraId="7638FFB8" w14:textId="3F866FC9" w:rsidR="000D726B" w:rsidRDefault="000D726B">
      <w:pPr>
        <w:pStyle w:val="TOC2"/>
        <w:rPr>
          <w:rFonts w:asciiTheme="minorHAnsi" w:eastAsiaTheme="minorEastAsia" w:hAnsiTheme="minorHAnsi" w:cstheme="minorBidi"/>
          <w:b w:val="0"/>
          <w:i w:val="0"/>
          <w:sz w:val="22"/>
          <w:szCs w:val="22"/>
        </w:rPr>
      </w:pPr>
      <w:hyperlink w:anchor="_Toc54876153" w:history="1">
        <w:r w:rsidRPr="000F248C">
          <w:rPr>
            <w:rStyle w:val="Hyperlink"/>
          </w:rPr>
          <w:t>7.1</w:t>
        </w:r>
        <w:r>
          <w:rPr>
            <w:rFonts w:asciiTheme="minorHAnsi" w:eastAsiaTheme="minorEastAsia" w:hAnsiTheme="minorHAnsi" w:cstheme="minorBidi"/>
            <w:b w:val="0"/>
            <w:i w:val="0"/>
            <w:sz w:val="22"/>
            <w:szCs w:val="22"/>
          </w:rPr>
          <w:tab/>
        </w:r>
        <w:r w:rsidRPr="000F248C">
          <w:rPr>
            <w:rStyle w:val="Hyperlink"/>
          </w:rPr>
          <w:t>Scope of post-sentence order regime</w:t>
        </w:r>
        <w:r>
          <w:rPr>
            <w:webHidden/>
          </w:rPr>
          <w:tab/>
        </w:r>
        <w:r>
          <w:rPr>
            <w:webHidden/>
          </w:rPr>
          <w:fldChar w:fldCharType="begin"/>
        </w:r>
        <w:r>
          <w:rPr>
            <w:webHidden/>
          </w:rPr>
          <w:instrText xml:space="preserve"> PAGEREF _Toc54876153 \h </w:instrText>
        </w:r>
        <w:r>
          <w:rPr>
            <w:webHidden/>
          </w:rPr>
        </w:r>
        <w:r>
          <w:rPr>
            <w:webHidden/>
          </w:rPr>
          <w:fldChar w:fldCharType="separate"/>
        </w:r>
        <w:r w:rsidR="004E2F67">
          <w:rPr>
            <w:webHidden/>
          </w:rPr>
          <w:t>20</w:t>
        </w:r>
        <w:r>
          <w:rPr>
            <w:webHidden/>
          </w:rPr>
          <w:fldChar w:fldCharType="end"/>
        </w:r>
      </w:hyperlink>
    </w:p>
    <w:p w14:paraId="03B72EA2" w14:textId="4D84384C" w:rsidR="000D726B" w:rsidRDefault="000D726B">
      <w:pPr>
        <w:pStyle w:val="TOC2"/>
        <w:rPr>
          <w:rFonts w:asciiTheme="minorHAnsi" w:eastAsiaTheme="minorEastAsia" w:hAnsiTheme="minorHAnsi" w:cstheme="minorBidi"/>
          <w:b w:val="0"/>
          <w:i w:val="0"/>
          <w:sz w:val="22"/>
          <w:szCs w:val="22"/>
        </w:rPr>
      </w:pPr>
      <w:hyperlink w:anchor="_Toc54876154" w:history="1">
        <w:r w:rsidRPr="000F248C">
          <w:rPr>
            <w:rStyle w:val="Hyperlink"/>
          </w:rPr>
          <w:t>7.2</w:t>
        </w:r>
        <w:r>
          <w:rPr>
            <w:rFonts w:asciiTheme="minorHAnsi" w:eastAsiaTheme="minorEastAsia" w:hAnsiTheme="minorHAnsi" w:cstheme="minorBidi"/>
            <w:b w:val="0"/>
            <w:i w:val="0"/>
            <w:sz w:val="22"/>
            <w:szCs w:val="22"/>
          </w:rPr>
          <w:tab/>
        </w:r>
        <w:r w:rsidRPr="000F248C">
          <w:rPr>
            <w:rStyle w:val="Hyperlink"/>
          </w:rPr>
          <w:t>Standard of proof</w:t>
        </w:r>
        <w:r>
          <w:rPr>
            <w:webHidden/>
          </w:rPr>
          <w:tab/>
        </w:r>
        <w:r>
          <w:rPr>
            <w:webHidden/>
          </w:rPr>
          <w:fldChar w:fldCharType="begin"/>
        </w:r>
        <w:r>
          <w:rPr>
            <w:webHidden/>
          </w:rPr>
          <w:instrText xml:space="preserve"> PAGEREF _Toc54876154 \h </w:instrText>
        </w:r>
        <w:r>
          <w:rPr>
            <w:webHidden/>
          </w:rPr>
        </w:r>
        <w:r>
          <w:rPr>
            <w:webHidden/>
          </w:rPr>
          <w:fldChar w:fldCharType="separate"/>
        </w:r>
        <w:r w:rsidR="004E2F67">
          <w:rPr>
            <w:webHidden/>
          </w:rPr>
          <w:t>21</w:t>
        </w:r>
        <w:r>
          <w:rPr>
            <w:webHidden/>
          </w:rPr>
          <w:fldChar w:fldCharType="end"/>
        </w:r>
      </w:hyperlink>
    </w:p>
    <w:p w14:paraId="2584A8D6" w14:textId="50BD1072" w:rsidR="000D726B" w:rsidRDefault="000D726B">
      <w:pPr>
        <w:pStyle w:val="TOC2"/>
        <w:rPr>
          <w:rFonts w:asciiTheme="minorHAnsi" w:eastAsiaTheme="minorEastAsia" w:hAnsiTheme="minorHAnsi" w:cstheme="minorBidi"/>
          <w:b w:val="0"/>
          <w:i w:val="0"/>
          <w:sz w:val="22"/>
          <w:szCs w:val="22"/>
        </w:rPr>
      </w:pPr>
      <w:hyperlink w:anchor="_Toc54876155" w:history="1">
        <w:r w:rsidRPr="000F248C">
          <w:rPr>
            <w:rStyle w:val="Hyperlink"/>
          </w:rPr>
          <w:t>7.3</w:t>
        </w:r>
        <w:r>
          <w:rPr>
            <w:rFonts w:asciiTheme="minorHAnsi" w:eastAsiaTheme="minorEastAsia" w:hAnsiTheme="minorHAnsi" w:cstheme="minorBidi"/>
            <w:b w:val="0"/>
            <w:i w:val="0"/>
            <w:sz w:val="22"/>
            <w:szCs w:val="22"/>
          </w:rPr>
          <w:tab/>
        </w:r>
        <w:r w:rsidRPr="000F248C">
          <w:rPr>
            <w:rStyle w:val="Hyperlink"/>
          </w:rPr>
          <w:t>Conditions of an extended supervision order</w:t>
        </w:r>
        <w:r>
          <w:rPr>
            <w:webHidden/>
          </w:rPr>
          <w:tab/>
        </w:r>
        <w:r>
          <w:rPr>
            <w:webHidden/>
          </w:rPr>
          <w:fldChar w:fldCharType="begin"/>
        </w:r>
        <w:r>
          <w:rPr>
            <w:webHidden/>
          </w:rPr>
          <w:instrText xml:space="preserve"> PAGEREF _Toc54876155 \h </w:instrText>
        </w:r>
        <w:r>
          <w:rPr>
            <w:webHidden/>
          </w:rPr>
        </w:r>
        <w:r>
          <w:rPr>
            <w:webHidden/>
          </w:rPr>
          <w:fldChar w:fldCharType="separate"/>
        </w:r>
        <w:r w:rsidR="004E2F67">
          <w:rPr>
            <w:webHidden/>
          </w:rPr>
          <w:t>23</w:t>
        </w:r>
        <w:r>
          <w:rPr>
            <w:webHidden/>
          </w:rPr>
          <w:fldChar w:fldCharType="end"/>
        </w:r>
      </w:hyperlink>
    </w:p>
    <w:p w14:paraId="6D4DE51E" w14:textId="5013ADE3" w:rsidR="000D726B" w:rsidRDefault="000D726B">
      <w:pPr>
        <w:pStyle w:val="TOC3"/>
        <w:rPr>
          <w:rFonts w:asciiTheme="minorHAnsi" w:eastAsiaTheme="minorEastAsia" w:hAnsiTheme="minorHAnsi" w:cstheme="minorBidi"/>
          <w:i w:val="0"/>
          <w:sz w:val="22"/>
          <w:szCs w:val="22"/>
        </w:rPr>
      </w:pPr>
      <w:hyperlink w:anchor="_Toc54876156" w:history="1">
        <w:r w:rsidRPr="000F248C">
          <w:rPr>
            <w:rStyle w:val="Hyperlink"/>
          </w:rPr>
          <w:t>(a)</w:t>
        </w:r>
        <w:r>
          <w:rPr>
            <w:rFonts w:asciiTheme="minorHAnsi" w:eastAsiaTheme="minorEastAsia" w:hAnsiTheme="minorHAnsi" w:cstheme="minorBidi"/>
            <w:i w:val="0"/>
            <w:sz w:val="22"/>
            <w:szCs w:val="22"/>
          </w:rPr>
          <w:tab/>
        </w:r>
        <w:r w:rsidRPr="000F248C">
          <w:rPr>
            <w:rStyle w:val="Hyperlink"/>
          </w:rPr>
          <w:t>General comments</w:t>
        </w:r>
        <w:r>
          <w:rPr>
            <w:webHidden/>
          </w:rPr>
          <w:tab/>
        </w:r>
        <w:r>
          <w:rPr>
            <w:webHidden/>
          </w:rPr>
          <w:fldChar w:fldCharType="begin"/>
        </w:r>
        <w:r>
          <w:rPr>
            <w:webHidden/>
          </w:rPr>
          <w:instrText xml:space="preserve"> PAGEREF _Toc54876156 \h </w:instrText>
        </w:r>
        <w:r>
          <w:rPr>
            <w:webHidden/>
          </w:rPr>
        </w:r>
        <w:r>
          <w:rPr>
            <w:webHidden/>
          </w:rPr>
          <w:fldChar w:fldCharType="separate"/>
        </w:r>
        <w:r w:rsidR="004E2F67">
          <w:rPr>
            <w:webHidden/>
          </w:rPr>
          <w:t>24</w:t>
        </w:r>
        <w:r>
          <w:rPr>
            <w:webHidden/>
          </w:rPr>
          <w:fldChar w:fldCharType="end"/>
        </w:r>
      </w:hyperlink>
    </w:p>
    <w:p w14:paraId="605BA5C2" w14:textId="6B2D7526" w:rsidR="000D726B" w:rsidRDefault="000D726B">
      <w:pPr>
        <w:pStyle w:val="TOC3"/>
        <w:rPr>
          <w:rFonts w:asciiTheme="minorHAnsi" w:eastAsiaTheme="minorEastAsia" w:hAnsiTheme="minorHAnsi" w:cstheme="minorBidi"/>
          <w:i w:val="0"/>
          <w:sz w:val="22"/>
          <w:szCs w:val="22"/>
        </w:rPr>
      </w:pPr>
      <w:hyperlink w:anchor="_Toc54876157" w:history="1">
        <w:r w:rsidRPr="000F248C">
          <w:rPr>
            <w:rStyle w:val="Hyperlink"/>
          </w:rPr>
          <w:t>(b)</w:t>
        </w:r>
        <w:r>
          <w:rPr>
            <w:rFonts w:asciiTheme="minorHAnsi" w:eastAsiaTheme="minorEastAsia" w:hAnsiTheme="minorHAnsi" w:cstheme="minorBidi"/>
            <w:i w:val="0"/>
            <w:sz w:val="22"/>
            <w:szCs w:val="22"/>
          </w:rPr>
          <w:tab/>
        </w:r>
        <w:r w:rsidRPr="000F248C">
          <w:rPr>
            <w:rStyle w:val="Hyperlink"/>
          </w:rPr>
          <w:t>Discretions granted to a ‘specified authority’</w:t>
        </w:r>
        <w:r>
          <w:rPr>
            <w:webHidden/>
          </w:rPr>
          <w:tab/>
        </w:r>
        <w:r>
          <w:rPr>
            <w:webHidden/>
          </w:rPr>
          <w:fldChar w:fldCharType="begin"/>
        </w:r>
        <w:r>
          <w:rPr>
            <w:webHidden/>
          </w:rPr>
          <w:instrText xml:space="preserve"> PAGEREF _Toc54876157 \h </w:instrText>
        </w:r>
        <w:r>
          <w:rPr>
            <w:webHidden/>
          </w:rPr>
        </w:r>
        <w:r>
          <w:rPr>
            <w:webHidden/>
          </w:rPr>
          <w:fldChar w:fldCharType="separate"/>
        </w:r>
        <w:r w:rsidR="004E2F67">
          <w:rPr>
            <w:webHidden/>
          </w:rPr>
          <w:t>25</w:t>
        </w:r>
        <w:r>
          <w:rPr>
            <w:webHidden/>
          </w:rPr>
          <w:fldChar w:fldCharType="end"/>
        </w:r>
      </w:hyperlink>
    </w:p>
    <w:p w14:paraId="36F2F90A" w14:textId="34CF0E15" w:rsidR="000D726B" w:rsidRDefault="000D726B">
      <w:pPr>
        <w:pStyle w:val="TOC3"/>
        <w:rPr>
          <w:rFonts w:asciiTheme="minorHAnsi" w:eastAsiaTheme="minorEastAsia" w:hAnsiTheme="minorHAnsi" w:cstheme="minorBidi"/>
          <w:i w:val="0"/>
          <w:sz w:val="22"/>
          <w:szCs w:val="22"/>
        </w:rPr>
      </w:pPr>
      <w:hyperlink w:anchor="_Toc54876158" w:history="1">
        <w:r w:rsidRPr="000F248C">
          <w:rPr>
            <w:rStyle w:val="Hyperlink"/>
          </w:rPr>
          <w:t>(c)</w:t>
        </w:r>
        <w:r>
          <w:rPr>
            <w:rFonts w:asciiTheme="minorHAnsi" w:eastAsiaTheme="minorEastAsia" w:hAnsiTheme="minorHAnsi" w:cstheme="minorBidi"/>
            <w:i w:val="0"/>
            <w:sz w:val="22"/>
            <w:szCs w:val="22"/>
          </w:rPr>
          <w:tab/>
        </w:r>
        <w:r w:rsidRPr="000F248C">
          <w:rPr>
            <w:rStyle w:val="Hyperlink"/>
          </w:rPr>
          <w:t>Compulsory engagement in de-radicalisation programs and other activities</w:t>
        </w:r>
        <w:r>
          <w:rPr>
            <w:webHidden/>
          </w:rPr>
          <w:tab/>
        </w:r>
        <w:r>
          <w:rPr>
            <w:webHidden/>
          </w:rPr>
          <w:fldChar w:fldCharType="begin"/>
        </w:r>
        <w:r>
          <w:rPr>
            <w:webHidden/>
          </w:rPr>
          <w:instrText xml:space="preserve"> PAGEREF _Toc54876158 \h </w:instrText>
        </w:r>
        <w:r>
          <w:rPr>
            <w:webHidden/>
          </w:rPr>
        </w:r>
        <w:r>
          <w:rPr>
            <w:webHidden/>
          </w:rPr>
          <w:fldChar w:fldCharType="separate"/>
        </w:r>
        <w:r w:rsidR="004E2F67">
          <w:rPr>
            <w:webHidden/>
          </w:rPr>
          <w:t>26</w:t>
        </w:r>
        <w:r>
          <w:rPr>
            <w:webHidden/>
          </w:rPr>
          <w:fldChar w:fldCharType="end"/>
        </w:r>
      </w:hyperlink>
    </w:p>
    <w:p w14:paraId="2248CE40" w14:textId="151DD4DD" w:rsidR="000D726B" w:rsidRDefault="000D726B">
      <w:pPr>
        <w:pStyle w:val="TOC3"/>
        <w:rPr>
          <w:rFonts w:asciiTheme="minorHAnsi" w:eastAsiaTheme="minorEastAsia" w:hAnsiTheme="minorHAnsi" w:cstheme="minorBidi"/>
          <w:i w:val="0"/>
          <w:sz w:val="22"/>
          <w:szCs w:val="22"/>
        </w:rPr>
      </w:pPr>
      <w:hyperlink w:anchor="_Toc54876159" w:history="1">
        <w:r w:rsidRPr="000F248C">
          <w:rPr>
            <w:rStyle w:val="Hyperlink"/>
          </w:rPr>
          <w:t>(d)</w:t>
        </w:r>
        <w:r>
          <w:rPr>
            <w:rFonts w:asciiTheme="minorHAnsi" w:eastAsiaTheme="minorEastAsia" w:hAnsiTheme="minorHAnsi" w:cstheme="minorBidi"/>
            <w:i w:val="0"/>
            <w:sz w:val="22"/>
            <w:szCs w:val="22"/>
          </w:rPr>
          <w:tab/>
        </w:r>
        <w:r w:rsidRPr="000F248C">
          <w:rPr>
            <w:rStyle w:val="Hyperlink"/>
          </w:rPr>
          <w:t>Home detention</w:t>
        </w:r>
        <w:r>
          <w:rPr>
            <w:webHidden/>
          </w:rPr>
          <w:tab/>
        </w:r>
        <w:r>
          <w:rPr>
            <w:webHidden/>
          </w:rPr>
          <w:fldChar w:fldCharType="begin"/>
        </w:r>
        <w:r>
          <w:rPr>
            <w:webHidden/>
          </w:rPr>
          <w:instrText xml:space="preserve"> PAGEREF _Toc54876159 \h </w:instrText>
        </w:r>
        <w:r>
          <w:rPr>
            <w:webHidden/>
          </w:rPr>
        </w:r>
        <w:r>
          <w:rPr>
            <w:webHidden/>
          </w:rPr>
          <w:fldChar w:fldCharType="separate"/>
        </w:r>
        <w:r w:rsidR="004E2F67">
          <w:rPr>
            <w:webHidden/>
          </w:rPr>
          <w:t>28</w:t>
        </w:r>
        <w:r>
          <w:rPr>
            <w:webHidden/>
          </w:rPr>
          <w:fldChar w:fldCharType="end"/>
        </w:r>
      </w:hyperlink>
    </w:p>
    <w:p w14:paraId="5E1D2A04" w14:textId="10736C9B" w:rsidR="000D726B" w:rsidRDefault="000D726B">
      <w:pPr>
        <w:pStyle w:val="TOC3"/>
        <w:rPr>
          <w:rFonts w:asciiTheme="minorHAnsi" w:eastAsiaTheme="minorEastAsia" w:hAnsiTheme="minorHAnsi" w:cstheme="minorBidi"/>
          <w:i w:val="0"/>
          <w:sz w:val="22"/>
          <w:szCs w:val="22"/>
        </w:rPr>
      </w:pPr>
      <w:hyperlink w:anchor="_Toc54876160" w:history="1">
        <w:r w:rsidRPr="000F248C">
          <w:rPr>
            <w:rStyle w:val="Hyperlink"/>
          </w:rPr>
          <w:t>(e)</w:t>
        </w:r>
        <w:r>
          <w:rPr>
            <w:rFonts w:asciiTheme="minorHAnsi" w:eastAsiaTheme="minorEastAsia" w:hAnsiTheme="minorHAnsi" w:cstheme="minorBidi"/>
            <w:i w:val="0"/>
            <w:sz w:val="22"/>
            <w:szCs w:val="22"/>
          </w:rPr>
          <w:tab/>
        </w:r>
        <w:r w:rsidRPr="000F248C">
          <w:rPr>
            <w:rStyle w:val="Hyperlink"/>
          </w:rPr>
          <w:t>Electronic monitoring</w:t>
        </w:r>
        <w:r>
          <w:rPr>
            <w:webHidden/>
          </w:rPr>
          <w:tab/>
        </w:r>
        <w:r>
          <w:rPr>
            <w:webHidden/>
          </w:rPr>
          <w:fldChar w:fldCharType="begin"/>
        </w:r>
        <w:r>
          <w:rPr>
            <w:webHidden/>
          </w:rPr>
          <w:instrText xml:space="preserve"> PAGEREF _Toc54876160 \h </w:instrText>
        </w:r>
        <w:r>
          <w:rPr>
            <w:webHidden/>
          </w:rPr>
        </w:r>
        <w:r>
          <w:rPr>
            <w:webHidden/>
          </w:rPr>
          <w:fldChar w:fldCharType="separate"/>
        </w:r>
        <w:r w:rsidR="004E2F67">
          <w:rPr>
            <w:webHidden/>
          </w:rPr>
          <w:t>29</w:t>
        </w:r>
        <w:r>
          <w:rPr>
            <w:webHidden/>
          </w:rPr>
          <w:fldChar w:fldCharType="end"/>
        </w:r>
      </w:hyperlink>
    </w:p>
    <w:p w14:paraId="1FE1C135" w14:textId="0390A0E0" w:rsidR="000D726B" w:rsidRDefault="000D726B">
      <w:pPr>
        <w:pStyle w:val="TOC3"/>
        <w:rPr>
          <w:rFonts w:asciiTheme="minorHAnsi" w:eastAsiaTheme="minorEastAsia" w:hAnsiTheme="minorHAnsi" w:cstheme="minorBidi"/>
          <w:i w:val="0"/>
          <w:sz w:val="22"/>
          <w:szCs w:val="22"/>
        </w:rPr>
      </w:pPr>
      <w:hyperlink w:anchor="_Toc54876161" w:history="1">
        <w:r w:rsidRPr="000F248C">
          <w:rPr>
            <w:rStyle w:val="Hyperlink"/>
          </w:rPr>
          <w:t>(f)</w:t>
        </w:r>
        <w:r>
          <w:rPr>
            <w:rFonts w:asciiTheme="minorHAnsi" w:eastAsiaTheme="minorEastAsia" w:hAnsiTheme="minorHAnsi" w:cstheme="minorBidi"/>
            <w:i w:val="0"/>
            <w:sz w:val="22"/>
            <w:szCs w:val="22"/>
          </w:rPr>
          <w:tab/>
        </w:r>
        <w:r w:rsidRPr="000F248C">
          <w:rPr>
            <w:rStyle w:val="Hyperlink"/>
          </w:rPr>
          <w:t>Entering the home of a person subject to an order</w:t>
        </w:r>
        <w:r>
          <w:rPr>
            <w:webHidden/>
          </w:rPr>
          <w:tab/>
        </w:r>
        <w:r>
          <w:rPr>
            <w:webHidden/>
          </w:rPr>
          <w:fldChar w:fldCharType="begin"/>
        </w:r>
        <w:r>
          <w:rPr>
            <w:webHidden/>
          </w:rPr>
          <w:instrText xml:space="preserve"> PAGEREF _Toc54876161 \h </w:instrText>
        </w:r>
        <w:r>
          <w:rPr>
            <w:webHidden/>
          </w:rPr>
        </w:r>
        <w:r>
          <w:rPr>
            <w:webHidden/>
          </w:rPr>
          <w:fldChar w:fldCharType="separate"/>
        </w:r>
        <w:r w:rsidR="004E2F67">
          <w:rPr>
            <w:webHidden/>
          </w:rPr>
          <w:t>30</w:t>
        </w:r>
        <w:r>
          <w:rPr>
            <w:webHidden/>
          </w:rPr>
          <w:fldChar w:fldCharType="end"/>
        </w:r>
      </w:hyperlink>
    </w:p>
    <w:p w14:paraId="32BDDB5B" w14:textId="49FE852C" w:rsidR="000D726B" w:rsidRDefault="000D726B">
      <w:pPr>
        <w:pStyle w:val="TOC3"/>
        <w:rPr>
          <w:rFonts w:asciiTheme="minorHAnsi" w:eastAsiaTheme="minorEastAsia" w:hAnsiTheme="minorHAnsi" w:cstheme="minorBidi"/>
          <w:i w:val="0"/>
          <w:sz w:val="22"/>
          <w:szCs w:val="22"/>
        </w:rPr>
      </w:pPr>
      <w:hyperlink w:anchor="_Toc54876162" w:history="1">
        <w:r w:rsidRPr="000F248C">
          <w:rPr>
            <w:rStyle w:val="Hyperlink"/>
          </w:rPr>
          <w:t>(g)</w:t>
        </w:r>
        <w:r>
          <w:rPr>
            <w:rFonts w:asciiTheme="minorHAnsi" w:eastAsiaTheme="minorEastAsia" w:hAnsiTheme="minorHAnsi" w:cstheme="minorBidi"/>
            <w:i w:val="0"/>
            <w:sz w:val="22"/>
            <w:szCs w:val="22"/>
          </w:rPr>
          <w:tab/>
        </w:r>
        <w:r w:rsidRPr="000F248C">
          <w:rPr>
            <w:rStyle w:val="Hyperlink"/>
          </w:rPr>
          <w:t>Exemptions</w:t>
        </w:r>
        <w:r>
          <w:rPr>
            <w:webHidden/>
          </w:rPr>
          <w:tab/>
        </w:r>
        <w:r>
          <w:rPr>
            <w:webHidden/>
          </w:rPr>
          <w:fldChar w:fldCharType="begin"/>
        </w:r>
        <w:r>
          <w:rPr>
            <w:webHidden/>
          </w:rPr>
          <w:instrText xml:space="preserve"> PAGEREF _Toc54876162 \h </w:instrText>
        </w:r>
        <w:r>
          <w:rPr>
            <w:webHidden/>
          </w:rPr>
        </w:r>
        <w:r>
          <w:rPr>
            <w:webHidden/>
          </w:rPr>
          <w:fldChar w:fldCharType="separate"/>
        </w:r>
        <w:r w:rsidR="004E2F67">
          <w:rPr>
            <w:webHidden/>
          </w:rPr>
          <w:t>31</w:t>
        </w:r>
        <w:r>
          <w:rPr>
            <w:webHidden/>
          </w:rPr>
          <w:fldChar w:fldCharType="end"/>
        </w:r>
      </w:hyperlink>
    </w:p>
    <w:p w14:paraId="38950860" w14:textId="0F325407" w:rsidR="000D726B" w:rsidRDefault="000D726B">
      <w:pPr>
        <w:pStyle w:val="TOC2"/>
        <w:rPr>
          <w:rFonts w:asciiTheme="minorHAnsi" w:eastAsiaTheme="minorEastAsia" w:hAnsiTheme="minorHAnsi" w:cstheme="minorBidi"/>
          <w:b w:val="0"/>
          <w:i w:val="0"/>
          <w:sz w:val="22"/>
          <w:szCs w:val="22"/>
        </w:rPr>
      </w:pPr>
      <w:hyperlink w:anchor="_Toc54876163" w:history="1">
        <w:r w:rsidRPr="000F248C">
          <w:rPr>
            <w:rStyle w:val="Hyperlink"/>
          </w:rPr>
          <w:t>7.4</w:t>
        </w:r>
        <w:r>
          <w:rPr>
            <w:rFonts w:asciiTheme="minorHAnsi" w:eastAsiaTheme="minorEastAsia" w:hAnsiTheme="minorHAnsi" w:cstheme="minorBidi"/>
            <w:b w:val="0"/>
            <w:i w:val="0"/>
            <w:sz w:val="22"/>
            <w:szCs w:val="22"/>
          </w:rPr>
          <w:tab/>
        </w:r>
        <w:r w:rsidRPr="000F248C">
          <w:rPr>
            <w:rStyle w:val="Hyperlink"/>
          </w:rPr>
          <w:t>Consideration of personal circumstances</w:t>
        </w:r>
        <w:r>
          <w:rPr>
            <w:webHidden/>
          </w:rPr>
          <w:tab/>
        </w:r>
        <w:r>
          <w:rPr>
            <w:webHidden/>
          </w:rPr>
          <w:fldChar w:fldCharType="begin"/>
        </w:r>
        <w:r>
          <w:rPr>
            <w:webHidden/>
          </w:rPr>
          <w:instrText xml:space="preserve"> PAGEREF _Toc54876163 \h </w:instrText>
        </w:r>
        <w:r>
          <w:rPr>
            <w:webHidden/>
          </w:rPr>
        </w:r>
        <w:r>
          <w:rPr>
            <w:webHidden/>
          </w:rPr>
          <w:fldChar w:fldCharType="separate"/>
        </w:r>
        <w:r w:rsidR="004E2F67">
          <w:rPr>
            <w:webHidden/>
          </w:rPr>
          <w:t>32</w:t>
        </w:r>
        <w:r>
          <w:rPr>
            <w:webHidden/>
          </w:rPr>
          <w:fldChar w:fldCharType="end"/>
        </w:r>
      </w:hyperlink>
    </w:p>
    <w:p w14:paraId="486F2E4E" w14:textId="3C566284" w:rsidR="000D726B" w:rsidRDefault="000D726B">
      <w:pPr>
        <w:pStyle w:val="TOC2"/>
        <w:rPr>
          <w:rFonts w:asciiTheme="minorHAnsi" w:eastAsiaTheme="minorEastAsia" w:hAnsiTheme="minorHAnsi" w:cstheme="minorBidi"/>
          <w:b w:val="0"/>
          <w:i w:val="0"/>
          <w:sz w:val="22"/>
          <w:szCs w:val="22"/>
        </w:rPr>
      </w:pPr>
      <w:hyperlink w:anchor="_Toc54876164" w:history="1">
        <w:r w:rsidRPr="000F248C">
          <w:rPr>
            <w:rStyle w:val="Hyperlink"/>
          </w:rPr>
          <w:t>7.5</w:t>
        </w:r>
        <w:r>
          <w:rPr>
            <w:rFonts w:asciiTheme="minorHAnsi" w:eastAsiaTheme="minorEastAsia" w:hAnsiTheme="minorHAnsi" w:cstheme="minorBidi"/>
            <w:b w:val="0"/>
            <w:i w:val="0"/>
            <w:sz w:val="22"/>
            <w:szCs w:val="22"/>
          </w:rPr>
          <w:tab/>
        </w:r>
        <w:r w:rsidRPr="000F248C">
          <w:rPr>
            <w:rStyle w:val="Hyperlink"/>
          </w:rPr>
          <w:t>Duplication of mandatory expert assessment requirement</w:t>
        </w:r>
        <w:r>
          <w:rPr>
            <w:webHidden/>
          </w:rPr>
          <w:tab/>
        </w:r>
        <w:r>
          <w:rPr>
            <w:webHidden/>
          </w:rPr>
          <w:fldChar w:fldCharType="begin"/>
        </w:r>
        <w:r>
          <w:rPr>
            <w:webHidden/>
          </w:rPr>
          <w:instrText xml:space="preserve"> PAGEREF _Toc54876164 \h </w:instrText>
        </w:r>
        <w:r>
          <w:rPr>
            <w:webHidden/>
          </w:rPr>
        </w:r>
        <w:r>
          <w:rPr>
            <w:webHidden/>
          </w:rPr>
          <w:fldChar w:fldCharType="separate"/>
        </w:r>
        <w:r w:rsidR="004E2F67">
          <w:rPr>
            <w:webHidden/>
          </w:rPr>
          <w:t>33</w:t>
        </w:r>
        <w:r>
          <w:rPr>
            <w:webHidden/>
          </w:rPr>
          <w:fldChar w:fldCharType="end"/>
        </w:r>
      </w:hyperlink>
    </w:p>
    <w:p w14:paraId="6C504199" w14:textId="0F52AC5D" w:rsidR="000D726B" w:rsidRDefault="000D726B">
      <w:pPr>
        <w:pStyle w:val="TOC2"/>
        <w:rPr>
          <w:rFonts w:asciiTheme="minorHAnsi" w:eastAsiaTheme="minorEastAsia" w:hAnsiTheme="minorHAnsi" w:cstheme="minorBidi"/>
          <w:b w:val="0"/>
          <w:i w:val="0"/>
          <w:sz w:val="22"/>
          <w:szCs w:val="22"/>
        </w:rPr>
      </w:pPr>
      <w:hyperlink w:anchor="_Toc54876165" w:history="1">
        <w:r w:rsidRPr="000F248C">
          <w:rPr>
            <w:rStyle w:val="Hyperlink"/>
          </w:rPr>
          <w:t>7.6</w:t>
        </w:r>
        <w:r>
          <w:rPr>
            <w:rFonts w:asciiTheme="minorHAnsi" w:eastAsiaTheme="minorEastAsia" w:hAnsiTheme="minorHAnsi" w:cstheme="minorBidi"/>
            <w:b w:val="0"/>
            <w:i w:val="0"/>
            <w:sz w:val="22"/>
            <w:szCs w:val="22"/>
          </w:rPr>
          <w:tab/>
        </w:r>
        <w:r w:rsidRPr="000F248C">
          <w:rPr>
            <w:rStyle w:val="Hyperlink"/>
          </w:rPr>
          <w:t>Use immunity in relation to compulsory assessment by an expert</w:t>
        </w:r>
        <w:r>
          <w:rPr>
            <w:webHidden/>
          </w:rPr>
          <w:tab/>
        </w:r>
        <w:r>
          <w:rPr>
            <w:webHidden/>
          </w:rPr>
          <w:fldChar w:fldCharType="begin"/>
        </w:r>
        <w:r>
          <w:rPr>
            <w:webHidden/>
          </w:rPr>
          <w:instrText xml:space="preserve"> PAGEREF _Toc54876165 \h </w:instrText>
        </w:r>
        <w:r>
          <w:rPr>
            <w:webHidden/>
          </w:rPr>
        </w:r>
        <w:r>
          <w:rPr>
            <w:webHidden/>
          </w:rPr>
          <w:fldChar w:fldCharType="separate"/>
        </w:r>
        <w:r w:rsidR="004E2F67">
          <w:rPr>
            <w:webHidden/>
          </w:rPr>
          <w:t>35</w:t>
        </w:r>
        <w:r>
          <w:rPr>
            <w:webHidden/>
          </w:rPr>
          <w:fldChar w:fldCharType="end"/>
        </w:r>
      </w:hyperlink>
    </w:p>
    <w:p w14:paraId="5DF16D90" w14:textId="4FDA9C7B" w:rsidR="000D726B" w:rsidRDefault="000D726B">
      <w:pPr>
        <w:pStyle w:val="TOC2"/>
        <w:rPr>
          <w:rFonts w:asciiTheme="minorHAnsi" w:eastAsiaTheme="minorEastAsia" w:hAnsiTheme="minorHAnsi" w:cstheme="minorBidi"/>
          <w:b w:val="0"/>
          <w:i w:val="0"/>
          <w:sz w:val="22"/>
          <w:szCs w:val="22"/>
        </w:rPr>
      </w:pPr>
      <w:hyperlink w:anchor="_Toc54876166" w:history="1">
        <w:r w:rsidRPr="000F248C">
          <w:rPr>
            <w:rStyle w:val="Hyperlink"/>
          </w:rPr>
          <w:t>7.7</w:t>
        </w:r>
        <w:r>
          <w:rPr>
            <w:rFonts w:asciiTheme="minorHAnsi" w:eastAsiaTheme="minorEastAsia" w:hAnsiTheme="minorHAnsi" w:cstheme="minorBidi"/>
            <w:b w:val="0"/>
            <w:i w:val="0"/>
            <w:sz w:val="22"/>
            <w:szCs w:val="22"/>
          </w:rPr>
          <w:tab/>
        </w:r>
        <w:r w:rsidRPr="000F248C">
          <w:rPr>
            <w:rStyle w:val="Hyperlink"/>
          </w:rPr>
          <w:t>Variation of interim supervision orders</w:t>
        </w:r>
        <w:r>
          <w:rPr>
            <w:webHidden/>
          </w:rPr>
          <w:tab/>
        </w:r>
        <w:r>
          <w:rPr>
            <w:webHidden/>
          </w:rPr>
          <w:fldChar w:fldCharType="begin"/>
        </w:r>
        <w:r>
          <w:rPr>
            <w:webHidden/>
          </w:rPr>
          <w:instrText xml:space="preserve"> PAGEREF _Toc54876166 \h </w:instrText>
        </w:r>
        <w:r>
          <w:rPr>
            <w:webHidden/>
          </w:rPr>
        </w:r>
        <w:r>
          <w:rPr>
            <w:webHidden/>
          </w:rPr>
          <w:fldChar w:fldCharType="separate"/>
        </w:r>
        <w:r w:rsidR="004E2F67">
          <w:rPr>
            <w:webHidden/>
          </w:rPr>
          <w:t>38</w:t>
        </w:r>
        <w:r>
          <w:rPr>
            <w:webHidden/>
          </w:rPr>
          <w:fldChar w:fldCharType="end"/>
        </w:r>
      </w:hyperlink>
    </w:p>
    <w:p w14:paraId="12050535" w14:textId="17C4B5EC" w:rsidR="000D726B" w:rsidRDefault="000D726B">
      <w:pPr>
        <w:pStyle w:val="TOC2"/>
        <w:rPr>
          <w:rFonts w:asciiTheme="minorHAnsi" w:eastAsiaTheme="minorEastAsia" w:hAnsiTheme="minorHAnsi" w:cstheme="minorBidi"/>
          <w:b w:val="0"/>
          <w:i w:val="0"/>
          <w:sz w:val="22"/>
          <w:szCs w:val="22"/>
        </w:rPr>
      </w:pPr>
      <w:hyperlink w:anchor="_Toc54876167" w:history="1">
        <w:r w:rsidRPr="000F248C">
          <w:rPr>
            <w:rStyle w:val="Hyperlink"/>
          </w:rPr>
          <w:t>7.8</w:t>
        </w:r>
        <w:r>
          <w:rPr>
            <w:rFonts w:asciiTheme="minorHAnsi" w:eastAsiaTheme="minorEastAsia" w:hAnsiTheme="minorHAnsi" w:cstheme="minorBidi"/>
            <w:b w:val="0"/>
            <w:i w:val="0"/>
            <w:sz w:val="22"/>
            <w:szCs w:val="22"/>
          </w:rPr>
          <w:tab/>
        </w:r>
        <w:r w:rsidRPr="000F248C">
          <w:rPr>
            <w:rStyle w:val="Hyperlink"/>
          </w:rPr>
          <w:t>Penalties</w:t>
        </w:r>
        <w:r>
          <w:rPr>
            <w:webHidden/>
          </w:rPr>
          <w:tab/>
        </w:r>
        <w:r>
          <w:rPr>
            <w:webHidden/>
          </w:rPr>
          <w:fldChar w:fldCharType="begin"/>
        </w:r>
        <w:r>
          <w:rPr>
            <w:webHidden/>
          </w:rPr>
          <w:instrText xml:space="preserve"> PAGEREF _Toc54876167 \h </w:instrText>
        </w:r>
        <w:r>
          <w:rPr>
            <w:webHidden/>
          </w:rPr>
        </w:r>
        <w:r>
          <w:rPr>
            <w:webHidden/>
          </w:rPr>
          <w:fldChar w:fldCharType="separate"/>
        </w:r>
        <w:r w:rsidR="004E2F67">
          <w:rPr>
            <w:webHidden/>
          </w:rPr>
          <w:t>39</w:t>
        </w:r>
        <w:r>
          <w:rPr>
            <w:webHidden/>
          </w:rPr>
          <w:fldChar w:fldCharType="end"/>
        </w:r>
      </w:hyperlink>
    </w:p>
    <w:p w14:paraId="65A57833" w14:textId="0C3B3242" w:rsidR="000D726B" w:rsidRDefault="000D726B">
      <w:pPr>
        <w:pStyle w:val="TOC1"/>
        <w:rPr>
          <w:rFonts w:asciiTheme="minorHAnsi" w:eastAsiaTheme="minorEastAsia" w:hAnsiTheme="minorHAnsi" w:cstheme="minorBidi"/>
          <w:b w:val="0"/>
          <w:sz w:val="22"/>
          <w:szCs w:val="22"/>
        </w:rPr>
      </w:pPr>
      <w:hyperlink w:anchor="_Toc54876168" w:history="1">
        <w:r w:rsidRPr="000F248C">
          <w:rPr>
            <w:rStyle w:val="Hyperlink"/>
          </w:rPr>
          <w:t>8</w:t>
        </w:r>
        <w:r>
          <w:rPr>
            <w:rFonts w:asciiTheme="minorHAnsi" w:eastAsiaTheme="minorEastAsia" w:hAnsiTheme="minorHAnsi" w:cstheme="minorBidi"/>
            <w:b w:val="0"/>
            <w:sz w:val="22"/>
            <w:szCs w:val="22"/>
          </w:rPr>
          <w:tab/>
        </w:r>
        <w:r w:rsidRPr="000F248C">
          <w:rPr>
            <w:rStyle w:val="Hyperlink"/>
          </w:rPr>
          <w:t>Liability to multiple different regimes</w:t>
        </w:r>
        <w:r>
          <w:rPr>
            <w:webHidden/>
          </w:rPr>
          <w:tab/>
        </w:r>
        <w:r>
          <w:rPr>
            <w:webHidden/>
          </w:rPr>
          <w:fldChar w:fldCharType="begin"/>
        </w:r>
        <w:r>
          <w:rPr>
            <w:webHidden/>
          </w:rPr>
          <w:instrText xml:space="preserve"> PAGEREF _Toc54876168 \h </w:instrText>
        </w:r>
        <w:r>
          <w:rPr>
            <w:webHidden/>
          </w:rPr>
        </w:r>
        <w:r>
          <w:rPr>
            <w:webHidden/>
          </w:rPr>
          <w:fldChar w:fldCharType="separate"/>
        </w:r>
        <w:r w:rsidR="004E2F67">
          <w:rPr>
            <w:webHidden/>
          </w:rPr>
          <w:t>44</w:t>
        </w:r>
        <w:r>
          <w:rPr>
            <w:webHidden/>
          </w:rPr>
          <w:fldChar w:fldCharType="end"/>
        </w:r>
      </w:hyperlink>
    </w:p>
    <w:p w14:paraId="18013457" w14:textId="69E4C804" w:rsidR="000D726B" w:rsidRDefault="000D726B">
      <w:pPr>
        <w:pStyle w:val="TOC1"/>
        <w:rPr>
          <w:rFonts w:asciiTheme="minorHAnsi" w:eastAsiaTheme="minorEastAsia" w:hAnsiTheme="minorHAnsi" w:cstheme="minorBidi"/>
          <w:b w:val="0"/>
          <w:sz w:val="22"/>
          <w:szCs w:val="22"/>
        </w:rPr>
      </w:pPr>
      <w:hyperlink w:anchor="_Toc54876169" w:history="1">
        <w:r w:rsidRPr="000F248C">
          <w:rPr>
            <w:rStyle w:val="Hyperlink"/>
          </w:rPr>
          <w:t>9</w:t>
        </w:r>
        <w:r>
          <w:rPr>
            <w:rFonts w:asciiTheme="minorHAnsi" w:eastAsiaTheme="minorEastAsia" w:hAnsiTheme="minorHAnsi" w:cstheme="minorBidi"/>
            <w:b w:val="0"/>
            <w:sz w:val="22"/>
            <w:szCs w:val="22"/>
          </w:rPr>
          <w:tab/>
        </w:r>
        <w:r w:rsidRPr="000F248C">
          <w:rPr>
            <w:rStyle w:val="Hyperlink"/>
          </w:rPr>
          <w:t>Proposed amendments to control order regime</w:t>
        </w:r>
        <w:r>
          <w:rPr>
            <w:webHidden/>
          </w:rPr>
          <w:tab/>
        </w:r>
        <w:r>
          <w:rPr>
            <w:webHidden/>
          </w:rPr>
          <w:fldChar w:fldCharType="begin"/>
        </w:r>
        <w:r>
          <w:rPr>
            <w:webHidden/>
          </w:rPr>
          <w:instrText xml:space="preserve"> PAGEREF _Toc54876169 \h </w:instrText>
        </w:r>
        <w:r>
          <w:rPr>
            <w:webHidden/>
          </w:rPr>
        </w:r>
        <w:r>
          <w:rPr>
            <w:webHidden/>
          </w:rPr>
          <w:fldChar w:fldCharType="separate"/>
        </w:r>
        <w:r w:rsidR="004E2F67">
          <w:rPr>
            <w:webHidden/>
          </w:rPr>
          <w:t>45</w:t>
        </w:r>
        <w:r>
          <w:rPr>
            <w:webHidden/>
          </w:rPr>
          <w:fldChar w:fldCharType="end"/>
        </w:r>
      </w:hyperlink>
    </w:p>
    <w:p w14:paraId="0141B218" w14:textId="3643F0A8" w:rsidR="000D726B" w:rsidRDefault="000D726B">
      <w:pPr>
        <w:pStyle w:val="TOC1"/>
        <w:rPr>
          <w:rFonts w:asciiTheme="minorHAnsi" w:eastAsiaTheme="minorEastAsia" w:hAnsiTheme="minorHAnsi" w:cstheme="minorBidi"/>
          <w:b w:val="0"/>
          <w:sz w:val="22"/>
          <w:szCs w:val="22"/>
        </w:rPr>
      </w:pPr>
      <w:hyperlink w:anchor="_Toc54876170" w:history="1">
        <w:r w:rsidRPr="000F248C">
          <w:rPr>
            <w:rStyle w:val="Hyperlink"/>
          </w:rPr>
          <w:t>10</w:t>
        </w:r>
        <w:r>
          <w:rPr>
            <w:rFonts w:asciiTheme="minorHAnsi" w:eastAsiaTheme="minorEastAsia" w:hAnsiTheme="minorHAnsi" w:cstheme="minorBidi"/>
            <w:b w:val="0"/>
            <w:sz w:val="22"/>
            <w:szCs w:val="22"/>
          </w:rPr>
          <w:tab/>
        </w:r>
        <w:r w:rsidRPr="000F248C">
          <w:rPr>
            <w:rStyle w:val="Hyperlink"/>
          </w:rPr>
          <w:t>New monitoring powers</w:t>
        </w:r>
        <w:r>
          <w:rPr>
            <w:webHidden/>
          </w:rPr>
          <w:tab/>
        </w:r>
        <w:r>
          <w:rPr>
            <w:webHidden/>
          </w:rPr>
          <w:fldChar w:fldCharType="begin"/>
        </w:r>
        <w:r>
          <w:rPr>
            <w:webHidden/>
          </w:rPr>
          <w:instrText xml:space="preserve"> PAGEREF _Toc54876170 \h </w:instrText>
        </w:r>
        <w:r>
          <w:rPr>
            <w:webHidden/>
          </w:rPr>
        </w:r>
        <w:r>
          <w:rPr>
            <w:webHidden/>
          </w:rPr>
          <w:fldChar w:fldCharType="separate"/>
        </w:r>
        <w:r w:rsidR="004E2F67">
          <w:rPr>
            <w:webHidden/>
          </w:rPr>
          <w:t>46</w:t>
        </w:r>
        <w:r>
          <w:rPr>
            <w:webHidden/>
          </w:rPr>
          <w:fldChar w:fldCharType="end"/>
        </w:r>
      </w:hyperlink>
    </w:p>
    <w:p w14:paraId="5059F6F1" w14:textId="6CE90308" w:rsidR="000D726B" w:rsidRDefault="000D726B">
      <w:pPr>
        <w:pStyle w:val="TOC1"/>
        <w:rPr>
          <w:rFonts w:asciiTheme="minorHAnsi" w:eastAsiaTheme="minorEastAsia" w:hAnsiTheme="minorHAnsi" w:cstheme="minorBidi"/>
          <w:b w:val="0"/>
          <w:sz w:val="22"/>
          <w:szCs w:val="22"/>
        </w:rPr>
      </w:pPr>
      <w:hyperlink w:anchor="_Toc54876171" w:history="1">
        <w:r w:rsidRPr="000F248C">
          <w:rPr>
            <w:rStyle w:val="Hyperlink"/>
          </w:rPr>
          <w:t>11</w:t>
        </w:r>
        <w:r>
          <w:rPr>
            <w:rFonts w:asciiTheme="minorHAnsi" w:eastAsiaTheme="minorEastAsia" w:hAnsiTheme="minorHAnsi" w:cstheme="minorBidi"/>
            <w:b w:val="0"/>
            <w:sz w:val="22"/>
            <w:szCs w:val="22"/>
          </w:rPr>
          <w:tab/>
        </w:r>
        <w:r w:rsidRPr="000F248C">
          <w:rPr>
            <w:rStyle w:val="Hyperlink"/>
          </w:rPr>
          <w:t>Use of special advocates</w:t>
        </w:r>
        <w:r>
          <w:rPr>
            <w:webHidden/>
          </w:rPr>
          <w:tab/>
        </w:r>
        <w:r>
          <w:rPr>
            <w:webHidden/>
          </w:rPr>
          <w:fldChar w:fldCharType="begin"/>
        </w:r>
        <w:r>
          <w:rPr>
            <w:webHidden/>
          </w:rPr>
          <w:instrText xml:space="preserve"> PAGEREF _Toc54876171 \h </w:instrText>
        </w:r>
        <w:r>
          <w:rPr>
            <w:webHidden/>
          </w:rPr>
        </w:r>
        <w:r>
          <w:rPr>
            <w:webHidden/>
          </w:rPr>
          <w:fldChar w:fldCharType="separate"/>
        </w:r>
        <w:r w:rsidR="004E2F67">
          <w:rPr>
            <w:webHidden/>
          </w:rPr>
          <w:t>50</w:t>
        </w:r>
        <w:r>
          <w:rPr>
            <w:webHidden/>
          </w:rPr>
          <w:fldChar w:fldCharType="end"/>
        </w:r>
      </w:hyperlink>
    </w:p>
    <w:p w14:paraId="26636C8C" w14:textId="4F1BC6C4" w:rsidR="000D726B" w:rsidRDefault="000D726B">
      <w:pPr>
        <w:pStyle w:val="TOC1"/>
        <w:rPr>
          <w:rFonts w:asciiTheme="minorHAnsi" w:eastAsiaTheme="minorEastAsia" w:hAnsiTheme="minorHAnsi" w:cstheme="minorBidi"/>
          <w:b w:val="0"/>
          <w:sz w:val="22"/>
          <w:szCs w:val="22"/>
        </w:rPr>
      </w:pPr>
      <w:hyperlink w:anchor="_Toc54876172" w:history="1">
        <w:r w:rsidRPr="000F248C">
          <w:rPr>
            <w:rStyle w:val="Hyperlink"/>
          </w:rPr>
          <w:t>Appendix A:  Timing of control orders</w:t>
        </w:r>
        <w:r>
          <w:rPr>
            <w:webHidden/>
          </w:rPr>
          <w:tab/>
        </w:r>
        <w:r>
          <w:rPr>
            <w:webHidden/>
          </w:rPr>
          <w:fldChar w:fldCharType="begin"/>
        </w:r>
        <w:r>
          <w:rPr>
            <w:webHidden/>
          </w:rPr>
          <w:instrText xml:space="preserve"> PAGEREF _Toc54876172 \h </w:instrText>
        </w:r>
        <w:r>
          <w:rPr>
            <w:webHidden/>
          </w:rPr>
        </w:r>
        <w:r>
          <w:rPr>
            <w:webHidden/>
          </w:rPr>
          <w:fldChar w:fldCharType="separate"/>
        </w:r>
        <w:r w:rsidR="004E2F67">
          <w:rPr>
            <w:webHidden/>
          </w:rPr>
          <w:t>52</w:t>
        </w:r>
        <w:r>
          <w:rPr>
            <w:webHidden/>
          </w:rPr>
          <w:fldChar w:fldCharType="end"/>
        </w:r>
      </w:hyperlink>
    </w:p>
    <w:p w14:paraId="5996EC9C" w14:textId="4F47F280" w:rsidR="00C86324" w:rsidRDefault="000E4837">
      <w:pPr>
        <w:spacing w:before="0" w:after="0"/>
        <w:rPr>
          <w:b/>
          <w:noProof/>
        </w:rPr>
      </w:pPr>
      <w:r>
        <w:rPr>
          <w:b/>
          <w:noProof/>
        </w:rPr>
        <w:fldChar w:fldCharType="end"/>
      </w:r>
      <w:r w:rsidR="00C86324">
        <w:br w:type="page"/>
      </w:r>
    </w:p>
    <w:p w14:paraId="0E0013A9" w14:textId="77777777" w:rsidR="00510390" w:rsidRDefault="009F2764" w:rsidP="00A27ABE">
      <w:pPr>
        <w:pStyle w:val="Heading1"/>
      </w:pPr>
      <w:bookmarkStart w:id="2" w:name="_Toc207761830"/>
      <w:bookmarkStart w:id="3" w:name="_Toc209578266"/>
      <w:bookmarkStart w:id="4" w:name="_Toc209941766"/>
      <w:bookmarkStart w:id="5" w:name="_Toc525894098"/>
      <w:bookmarkStart w:id="6" w:name="_Toc54876144"/>
      <w:r w:rsidRPr="009E08D1">
        <w:lastRenderedPageBreak/>
        <w:t>Introduction</w:t>
      </w:r>
      <w:bookmarkEnd w:id="2"/>
      <w:bookmarkEnd w:id="3"/>
      <w:bookmarkEnd w:id="4"/>
      <w:bookmarkEnd w:id="5"/>
      <w:bookmarkEnd w:id="6"/>
    </w:p>
    <w:p w14:paraId="16607738" w14:textId="73CF85DA" w:rsidR="00B75646" w:rsidRDefault="00B75646" w:rsidP="00B75646">
      <w:pPr>
        <w:pStyle w:val="ListNumber"/>
      </w:pPr>
      <w:bookmarkStart w:id="7" w:name="_Toc525894099"/>
      <w:r>
        <w:t>The Australian Human Rights Commission makes this submission to the Parliamentary Joint Committee on Intelligence and Security (PJCIS) in relation to its Review of the Counter-Terrorism Legislation Amendment (High Risk Terrorist Offenders) Bill 2020 (</w:t>
      </w:r>
      <w:proofErr w:type="spellStart"/>
      <w:r>
        <w:t>Cth</w:t>
      </w:r>
      <w:proofErr w:type="spellEnd"/>
      <w:r>
        <w:t xml:space="preserve">) </w:t>
      </w:r>
      <w:r w:rsidR="0001716E">
        <w:t xml:space="preserve">(the Bill) </w:t>
      </w:r>
      <w:r>
        <w:t>introduced by the Australian Government.</w:t>
      </w:r>
    </w:p>
    <w:p w14:paraId="7B4EF906" w14:textId="5FD1463A" w:rsidR="006B46CD" w:rsidRDefault="006B46CD" w:rsidP="00B75646">
      <w:pPr>
        <w:pStyle w:val="ListNumber"/>
      </w:pPr>
      <w:r>
        <w:t>The Commission welcomes the opportunity to make a submission to this inquiry.</w:t>
      </w:r>
    </w:p>
    <w:p w14:paraId="33FEFEF4" w14:textId="7CA16182" w:rsidR="009F2764" w:rsidRDefault="003423F4" w:rsidP="009E08D1">
      <w:pPr>
        <w:pStyle w:val="Heading1"/>
      </w:pPr>
      <w:bookmarkStart w:id="8" w:name="_Toc54876145"/>
      <w:r>
        <w:t>Summary</w:t>
      </w:r>
      <w:bookmarkEnd w:id="7"/>
      <w:bookmarkEnd w:id="8"/>
    </w:p>
    <w:p w14:paraId="6CB5E99A" w14:textId="41B8577F" w:rsidR="00A24DCB" w:rsidRDefault="0030049F" w:rsidP="00B75646">
      <w:pPr>
        <w:pStyle w:val="ListNumber"/>
      </w:pPr>
      <w:r>
        <w:t xml:space="preserve">The Bill proposes to introduce an extended supervision order (ESO) </w:t>
      </w:r>
      <w:r w:rsidR="00B23D6F">
        <w:t xml:space="preserve">regime </w:t>
      </w:r>
      <w:r w:rsidR="0094349D">
        <w:t>that</w:t>
      </w:r>
      <w:r w:rsidR="00CC7E37">
        <w:t xml:space="preserve"> would permit </w:t>
      </w:r>
      <w:r w:rsidR="001D00DF">
        <w:t xml:space="preserve">the Supreme </w:t>
      </w:r>
      <w:r w:rsidR="00CC7E37">
        <w:t xml:space="preserve">Court </w:t>
      </w:r>
      <w:r w:rsidR="001D00DF">
        <w:t xml:space="preserve">of a State or Territory </w:t>
      </w:r>
      <w:r w:rsidR="00CC7E37">
        <w:t xml:space="preserve">to </w:t>
      </w:r>
      <w:r w:rsidR="001D00DF">
        <w:t xml:space="preserve">make orders </w:t>
      </w:r>
      <w:r w:rsidR="00D55396">
        <w:t>in relation to a person who ha</w:t>
      </w:r>
      <w:r w:rsidR="00610C7E">
        <w:t>s</w:t>
      </w:r>
      <w:r w:rsidR="00D55396">
        <w:t xml:space="preserve"> been convicted of a serious terrorism offence</w:t>
      </w:r>
      <w:r w:rsidR="00A24DCB">
        <w:t xml:space="preserve"> </w:t>
      </w:r>
      <w:r w:rsidR="00EB63FF">
        <w:t xml:space="preserve">and </w:t>
      </w:r>
      <w:r w:rsidR="000D7EB0">
        <w:t xml:space="preserve">who </w:t>
      </w:r>
      <w:r w:rsidR="00EB63FF">
        <w:t xml:space="preserve">would pose an unacceptable risk to the community </w:t>
      </w:r>
      <w:r w:rsidR="00A8784B">
        <w:t xml:space="preserve">of committing a further serious terrorism offence </w:t>
      </w:r>
      <w:r w:rsidR="000D7EB0">
        <w:t xml:space="preserve">after </w:t>
      </w:r>
      <w:r w:rsidR="00A24DCB">
        <w:t xml:space="preserve">completing their sentence </w:t>
      </w:r>
      <w:r w:rsidR="000D7EB0">
        <w:t xml:space="preserve">of imprisonment. </w:t>
      </w:r>
    </w:p>
    <w:p w14:paraId="5626B14F" w14:textId="662975AE" w:rsidR="00B75646" w:rsidRDefault="00852ECD" w:rsidP="00B75646">
      <w:pPr>
        <w:pStyle w:val="ListNumber"/>
      </w:pPr>
      <w:r>
        <w:t xml:space="preserve">The Court </w:t>
      </w:r>
      <w:r w:rsidR="003A4373">
        <w:t>would be able to</w:t>
      </w:r>
      <w:r>
        <w:t xml:space="preserve"> make an </w:t>
      </w:r>
      <w:r w:rsidR="00A24DCB">
        <w:t>ESO</w:t>
      </w:r>
      <w:r>
        <w:t xml:space="preserve"> for up to three years at a time, </w:t>
      </w:r>
      <w:r w:rsidR="00EE01DD">
        <w:t xml:space="preserve">imposing conditions on the offender designed to </w:t>
      </w:r>
      <w:r w:rsidR="00160182">
        <w:t xml:space="preserve">protect the community from </w:t>
      </w:r>
      <w:r w:rsidR="002246AD">
        <w:t>that risk.</w:t>
      </w:r>
      <w:r w:rsidR="00A24DCB">
        <w:t xml:space="preserve"> </w:t>
      </w:r>
    </w:p>
    <w:p w14:paraId="4B3C1088" w14:textId="7CFED9E3" w:rsidR="00C95841" w:rsidRDefault="00794B13" w:rsidP="00B75646">
      <w:pPr>
        <w:pStyle w:val="ListNumber"/>
      </w:pPr>
      <w:r>
        <w:t xml:space="preserve">The Criminal Code already contains provisions that </w:t>
      </w:r>
      <w:r w:rsidR="00344CDF">
        <w:t>permit the Supreme Court to make a continuing detention order (CDO)</w:t>
      </w:r>
      <w:r w:rsidR="00462C62">
        <w:t xml:space="preserve"> in relation to the same category of offender.  A CDO </w:t>
      </w:r>
      <w:r w:rsidR="009C7398">
        <w:t>requires a person convicted of a serious terrorism offence to remain in detention for a period of up to three years at a time after the conclusion of their sentence</w:t>
      </w:r>
      <w:r w:rsidR="00922E8A">
        <w:t xml:space="preserve">.  </w:t>
      </w:r>
    </w:p>
    <w:p w14:paraId="65AC7B8C" w14:textId="4FB8B8EE" w:rsidR="002246AD" w:rsidRDefault="00C95841" w:rsidP="00B75646">
      <w:pPr>
        <w:pStyle w:val="ListNumber"/>
      </w:pPr>
      <w:r>
        <w:t xml:space="preserve">The Commission has </w:t>
      </w:r>
      <w:r w:rsidR="00AF05A6">
        <w:t xml:space="preserve">previously </w:t>
      </w:r>
      <w:r>
        <w:t xml:space="preserve">made detailed submissions about the existing CDO regime.  </w:t>
      </w:r>
      <w:r w:rsidR="00E25E6D">
        <w:t>Given the grave risks to the community posed by terrorism, a</w:t>
      </w:r>
      <w:r w:rsidR="0005271E">
        <w:t>n appropriate</w:t>
      </w:r>
      <w:r w:rsidR="00E25E6D">
        <w:t xml:space="preserve"> regime</w:t>
      </w:r>
      <w:r w:rsidR="0005271E">
        <w:t xml:space="preserve">, with effective protections against unjustified detention </w:t>
      </w:r>
      <w:r w:rsidR="00D27131">
        <w:t>and</w:t>
      </w:r>
      <w:r w:rsidR="0005271E">
        <w:t xml:space="preserve"> other human rights </w:t>
      </w:r>
      <w:r w:rsidR="00D27131">
        <w:t>infringements</w:t>
      </w:r>
      <w:r w:rsidR="0005271E">
        <w:t xml:space="preserve">, could </w:t>
      </w:r>
      <w:r w:rsidR="00CE6A35">
        <w:t xml:space="preserve">be a reasonable and necessary response.  However, the regime itself imposes very severe </w:t>
      </w:r>
      <w:r w:rsidR="00892F8E">
        <w:t xml:space="preserve">restrictions </w:t>
      </w:r>
      <w:r w:rsidR="005B6BC9">
        <w:t xml:space="preserve">on liberty </w:t>
      </w:r>
      <w:r w:rsidR="00892F8E">
        <w:t xml:space="preserve">outside the </w:t>
      </w:r>
      <w:r w:rsidR="00EA0120">
        <w:t xml:space="preserve">parameters of the </w:t>
      </w:r>
      <w:r w:rsidR="00892F8E">
        <w:t xml:space="preserve">ordinary criminal justice system.  </w:t>
      </w:r>
      <w:r w:rsidR="00EA0120">
        <w:t>T</w:t>
      </w:r>
      <w:r w:rsidR="00892F8E">
        <w:t xml:space="preserve">he proportionality of the regime is heavily dependent on the ability to accurately </w:t>
      </w:r>
      <w:r w:rsidR="00FA3FC3">
        <w:t xml:space="preserve">assess the future risk </w:t>
      </w:r>
      <w:r w:rsidR="00AA7AC6">
        <w:t>posed by</w:t>
      </w:r>
      <w:r w:rsidR="00FA3FC3">
        <w:t xml:space="preserve"> terrorist offenders.</w:t>
      </w:r>
      <w:r w:rsidR="007B0FFE">
        <w:t xml:space="preserve">  The Commission</w:t>
      </w:r>
      <w:r w:rsidR="000D3CEC">
        <w:t xml:space="preserve"> has previo</w:t>
      </w:r>
      <w:r w:rsidR="009A48E1">
        <w:t>us</w:t>
      </w:r>
      <w:r w:rsidR="000D3CEC">
        <w:t>ly</w:t>
      </w:r>
      <w:r w:rsidR="007B0FFE">
        <w:t xml:space="preserve"> </w:t>
      </w:r>
      <w:r w:rsidR="0061005E">
        <w:t>made a range of recommendations to the PJCIS directed to these issues.</w:t>
      </w:r>
      <w:r w:rsidR="009A48E1">
        <w:rPr>
          <w:rStyle w:val="EndnoteReference"/>
        </w:rPr>
        <w:endnoteReference w:id="2"/>
      </w:r>
    </w:p>
    <w:p w14:paraId="541F6422" w14:textId="7F26A184" w:rsidR="00FA3FC3" w:rsidRDefault="00450B93" w:rsidP="00B75646">
      <w:pPr>
        <w:pStyle w:val="ListNumber"/>
      </w:pPr>
      <w:r>
        <w:t xml:space="preserve">The Commission </w:t>
      </w:r>
      <w:r w:rsidR="00454F0A">
        <w:t xml:space="preserve">has called for </w:t>
      </w:r>
      <w:r>
        <w:t>the introdu</w:t>
      </w:r>
      <w:r w:rsidR="00454F0A">
        <w:t>ction of an ESO regime because it provides a less restrictive way of effectively managing the risk to</w:t>
      </w:r>
      <w:r w:rsidR="007B3AF4">
        <w:t xml:space="preserve"> the community</w:t>
      </w:r>
      <w:r w:rsidR="00D27131">
        <w:t xml:space="preserve"> of terrorist recidivism</w:t>
      </w:r>
      <w:r w:rsidR="007B3AF4">
        <w:t xml:space="preserve">, than resort to the </w:t>
      </w:r>
      <w:r w:rsidR="00454F0A">
        <w:t xml:space="preserve">CDO regime </w:t>
      </w:r>
      <w:r w:rsidR="007B3AF4">
        <w:t xml:space="preserve">alone.  </w:t>
      </w:r>
      <w:r w:rsidR="00D27131">
        <w:t xml:space="preserve">Where such a risk is proven to exist, and </w:t>
      </w:r>
      <w:r w:rsidR="00BC4B70">
        <w:t xml:space="preserve">the Court considers that the </w:t>
      </w:r>
      <w:r w:rsidR="005E593C">
        <w:t xml:space="preserve">community can be protected </w:t>
      </w:r>
      <w:r w:rsidR="008E471C">
        <w:t>through conditions imposed on an offender after they are released</w:t>
      </w:r>
      <w:r w:rsidR="00BF6FAE">
        <w:t xml:space="preserve">, </w:t>
      </w:r>
      <w:r w:rsidR="00D27131">
        <w:t xml:space="preserve">this action </w:t>
      </w:r>
      <w:r w:rsidR="003F2DBB">
        <w:t xml:space="preserve">should be preferred to continued detention because it is a </w:t>
      </w:r>
      <w:r w:rsidR="00CC08B8">
        <w:t xml:space="preserve">more proportionate response.  It is </w:t>
      </w:r>
      <w:r w:rsidR="00E5536F">
        <w:t xml:space="preserve">also </w:t>
      </w:r>
      <w:r w:rsidR="00CC08B8">
        <w:t xml:space="preserve">consistent with the general principle of criminal law that an offender should be released from custody after serving the sentence of imprisonment imposed by the Court for their offence.  </w:t>
      </w:r>
    </w:p>
    <w:p w14:paraId="6DA8C347" w14:textId="208192FC" w:rsidR="007F6705" w:rsidRDefault="007F6705" w:rsidP="00B75646">
      <w:pPr>
        <w:pStyle w:val="ListNumber"/>
      </w:pPr>
      <w:r>
        <w:lastRenderedPageBreak/>
        <w:t xml:space="preserve">However, there are two </w:t>
      </w:r>
      <w:r w:rsidR="00030522">
        <w:t>broad structural problems with the ESO regime proposed in this Bill which mean that the Commission is unable to support it in its current form.</w:t>
      </w:r>
      <w:r w:rsidR="0090155F">
        <w:t xml:space="preserve">  First, the ESO regime would leave in place the current control order regime.  Secondly, the ESO regime in the Bill departs in </w:t>
      </w:r>
      <w:r w:rsidR="00B56136">
        <w:t xml:space="preserve">very significant ways </w:t>
      </w:r>
      <w:r w:rsidR="0090155F">
        <w:t xml:space="preserve">from the model recently proposed by the third Independent National Security Legislation Monitor (INSLM), Dr James Renwick CSC SC. </w:t>
      </w:r>
    </w:p>
    <w:p w14:paraId="7EDFE4DF" w14:textId="57295EBB" w:rsidR="007C518A" w:rsidRDefault="0029357C" w:rsidP="00B75646">
      <w:pPr>
        <w:pStyle w:val="ListNumber"/>
      </w:pPr>
      <w:r>
        <w:t xml:space="preserve">The </w:t>
      </w:r>
      <w:r w:rsidR="00E83655">
        <w:t>Australian Parliament has passed well over 70 counter-terrorism l</w:t>
      </w:r>
      <w:r w:rsidR="00987F0B">
        <w:t>aws in the last two decades.</w:t>
      </w:r>
      <w:r w:rsidR="000D0091">
        <w:t xml:space="preserve"> </w:t>
      </w:r>
      <w:r w:rsidR="00987F0B">
        <w:t xml:space="preserve"> </w:t>
      </w:r>
      <w:r w:rsidR="00A6306A">
        <w:t>T</w:t>
      </w:r>
      <w:r w:rsidR="00987F0B">
        <w:t xml:space="preserve">hose laws create a range of sometimes overlapping counter-terrorism powers and offence provisions. </w:t>
      </w:r>
      <w:r w:rsidR="000D0091">
        <w:t xml:space="preserve"> Such overlap can add to the cumulative human rights impact of these </w:t>
      </w:r>
      <w:proofErr w:type="gramStart"/>
      <w:r w:rsidR="000D0091">
        <w:t>laws, and</w:t>
      </w:r>
      <w:proofErr w:type="gramEnd"/>
      <w:r w:rsidR="000D0091">
        <w:t xml:space="preserve"> can raise concerns about the proportionality of a </w:t>
      </w:r>
      <w:r w:rsidR="00AD7E35">
        <w:t xml:space="preserve">particular </w:t>
      </w:r>
      <w:r w:rsidR="000D0091">
        <w:t>law that, were it considered in isolation</w:t>
      </w:r>
      <w:r w:rsidR="00AD7E35">
        <w:t>,</w:t>
      </w:r>
      <w:r w:rsidR="000D0091">
        <w:t xml:space="preserve"> might </w:t>
      </w:r>
      <w:r w:rsidR="000164D3">
        <w:t>be justified</w:t>
      </w:r>
      <w:r w:rsidR="00B012BD">
        <w:t xml:space="preserve">.  </w:t>
      </w:r>
      <w:r w:rsidR="00607E93">
        <w:t>I</w:t>
      </w:r>
      <w:r w:rsidR="00987F0B">
        <w:t>t is very rare that reform in this area reduces these powers and offences</w:t>
      </w:r>
      <w:r w:rsidR="007301AD">
        <w:t>, even where counter-terrorism law</w:t>
      </w:r>
      <w:r w:rsidR="00C62805">
        <w:t>s</w:t>
      </w:r>
      <w:r w:rsidR="007301AD">
        <w:t xml:space="preserve"> </w:t>
      </w:r>
      <w:r w:rsidR="00C62805">
        <w:t xml:space="preserve">are </w:t>
      </w:r>
      <w:r w:rsidR="007301AD">
        <w:t>subject to a sunset provision</w:t>
      </w:r>
      <w:r w:rsidR="00987F0B">
        <w:t xml:space="preserve">. </w:t>
      </w:r>
      <w:r w:rsidR="00B012BD">
        <w:t xml:space="preserve"> </w:t>
      </w:r>
      <w:r w:rsidR="00987F0B">
        <w:t xml:space="preserve">Rather, </w:t>
      </w:r>
      <w:r w:rsidR="00A6306A">
        <w:t xml:space="preserve">any </w:t>
      </w:r>
      <w:r w:rsidR="00987F0B">
        <w:t xml:space="preserve">new law </w:t>
      </w:r>
      <w:r w:rsidR="00A6306A">
        <w:t>generally has the effect of limiting a range of human rights, on the basis that the new law will give increased protection against terrorist activity.</w:t>
      </w:r>
      <w:r w:rsidR="00B012BD">
        <w:t xml:space="preserve"> </w:t>
      </w:r>
      <w:r w:rsidR="00A6306A">
        <w:t xml:space="preserve"> </w:t>
      </w:r>
    </w:p>
    <w:p w14:paraId="38FA80DA" w14:textId="09061606" w:rsidR="00CC08B8" w:rsidRDefault="00A6306A" w:rsidP="00B75646">
      <w:pPr>
        <w:pStyle w:val="ListNumber"/>
      </w:pPr>
      <w:r>
        <w:t>T</w:t>
      </w:r>
      <w:r w:rsidR="00987F0B">
        <w:t xml:space="preserve">he </w:t>
      </w:r>
      <w:r w:rsidR="0070231A">
        <w:t xml:space="preserve">introduction of an ESO regime </w:t>
      </w:r>
      <w:r w:rsidR="00987F0B">
        <w:t xml:space="preserve">would further add to Australia’s extensive counter-terrorism regime. </w:t>
      </w:r>
      <w:r w:rsidR="00B012BD">
        <w:t xml:space="preserve"> </w:t>
      </w:r>
      <w:r w:rsidR="007C518A">
        <w:t xml:space="preserve">For this reason, it is important that the Bill </w:t>
      </w:r>
      <w:r w:rsidR="00407DE1">
        <w:t xml:space="preserve">not </w:t>
      </w:r>
      <w:r w:rsidR="007C518A">
        <w:t xml:space="preserve">be assessed </w:t>
      </w:r>
      <w:r w:rsidR="00407DE1">
        <w:t xml:space="preserve">in isolation. </w:t>
      </w:r>
      <w:r w:rsidR="000164D3">
        <w:t>The Bill</w:t>
      </w:r>
      <w:r w:rsidR="00407DE1">
        <w:t xml:space="preserve"> should be assessed </w:t>
      </w:r>
      <w:r w:rsidR="007C518A">
        <w:t xml:space="preserve">by reference to its likely effect </w:t>
      </w:r>
      <w:r w:rsidR="00407DE1">
        <w:t xml:space="preserve">taking into account the </w:t>
      </w:r>
      <w:r w:rsidR="000164D3">
        <w:t xml:space="preserve">other </w:t>
      </w:r>
      <w:r w:rsidR="00407DE1">
        <w:t xml:space="preserve">elements of </w:t>
      </w:r>
      <w:r w:rsidR="000164D3">
        <w:t xml:space="preserve">Australia’s </w:t>
      </w:r>
      <w:r w:rsidR="00407DE1">
        <w:t>counter-terrorism regime</w:t>
      </w:r>
      <w:r w:rsidR="007C518A">
        <w:t>, especially given that CDOs</w:t>
      </w:r>
      <w:r w:rsidR="000164D3">
        <w:t xml:space="preserve">, </w:t>
      </w:r>
      <w:r w:rsidR="007C518A">
        <w:t xml:space="preserve">control orders and the proposed ESO regime would all operate to address the same, or at least a similar, risk—namely, that an individual is likely to commit a terrorist offence in the future. </w:t>
      </w:r>
      <w:r w:rsidR="00407DE1">
        <w:t xml:space="preserve"> To this end, the Commission recommend</w:t>
      </w:r>
      <w:r w:rsidR="00537191">
        <w:t>s here and in another recent submission</w:t>
      </w:r>
      <w:r w:rsidR="00407DE1">
        <w:t xml:space="preserve"> a number of important changes to the CDO regime,</w:t>
      </w:r>
      <w:r w:rsidR="00407DE1">
        <w:rPr>
          <w:rStyle w:val="EndnoteReference"/>
        </w:rPr>
        <w:endnoteReference w:id="3"/>
      </w:r>
      <w:r w:rsidR="00407DE1">
        <w:t xml:space="preserve"> and in this submission </w:t>
      </w:r>
      <w:r>
        <w:t xml:space="preserve">the Commission </w:t>
      </w:r>
      <w:r w:rsidR="00407DE1">
        <w:t xml:space="preserve">sets out its position that the introduction of an ESO regime should </w:t>
      </w:r>
      <w:r w:rsidR="0070231A">
        <w:t>be accompanied by the repeal of the existing control order regime.</w:t>
      </w:r>
    </w:p>
    <w:p w14:paraId="337D72FC" w14:textId="22C439F0" w:rsidR="0070231A" w:rsidRDefault="00462617" w:rsidP="00B75646">
      <w:pPr>
        <w:pStyle w:val="ListNumber"/>
      </w:pPr>
      <w:r>
        <w:t xml:space="preserve">At present, control orders are being used in the way that it is proposed that ESOs </w:t>
      </w:r>
      <w:r w:rsidR="00FD586D">
        <w:t>would</w:t>
      </w:r>
      <w:r>
        <w:t xml:space="preserve"> be used, but </w:t>
      </w:r>
      <w:r w:rsidR="00852257">
        <w:t xml:space="preserve">for a range of reasons </w:t>
      </w:r>
      <w:r>
        <w:t xml:space="preserve">they </w:t>
      </w:r>
      <w:r w:rsidR="00852257">
        <w:t>are a second</w:t>
      </w:r>
      <w:r w:rsidR="001B5812">
        <w:t>-</w:t>
      </w:r>
      <w:r w:rsidR="00852257">
        <w:t>best alternative.</w:t>
      </w:r>
      <w:r w:rsidR="001B5812">
        <w:t xml:space="preserve">  </w:t>
      </w:r>
      <w:r w:rsidR="009A02AE">
        <w:t xml:space="preserve">There have been 10 control orders made </w:t>
      </w:r>
      <w:r w:rsidR="000958CA">
        <w:t>since January 2019</w:t>
      </w:r>
      <w:r w:rsidR="00F426C9">
        <w:t xml:space="preserve"> and this followed a period of </w:t>
      </w:r>
      <w:r w:rsidR="00B5042B">
        <w:t xml:space="preserve">more than </w:t>
      </w:r>
      <w:r w:rsidR="00DF3BE2">
        <w:t>three</w:t>
      </w:r>
      <w:r w:rsidR="00B5042B">
        <w:t xml:space="preserve"> years where no control orders were made at all.</w:t>
      </w:r>
      <w:r w:rsidR="00721D1B">
        <w:rPr>
          <w:rStyle w:val="EndnoteReference"/>
        </w:rPr>
        <w:endnoteReference w:id="4"/>
      </w:r>
      <w:r w:rsidR="00B5042B">
        <w:t xml:space="preserve">  Nine of the 10 control orders imposed in recent times have been </w:t>
      </w:r>
      <w:r w:rsidR="00EC3FD7">
        <w:t xml:space="preserve">imposed </w:t>
      </w:r>
      <w:r w:rsidR="005409DC">
        <w:t xml:space="preserve">on terrorist offenders </w:t>
      </w:r>
      <w:r w:rsidR="00824502">
        <w:t xml:space="preserve">at the point in time when they </w:t>
      </w:r>
      <w:r w:rsidR="00DF3BE2">
        <w:t>were</w:t>
      </w:r>
      <w:r w:rsidR="00824502">
        <w:t xml:space="preserve"> being released from custody.  </w:t>
      </w:r>
      <w:r w:rsidR="00D162A7">
        <w:t xml:space="preserve">This is </w:t>
      </w:r>
      <w:r w:rsidR="00EE3660">
        <w:t xml:space="preserve">the function that ESOs would perform.  </w:t>
      </w:r>
      <w:r w:rsidR="00626932">
        <w:t>Details of those nine offenders are set out in Annexure A to this submission.</w:t>
      </w:r>
    </w:p>
    <w:p w14:paraId="477AA20B" w14:textId="6D3D35E0" w:rsidR="00626932" w:rsidRDefault="00074B0E" w:rsidP="00B75646">
      <w:pPr>
        <w:pStyle w:val="ListNumber"/>
      </w:pPr>
      <w:r>
        <w:t xml:space="preserve">The only remaining control order made in recent times was the control order imposed on Ms </w:t>
      </w:r>
      <w:r w:rsidR="0044349C">
        <w:t xml:space="preserve">Zainab Abdirahman-Khalif after her acquittal for a terrorism offence.  </w:t>
      </w:r>
      <w:r w:rsidR="00680B00">
        <w:t>T</w:t>
      </w:r>
      <w:r w:rsidR="00805EF2">
        <w:t>he High Court has recently overturned that acquittal</w:t>
      </w:r>
      <w:r w:rsidR="00680B00">
        <w:t xml:space="preserve"> and, unless she is granted parole </w:t>
      </w:r>
      <w:r w:rsidR="00631820">
        <w:t xml:space="preserve">which she currently qualifies for, she will be required to serve the last </w:t>
      </w:r>
      <w:r w:rsidR="000D0091">
        <w:t>six</w:t>
      </w:r>
      <w:r w:rsidR="00631820">
        <w:t xml:space="preserve"> months of a three year sentence.</w:t>
      </w:r>
      <w:r w:rsidR="00C01339">
        <w:rPr>
          <w:rStyle w:val="EndnoteReference"/>
        </w:rPr>
        <w:endnoteReference w:id="5"/>
      </w:r>
      <w:r w:rsidR="00631820">
        <w:t xml:space="preserve">  </w:t>
      </w:r>
      <w:r w:rsidR="005C52B8">
        <w:t xml:space="preserve">However, there </w:t>
      </w:r>
      <w:r w:rsidR="00111F73">
        <w:t>remain</w:t>
      </w:r>
      <w:r w:rsidR="005C52B8">
        <w:t xml:space="preserve"> real questions about the degree of risk that she posed to the community and whether the control order </w:t>
      </w:r>
      <w:r w:rsidR="001067B6">
        <w:t xml:space="preserve">imposed on her </w:t>
      </w:r>
      <w:r w:rsidR="00C3484F">
        <w:t>was justifiable.</w:t>
      </w:r>
      <w:r w:rsidR="006A00AF">
        <w:rPr>
          <w:rStyle w:val="EndnoteReference"/>
        </w:rPr>
        <w:endnoteReference w:id="6"/>
      </w:r>
    </w:p>
    <w:p w14:paraId="7CE97C49" w14:textId="6C348B43" w:rsidR="00C3484F" w:rsidRDefault="00C3484F" w:rsidP="00B75646">
      <w:pPr>
        <w:pStyle w:val="ListNumber"/>
      </w:pPr>
      <w:r>
        <w:lastRenderedPageBreak/>
        <w:t xml:space="preserve">The Commission’s view is that once an ESO regime is in place, there will be no </w:t>
      </w:r>
      <w:r w:rsidR="00CA2D21">
        <w:t xml:space="preserve">need for the control order </w:t>
      </w:r>
      <w:proofErr w:type="gramStart"/>
      <w:r w:rsidR="00CA2D21">
        <w:t>regime</w:t>
      </w:r>
      <w:proofErr w:type="gramEnd"/>
      <w:r w:rsidR="00C01339">
        <w:t xml:space="preserve"> and it should be repealed to avoid situations where it </w:t>
      </w:r>
      <w:r w:rsidR="001067B6">
        <w:t xml:space="preserve">may be </w:t>
      </w:r>
      <w:r w:rsidR="00C01339">
        <w:t xml:space="preserve">inappropriately used.  </w:t>
      </w:r>
      <w:r w:rsidR="008B0741">
        <w:t xml:space="preserve">This includes </w:t>
      </w:r>
      <w:r w:rsidR="00FA2D08">
        <w:t xml:space="preserve">situations where </w:t>
      </w:r>
      <w:r w:rsidR="00690165">
        <w:t xml:space="preserve">a person cannot be arrested because there is no reasonable basis to </w:t>
      </w:r>
      <w:r w:rsidR="004E36B4">
        <w:t xml:space="preserve">suspect that they have been involved in a terrorist act; </w:t>
      </w:r>
      <w:r w:rsidR="00563843">
        <w:t xml:space="preserve">where </w:t>
      </w:r>
      <w:r w:rsidR="004E36B4">
        <w:t xml:space="preserve">the </w:t>
      </w:r>
      <w:r w:rsidR="006B77FD">
        <w:t>Commonwealth Director of Public Prosecutions (</w:t>
      </w:r>
      <w:r w:rsidR="004E36B4">
        <w:t>CDPP</w:t>
      </w:r>
      <w:r w:rsidR="006B77FD">
        <w:t>)</w:t>
      </w:r>
      <w:r w:rsidR="004E36B4">
        <w:t xml:space="preserve"> has </w:t>
      </w:r>
      <w:r w:rsidR="00563843">
        <w:t xml:space="preserve">advised that there is no reasonable prospect of conviction; and where a person has been </w:t>
      </w:r>
      <w:r w:rsidR="00416EF3">
        <w:t>tried and acquitted of a terrorism offence.</w:t>
      </w:r>
      <w:r w:rsidR="003F5D97">
        <w:t xml:space="preserve">  These issues are dealt with in more detail in previous submissions by the Commission </w:t>
      </w:r>
      <w:r w:rsidR="002D266F">
        <w:t xml:space="preserve">to </w:t>
      </w:r>
      <w:r w:rsidR="003F5D97">
        <w:t>the PJCIS.</w:t>
      </w:r>
      <w:r w:rsidR="00A7337D">
        <w:rPr>
          <w:rStyle w:val="EndnoteReference"/>
        </w:rPr>
        <w:endnoteReference w:id="7"/>
      </w:r>
    </w:p>
    <w:p w14:paraId="213840B4" w14:textId="0244034F" w:rsidR="00416EF3" w:rsidRDefault="003F5D97" w:rsidP="00B75646">
      <w:pPr>
        <w:pStyle w:val="ListNumber"/>
      </w:pPr>
      <w:r>
        <w:t xml:space="preserve">The </w:t>
      </w:r>
      <w:r w:rsidR="00B30387">
        <w:t xml:space="preserve">Bill also departs from the </w:t>
      </w:r>
      <w:r w:rsidR="001A71AA">
        <w:t xml:space="preserve">ESO </w:t>
      </w:r>
      <w:r w:rsidR="00B30387">
        <w:t xml:space="preserve">model proposed by the third INSLM in significant ways.  The </w:t>
      </w:r>
      <w:r>
        <w:t xml:space="preserve">Commission </w:t>
      </w:r>
      <w:r w:rsidR="00B30387">
        <w:t>is concerned about the following aspects of the Bill in particular:</w:t>
      </w:r>
    </w:p>
    <w:p w14:paraId="0A3D2F9B" w14:textId="52DB12A5" w:rsidR="00B30387" w:rsidRDefault="00076496" w:rsidP="0016384D">
      <w:pPr>
        <w:pStyle w:val="ListNumber"/>
        <w:numPr>
          <w:ilvl w:val="0"/>
          <w:numId w:val="48"/>
        </w:numPr>
      </w:pPr>
      <w:r>
        <w:t xml:space="preserve">the Bill proposes a lower standard of proof to obtain an ESO </w:t>
      </w:r>
      <w:r w:rsidR="00C33C0E">
        <w:t xml:space="preserve">(satisfaction on the balance of probabilities) </w:t>
      </w:r>
      <w:r>
        <w:t>than is currently required to obtain a CDO</w:t>
      </w:r>
      <w:r w:rsidR="00C33C0E">
        <w:t xml:space="preserve"> (satisfaction to a high degree of probability), contrary</w:t>
      </w:r>
      <w:r w:rsidR="000D0091">
        <w:t xml:space="preserve"> to</w:t>
      </w:r>
      <w:r w:rsidR="00C33C0E">
        <w:t xml:space="preserve"> the recommendation of the third INSLM</w:t>
      </w:r>
      <w:r w:rsidR="003962D7">
        <w:t xml:space="preserve"> and contrary to every other comparable regime in Australia</w:t>
      </w:r>
    </w:p>
    <w:p w14:paraId="01429D40" w14:textId="4F252354" w:rsidR="00C33C0E" w:rsidRDefault="00C33C0E" w:rsidP="00B30387">
      <w:pPr>
        <w:pStyle w:val="ListNumber"/>
        <w:numPr>
          <w:ilvl w:val="0"/>
          <w:numId w:val="48"/>
        </w:numPr>
      </w:pPr>
      <w:r>
        <w:t>the</w:t>
      </w:r>
      <w:r w:rsidR="004835FD">
        <w:t xml:space="preserve"> conditions that may be imposed pursuant to an ESO </w:t>
      </w:r>
      <w:r w:rsidR="005709F3">
        <w:t xml:space="preserve">extend far beyond the conditions that may be imposed pursuant to a control order </w:t>
      </w:r>
      <w:r w:rsidR="00431A25">
        <w:t>and, for example, could require</w:t>
      </w:r>
      <w:r w:rsidR="00861666">
        <w:t>:</w:t>
      </w:r>
    </w:p>
    <w:p w14:paraId="5EC9239B" w14:textId="528CAF29" w:rsidR="00861666" w:rsidRDefault="00861666" w:rsidP="00861666">
      <w:pPr>
        <w:pStyle w:val="ListNumber"/>
        <w:numPr>
          <w:ilvl w:val="1"/>
          <w:numId w:val="48"/>
        </w:numPr>
      </w:pPr>
      <w:r>
        <w:t>a person to comply with directions given by a ‘specified authority</w:t>
      </w:r>
      <w:r w:rsidR="00622624">
        <w:t>,</w:t>
      </w:r>
      <w:r>
        <w:t xml:space="preserve">’ </w:t>
      </w:r>
      <w:r w:rsidR="00622624">
        <w:t xml:space="preserve">which is not limited to law enforcement authorities and in fact </w:t>
      </w:r>
      <w:r>
        <w:t xml:space="preserve">could be any </w:t>
      </w:r>
      <w:r w:rsidR="00272DA9">
        <w:t xml:space="preserve">other </w:t>
      </w:r>
      <w:r>
        <w:t>person in Australia</w:t>
      </w:r>
    </w:p>
    <w:p w14:paraId="45BC3C86" w14:textId="7DFAF50E" w:rsidR="00861666" w:rsidRDefault="00272DA9" w:rsidP="00861666">
      <w:pPr>
        <w:pStyle w:val="ListNumber"/>
        <w:numPr>
          <w:ilvl w:val="1"/>
          <w:numId w:val="48"/>
        </w:numPr>
      </w:pPr>
      <w:r>
        <w:t>the compulsory participation in de-radicalisation and other programs in a way that is counterproductive</w:t>
      </w:r>
      <w:r w:rsidR="00284BA4">
        <w:t xml:space="preserve"> to efforts to counter violent extremism</w:t>
      </w:r>
    </w:p>
    <w:p w14:paraId="29FBAC8E" w14:textId="48C90E9F" w:rsidR="00284BA4" w:rsidRDefault="00BA4E3E" w:rsidP="00861666">
      <w:pPr>
        <w:pStyle w:val="ListNumber"/>
        <w:numPr>
          <w:ilvl w:val="1"/>
          <w:numId w:val="48"/>
        </w:numPr>
      </w:pPr>
      <w:r w:rsidRPr="004B4022">
        <w:rPr>
          <w:i/>
          <w:iCs/>
        </w:rPr>
        <w:t>de facto</w:t>
      </w:r>
      <w:r>
        <w:t xml:space="preserve"> home detention, rather than limited curfews</w:t>
      </w:r>
    </w:p>
    <w:p w14:paraId="35F52B79" w14:textId="4802F11C" w:rsidR="00E12807" w:rsidRDefault="00985636" w:rsidP="005766A2">
      <w:pPr>
        <w:pStyle w:val="ListNumber"/>
        <w:numPr>
          <w:ilvl w:val="1"/>
          <w:numId w:val="48"/>
        </w:numPr>
      </w:pPr>
      <w:r>
        <w:t xml:space="preserve">a person to </w:t>
      </w:r>
      <w:r w:rsidR="0007154C">
        <w:t>give consent to entry into their home</w:t>
      </w:r>
      <w:r w:rsidR="00CD2F05">
        <w:t xml:space="preserve"> by a ‘specified authority’</w:t>
      </w:r>
      <w:r w:rsidR="00AC7026">
        <w:t xml:space="preserve"> (which could be any person in Australia)</w:t>
      </w:r>
      <w:r w:rsidR="00CD2F05">
        <w:t>,</w:t>
      </w:r>
      <w:r w:rsidR="0007154C">
        <w:t xml:space="preserve"> in circumstances where that consent was not truly voluntary and where </w:t>
      </w:r>
      <w:r w:rsidR="00E12807">
        <w:t>alternatives such as the use of warrants are readily available</w:t>
      </w:r>
    </w:p>
    <w:p w14:paraId="24DF5059" w14:textId="5EEFCBD5" w:rsidR="0016384D" w:rsidRDefault="009218E1" w:rsidP="00B30387">
      <w:pPr>
        <w:pStyle w:val="ListNumber"/>
        <w:numPr>
          <w:ilvl w:val="0"/>
          <w:numId w:val="48"/>
        </w:numPr>
      </w:pPr>
      <w:r>
        <w:t xml:space="preserve">the current safeguard in control order proceedings, requiring the personal circumstances of the respondent to be </w:t>
      </w:r>
      <w:proofErr w:type="gramStart"/>
      <w:r>
        <w:t>taken into account</w:t>
      </w:r>
      <w:proofErr w:type="gramEnd"/>
      <w:r>
        <w:t xml:space="preserve">, </w:t>
      </w:r>
      <w:r w:rsidR="00684766">
        <w:t>would be removed for ESO proceedings</w:t>
      </w:r>
    </w:p>
    <w:p w14:paraId="306B8D6F" w14:textId="50CE4F2B" w:rsidR="00684766" w:rsidRDefault="00520FDF" w:rsidP="00B30387">
      <w:pPr>
        <w:pStyle w:val="ListNumber"/>
        <w:numPr>
          <w:ilvl w:val="0"/>
          <w:numId w:val="48"/>
        </w:numPr>
      </w:pPr>
      <w:r>
        <w:t xml:space="preserve">an offender in custody could be compelled to attend an assessment by an expert chosen by the </w:t>
      </w:r>
      <w:r w:rsidR="0048596E">
        <w:t xml:space="preserve">AFP </w:t>
      </w:r>
      <w:r>
        <w:t xml:space="preserve">Minister, in addition to the existing requirement to be assessed by an independent expert </w:t>
      </w:r>
      <w:r w:rsidR="00116A87">
        <w:t xml:space="preserve">chosen by the Court, and failure to participate in the </w:t>
      </w:r>
      <w:r w:rsidR="0048596E">
        <w:t>assessment</w:t>
      </w:r>
      <w:r w:rsidR="00116A87">
        <w:t xml:space="preserve"> with the Minister’s expert could </w:t>
      </w:r>
      <w:r w:rsidR="002F4800">
        <w:t xml:space="preserve">count against them in </w:t>
      </w:r>
      <w:r w:rsidR="00B75C29">
        <w:t xml:space="preserve">a post-sentence order </w:t>
      </w:r>
      <w:r w:rsidR="002F4800">
        <w:t>proceeding</w:t>
      </w:r>
      <w:r w:rsidR="00B75C29">
        <w:t xml:space="preserve"> (that is, a proceeding for either a CDO or ESO)</w:t>
      </w:r>
    </w:p>
    <w:p w14:paraId="39B2218F" w14:textId="4ED7561C" w:rsidR="002F4800" w:rsidRDefault="00DB6AF3" w:rsidP="00B30387">
      <w:pPr>
        <w:pStyle w:val="ListNumber"/>
        <w:numPr>
          <w:ilvl w:val="0"/>
          <w:numId w:val="48"/>
        </w:numPr>
      </w:pPr>
      <w:r>
        <w:lastRenderedPageBreak/>
        <w:t xml:space="preserve">the current use immunity that applies to </w:t>
      </w:r>
      <w:r w:rsidR="00975549">
        <w:t xml:space="preserve">participation in an assessment by the Court’s </w:t>
      </w:r>
      <w:r w:rsidR="005C2A17">
        <w:t xml:space="preserve">independent </w:t>
      </w:r>
      <w:r w:rsidR="00975549">
        <w:t>expert would be watered down, and this lower level of protection would also be applied to participation in the compulsory assessment by the Minister’s expert</w:t>
      </w:r>
    </w:p>
    <w:p w14:paraId="10622BFE" w14:textId="063F93EB" w:rsidR="00975549" w:rsidRDefault="006C6C62" w:rsidP="00B30387">
      <w:pPr>
        <w:pStyle w:val="ListNumber"/>
        <w:numPr>
          <w:ilvl w:val="0"/>
          <w:numId w:val="48"/>
        </w:numPr>
      </w:pPr>
      <w:r>
        <w:t xml:space="preserve">the Minister would be given the ability to </w:t>
      </w:r>
      <w:r w:rsidR="00B46EEC">
        <w:t xml:space="preserve">apply to </w:t>
      </w:r>
      <w:r>
        <w:t xml:space="preserve">vary </w:t>
      </w:r>
      <w:r w:rsidR="00B014B6">
        <w:t xml:space="preserve">an interim supervision order (ISO) to </w:t>
      </w:r>
      <w:r w:rsidR="00B014B6" w:rsidRPr="00B014B6">
        <w:rPr>
          <w:u w:val="single"/>
        </w:rPr>
        <w:t>add</w:t>
      </w:r>
      <w:r w:rsidR="00B014B6">
        <w:t xml:space="preserve"> conditions, in a way that is not permitted under the control order regime</w:t>
      </w:r>
      <w:r w:rsidR="001A71AA">
        <w:t>.</w:t>
      </w:r>
    </w:p>
    <w:p w14:paraId="75D3B63D" w14:textId="08D98EFD" w:rsidR="00B014B6" w:rsidRDefault="00AD6BB8" w:rsidP="001A71AA">
      <w:pPr>
        <w:pStyle w:val="ListNumber"/>
      </w:pPr>
      <w:r>
        <w:t xml:space="preserve">The Commission has made </w:t>
      </w:r>
      <w:proofErr w:type="gramStart"/>
      <w:r>
        <w:t>a number of</w:t>
      </w:r>
      <w:proofErr w:type="gramEnd"/>
      <w:r>
        <w:t xml:space="preserve"> recommendations </w:t>
      </w:r>
      <w:r w:rsidR="001A60DB">
        <w:t xml:space="preserve">about </w:t>
      </w:r>
      <w:r>
        <w:t>the way in which breaches of an ESO are dealt with</w:t>
      </w:r>
      <w:r w:rsidR="001A60DB">
        <w:t xml:space="preserve">.  These recommendations are designed to ensure that </w:t>
      </w:r>
      <w:r w:rsidR="005960E4">
        <w:t>those responsible for monitoring compliance with ESOs have a discretion to deal appropriately with minor breaches</w:t>
      </w:r>
      <w:r w:rsidR="00AC6EAC">
        <w:t xml:space="preserve">.  </w:t>
      </w:r>
      <w:r w:rsidR="006E1DCB">
        <w:t xml:space="preserve">Experience with </w:t>
      </w:r>
      <w:r w:rsidR="00E237BE">
        <w:t xml:space="preserve">Commonwealth </w:t>
      </w:r>
      <w:r w:rsidR="006E1DCB">
        <w:t xml:space="preserve">control orders and ESOs made under the two current regimes in New South Wales demonstrates that a framework like this is necessary to </w:t>
      </w:r>
      <w:r w:rsidR="001E1E88">
        <w:t xml:space="preserve">avoid prosecution and imprisonment for trivial </w:t>
      </w:r>
      <w:r w:rsidR="0032447C">
        <w:t xml:space="preserve">conduct.  </w:t>
      </w:r>
      <w:r w:rsidR="00C548F4">
        <w:t xml:space="preserve">In addition, there should be an explicit defence of </w:t>
      </w:r>
      <w:r w:rsidR="005B036D">
        <w:t>reasonable excuse built in</w:t>
      </w:r>
      <w:r w:rsidR="00C548F4">
        <w:t>to each of the relevant offence provisions</w:t>
      </w:r>
      <w:r w:rsidR="005B036D">
        <w:t>.</w:t>
      </w:r>
    </w:p>
    <w:p w14:paraId="2AED4769" w14:textId="2E283564" w:rsidR="00805279" w:rsidRDefault="006B63D6" w:rsidP="001A71AA">
      <w:pPr>
        <w:pStyle w:val="ListNumber"/>
      </w:pPr>
      <w:r>
        <w:t xml:space="preserve">If ESOs are introduced and control orders are not repealed, offenders in New South Wales could be subject to up to four overlapping post-sentence order regimes.  </w:t>
      </w:r>
      <w:r w:rsidR="002B512D">
        <w:t>The Commission’s Recommendations 2 and 3 o</w:t>
      </w:r>
      <w:r w:rsidR="00805279">
        <w:t xml:space="preserve">ffer ways to eliminate or reduce the overlap at the Commonwealth level.  Steps should also be taken to ensure that offenders are not liable to both Commonwealth and State regimes in relation to the same conduct. </w:t>
      </w:r>
    </w:p>
    <w:p w14:paraId="1D4F363C" w14:textId="46B62386" w:rsidR="00F01935" w:rsidRPr="001A71AA" w:rsidRDefault="00362F4E" w:rsidP="001A71AA">
      <w:pPr>
        <w:pStyle w:val="ListNumber"/>
      </w:pPr>
      <w:r>
        <w:t xml:space="preserve">Finally, the </w:t>
      </w:r>
      <w:r w:rsidR="00215477">
        <w:t xml:space="preserve">Bill would </w:t>
      </w:r>
      <w:r w:rsidR="00CB3587">
        <w:t xml:space="preserve">extend the monitoring warrants currently available in relation to control orders </w:t>
      </w:r>
      <w:r w:rsidR="00083FE7">
        <w:t xml:space="preserve">to ESOs.  </w:t>
      </w:r>
      <w:r w:rsidR="005C023E">
        <w:t xml:space="preserve">These warrants allow people </w:t>
      </w:r>
      <w:r w:rsidR="000F75D8">
        <w:t>who have already been assessed as posing an unaccept</w:t>
      </w:r>
      <w:r w:rsidR="00ED5BC3">
        <w:t>able</w:t>
      </w:r>
      <w:r w:rsidR="000F75D8">
        <w:t xml:space="preserve"> risk to the community </w:t>
      </w:r>
      <w:r w:rsidR="00787518">
        <w:t xml:space="preserve">to be monitored </w:t>
      </w:r>
      <w:r w:rsidR="000F75D8">
        <w:t xml:space="preserve">for the purpose of ensuring that they </w:t>
      </w:r>
      <w:r w:rsidR="00787518">
        <w:t xml:space="preserve">adhere to the conditions of their ESOs and do not engage in </w:t>
      </w:r>
      <w:r w:rsidR="0007549B">
        <w:t>terrorist activity</w:t>
      </w:r>
      <w:r w:rsidR="00ED5BC3">
        <w:t xml:space="preserve"> while the ESO is in force</w:t>
      </w:r>
      <w:r w:rsidR="0007549B">
        <w:t xml:space="preserve">.  However, </w:t>
      </w:r>
      <w:r w:rsidR="00083FE7">
        <w:t xml:space="preserve">the Bill </w:t>
      </w:r>
      <w:r w:rsidR="0007549B">
        <w:t xml:space="preserve">also proposes to </w:t>
      </w:r>
      <w:r w:rsidR="00083FE7">
        <w:t xml:space="preserve">create a new class of warrants that can be sought </w:t>
      </w:r>
      <w:r w:rsidR="0075246F">
        <w:t xml:space="preserve">in relation to people </w:t>
      </w:r>
      <w:r w:rsidR="00FE585A">
        <w:t xml:space="preserve">in custody who could qualify for </w:t>
      </w:r>
      <w:r w:rsidR="0075246F">
        <w:t xml:space="preserve">a </w:t>
      </w:r>
      <w:r w:rsidR="006D6FDD">
        <w:t>post-sentence order (</w:t>
      </w:r>
      <w:r w:rsidR="0075246F">
        <w:t>PSO</w:t>
      </w:r>
      <w:r w:rsidR="006D6FDD">
        <w:t>)</w:t>
      </w:r>
      <w:r w:rsidR="0075246F">
        <w:t xml:space="preserve">.  </w:t>
      </w:r>
      <w:r w:rsidR="00513A04">
        <w:t>These are not people who have been assessed as posing an unacceptable risk to the community.  Nor are they people who are at large in the community</w:t>
      </w:r>
      <w:r w:rsidR="00CE5032">
        <w:t>.</w:t>
      </w:r>
      <w:r w:rsidR="00513A04">
        <w:t xml:space="preserve"> </w:t>
      </w:r>
      <w:r w:rsidR="00CE5032">
        <w:t xml:space="preserve"> </w:t>
      </w:r>
      <w:r w:rsidR="0075246F">
        <w:t xml:space="preserve">The purpose of these warrants is to gather evidence to support a PSO application.  The </w:t>
      </w:r>
      <w:r>
        <w:t xml:space="preserve">Commission </w:t>
      </w:r>
      <w:r w:rsidR="00CE5032">
        <w:t xml:space="preserve">considers that spying on </w:t>
      </w:r>
      <w:r w:rsidR="005E4856">
        <w:t>inmates for this purpose is not justifiable and this new class of warrants should be removed from the Bill.</w:t>
      </w:r>
    </w:p>
    <w:p w14:paraId="69B24308" w14:textId="77777777" w:rsidR="00D03307" w:rsidRDefault="00D03307" w:rsidP="001C04F6">
      <w:pPr>
        <w:pStyle w:val="Heading1"/>
      </w:pPr>
      <w:bookmarkStart w:id="9" w:name="_Toc525894100"/>
      <w:bookmarkStart w:id="10" w:name="_Toc54876146"/>
      <w:r>
        <w:t>Recommendations</w:t>
      </w:r>
      <w:bookmarkEnd w:id="9"/>
      <w:bookmarkEnd w:id="10"/>
    </w:p>
    <w:p w14:paraId="241368C5" w14:textId="6A0C123F" w:rsidR="006A5FBC" w:rsidRDefault="00B012BD" w:rsidP="000D6AE5">
      <w:pPr>
        <w:pStyle w:val="ListNumber"/>
      </w:pPr>
      <w:r>
        <w:t xml:space="preserve">In summary, while the Commission opposes the Bill in its current form, the Commission does support the introduction of an ESO </w:t>
      </w:r>
      <w:r w:rsidR="004D38DB">
        <w:t>regime</w:t>
      </w:r>
      <w:r>
        <w:t xml:space="preserve">, subject to two key provisos.  First, any federal ESO </w:t>
      </w:r>
      <w:r w:rsidR="00AC3EE6">
        <w:t>regime</w:t>
      </w:r>
      <w:r>
        <w:t xml:space="preserve"> should be in the form recommended by the third INSLM, and the </w:t>
      </w:r>
      <w:r w:rsidR="00AC3EE6">
        <w:t xml:space="preserve">regime </w:t>
      </w:r>
      <w:r>
        <w:t xml:space="preserve">proposed by the Bill should be amended in a number of ways that would ensure it remains consistent with Australia’s human </w:t>
      </w:r>
      <w:r>
        <w:lastRenderedPageBreak/>
        <w:t xml:space="preserve">rights obligations. Secondly, </w:t>
      </w:r>
      <w:r w:rsidR="006A5FBC">
        <w:t xml:space="preserve">if an ESO </w:t>
      </w:r>
      <w:r w:rsidR="004D38DB">
        <w:t xml:space="preserve">regime </w:t>
      </w:r>
      <w:r w:rsidR="006A5FBC">
        <w:t xml:space="preserve">is introduced, </w:t>
      </w:r>
      <w:r>
        <w:t xml:space="preserve">the existing control order regime should be repealed. </w:t>
      </w:r>
    </w:p>
    <w:p w14:paraId="76C2872F" w14:textId="17DC46A0" w:rsidR="003423F4" w:rsidRDefault="003423F4" w:rsidP="000D6AE5">
      <w:pPr>
        <w:pStyle w:val="ListNumber"/>
      </w:pPr>
      <w:r>
        <w:t>T</w:t>
      </w:r>
      <w:r w:rsidR="006A5FBC">
        <w:t xml:space="preserve">o </w:t>
      </w:r>
      <w:r w:rsidR="000D6AE5">
        <w:t>that</w:t>
      </w:r>
      <w:r w:rsidR="006A5FBC">
        <w:t xml:space="preserve"> end, t</w:t>
      </w:r>
      <w:r>
        <w:t xml:space="preserve">he </w:t>
      </w:r>
      <w:r w:rsidR="00B75646">
        <w:t>C</w:t>
      </w:r>
      <w:r>
        <w:t xml:space="preserve">ommission </w:t>
      </w:r>
      <w:r w:rsidR="00B75646">
        <w:t xml:space="preserve">makes the following </w:t>
      </w:r>
      <w:r>
        <w:t>recommend</w:t>
      </w:r>
      <w:r w:rsidR="00B75646">
        <w:t>ations.</w:t>
      </w:r>
    </w:p>
    <w:p w14:paraId="624A744B" w14:textId="77777777" w:rsidR="00713BF8" w:rsidRPr="00713BF8" w:rsidRDefault="00713BF8" w:rsidP="00713BF8">
      <w:pPr>
        <w:pStyle w:val="ListNumber"/>
        <w:keepNext/>
        <w:numPr>
          <w:ilvl w:val="0"/>
          <w:numId w:val="0"/>
        </w:numPr>
        <w:ind w:left="1094"/>
        <w:rPr>
          <w:b/>
          <w:bCs/>
        </w:rPr>
      </w:pPr>
      <w:r w:rsidRPr="00713BF8">
        <w:rPr>
          <w:b/>
          <w:bCs/>
        </w:rPr>
        <w:t>Recommendation 1</w:t>
      </w:r>
    </w:p>
    <w:p w14:paraId="5D5C4234" w14:textId="77777777" w:rsidR="00713BF8" w:rsidRDefault="00713BF8" w:rsidP="00713BF8">
      <w:pPr>
        <w:pStyle w:val="ListNumber"/>
        <w:numPr>
          <w:ilvl w:val="0"/>
          <w:numId w:val="0"/>
        </w:numPr>
        <w:ind w:left="1094"/>
      </w:pPr>
      <w:r>
        <w:t>The Commission recommends that the Bill not be passed in its current form.</w:t>
      </w:r>
    </w:p>
    <w:p w14:paraId="3764A061" w14:textId="77777777" w:rsidR="00713BF8" w:rsidRPr="00713BF8" w:rsidRDefault="00713BF8" w:rsidP="00713BF8">
      <w:pPr>
        <w:pStyle w:val="ListNumber"/>
        <w:keepNext/>
        <w:numPr>
          <w:ilvl w:val="0"/>
          <w:numId w:val="0"/>
        </w:numPr>
        <w:ind w:left="1094"/>
        <w:rPr>
          <w:b/>
          <w:bCs/>
        </w:rPr>
      </w:pPr>
      <w:r w:rsidRPr="00713BF8">
        <w:rPr>
          <w:b/>
          <w:bCs/>
        </w:rPr>
        <w:t>Recommendation 2</w:t>
      </w:r>
    </w:p>
    <w:p w14:paraId="2A697AC3" w14:textId="6C09C558" w:rsidR="00713BF8" w:rsidRDefault="00713BF8" w:rsidP="00713BF8">
      <w:pPr>
        <w:pStyle w:val="ListNumber"/>
        <w:numPr>
          <w:ilvl w:val="0"/>
          <w:numId w:val="0"/>
        </w:numPr>
        <w:ind w:left="1094"/>
      </w:pPr>
      <w:r>
        <w:t xml:space="preserve">The Commission recommends that the existing control order regime be repealed and replaced by an extended supervision order </w:t>
      </w:r>
      <w:r w:rsidR="003646E2">
        <w:t>regime</w:t>
      </w:r>
      <w:r>
        <w:t xml:space="preserve"> in the form recommended by the third INSLM.</w:t>
      </w:r>
    </w:p>
    <w:p w14:paraId="2B97564B" w14:textId="77777777" w:rsidR="00713BF8" w:rsidRPr="00713BF8" w:rsidRDefault="00713BF8" w:rsidP="00713BF8">
      <w:pPr>
        <w:pStyle w:val="ListNumber"/>
        <w:keepNext/>
        <w:numPr>
          <w:ilvl w:val="0"/>
          <w:numId w:val="0"/>
        </w:numPr>
        <w:ind w:left="1094"/>
        <w:rPr>
          <w:b/>
          <w:bCs/>
        </w:rPr>
      </w:pPr>
      <w:r w:rsidRPr="00713BF8">
        <w:rPr>
          <w:b/>
          <w:bCs/>
        </w:rPr>
        <w:t>Recommendation 3</w:t>
      </w:r>
    </w:p>
    <w:p w14:paraId="66281375" w14:textId="51710F14" w:rsidR="00F2190E" w:rsidRDefault="00F2190E" w:rsidP="00F2190E">
      <w:pPr>
        <w:pStyle w:val="ListNumber"/>
        <w:numPr>
          <w:ilvl w:val="0"/>
          <w:numId w:val="0"/>
        </w:numPr>
        <w:ind w:left="1094"/>
      </w:pPr>
      <w:r>
        <w:t xml:space="preserve">If </w:t>
      </w:r>
      <w:r w:rsidR="00221A80">
        <w:t>R</w:t>
      </w:r>
      <w:r>
        <w:t>ecommendation 2 is not accepted, the Commission recommends that the existing the control order regime be amended to focus only on orders for preventative purposes, as recommended by the PJCIS in 2016, leaving the extended supervision order regime to apply to post-sentence orders.  This should be done by:</w:t>
      </w:r>
    </w:p>
    <w:p w14:paraId="2A7F6C56" w14:textId="27DCFAE8" w:rsidR="00F2190E" w:rsidRDefault="00F2190E" w:rsidP="00F2190E">
      <w:pPr>
        <w:pStyle w:val="ListNumber"/>
        <w:numPr>
          <w:ilvl w:val="0"/>
          <w:numId w:val="0"/>
        </w:numPr>
        <w:ind w:left="1094"/>
      </w:pPr>
      <w:r>
        <w:t>(a)</w:t>
      </w:r>
      <w:r>
        <w:tab/>
        <w:t>repealing ss 104.2(2)(b) and (d)</w:t>
      </w:r>
      <w:r w:rsidR="00B86C68">
        <w:t xml:space="preserve"> of the Criminal Code</w:t>
      </w:r>
    </w:p>
    <w:p w14:paraId="756BEA3E" w14:textId="752D4DCA" w:rsidR="00F2190E" w:rsidRDefault="00F2190E" w:rsidP="00F2190E">
      <w:pPr>
        <w:pStyle w:val="ListNumber"/>
        <w:numPr>
          <w:ilvl w:val="0"/>
          <w:numId w:val="0"/>
        </w:numPr>
        <w:ind w:left="1094"/>
      </w:pPr>
      <w:r>
        <w:t>(b)</w:t>
      </w:r>
      <w:r>
        <w:tab/>
        <w:t>repealing ss 104.4(1)(c)(ii)</w:t>
      </w:r>
      <w:r w:rsidR="001A44A4">
        <w:t>–</w:t>
      </w:r>
      <w:r>
        <w:t>(v) and (vii)</w:t>
      </w:r>
      <w:r w:rsidR="00B86C68">
        <w:t xml:space="preserve"> of the Criminal Code</w:t>
      </w:r>
    </w:p>
    <w:p w14:paraId="480645E8" w14:textId="79547CEF" w:rsidR="00F2190E" w:rsidRDefault="00F2190E" w:rsidP="00F2190E">
      <w:pPr>
        <w:pStyle w:val="ListNumber"/>
        <w:numPr>
          <w:ilvl w:val="0"/>
          <w:numId w:val="0"/>
        </w:numPr>
        <w:ind w:left="1094"/>
      </w:pPr>
      <w:r>
        <w:t>(c)</w:t>
      </w:r>
      <w:r>
        <w:tab/>
        <w:t xml:space="preserve">making any other necessary consequential amendments. </w:t>
      </w:r>
    </w:p>
    <w:p w14:paraId="7BCBC1A3" w14:textId="77777777" w:rsidR="00927298" w:rsidRPr="006F2A10" w:rsidRDefault="00927298" w:rsidP="00927298">
      <w:pPr>
        <w:pStyle w:val="ListNumber"/>
        <w:keepNext/>
        <w:numPr>
          <w:ilvl w:val="0"/>
          <w:numId w:val="0"/>
        </w:numPr>
        <w:ind w:left="1094"/>
        <w:rPr>
          <w:b/>
          <w:bCs/>
        </w:rPr>
      </w:pPr>
      <w:r w:rsidRPr="006F2A10">
        <w:rPr>
          <w:b/>
          <w:bCs/>
        </w:rPr>
        <w:t xml:space="preserve">Recommendation </w:t>
      </w:r>
      <w:r>
        <w:rPr>
          <w:b/>
          <w:bCs/>
        </w:rPr>
        <w:t>4</w:t>
      </w:r>
    </w:p>
    <w:p w14:paraId="52D08F70" w14:textId="77777777" w:rsidR="00927298" w:rsidRDefault="00927298" w:rsidP="00927298">
      <w:pPr>
        <w:pStyle w:val="ListNumber"/>
        <w:numPr>
          <w:ilvl w:val="0"/>
          <w:numId w:val="0"/>
        </w:numPr>
        <w:ind w:left="1094"/>
      </w:pPr>
      <w:r>
        <w:t>The Commission recommends that the offence in s 119.2 of the Criminal Code (entering, or remaining in, declared areas) be excluded from the definition of ‘terrorist offender’ in proposed s 105A.3(1)(a) of the Criminal Code, with the effect that a person convicted for such an offence is not liable for a post-sentence order.</w:t>
      </w:r>
    </w:p>
    <w:p w14:paraId="1D947E9E" w14:textId="77777777" w:rsidR="00927298" w:rsidRPr="00351A42" w:rsidRDefault="00927298" w:rsidP="00927298">
      <w:pPr>
        <w:pStyle w:val="ListNumber"/>
        <w:keepNext/>
        <w:numPr>
          <w:ilvl w:val="0"/>
          <w:numId w:val="0"/>
        </w:numPr>
        <w:ind w:left="1094"/>
        <w:rPr>
          <w:b/>
          <w:bCs/>
        </w:rPr>
      </w:pPr>
      <w:r w:rsidRPr="00351A42">
        <w:rPr>
          <w:b/>
          <w:bCs/>
        </w:rPr>
        <w:t xml:space="preserve">Recommendation </w:t>
      </w:r>
      <w:r>
        <w:rPr>
          <w:b/>
          <w:bCs/>
        </w:rPr>
        <w:t>5</w:t>
      </w:r>
    </w:p>
    <w:p w14:paraId="64CA3BED" w14:textId="61A9908A" w:rsidR="00927298" w:rsidRDefault="00927298" w:rsidP="00927298">
      <w:pPr>
        <w:pStyle w:val="ListNumber"/>
        <w:numPr>
          <w:ilvl w:val="0"/>
          <w:numId w:val="0"/>
        </w:numPr>
        <w:ind w:left="1094"/>
      </w:pPr>
      <w:r>
        <w:t xml:space="preserve">The Commission recommends that the threshold for making an extended supervision order in proposed s 105A.7A(1)(b) </w:t>
      </w:r>
      <w:r w:rsidR="00B86C68">
        <w:t xml:space="preserve">of the Criminal Code </w:t>
      </w:r>
      <w:r>
        <w:t>be amended to require that the Court be ‘satisfied to a high degree of probability, on the basis of admissible evidence, that the offender poses an unacceptable risk of committing a serious Part 5.3 offence’.</w:t>
      </w:r>
    </w:p>
    <w:p w14:paraId="7089C9D4" w14:textId="77777777" w:rsidR="00B74373" w:rsidRPr="00495B20" w:rsidRDefault="00B74373" w:rsidP="00B74373">
      <w:pPr>
        <w:pStyle w:val="ListNumber"/>
        <w:keepNext/>
        <w:numPr>
          <w:ilvl w:val="0"/>
          <w:numId w:val="0"/>
        </w:numPr>
        <w:ind w:left="1094"/>
        <w:rPr>
          <w:b/>
          <w:bCs/>
        </w:rPr>
      </w:pPr>
      <w:r w:rsidRPr="00495B20">
        <w:rPr>
          <w:b/>
          <w:bCs/>
        </w:rPr>
        <w:t xml:space="preserve">Recommendation </w:t>
      </w:r>
      <w:r>
        <w:rPr>
          <w:b/>
          <w:bCs/>
        </w:rPr>
        <w:t>6</w:t>
      </w:r>
    </w:p>
    <w:p w14:paraId="7110C100" w14:textId="23AD0548" w:rsidR="00B74373" w:rsidRDefault="00B74373" w:rsidP="00B74373">
      <w:pPr>
        <w:pStyle w:val="ListNumber"/>
        <w:numPr>
          <w:ilvl w:val="0"/>
          <w:numId w:val="0"/>
        </w:numPr>
        <w:ind w:left="1094"/>
      </w:pPr>
      <w:r>
        <w:t xml:space="preserve">The Commission recommends that the proposed definition of ‘specified authority’ in s 100.1(1) </w:t>
      </w:r>
      <w:r w:rsidR="00B86C68">
        <w:t xml:space="preserve">of the Criminal Code </w:t>
      </w:r>
      <w:r>
        <w:t>be limited to police officers</w:t>
      </w:r>
      <w:r w:rsidR="00F60EA6">
        <w:t xml:space="preserve"> and</w:t>
      </w:r>
      <w:r>
        <w:t xml:space="preserve"> public authorities responsible for corrections.</w:t>
      </w:r>
    </w:p>
    <w:p w14:paraId="42A8354D" w14:textId="77777777" w:rsidR="00B74373" w:rsidRPr="00F97641" w:rsidRDefault="00B74373" w:rsidP="00B74373">
      <w:pPr>
        <w:pStyle w:val="ListNumber"/>
        <w:keepNext/>
        <w:numPr>
          <w:ilvl w:val="0"/>
          <w:numId w:val="0"/>
        </w:numPr>
        <w:ind w:left="1094"/>
        <w:rPr>
          <w:b/>
          <w:bCs/>
        </w:rPr>
      </w:pPr>
      <w:r w:rsidRPr="00F97641">
        <w:rPr>
          <w:b/>
          <w:bCs/>
        </w:rPr>
        <w:t xml:space="preserve">Recommendation </w:t>
      </w:r>
      <w:r>
        <w:rPr>
          <w:b/>
          <w:bCs/>
        </w:rPr>
        <w:t>7</w:t>
      </w:r>
    </w:p>
    <w:p w14:paraId="427425BC" w14:textId="5401F7D0" w:rsidR="00384478" w:rsidRDefault="00384478" w:rsidP="00384478">
      <w:pPr>
        <w:pStyle w:val="ListNumber"/>
        <w:numPr>
          <w:ilvl w:val="0"/>
          <w:numId w:val="0"/>
        </w:numPr>
        <w:ind w:left="1094"/>
      </w:pPr>
      <w:r>
        <w:t>The Commission recommends that any condition imposed by an extended supervision order or interim supervision order that require</w:t>
      </w:r>
      <w:r w:rsidR="007273EB">
        <w:t>s</w:t>
      </w:r>
      <w:r>
        <w:t xml:space="preserve"> a person to </w:t>
      </w:r>
      <w:r>
        <w:lastRenderedPageBreak/>
        <w:t xml:space="preserve">participate in treatment, rehabilitative or intervention programs or activities, psychological or psychiatric assessment or counselling, interviews or other assessments, be subject to a further condition that a person is only required to participate if they agree, at the time of the relevant activity, to so participate. </w:t>
      </w:r>
    </w:p>
    <w:p w14:paraId="0FBD09BF" w14:textId="77777777" w:rsidR="00B74373" w:rsidRPr="007A78FA" w:rsidRDefault="00B74373" w:rsidP="00B74373">
      <w:pPr>
        <w:pStyle w:val="ListNumber"/>
        <w:keepNext/>
        <w:numPr>
          <w:ilvl w:val="0"/>
          <w:numId w:val="0"/>
        </w:numPr>
        <w:ind w:left="1094"/>
        <w:rPr>
          <w:b/>
          <w:bCs/>
        </w:rPr>
      </w:pPr>
      <w:r w:rsidRPr="007A78FA">
        <w:rPr>
          <w:b/>
          <w:bCs/>
        </w:rPr>
        <w:t xml:space="preserve">Recommendation </w:t>
      </w:r>
      <w:r>
        <w:rPr>
          <w:b/>
          <w:bCs/>
        </w:rPr>
        <w:t>8</w:t>
      </w:r>
    </w:p>
    <w:p w14:paraId="622B965D" w14:textId="4C751C54" w:rsidR="00B74373" w:rsidRPr="00651967" w:rsidRDefault="00B74373" w:rsidP="00B74373">
      <w:pPr>
        <w:pStyle w:val="ListNumber"/>
        <w:numPr>
          <w:ilvl w:val="0"/>
          <w:numId w:val="0"/>
        </w:numPr>
        <w:ind w:left="1094"/>
      </w:pPr>
      <w:r>
        <w:t xml:space="preserve">The Commission recommends that the Bill be amended to prevent the imposition of a condition in an extended supervision order or an interim supervision order that would permit </w:t>
      </w:r>
      <w:r w:rsidR="00F91706">
        <w:t xml:space="preserve">or amount to </w:t>
      </w:r>
      <w:r>
        <w:t xml:space="preserve">home detention. </w:t>
      </w:r>
    </w:p>
    <w:p w14:paraId="70769E79" w14:textId="77777777" w:rsidR="00B74373" w:rsidRPr="006F5D73" w:rsidRDefault="00B74373" w:rsidP="00B74373">
      <w:pPr>
        <w:pStyle w:val="ListNumber"/>
        <w:keepNext/>
        <w:numPr>
          <w:ilvl w:val="0"/>
          <w:numId w:val="0"/>
        </w:numPr>
        <w:ind w:left="1094"/>
        <w:rPr>
          <w:b/>
          <w:bCs/>
        </w:rPr>
      </w:pPr>
      <w:r w:rsidRPr="006F5D73">
        <w:rPr>
          <w:b/>
          <w:bCs/>
        </w:rPr>
        <w:t xml:space="preserve">Recommendation </w:t>
      </w:r>
      <w:r>
        <w:rPr>
          <w:b/>
          <w:bCs/>
        </w:rPr>
        <w:t>9</w:t>
      </w:r>
    </w:p>
    <w:p w14:paraId="11AA69E4" w14:textId="271C9660" w:rsidR="00B74373" w:rsidRDefault="00B74373" w:rsidP="00B74373">
      <w:pPr>
        <w:pStyle w:val="ListNumber"/>
        <w:numPr>
          <w:ilvl w:val="0"/>
          <w:numId w:val="0"/>
        </w:numPr>
        <w:ind w:left="1094"/>
      </w:pPr>
      <w:r>
        <w:t xml:space="preserve">The Commission recommends that the conditions requiring a person to consent to certain monitoring and enforcement activity in proposed </w:t>
      </w:r>
      <w:r>
        <w:rPr>
          <w:lang w:val="en-US"/>
        </w:rPr>
        <w:t>s</w:t>
      </w:r>
      <w:r>
        <w:t>s 104.5A(1)(c)(</w:t>
      </w:r>
      <w:proofErr w:type="spellStart"/>
      <w:r>
        <w:t>i</w:t>
      </w:r>
      <w:proofErr w:type="spellEnd"/>
      <w:r>
        <w:t>), (2)(a) and (5); 105A.7B(5)(g)–(j); and 105A.7E(1)(c)(</w:t>
      </w:r>
      <w:proofErr w:type="spellStart"/>
      <w:r>
        <w:t>i</w:t>
      </w:r>
      <w:proofErr w:type="spellEnd"/>
      <w:r>
        <w:t xml:space="preserve">), (2)(a) and (5) </w:t>
      </w:r>
      <w:r w:rsidR="00860818">
        <w:t xml:space="preserve">of the Criminal Code </w:t>
      </w:r>
      <w:r>
        <w:t>be removed from the Bill on the basis that they are not necessary, given the existing and proposed new monitoring warrants.</w:t>
      </w:r>
    </w:p>
    <w:p w14:paraId="6F84B687" w14:textId="77777777" w:rsidR="00D15892" w:rsidRPr="00D36B3C" w:rsidRDefault="00D15892" w:rsidP="00D15892">
      <w:pPr>
        <w:pStyle w:val="ListNumber"/>
        <w:keepNext/>
        <w:numPr>
          <w:ilvl w:val="0"/>
          <w:numId w:val="0"/>
        </w:numPr>
        <w:ind w:left="1094"/>
        <w:rPr>
          <w:b/>
          <w:bCs/>
        </w:rPr>
      </w:pPr>
      <w:r w:rsidRPr="00D36B3C">
        <w:rPr>
          <w:b/>
          <w:bCs/>
        </w:rPr>
        <w:t xml:space="preserve">Recommendation </w:t>
      </w:r>
      <w:r>
        <w:rPr>
          <w:b/>
          <w:bCs/>
        </w:rPr>
        <w:t>10</w:t>
      </w:r>
    </w:p>
    <w:p w14:paraId="515B3A60" w14:textId="48941DEF" w:rsidR="00D15892" w:rsidRDefault="00D15892" w:rsidP="00D15892">
      <w:pPr>
        <w:pStyle w:val="ListNumber"/>
        <w:numPr>
          <w:ilvl w:val="0"/>
          <w:numId w:val="0"/>
        </w:numPr>
        <w:ind w:left="1094"/>
      </w:pPr>
      <w:r>
        <w:t>The Commission recommends that the Bill be amended to set out the parameters for decision</w:t>
      </w:r>
      <w:r w:rsidR="00893676">
        <w:t xml:space="preserve"> </w:t>
      </w:r>
      <w:r>
        <w:t>making by a specified authority in relation to an application for an exemption under s 105A.7C</w:t>
      </w:r>
      <w:r w:rsidR="00860818" w:rsidRPr="00860818">
        <w:t xml:space="preserve"> </w:t>
      </w:r>
      <w:r w:rsidR="00860818">
        <w:t>of the Criminal Code</w:t>
      </w:r>
      <w:r>
        <w:t>.  This should include:</w:t>
      </w:r>
    </w:p>
    <w:p w14:paraId="33DB4CEB" w14:textId="3C4AD462" w:rsidR="00D15892" w:rsidRDefault="00D15892" w:rsidP="00D15892">
      <w:pPr>
        <w:pStyle w:val="ListNumber"/>
        <w:numPr>
          <w:ilvl w:val="0"/>
          <w:numId w:val="0"/>
        </w:numPr>
        <w:ind w:left="1440" w:hanging="346"/>
      </w:pPr>
      <w:r>
        <w:t>(a)</w:t>
      </w:r>
      <w:r>
        <w:tab/>
        <w:t xml:space="preserve">the considerations that the specified authority </w:t>
      </w:r>
      <w:r w:rsidR="00893676">
        <w:t xml:space="preserve">must </w:t>
      </w:r>
      <w:proofErr w:type="gramStart"/>
      <w:r>
        <w:t>take into account</w:t>
      </w:r>
      <w:proofErr w:type="gramEnd"/>
      <w:r>
        <w:t xml:space="preserve"> in making its decision</w:t>
      </w:r>
    </w:p>
    <w:p w14:paraId="7F229741" w14:textId="77777777" w:rsidR="00D15892" w:rsidRDefault="00D15892" w:rsidP="00D15892">
      <w:pPr>
        <w:pStyle w:val="ListNumber"/>
        <w:numPr>
          <w:ilvl w:val="0"/>
          <w:numId w:val="0"/>
        </w:numPr>
        <w:ind w:left="1094"/>
      </w:pPr>
      <w:r>
        <w:t>(b)</w:t>
      </w:r>
      <w:r>
        <w:tab/>
        <w:t>the timeframe for a decision by the specified authority</w:t>
      </w:r>
    </w:p>
    <w:p w14:paraId="6D11882E" w14:textId="77777777" w:rsidR="00D15892" w:rsidRDefault="00D15892" w:rsidP="00D15892">
      <w:pPr>
        <w:pStyle w:val="ListNumber"/>
        <w:numPr>
          <w:ilvl w:val="0"/>
          <w:numId w:val="0"/>
        </w:numPr>
        <w:ind w:left="1440" w:hanging="346"/>
      </w:pPr>
      <w:r>
        <w:t>(c)</w:t>
      </w:r>
      <w:r>
        <w:tab/>
        <w:t>a requirement that the specified authority provide written reasons for its decision</w:t>
      </w:r>
    </w:p>
    <w:p w14:paraId="54A23862" w14:textId="77777777" w:rsidR="00D15892" w:rsidRDefault="00D15892" w:rsidP="00D15892">
      <w:pPr>
        <w:pStyle w:val="ListNumber"/>
        <w:numPr>
          <w:ilvl w:val="0"/>
          <w:numId w:val="0"/>
        </w:numPr>
        <w:ind w:left="1440" w:hanging="346"/>
      </w:pPr>
      <w:r>
        <w:t>(d)</w:t>
      </w:r>
      <w:r>
        <w:tab/>
        <w:t>clear review rights for an applicant.</w:t>
      </w:r>
    </w:p>
    <w:p w14:paraId="62E4812D" w14:textId="77777777" w:rsidR="00520ABF" w:rsidRPr="00E27E61" w:rsidRDefault="00520ABF" w:rsidP="00520ABF">
      <w:pPr>
        <w:pStyle w:val="ListNumber"/>
        <w:keepNext/>
        <w:numPr>
          <w:ilvl w:val="0"/>
          <w:numId w:val="0"/>
        </w:numPr>
        <w:ind w:left="1094"/>
        <w:rPr>
          <w:b/>
          <w:bCs/>
        </w:rPr>
      </w:pPr>
      <w:r w:rsidRPr="00E27E61">
        <w:rPr>
          <w:b/>
          <w:bCs/>
        </w:rPr>
        <w:t xml:space="preserve">Recommendation </w:t>
      </w:r>
      <w:r>
        <w:rPr>
          <w:b/>
          <w:bCs/>
        </w:rPr>
        <w:t>11</w:t>
      </w:r>
    </w:p>
    <w:p w14:paraId="733C7782" w14:textId="1CC00F6A" w:rsidR="00520ABF" w:rsidRDefault="00520ABF" w:rsidP="00520ABF">
      <w:pPr>
        <w:pStyle w:val="ListNumber"/>
        <w:numPr>
          <w:ilvl w:val="0"/>
          <w:numId w:val="0"/>
        </w:numPr>
        <w:ind w:left="1094"/>
      </w:pPr>
      <w:r>
        <w:t xml:space="preserve">The Commission recommends that proposed ss 105A.7A(2), 105A.9A(5), 105A.9C(2) and 105A.12A(5) of the Criminal Code be amended to ensure that a Court hearing an application for the making or variation of an </w:t>
      </w:r>
      <w:r w:rsidR="002E25DE">
        <w:t>extended supervision order</w:t>
      </w:r>
      <w:r>
        <w:t xml:space="preserve"> or </w:t>
      </w:r>
      <w:r w:rsidR="002E25DE">
        <w:t>interim supervision order</w:t>
      </w:r>
      <w:r>
        <w:t xml:space="preserve">, or conducting a review of an </w:t>
      </w:r>
      <w:r w:rsidR="002E25DE">
        <w:t>extended supervision order</w:t>
      </w:r>
      <w:r>
        <w:t>, is required to take into account the impact of the proposed conditions on the person’s circumstances, including their financial and personal circumstances, for the purpose of determining whether the condition is reasonably necessary and reasonably appropriate and adapted.</w:t>
      </w:r>
    </w:p>
    <w:p w14:paraId="0F542124" w14:textId="77777777" w:rsidR="0021501E" w:rsidRPr="000A260E" w:rsidRDefault="0021501E" w:rsidP="0021501E">
      <w:pPr>
        <w:pStyle w:val="ListNumber"/>
        <w:keepNext/>
        <w:numPr>
          <w:ilvl w:val="0"/>
          <w:numId w:val="0"/>
        </w:numPr>
        <w:ind w:left="1094"/>
        <w:rPr>
          <w:b/>
          <w:bCs/>
        </w:rPr>
      </w:pPr>
      <w:r w:rsidRPr="000A260E">
        <w:rPr>
          <w:b/>
          <w:bCs/>
        </w:rPr>
        <w:t xml:space="preserve">Recommendation </w:t>
      </w:r>
      <w:r>
        <w:rPr>
          <w:b/>
          <w:bCs/>
        </w:rPr>
        <w:t>12</w:t>
      </w:r>
    </w:p>
    <w:p w14:paraId="29881927" w14:textId="77777777" w:rsidR="0021501E" w:rsidRDefault="0021501E" w:rsidP="0021501E">
      <w:pPr>
        <w:pStyle w:val="ListNumber"/>
        <w:numPr>
          <w:ilvl w:val="0"/>
          <w:numId w:val="0"/>
        </w:numPr>
        <w:ind w:left="1094"/>
      </w:pPr>
      <w:r>
        <w:t>The Commission recommends that proposed s 105A.18D of the Criminal Code, dealing with the power of the AFP Minister to direct an offender to be assessed by an expert chosen by the Minister, be removed from the Bill.</w:t>
      </w:r>
    </w:p>
    <w:p w14:paraId="6539B40C" w14:textId="77777777" w:rsidR="0021501E" w:rsidRPr="00BD3346" w:rsidRDefault="0021501E" w:rsidP="0021501E">
      <w:pPr>
        <w:pStyle w:val="ListNumber"/>
        <w:keepNext/>
        <w:numPr>
          <w:ilvl w:val="0"/>
          <w:numId w:val="0"/>
        </w:numPr>
        <w:ind w:left="1094"/>
        <w:rPr>
          <w:b/>
          <w:bCs/>
        </w:rPr>
      </w:pPr>
      <w:r w:rsidRPr="00BD3346">
        <w:rPr>
          <w:b/>
          <w:bCs/>
        </w:rPr>
        <w:lastRenderedPageBreak/>
        <w:t xml:space="preserve">Recommendation </w:t>
      </w:r>
      <w:r>
        <w:rPr>
          <w:b/>
          <w:bCs/>
        </w:rPr>
        <w:t>13</w:t>
      </w:r>
    </w:p>
    <w:p w14:paraId="71BD2A1D" w14:textId="31987C1A" w:rsidR="0021501E" w:rsidRDefault="0021501E" w:rsidP="0021501E">
      <w:pPr>
        <w:pStyle w:val="ListNumber"/>
        <w:numPr>
          <w:ilvl w:val="0"/>
          <w:numId w:val="0"/>
        </w:numPr>
        <w:ind w:left="1094"/>
      </w:pPr>
      <w:r>
        <w:t>If Recommendation 12 is not accepted, the Commission recommends that:</w:t>
      </w:r>
    </w:p>
    <w:p w14:paraId="0105A11C" w14:textId="77777777" w:rsidR="0021501E" w:rsidRDefault="0021501E" w:rsidP="0021501E">
      <w:pPr>
        <w:pStyle w:val="ListNumber"/>
        <w:numPr>
          <w:ilvl w:val="0"/>
          <w:numId w:val="0"/>
        </w:numPr>
        <w:ind w:left="1440" w:hanging="346"/>
      </w:pPr>
      <w:r>
        <w:t>(a)</w:t>
      </w:r>
      <w:r>
        <w:tab/>
        <w:t>proposed s 105A.18D of the Criminal Code be amended to confirm that the offender is not required to attend an assessment with an expert chosen by the AFP Minister; and</w:t>
      </w:r>
    </w:p>
    <w:p w14:paraId="50026B57" w14:textId="77777777" w:rsidR="0021501E" w:rsidRPr="00A60018" w:rsidRDefault="0021501E" w:rsidP="0021501E">
      <w:pPr>
        <w:pStyle w:val="ListNumber"/>
        <w:numPr>
          <w:ilvl w:val="0"/>
          <w:numId w:val="0"/>
        </w:numPr>
        <w:ind w:left="1440" w:hanging="346"/>
      </w:pPr>
      <w:r>
        <w:t>(b)</w:t>
      </w:r>
      <w:r>
        <w:tab/>
        <w:t xml:space="preserve">proposed s 105A.6B of the Criminal Code be amended to remove the requirement for the Court to </w:t>
      </w:r>
      <w:proofErr w:type="gramStart"/>
      <w:r>
        <w:t>take into account</w:t>
      </w:r>
      <w:proofErr w:type="gramEnd"/>
      <w:r>
        <w:t xml:space="preserve"> the level of the offender’s participation in any assessment under s 105A.18D.</w:t>
      </w:r>
    </w:p>
    <w:p w14:paraId="1E2650F6" w14:textId="77777777" w:rsidR="0021501E" w:rsidRPr="00340C67" w:rsidRDefault="0021501E" w:rsidP="0021501E">
      <w:pPr>
        <w:pStyle w:val="ListNumber"/>
        <w:keepNext/>
        <w:numPr>
          <w:ilvl w:val="0"/>
          <w:numId w:val="0"/>
        </w:numPr>
        <w:ind w:left="1094"/>
        <w:rPr>
          <w:b/>
          <w:bCs/>
        </w:rPr>
      </w:pPr>
      <w:r w:rsidRPr="00340C67">
        <w:rPr>
          <w:b/>
          <w:bCs/>
        </w:rPr>
        <w:t xml:space="preserve">Recommendation </w:t>
      </w:r>
      <w:r>
        <w:rPr>
          <w:b/>
          <w:bCs/>
        </w:rPr>
        <w:t>14</w:t>
      </w:r>
    </w:p>
    <w:p w14:paraId="3EFCB227" w14:textId="77777777" w:rsidR="0021501E" w:rsidRDefault="0021501E" w:rsidP="0021501E">
      <w:pPr>
        <w:pStyle w:val="ListNumber"/>
        <w:numPr>
          <w:ilvl w:val="0"/>
          <w:numId w:val="0"/>
        </w:numPr>
        <w:ind w:left="1094"/>
      </w:pPr>
      <w:r>
        <w:t>The Commission recommends that proposed s 105A.6(5A) of the Criminal Code, which would weaken the use immunity provided to individuals required to attend an assessment with a court appointed expert, be removed from the Bill.</w:t>
      </w:r>
    </w:p>
    <w:p w14:paraId="4BC68583" w14:textId="77777777" w:rsidR="0077211B" w:rsidRPr="00D71EE7" w:rsidRDefault="0077211B" w:rsidP="0077211B">
      <w:pPr>
        <w:pStyle w:val="ListNumber"/>
        <w:keepNext/>
        <w:numPr>
          <w:ilvl w:val="0"/>
          <w:numId w:val="0"/>
        </w:numPr>
        <w:ind w:left="1094"/>
        <w:rPr>
          <w:b/>
          <w:bCs/>
        </w:rPr>
      </w:pPr>
      <w:r w:rsidRPr="00D71EE7">
        <w:rPr>
          <w:b/>
          <w:bCs/>
        </w:rPr>
        <w:t xml:space="preserve">Recommendation </w:t>
      </w:r>
      <w:r>
        <w:rPr>
          <w:b/>
          <w:bCs/>
        </w:rPr>
        <w:t>15</w:t>
      </w:r>
    </w:p>
    <w:p w14:paraId="04173E57" w14:textId="77777777" w:rsidR="007040D5" w:rsidRDefault="007040D5" w:rsidP="007040D5">
      <w:pPr>
        <w:pStyle w:val="ListNumber"/>
        <w:numPr>
          <w:ilvl w:val="0"/>
          <w:numId w:val="0"/>
        </w:numPr>
        <w:ind w:left="1094"/>
      </w:pPr>
      <w:r>
        <w:t>The Commission recommends that if s 105A.18D of the Criminal Code, dealing with compulsory attendance at an assessment by an expert chosen by the AFP Minister, is retained in the Bill, then sub-section (5), dealing with the use immunity provided to individuals required to attend an assessment, be removed from the Bill and replaced with a use immunity in the same terms as the current s 105A.6(5A).</w:t>
      </w:r>
    </w:p>
    <w:p w14:paraId="37FBEC68" w14:textId="77777777" w:rsidR="005040D8" w:rsidRPr="00C218CF" w:rsidRDefault="005040D8" w:rsidP="005040D8">
      <w:pPr>
        <w:pStyle w:val="ListNumber"/>
        <w:keepNext/>
        <w:numPr>
          <w:ilvl w:val="0"/>
          <w:numId w:val="0"/>
        </w:numPr>
        <w:ind w:left="1094"/>
        <w:rPr>
          <w:b/>
          <w:bCs/>
        </w:rPr>
      </w:pPr>
      <w:r w:rsidRPr="00C218CF">
        <w:rPr>
          <w:b/>
          <w:bCs/>
        </w:rPr>
        <w:t xml:space="preserve">Recommendation </w:t>
      </w:r>
      <w:r>
        <w:rPr>
          <w:b/>
          <w:bCs/>
        </w:rPr>
        <w:t>16</w:t>
      </w:r>
    </w:p>
    <w:p w14:paraId="56A9324A" w14:textId="77777777" w:rsidR="005040D8" w:rsidRDefault="005040D8" w:rsidP="005040D8">
      <w:pPr>
        <w:pStyle w:val="ListNumber"/>
        <w:numPr>
          <w:ilvl w:val="0"/>
          <w:numId w:val="0"/>
        </w:numPr>
        <w:ind w:left="1094"/>
      </w:pPr>
      <w:r>
        <w:t xml:space="preserve">The Commission recommends that the Bill be amended to remove the ability of the AFP Minister to apply for a variation of an interim supervision order to </w:t>
      </w:r>
      <w:r w:rsidRPr="00A258F5">
        <w:rPr>
          <w:u w:val="single"/>
        </w:rPr>
        <w:t>add</w:t>
      </w:r>
      <w:r>
        <w:t xml:space="preserve"> conditions prior to the hearing of an application for a continuing detention order or an extended supervision order.</w:t>
      </w:r>
    </w:p>
    <w:p w14:paraId="0407B6D2" w14:textId="77777777" w:rsidR="00143F1B" w:rsidRPr="00705A49" w:rsidRDefault="00143F1B" w:rsidP="00143F1B">
      <w:pPr>
        <w:pStyle w:val="ListNumber"/>
        <w:keepNext/>
        <w:numPr>
          <w:ilvl w:val="0"/>
          <w:numId w:val="0"/>
        </w:numPr>
        <w:ind w:left="1094"/>
        <w:rPr>
          <w:b/>
          <w:bCs/>
        </w:rPr>
      </w:pPr>
      <w:r w:rsidRPr="00705A49">
        <w:rPr>
          <w:b/>
          <w:bCs/>
        </w:rPr>
        <w:t xml:space="preserve">Recommendation </w:t>
      </w:r>
      <w:r>
        <w:rPr>
          <w:b/>
          <w:bCs/>
        </w:rPr>
        <w:t>17</w:t>
      </w:r>
    </w:p>
    <w:p w14:paraId="36FD3E60" w14:textId="77777777" w:rsidR="00143F1B" w:rsidRDefault="00143F1B" w:rsidP="00143F1B">
      <w:pPr>
        <w:pStyle w:val="ListNumber"/>
        <w:numPr>
          <w:ilvl w:val="0"/>
          <w:numId w:val="0"/>
        </w:numPr>
        <w:ind w:left="1094"/>
      </w:pPr>
      <w:r>
        <w:t>The Commission recommends that the agency responsible for monitoring compliance with control orders and ESOs should be given discretion to allow them to respond appropriately to different kinds of breaches, including by warning the offender, or deciding not to take action, in relation to minor breaches.</w:t>
      </w:r>
    </w:p>
    <w:p w14:paraId="2C4EC989" w14:textId="77777777" w:rsidR="00143F1B" w:rsidRDefault="00143F1B" w:rsidP="00143F1B">
      <w:pPr>
        <w:pStyle w:val="ListNumber"/>
        <w:keepNext/>
        <w:numPr>
          <w:ilvl w:val="0"/>
          <w:numId w:val="0"/>
        </w:numPr>
        <w:ind w:left="1094"/>
        <w:rPr>
          <w:b/>
          <w:bCs/>
        </w:rPr>
      </w:pPr>
      <w:r>
        <w:rPr>
          <w:b/>
          <w:bCs/>
        </w:rPr>
        <w:t>Recommendation 18</w:t>
      </w:r>
    </w:p>
    <w:p w14:paraId="65964C62" w14:textId="73DCAD68" w:rsidR="00143F1B" w:rsidRDefault="00143F1B" w:rsidP="00143F1B">
      <w:pPr>
        <w:pStyle w:val="ListNumber"/>
        <w:numPr>
          <w:ilvl w:val="0"/>
          <w:numId w:val="0"/>
        </w:numPr>
        <w:ind w:left="1094"/>
      </w:pPr>
      <w:r>
        <w:t>The Commission recommends that the agency responsible for monitoring compliance with control orders and ESOs should publish a policy providing guidance as to how it will exercise the discretion referred to in Recommendation 17.</w:t>
      </w:r>
    </w:p>
    <w:p w14:paraId="51FD2D9B" w14:textId="77777777" w:rsidR="00143F1B" w:rsidRPr="00B65D6E" w:rsidRDefault="00143F1B" w:rsidP="00143F1B">
      <w:pPr>
        <w:pStyle w:val="ListNumber"/>
        <w:keepNext/>
        <w:numPr>
          <w:ilvl w:val="0"/>
          <w:numId w:val="0"/>
        </w:numPr>
        <w:ind w:left="1094"/>
        <w:rPr>
          <w:b/>
          <w:bCs/>
        </w:rPr>
      </w:pPr>
      <w:r w:rsidRPr="00B65D6E">
        <w:rPr>
          <w:b/>
          <w:bCs/>
        </w:rPr>
        <w:t xml:space="preserve">Recommendation </w:t>
      </w:r>
      <w:r>
        <w:rPr>
          <w:b/>
          <w:bCs/>
        </w:rPr>
        <w:t>19</w:t>
      </w:r>
    </w:p>
    <w:p w14:paraId="78CB839F" w14:textId="77777777" w:rsidR="00143F1B" w:rsidRDefault="00143F1B" w:rsidP="00143F1B">
      <w:pPr>
        <w:pStyle w:val="ListNumber"/>
        <w:numPr>
          <w:ilvl w:val="0"/>
          <w:numId w:val="0"/>
        </w:numPr>
        <w:ind w:left="1094"/>
        <w:rPr>
          <w:lang w:val="en-US"/>
        </w:rPr>
      </w:pPr>
      <w:r>
        <w:t>The Commission recommends that the offences of contravening a control order (</w:t>
      </w:r>
      <w:r>
        <w:rPr>
          <w:lang w:val="en-US"/>
        </w:rPr>
        <w:t xml:space="preserve">s 104.27 of the </w:t>
      </w:r>
      <w:r w:rsidRPr="00BB56A4">
        <w:rPr>
          <w:lang w:val="en-US"/>
        </w:rPr>
        <w:t>Criminal Code</w:t>
      </w:r>
      <w:r>
        <w:rPr>
          <w:lang w:val="en-US"/>
        </w:rPr>
        <w:t xml:space="preserve">), </w:t>
      </w:r>
      <w:r>
        <w:t>contravening an ESO (proposed s</w:t>
      </w:r>
      <w:r>
        <w:rPr>
          <w:lang w:val="en-US"/>
        </w:rPr>
        <w:t> 105A.18A)</w:t>
      </w:r>
      <w:r>
        <w:t xml:space="preserve">, and interfering with a monitoring device that a person is required to wear pursuant to </w:t>
      </w:r>
      <w:r>
        <w:lastRenderedPageBreak/>
        <w:t>a control order or an ESO</w:t>
      </w:r>
      <w:r>
        <w:rPr>
          <w:lang w:val="en-US"/>
        </w:rPr>
        <w:t xml:space="preserve"> (proposed ss 104.27A and 105A.18B) be subject to a </w:t>
      </w:r>
      <w:proofErr w:type="spellStart"/>
      <w:r>
        <w:rPr>
          <w:lang w:val="en-US"/>
        </w:rPr>
        <w:t>defence</w:t>
      </w:r>
      <w:proofErr w:type="spellEnd"/>
      <w:r>
        <w:rPr>
          <w:lang w:val="en-US"/>
        </w:rPr>
        <w:t xml:space="preserve"> of reasonable excuse.</w:t>
      </w:r>
    </w:p>
    <w:p w14:paraId="328575AE" w14:textId="77777777" w:rsidR="00143F1B" w:rsidRPr="00844446" w:rsidRDefault="00143F1B" w:rsidP="00143F1B">
      <w:pPr>
        <w:pStyle w:val="ListNumber"/>
        <w:keepNext/>
        <w:numPr>
          <w:ilvl w:val="0"/>
          <w:numId w:val="0"/>
        </w:numPr>
        <w:ind w:left="1094"/>
        <w:rPr>
          <w:b/>
          <w:bCs/>
          <w:lang w:val="en-US"/>
        </w:rPr>
      </w:pPr>
      <w:r w:rsidRPr="00844446">
        <w:rPr>
          <w:b/>
          <w:bCs/>
          <w:lang w:val="en-US"/>
        </w:rPr>
        <w:t xml:space="preserve">Recommendation </w:t>
      </w:r>
      <w:r>
        <w:rPr>
          <w:b/>
          <w:bCs/>
          <w:lang w:val="en-US"/>
        </w:rPr>
        <w:t>20</w:t>
      </w:r>
    </w:p>
    <w:p w14:paraId="4500650F" w14:textId="77777777" w:rsidR="00143F1B" w:rsidRDefault="00143F1B" w:rsidP="00143F1B">
      <w:pPr>
        <w:pStyle w:val="ListNumber"/>
        <w:numPr>
          <w:ilvl w:val="0"/>
          <w:numId w:val="0"/>
        </w:numPr>
        <w:ind w:left="1094"/>
      </w:pPr>
      <w:r>
        <w:t>The Commission recommends that the maximum penalty for the offences of contravening a control order (</w:t>
      </w:r>
      <w:r>
        <w:rPr>
          <w:lang w:val="en-US"/>
        </w:rPr>
        <w:t xml:space="preserve">s 104.27 of the </w:t>
      </w:r>
      <w:r w:rsidRPr="00330E6C">
        <w:rPr>
          <w:lang w:val="en-US"/>
        </w:rPr>
        <w:t>Criminal Code</w:t>
      </w:r>
      <w:r>
        <w:rPr>
          <w:lang w:val="en-US"/>
        </w:rPr>
        <w:t xml:space="preserve">), </w:t>
      </w:r>
      <w:r>
        <w:t>contravening an ESO (proposed s</w:t>
      </w:r>
      <w:r>
        <w:rPr>
          <w:lang w:val="en-US"/>
        </w:rPr>
        <w:t> 105A.18A)</w:t>
      </w:r>
      <w:r>
        <w:t>, and interfering with a monitoring device that a person is required to wear pursuant to a control order or an ESO</w:t>
      </w:r>
      <w:r>
        <w:rPr>
          <w:lang w:val="en-US"/>
        </w:rPr>
        <w:t xml:space="preserve"> (proposed ss 104.27A and 105A.18B) be three years imprisonment.</w:t>
      </w:r>
    </w:p>
    <w:p w14:paraId="228B88AA" w14:textId="77777777" w:rsidR="008D1E80" w:rsidRPr="00CF259B" w:rsidRDefault="008D1E80" w:rsidP="008D1E80">
      <w:pPr>
        <w:pStyle w:val="ListNumber"/>
        <w:keepNext/>
        <w:numPr>
          <w:ilvl w:val="0"/>
          <w:numId w:val="0"/>
        </w:numPr>
        <w:ind w:left="1094"/>
        <w:rPr>
          <w:b/>
          <w:bCs/>
        </w:rPr>
      </w:pPr>
      <w:r w:rsidRPr="00CF259B">
        <w:rPr>
          <w:b/>
          <w:bCs/>
        </w:rPr>
        <w:t xml:space="preserve">Recommendation </w:t>
      </w:r>
      <w:r>
        <w:rPr>
          <w:b/>
          <w:bCs/>
        </w:rPr>
        <w:t>21</w:t>
      </w:r>
    </w:p>
    <w:p w14:paraId="5E06B740" w14:textId="77777777" w:rsidR="008D1E80" w:rsidRDefault="008D1E80" w:rsidP="008D1E80">
      <w:pPr>
        <w:pStyle w:val="ListNumber"/>
        <w:numPr>
          <w:ilvl w:val="0"/>
          <w:numId w:val="0"/>
        </w:numPr>
        <w:ind w:left="1094"/>
      </w:pPr>
      <w:r>
        <w:t>The Commission recommends that the PJCIS seek advice from the Attorney-General’s Department about how to ensure, whether by amendment to the Bill or negotiation through COAG, that a person cannot be made subject to both the Commonwealth PSO regime and a State or Territory PSO regime in relation to the same underlying conduct.</w:t>
      </w:r>
    </w:p>
    <w:p w14:paraId="0EB6CCCE" w14:textId="77777777" w:rsidR="002C48E0" w:rsidRPr="00394054" w:rsidRDefault="002C48E0" w:rsidP="002C48E0">
      <w:pPr>
        <w:pStyle w:val="ListNumber"/>
        <w:keepNext/>
        <w:numPr>
          <w:ilvl w:val="0"/>
          <w:numId w:val="0"/>
        </w:numPr>
        <w:ind w:left="1094"/>
        <w:rPr>
          <w:b/>
          <w:bCs/>
        </w:rPr>
      </w:pPr>
      <w:r w:rsidRPr="00394054">
        <w:rPr>
          <w:b/>
          <w:bCs/>
        </w:rPr>
        <w:t xml:space="preserve">Recommendation </w:t>
      </w:r>
      <w:r>
        <w:rPr>
          <w:b/>
          <w:bCs/>
        </w:rPr>
        <w:t>22</w:t>
      </w:r>
    </w:p>
    <w:p w14:paraId="15DBA4F3" w14:textId="77777777" w:rsidR="002C48E0" w:rsidRDefault="002C48E0" w:rsidP="002C48E0">
      <w:pPr>
        <w:pStyle w:val="ListNumber"/>
        <w:numPr>
          <w:ilvl w:val="0"/>
          <w:numId w:val="0"/>
        </w:numPr>
        <w:ind w:left="1094"/>
      </w:pPr>
      <w:r>
        <w:t xml:space="preserve">The Commission recommends that ss 104.4(3) and 104.24(3) of the Criminal Code, which provide that the Court need not include in a control order an obligation, prohibition or restriction that was sought by the AFP if the Court is not satisfied that that it is necessary or proportionate, not be repealed. </w:t>
      </w:r>
    </w:p>
    <w:p w14:paraId="1EF5804A" w14:textId="77777777" w:rsidR="00991E13" w:rsidRPr="00C44AF5" w:rsidRDefault="00991E13" w:rsidP="00991E13">
      <w:pPr>
        <w:pStyle w:val="ListNumber"/>
        <w:keepNext/>
        <w:numPr>
          <w:ilvl w:val="0"/>
          <w:numId w:val="0"/>
        </w:numPr>
        <w:ind w:left="1094"/>
        <w:rPr>
          <w:b/>
          <w:bCs/>
        </w:rPr>
      </w:pPr>
      <w:r w:rsidRPr="00C44AF5">
        <w:rPr>
          <w:b/>
          <w:bCs/>
        </w:rPr>
        <w:t xml:space="preserve">Recommendation </w:t>
      </w:r>
      <w:r>
        <w:rPr>
          <w:b/>
          <w:bCs/>
        </w:rPr>
        <w:t>23</w:t>
      </w:r>
    </w:p>
    <w:p w14:paraId="4B474D48" w14:textId="60FF0DC3" w:rsidR="00991E13" w:rsidRDefault="00991E13" w:rsidP="00991E13">
      <w:pPr>
        <w:pStyle w:val="ListNumber"/>
        <w:numPr>
          <w:ilvl w:val="0"/>
          <w:numId w:val="0"/>
        </w:numPr>
        <w:ind w:left="1094"/>
      </w:pPr>
      <w:r>
        <w:t xml:space="preserve">The Commission recommends that the provisions in the Bill to amend the </w:t>
      </w:r>
      <w:r w:rsidRPr="00F57B5E">
        <w:rPr>
          <w:i/>
          <w:iCs/>
        </w:rPr>
        <w:t>Telecommunications (Interception and Access) Act 1979</w:t>
      </w:r>
      <w:r>
        <w:t xml:space="preserve"> (</w:t>
      </w:r>
      <w:proofErr w:type="spellStart"/>
      <w:r>
        <w:t>Cth</w:t>
      </w:r>
      <w:proofErr w:type="spellEnd"/>
      <w:r>
        <w:t xml:space="preserve">) and the </w:t>
      </w:r>
      <w:r w:rsidRPr="00F57B5E">
        <w:rPr>
          <w:i/>
          <w:iCs/>
        </w:rPr>
        <w:t>Surveillance Devices Act 2004</w:t>
      </w:r>
      <w:r>
        <w:t xml:space="preserve"> (</w:t>
      </w:r>
      <w:proofErr w:type="spellStart"/>
      <w:r>
        <w:t>Cth</w:t>
      </w:r>
      <w:proofErr w:type="spellEnd"/>
      <w:r>
        <w:t>) to create a new class of warrants for post-sentence order applications be removed.</w:t>
      </w:r>
    </w:p>
    <w:p w14:paraId="096C980E" w14:textId="77777777" w:rsidR="00991E13" w:rsidRPr="00A447A6" w:rsidRDefault="00991E13" w:rsidP="00991E13">
      <w:pPr>
        <w:pStyle w:val="ListNumber"/>
        <w:keepNext/>
        <w:numPr>
          <w:ilvl w:val="0"/>
          <w:numId w:val="0"/>
        </w:numPr>
        <w:ind w:left="1094"/>
        <w:rPr>
          <w:b/>
          <w:bCs/>
        </w:rPr>
      </w:pPr>
      <w:r w:rsidRPr="00A447A6">
        <w:rPr>
          <w:b/>
          <w:bCs/>
        </w:rPr>
        <w:t xml:space="preserve">Recommendation </w:t>
      </w:r>
      <w:r>
        <w:rPr>
          <w:b/>
          <w:bCs/>
        </w:rPr>
        <w:t>24</w:t>
      </w:r>
    </w:p>
    <w:p w14:paraId="2611FCD9" w14:textId="77777777" w:rsidR="00991E13" w:rsidRDefault="00991E13" w:rsidP="00991E13">
      <w:pPr>
        <w:pStyle w:val="ListNumber"/>
        <w:numPr>
          <w:ilvl w:val="0"/>
          <w:numId w:val="0"/>
        </w:numPr>
        <w:ind w:left="1094"/>
      </w:pPr>
      <w:r>
        <w:t xml:space="preserve">If Recommendation 23 is not accepted, the Commission recommends that the provisions proposed to be inserted into ss 46 and 46(A) of the </w:t>
      </w:r>
      <w:r w:rsidRPr="00D92CAB">
        <w:rPr>
          <w:i/>
          <w:iCs/>
        </w:rPr>
        <w:t>Telecommunications (Interception and Access) Act 1979</w:t>
      </w:r>
      <w:r>
        <w:t xml:space="preserve"> (</w:t>
      </w:r>
      <w:proofErr w:type="spellStart"/>
      <w:r>
        <w:t>Cth</w:t>
      </w:r>
      <w:proofErr w:type="spellEnd"/>
      <w:r>
        <w:t xml:space="preserve">), dealing with warrants sought for post-sentence order applications, be amended to require the issuing authority to be satisfied that: </w:t>
      </w:r>
    </w:p>
    <w:p w14:paraId="1B1DC74F" w14:textId="77777777" w:rsidR="00991E13" w:rsidRDefault="00991E13" w:rsidP="00991E13">
      <w:pPr>
        <w:pStyle w:val="ListNumber"/>
        <w:numPr>
          <w:ilvl w:val="0"/>
          <w:numId w:val="0"/>
        </w:numPr>
        <w:ind w:left="1440" w:hanging="346"/>
      </w:pPr>
      <w:r>
        <w:t>(a)</w:t>
      </w:r>
      <w:r>
        <w:tab/>
        <w:t xml:space="preserve">there are reasonable grounds to suspect that there is an </w:t>
      </w:r>
      <w:r w:rsidRPr="005D4F8D">
        <w:rPr>
          <w:u w:val="single"/>
        </w:rPr>
        <w:t>unacceptable</w:t>
      </w:r>
      <w:r>
        <w:t xml:space="preserve"> risk of the person committing a serious Part 5.3 offence (see proposed ss 46(7)(f) and 46A(2</w:t>
      </w:r>
      <w:proofErr w:type="gramStart"/>
      <w:r>
        <w:t>C)(</w:t>
      </w:r>
      <w:proofErr w:type="gramEnd"/>
      <w:r>
        <w:t>f)); and</w:t>
      </w:r>
    </w:p>
    <w:p w14:paraId="6073D732" w14:textId="77777777" w:rsidR="00991E13" w:rsidRDefault="00991E13" w:rsidP="00991E13">
      <w:pPr>
        <w:pStyle w:val="ListNumber"/>
        <w:numPr>
          <w:ilvl w:val="0"/>
          <w:numId w:val="0"/>
        </w:numPr>
        <w:ind w:left="1440" w:hanging="346"/>
      </w:pPr>
      <w:r>
        <w:t>(b)</w:t>
      </w:r>
      <w:r>
        <w:tab/>
        <w:t xml:space="preserve">information that would be likely to be obtained would be likely to </w:t>
      </w:r>
      <w:r w:rsidRPr="008C6802">
        <w:rPr>
          <w:u w:val="single"/>
        </w:rPr>
        <w:t>substantially</w:t>
      </w:r>
      <w:r>
        <w:t xml:space="preserve"> assist in determining whether to apply for the post-sentence order (see proposed ss 46(7)(h) and 46A(2</w:t>
      </w:r>
      <w:proofErr w:type="gramStart"/>
      <w:r>
        <w:t>C)(</w:t>
      </w:r>
      <w:proofErr w:type="gramEnd"/>
      <w:r>
        <w:t>h))</w:t>
      </w:r>
    </w:p>
    <w:p w14:paraId="57138D87" w14:textId="77777777" w:rsidR="00991E13" w:rsidRDefault="00991E13" w:rsidP="00991E13">
      <w:pPr>
        <w:pStyle w:val="ListNumber"/>
        <w:numPr>
          <w:ilvl w:val="0"/>
          <w:numId w:val="0"/>
        </w:numPr>
        <w:ind w:left="1440" w:hanging="346"/>
      </w:pPr>
      <w:r>
        <w:t>and that the issuing authority must have regard to:</w:t>
      </w:r>
    </w:p>
    <w:p w14:paraId="24295141" w14:textId="77777777" w:rsidR="00991E13" w:rsidRDefault="00991E13" w:rsidP="00991E13">
      <w:pPr>
        <w:pStyle w:val="ListNumber"/>
        <w:numPr>
          <w:ilvl w:val="0"/>
          <w:numId w:val="0"/>
        </w:numPr>
        <w:ind w:left="1440" w:hanging="346"/>
      </w:pPr>
      <w:r>
        <w:lastRenderedPageBreak/>
        <w:t>(c)</w:t>
      </w:r>
      <w:r>
        <w:tab/>
        <w:t>whether intercepting communications under the warrant would be the method that is likely to have the least interference with any person’s privacy (see proposed ss 46(8) and 46A(2D)).</w:t>
      </w:r>
    </w:p>
    <w:p w14:paraId="601F02F4" w14:textId="77777777" w:rsidR="00991E13" w:rsidRPr="00A447A6" w:rsidRDefault="00991E13" w:rsidP="00991E13">
      <w:pPr>
        <w:pStyle w:val="ListNumber"/>
        <w:keepNext/>
        <w:numPr>
          <w:ilvl w:val="0"/>
          <w:numId w:val="0"/>
        </w:numPr>
        <w:ind w:left="1094"/>
        <w:rPr>
          <w:b/>
          <w:bCs/>
        </w:rPr>
      </w:pPr>
      <w:r w:rsidRPr="00A447A6">
        <w:rPr>
          <w:b/>
          <w:bCs/>
        </w:rPr>
        <w:t xml:space="preserve">Recommendation </w:t>
      </w:r>
      <w:r>
        <w:rPr>
          <w:b/>
          <w:bCs/>
        </w:rPr>
        <w:t>25</w:t>
      </w:r>
    </w:p>
    <w:p w14:paraId="20C12A67" w14:textId="77777777" w:rsidR="00991E13" w:rsidRDefault="00991E13" w:rsidP="00991E13">
      <w:pPr>
        <w:pStyle w:val="ListNumber"/>
        <w:numPr>
          <w:ilvl w:val="0"/>
          <w:numId w:val="0"/>
        </w:numPr>
        <w:ind w:left="1094"/>
      </w:pPr>
      <w:r>
        <w:t xml:space="preserve">If Recommendation 23 is not accepted, the Commission recommends that the provisions proposed to be inserted into ss 14 and 27A of the </w:t>
      </w:r>
      <w:r w:rsidRPr="00C9735D">
        <w:rPr>
          <w:i/>
          <w:iCs/>
        </w:rPr>
        <w:t>Surveillance Devices</w:t>
      </w:r>
      <w:r>
        <w:t xml:space="preserve"> </w:t>
      </w:r>
      <w:r w:rsidRPr="00D92CAB">
        <w:rPr>
          <w:i/>
          <w:iCs/>
        </w:rPr>
        <w:t xml:space="preserve">Act </w:t>
      </w:r>
      <w:r>
        <w:rPr>
          <w:i/>
          <w:iCs/>
        </w:rPr>
        <w:t xml:space="preserve">2004 </w:t>
      </w:r>
      <w:r>
        <w:t>(</w:t>
      </w:r>
      <w:proofErr w:type="spellStart"/>
      <w:r>
        <w:t>Cth</w:t>
      </w:r>
      <w:proofErr w:type="spellEnd"/>
      <w:r>
        <w:t xml:space="preserve">), dealing with warrants sought for post-sentence order applications, be amended to require the law enforcement officer applying for the warrant to be satisfied that: </w:t>
      </w:r>
    </w:p>
    <w:p w14:paraId="2D846A24" w14:textId="77777777" w:rsidR="00991E13" w:rsidRDefault="00991E13" w:rsidP="00991E13">
      <w:pPr>
        <w:pStyle w:val="ListNumber"/>
        <w:numPr>
          <w:ilvl w:val="0"/>
          <w:numId w:val="0"/>
        </w:numPr>
        <w:ind w:left="1440" w:hanging="346"/>
      </w:pPr>
      <w:r>
        <w:t>(a)</w:t>
      </w:r>
      <w:r>
        <w:tab/>
        <w:t xml:space="preserve">there are reasonable grounds to suspect that there is an </w:t>
      </w:r>
      <w:r w:rsidRPr="005D4F8D">
        <w:rPr>
          <w:u w:val="single"/>
        </w:rPr>
        <w:t>unacceptable</w:t>
      </w:r>
      <w:r>
        <w:t xml:space="preserve"> risk of the person committing a serious Part 5.3 offence (see proposed ss 14(3</w:t>
      </w:r>
      <w:proofErr w:type="gramStart"/>
      <w:r>
        <w:t>BA)(</w:t>
      </w:r>
      <w:proofErr w:type="gramEnd"/>
      <w:r>
        <w:t>c) and 27A(5A)(c)); and</w:t>
      </w:r>
    </w:p>
    <w:p w14:paraId="4BE8ADCF" w14:textId="4709DCD2" w:rsidR="00991E13" w:rsidRDefault="00991E13" w:rsidP="00991E13">
      <w:pPr>
        <w:pStyle w:val="ListNumber"/>
        <w:numPr>
          <w:ilvl w:val="0"/>
          <w:numId w:val="0"/>
        </w:numPr>
        <w:ind w:left="1440" w:hanging="346"/>
      </w:pPr>
      <w:r>
        <w:t>(b)</w:t>
      </w:r>
      <w:r>
        <w:tab/>
        <w:t xml:space="preserve">the use of a surveillance device </w:t>
      </w:r>
      <w:r w:rsidR="002933B8">
        <w:t xml:space="preserve">or access to the data </w:t>
      </w:r>
      <w:r>
        <w:t xml:space="preserve">would be likely to </w:t>
      </w:r>
      <w:r w:rsidRPr="008C6802">
        <w:rPr>
          <w:u w:val="single"/>
        </w:rPr>
        <w:t>substantially</w:t>
      </w:r>
      <w:r>
        <w:t xml:space="preserve"> assist in determining whether to apply for the post-sentence order (see proposed ss 14(3BA)(e) and 27A(5A)(e))</w:t>
      </w:r>
    </w:p>
    <w:p w14:paraId="3860CA06" w14:textId="77777777" w:rsidR="00991E13" w:rsidRPr="00EC3F83" w:rsidRDefault="00991E13" w:rsidP="00991E13">
      <w:pPr>
        <w:pStyle w:val="ListNumber"/>
        <w:numPr>
          <w:ilvl w:val="0"/>
          <w:numId w:val="0"/>
        </w:numPr>
        <w:ind w:left="1094"/>
      </w:pPr>
      <w:r>
        <w:t>a</w:t>
      </w:r>
      <w:r w:rsidRPr="00EC3F83">
        <w:t>nd</w:t>
      </w:r>
      <w:r>
        <w:t>, in addition to the matters in subsection 16(2) or 27</w:t>
      </w:r>
      <w:proofErr w:type="gramStart"/>
      <w:r>
        <w:t>C(</w:t>
      </w:r>
      <w:proofErr w:type="gramEnd"/>
      <w:r>
        <w:t>2),</w:t>
      </w:r>
      <w:r w:rsidRPr="00EC3F83">
        <w:t xml:space="preserve"> the issuing authority must have regard to:</w:t>
      </w:r>
    </w:p>
    <w:p w14:paraId="74330A43" w14:textId="77777777" w:rsidR="00991E13" w:rsidRDefault="00991E13" w:rsidP="00991E13">
      <w:pPr>
        <w:pStyle w:val="ListNumber"/>
        <w:numPr>
          <w:ilvl w:val="0"/>
          <w:numId w:val="0"/>
        </w:numPr>
        <w:ind w:left="1440" w:hanging="346"/>
      </w:pPr>
      <w:r w:rsidRPr="00EC3F83">
        <w:t>(c)</w:t>
      </w:r>
      <w:r w:rsidRPr="00EC3F83">
        <w:tab/>
        <w:t xml:space="preserve">whether </w:t>
      </w:r>
      <w:r>
        <w:t xml:space="preserve">the use of the surveillance device or access to the data in accordance with the warrant would be the means of obtaining the evidence or information sought to be obtained, that is likely to have the </w:t>
      </w:r>
      <w:r w:rsidRPr="00EC3F83">
        <w:t>least interference with any person’s privacy.</w:t>
      </w:r>
    </w:p>
    <w:p w14:paraId="1FC90AE4" w14:textId="75D04C5C" w:rsidR="003423F4" w:rsidRDefault="00B75646" w:rsidP="003423F4">
      <w:pPr>
        <w:pStyle w:val="Heading1"/>
      </w:pPr>
      <w:bookmarkStart w:id="11" w:name="_Toc54876147"/>
      <w:r>
        <w:t>Background</w:t>
      </w:r>
      <w:bookmarkEnd w:id="11"/>
    </w:p>
    <w:p w14:paraId="5871430C" w14:textId="39F80C00" w:rsidR="00F31A96" w:rsidRDefault="00F31A96" w:rsidP="00F31A96">
      <w:pPr>
        <w:pStyle w:val="Heading2"/>
      </w:pPr>
      <w:bookmarkStart w:id="12" w:name="_Toc54876148"/>
      <w:r>
        <w:t>Commonwealth regime</w:t>
      </w:r>
      <w:bookmarkEnd w:id="12"/>
    </w:p>
    <w:p w14:paraId="4856761C" w14:textId="246661F3" w:rsidR="00A7615D" w:rsidRDefault="0018689B" w:rsidP="00B75646">
      <w:pPr>
        <w:pStyle w:val="ListNumber"/>
      </w:pPr>
      <w:r>
        <w:t xml:space="preserve">In 2016, </w:t>
      </w:r>
      <w:r w:rsidR="00DD098C">
        <w:t xml:space="preserve">the continuing detention order (CDO) regime was inserted into </w:t>
      </w:r>
      <w:proofErr w:type="spellStart"/>
      <w:r w:rsidR="00DD098C">
        <w:t>Div</w:t>
      </w:r>
      <w:proofErr w:type="spellEnd"/>
      <w:r w:rsidR="00DD098C">
        <w:t xml:space="preserve"> 105A of Part 5.3 of the Criminal Code</w:t>
      </w:r>
      <w:r w:rsidR="00AE61B2">
        <w:t xml:space="preserve"> by the </w:t>
      </w:r>
      <w:r w:rsidR="00AE61B2" w:rsidRPr="00AE61B2">
        <w:rPr>
          <w:i/>
          <w:iCs/>
        </w:rPr>
        <w:t>Criminal Code Amendment (High Risk Terrorist Offenders) Act 2016</w:t>
      </w:r>
      <w:r w:rsidR="00AE61B2">
        <w:t xml:space="preserve"> (</w:t>
      </w:r>
      <w:proofErr w:type="spellStart"/>
      <w:r w:rsidR="00AE61B2">
        <w:t>Cth</w:t>
      </w:r>
      <w:proofErr w:type="spellEnd"/>
      <w:r w:rsidR="00AE61B2">
        <w:t xml:space="preserve">).  The CDO regime was made subject to a 10-year sunset provision from the date the Act received Royal Assent.  Unless extended, it will expire on </w:t>
      </w:r>
      <w:r w:rsidR="00D8252D">
        <w:t>7</w:t>
      </w:r>
      <w:r w:rsidR="00AE61B2">
        <w:t xml:space="preserve"> December 2026.</w:t>
      </w:r>
    </w:p>
    <w:p w14:paraId="073332C1" w14:textId="2022DF23" w:rsidR="002943EF" w:rsidRDefault="00E82B4A" w:rsidP="002943EF">
      <w:pPr>
        <w:pStyle w:val="ListNumber"/>
      </w:pPr>
      <w:r>
        <w:t xml:space="preserve">At the time that </w:t>
      </w:r>
      <w:r w:rsidR="00F10312">
        <w:t xml:space="preserve">the 2016 Bill was being considered by the PJCIS, the then Attorney-General wrote </w:t>
      </w:r>
      <w:r w:rsidR="002943EF">
        <w:t>to the PJCIS and raised two issues</w:t>
      </w:r>
      <w:r w:rsidR="002358E2">
        <w:t xml:space="preserve"> in relation to the interaction between the proposed </w:t>
      </w:r>
      <w:r w:rsidR="009B0353">
        <w:t>CDO</w:t>
      </w:r>
      <w:r w:rsidR="002358E2">
        <w:t xml:space="preserve"> </w:t>
      </w:r>
      <w:r w:rsidR="005B675B">
        <w:t>regime and the existing control order regime</w:t>
      </w:r>
      <w:r w:rsidR="002943EF">
        <w:t>:</w:t>
      </w:r>
      <w:r w:rsidR="00872AD1">
        <w:t xml:space="preserve"> a jurisdictional issue and an operational issue.</w:t>
      </w:r>
      <w:r w:rsidR="00E80955">
        <w:rPr>
          <w:rStyle w:val="EndnoteReference"/>
        </w:rPr>
        <w:endnoteReference w:id="8"/>
      </w:r>
    </w:p>
    <w:p w14:paraId="3AF59FB8" w14:textId="77777777" w:rsidR="001351EB" w:rsidRDefault="00872AD1" w:rsidP="002943EF">
      <w:pPr>
        <w:pStyle w:val="ListNumber"/>
      </w:pPr>
      <w:r>
        <w:t xml:space="preserve">The jurisdictional issue </w:t>
      </w:r>
      <w:r w:rsidR="001351EB">
        <w:t xml:space="preserve">involved the following propositions: </w:t>
      </w:r>
    </w:p>
    <w:p w14:paraId="1FDE2EBF" w14:textId="21F9BD3D" w:rsidR="00872AD1" w:rsidRDefault="001B763E" w:rsidP="001351EB">
      <w:pPr>
        <w:pStyle w:val="ListNumber"/>
        <w:numPr>
          <w:ilvl w:val="0"/>
          <w:numId w:val="39"/>
        </w:numPr>
      </w:pPr>
      <w:r>
        <w:t xml:space="preserve">continuing detention orders </w:t>
      </w:r>
      <w:r w:rsidR="001351EB">
        <w:t>would only be able to be made by a Supreme Court of a State or Territory</w:t>
      </w:r>
      <w:r w:rsidR="00AA3035">
        <w:rPr>
          <w:rStyle w:val="EndnoteReference"/>
        </w:rPr>
        <w:endnoteReference w:id="9"/>
      </w:r>
    </w:p>
    <w:p w14:paraId="49253FB9" w14:textId="04963AFD" w:rsidR="00512CC7" w:rsidRDefault="00D3135E" w:rsidP="001351EB">
      <w:pPr>
        <w:pStyle w:val="ListNumber"/>
        <w:numPr>
          <w:ilvl w:val="0"/>
          <w:numId w:val="39"/>
        </w:numPr>
      </w:pPr>
      <w:r>
        <w:t xml:space="preserve">the Supreme Court </w:t>
      </w:r>
      <w:r w:rsidR="003833F1">
        <w:t xml:space="preserve">would only be able to make an order if it was satisfied that there was no other less restrictive </w:t>
      </w:r>
      <w:r w:rsidR="00431304">
        <w:t xml:space="preserve">measure that would be effective in </w:t>
      </w:r>
      <w:r w:rsidR="00431304">
        <w:lastRenderedPageBreak/>
        <w:t xml:space="preserve">preventing the unacceptable risk </w:t>
      </w:r>
      <w:r w:rsidR="004B67B1">
        <w:t>posed by the offender</w:t>
      </w:r>
      <w:r w:rsidR="006540BE">
        <w:t xml:space="preserve"> of committing a serious Part 5.3 offence if released into the community</w:t>
      </w:r>
      <w:r w:rsidR="006540BE">
        <w:rPr>
          <w:rStyle w:val="EndnoteReference"/>
        </w:rPr>
        <w:endnoteReference w:id="10"/>
      </w:r>
    </w:p>
    <w:p w14:paraId="5FC8FEA1" w14:textId="2FC98282" w:rsidR="001351EB" w:rsidRDefault="00C377F3" w:rsidP="001351EB">
      <w:pPr>
        <w:pStyle w:val="ListNumber"/>
        <w:numPr>
          <w:ilvl w:val="0"/>
          <w:numId w:val="39"/>
        </w:numPr>
      </w:pPr>
      <w:r>
        <w:t xml:space="preserve">one example of a less restrictive measure is a </w:t>
      </w:r>
      <w:r w:rsidR="001351EB">
        <w:t>control order</w:t>
      </w:r>
      <w:r w:rsidR="002D2FA0">
        <w:rPr>
          <w:rStyle w:val="EndnoteReference"/>
        </w:rPr>
        <w:endnoteReference w:id="11"/>
      </w:r>
      <w:r>
        <w:t xml:space="preserve"> </w:t>
      </w:r>
    </w:p>
    <w:p w14:paraId="1C569707" w14:textId="22713A6B" w:rsidR="00C377F3" w:rsidRDefault="00C377F3" w:rsidP="001351EB">
      <w:pPr>
        <w:pStyle w:val="ListNumber"/>
        <w:numPr>
          <w:ilvl w:val="0"/>
          <w:numId w:val="39"/>
        </w:numPr>
      </w:pPr>
      <w:r>
        <w:t xml:space="preserve">control orders can only be made by </w:t>
      </w:r>
      <w:r w:rsidR="002D2FA0">
        <w:t>the Federal Court or the Federal Circuit Court.</w:t>
      </w:r>
      <w:r w:rsidR="00C44711">
        <w:rPr>
          <w:rStyle w:val="EndnoteReference"/>
        </w:rPr>
        <w:endnoteReference w:id="12"/>
      </w:r>
    </w:p>
    <w:p w14:paraId="32182CB9" w14:textId="38CA22B9" w:rsidR="002620F8" w:rsidRDefault="00B53882" w:rsidP="002620F8">
      <w:pPr>
        <w:pStyle w:val="ListNumber"/>
      </w:pPr>
      <w:r>
        <w:t xml:space="preserve">The </w:t>
      </w:r>
      <w:r w:rsidR="00CD2C8E">
        <w:t xml:space="preserve">key </w:t>
      </w:r>
      <w:r>
        <w:t xml:space="preserve">problem </w:t>
      </w:r>
      <w:r w:rsidR="00CD2C8E">
        <w:t xml:space="preserve">revealed by the jurisdictional issue is that the Court that is considering making a </w:t>
      </w:r>
      <w:r w:rsidR="009B0353">
        <w:t>CDO</w:t>
      </w:r>
      <w:r w:rsidR="00CD2C8E">
        <w:t xml:space="preserve"> </w:t>
      </w:r>
      <w:r w:rsidR="00292BA8">
        <w:t xml:space="preserve">does not also have the power to make a control order if it considers that </w:t>
      </w:r>
      <w:r w:rsidR="00BC099F">
        <w:t>a control order would be more appropriate in the circumstances.</w:t>
      </w:r>
      <w:r w:rsidR="00455842">
        <w:t xml:space="preserve">  This means that a separate application would need to be made by the </w:t>
      </w:r>
      <w:r w:rsidR="00711C90">
        <w:t>Australian Federal Police (</w:t>
      </w:r>
      <w:r w:rsidR="00455842">
        <w:t>AFP</w:t>
      </w:r>
      <w:r w:rsidR="00711C90">
        <w:t>)</w:t>
      </w:r>
      <w:r w:rsidR="00455842">
        <w:t xml:space="preserve"> for an interim control order</w:t>
      </w:r>
      <w:r w:rsidR="006A0E43">
        <w:t>.</w:t>
      </w:r>
    </w:p>
    <w:p w14:paraId="1D7130B2" w14:textId="1B8344B8" w:rsidR="00BC099F" w:rsidRDefault="006A0E43" w:rsidP="002620F8">
      <w:pPr>
        <w:pStyle w:val="ListNumber"/>
      </w:pPr>
      <w:r>
        <w:t xml:space="preserve">The operational issue </w:t>
      </w:r>
      <w:r w:rsidR="003026F1">
        <w:t xml:space="preserve">was said to </w:t>
      </w:r>
      <w:r>
        <w:t>involve the following propositions:</w:t>
      </w:r>
    </w:p>
    <w:p w14:paraId="3806BE58" w14:textId="28382AA7" w:rsidR="006A0E43" w:rsidRDefault="00A15F33" w:rsidP="006A0E43">
      <w:pPr>
        <w:pStyle w:val="ListNumber"/>
        <w:numPr>
          <w:ilvl w:val="0"/>
          <w:numId w:val="39"/>
        </w:numPr>
      </w:pPr>
      <w:r>
        <w:t xml:space="preserve">the control order regime </w:t>
      </w:r>
      <w:r w:rsidR="00304949">
        <w:t>‘</w:t>
      </w:r>
      <w:r>
        <w:t xml:space="preserve">is </w:t>
      </w:r>
      <w:r w:rsidR="00304949">
        <w:t>premised on an assumption that the persons who may pose a terrorist risk are already in the community’</w:t>
      </w:r>
    </w:p>
    <w:p w14:paraId="0DC9024B" w14:textId="2CB94162" w:rsidR="00304949" w:rsidRPr="002620F8" w:rsidRDefault="00D62384" w:rsidP="006A0E43">
      <w:pPr>
        <w:pStyle w:val="ListNumber"/>
        <w:numPr>
          <w:ilvl w:val="0"/>
          <w:numId w:val="39"/>
        </w:numPr>
      </w:pPr>
      <w:r>
        <w:t xml:space="preserve">therefore, it was </w:t>
      </w:r>
      <w:r w:rsidR="00227C97">
        <w:t>‘unclear whether the legislation would support the AFP applying for a control order while a person is serving a sentence of imprisonment, with the conditions of the control order to apply on release’.</w:t>
      </w:r>
      <w:r w:rsidR="00227C97">
        <w:rPr>
          <w:rStyle w:val="EndnoteReference"/>
        </w:rPr>
        <w:endnoteReference w:id="13"/>
      </w:r>
    </w:p>
    <w:p w14:paraId="4AD9CB9A" w14:textId="45D28270" w:rsidR="00DA4869" w:rsidRDefault="00FE1B32" w:rsidP="00B21179">
      <w:pPr>
        <w:pStyle w:val="ListNumber"/>
      </w:pPr>
      <w:r>
        <w:t>In response to a recommendation from the PJCIS,</w:t>
      </w:r>
      <w:r>
        <w:rPr>
          <w:rStyle w:val="EndnoteReference"/>
        </w:rPr>
        <w:endnoteReference w:id="14"/>
      </w:r>
      <w:r>
        <w:t xml:space="preserve"> t</w:t>
      </w:r>
      <w:r w:rsidR="007B377A">
        <w:t xml:space="preserve">he operational issue was clarified </w:t>
      </w:r>
      <w:r w:rsidR="00126BC0">
        <w:t xml:space="preserve">by </w:t>
      </w:r>
      <w:r w:rsidR="00883714">
        <w:t>repealing and replacing s 104.2(5) which now provides, for the avoidance of doubt, tha</w:t>
      </w:r>
      <w:r w:rsidR="005853F3">
        <w:t>t</w:t>
      </w:r>
      <w:r w:rsidR="00883714">
        <w:t xml:space="preserve"> an </w:t>
      </w:r>
      <w:r w:rsidR="0033624F">
        <w:t xml:space="preserve">interim control order can be sought even if a person is detained in custody. </w:t>
      </w:r>
      <w:r w:rsidR="00B52588">
        <w:t xml:space="preserve"> </w:t>
      </w:r>
      <w:r w:rsidR="00C545A9">
        <w:t>In those cases, t</w:t>
      </w:r>
      <w:r w:rsidR="00B52588">
        <w:t xml:space="preserve">he interim control order </w:t>
      </w:r>
      <w:r w:rsidR="00C545A9">
        <w:t>commences when the person is released from custody.</w:t>
      </w:r>
      <w:r w:rsidR="00D80AFB">
        <w:rPr>
          <w:rStyle w:val="EndnoteReference"/>
        </w:rPr>
        <w:endnoteReference w:id="15"/>
      </w:r>
    </w:p>
    <w:p w14:paraId="37FDEE35" w14:textId="78941C3B" w:rsidR="00A7615D" w:rsidRDefault="00D477D2" w:rsidP="00B21179">
      <w:pPr>
        <w:pStyle w:val="ListNumber"/>
      </w:pPr>
      <w:r>
        <w:t xml:space="preserve">Since 2019, control orders have been sought in relation to nine people who had previously been convicted of terrorism offences.  </w:t>
      </w:r>
      <w:r w:rsidR="00C00360">
        <w:t xml:space="preserve">Details of these cases are set out in Annexure A to this submission.  </w:t>
      </w:r>
      <w:r w:rsidR="00F73182">
        <w:t xml:space="preserve">In </w:t>
      </w:r>
      <w:r w:rsidR="00BF2B3F">
        <w:t xml:space="preserve">six </w:t>
      </w:r>
      <w:r>
        <w:t xml:space="preserve">of these cases </w:t>
      </w:r>
      <w:r w:rsidR="000B5E2C">
        <w:t xml:space="preserve">the AFP obtained an interim control order </w:t>
      </w:r>
      <w:r w:rsidR="000B0913">
        <w:t xml:space="preserve">while </w:t>
      </w:r>
      <w:r>
        <w:t xml:space="preserve">the </w:t>
      </w:r>
      <w:r w:rsidR="000B0913">
        <w:t xml:space="preserve">person was still serving a period of imprisonment for a terrorism offence.  </w:t>
      </w:r>
    </w:p>
    <w:p w14:paraId="15EE2FF2" w14:textId="3076A913" w:rsidR="00142A55" w:rsidRDefault="00142A55" w:rsidP="00B21179">
      <w:pPr>
        <w:pStyle w:val="ListNumber"/>
      </w:pPr>
      <w:r>
        <w:t xml:space="preserve">In </w:t>
      </w:r>
      <w:r w:rsidR="00D477D2">
        <w:t xml:space="preserve">the other </w:t>
      </w:r>
      <w:r w:rsidR="00B57D3E">
        <w:t>three</w:t>
      </w:r>
      <w:r>
        <w:t xml:space="preserve"> cases, </w:t>
      </w:r>
      <w:r w:rsidR="00AE4682">
        <w:t xml:space="preserve">the application for an interim control order was made </w:t>
      </w:r>
      <w:r w:rsidR="00B57D3E">
        <w:t xml:space="preserve">shortly </w:t>
      </w:r>
      <w:r w:rsidR="00CD48E1">
        <w:t xml:space="preserve">before </w:t>
      </w:r>
      <w:r w:rsidR="00AE4682">
        <w:t xml:space="preserve">the release of the person from </w:t>
      </w:r>
      <w:r w:rsidR="00384B02">
        <w:t>impri</w:t>
      </w:r>
      <w:r w:rsidR="00C41C15">
        <w:t>s</w:t>
      </w:r>
      <w:r w:rsidR="00384B02">
        <w:t>onment</w:t>
      </w:r>
      <w:r w:rsidR="00AE4682">
        <w:t xml:space="preserve">, </w:t>
      </w:r>
      <w:r w:rsidR="00592205">
        <w:t>but</w:t>
      </w:r>
      <w:r w:rsidR="00CD48E1">
        <w:t xml:space="preserve"> </w:t>
      </w:r>
      <w:r w:rsidR="00AE4682">
        <w:t>with</w:t>
      </w:r>
      <w:r w:rsidR="00CD48E1">
        <w:t>out</w:t>
      </w:r>
      <w:r w:rsidR="00AE4682">
        <w:t xml:space="preserve"> enough time for the Court to hear the proceeding prior to the release of the prisoner.  </w:t>
      </w:r>
      <w:r w:rsidR="00B57D3E">
        <w:t>I</w:t>
      </w:r>
      <w:r w:rsidR="00AE4682">
        <w:t>n the case</w:t>
      </w:r>
      <w:r w:rsidR="000F0BB0">
        <w:t xml:space="preserve">s of each of Mr </w:t>
      </w:r>
      <w:r w:rsidR="00F00558">
        <w:t xml:space="preserve">Paul James </w:t>
      </w:r>
      <w:proofErr w:type="spellStart"/>
      <w:r w:rsidR="00F00558">
        <w:t>Dacre</w:t>
      </w:r>
      <w:proofErr w:type="spellEnd"/>
      <w:r w:rsidR="00105F28">
        <w:t>,</w:t>
      </w:r>
      <w:r w:rsidR="00F00558">
        <w:t xml:space="preserve"> </w:t>
      </w:r>
      <w:r w:rsidR="00AE4682">
        <w:t xml:space="preserve">Mr </w:t>
      </w:r>
      <w:r w:rsidR="001054BB">
        <w:t>Kadir Kaya</w:t>
      </w:r>
      <w:r w:rsidR="00105F28">
        <w:t xml:space="preserve"> and Mr Antoni</w:t>
      </w:r>
      <w:r w:rsidR="00D278E2">
        <w:t xml:space="preserve">no </w:t>
      </w:r>
      <w:proofErr w:type="spellStart"/>
      <w:r w:rsidR="00D278E2">
        <w:t>Alfio</w:t>
      </w:r>
      <w:proofErr w:type="spellEnd"/>
      <w:r w:rsidR="00D278E2">
        <w:t xml:space="preserve"> </w:t>
      </w:r>
      <w:proofErr w:type="spellStart"/>
      <w:r w:rsidR="00D278E2">
        <w:t>Granata</w:t>
      </w:r>
      <w:proofErr w:type="spellEnd"/>
      <w:r w:rsidR="001054BB">
        <w:t xml:space="preserve">, the AFP waited until two days before </w:t>
      </w:r>
      <w:r w:rsidR="00F00558">
        <w:t xml:space="preserve">they were due to be </w:t>
      </w:r>
      <w:r w:rsidR="001054BB">
        <w:t xml:space="preserve">released from </w:t>
      </w:r>
      <w:r w:rsidR="007678E4">
        <w:t>prison before making an application for an interim control order.</w:t>
      </w:r>
      <w:r w:rsidR="00CF7BF4">
        <w:rPr>
          <w:rStyle w:val="EndnoteReference"/>
        </w:rPr>
        <w:endnoteReference w:id="16"/>
      </w:r>
      <w:r w:rsidR="007678E4">
        <w:t xml:space="preserve">  </w:t>
      </w:r>
      <w:r w:rsidR="00093B19">
        <w:t xml:space="preserve">Each of these offenders </w:t>
      </w:r>
      <w:r w:rsidR="000865A4">
        <w:t>was</w:t>
      </w:r>
      <w:r w:rsidR="00093B19">
        <w:t xml:space="preserve"> free, apparently without any restrictions</w:t>
      </w:r>
      <w:r w:rsidR="00E746F7">
        <w:t>,</w:t>
      </w:r>
      <w:r w:rsidR="00093B19">
        <w:t xml:space="preserve"> for almost a week (in the case of Mr </w:t>
      </w:r>
      <w:proofErr w:type="spellStart"/>
      <w:r w:rsidR="00093B19">
        <w:t>Dacre</w:t>
      </w:r>
      <w:proofErr w:type="spellEnd"/>
      <w:r w:rsidR="00093B19">
        <w:t>)</w:t>
      </w:r>
      <w:r w:rsidR="00FF01C6">
        <w:t xml:space="preserve">, almost three weeks (in the case of Mr Kadir Kaya) and </w:t>
      </w:r>
      <w:r w:rsidR="00B505A5">
        <w:t xml:space="preserve">three weeks </w:t>
      </w:r>
      <w:r w:rsidR="00FF01C6">
        <w:t xml:space="preserve">(in the case of Mr </w:t>
      </w:r>
      <w:proofErr w:type="spellStart"/>
      <w:r w:rsidR="00FF01C6">
        <w:t>Granata</w:t>
      </w:r>
      <w:proofErr w:type="spellEnd"/>
      <w:r w:rsidR="00FF01C6">
        <w:t xml:space="preserve">) </w:t>
      </w:r>
      <w:r w:rsidR="0022458E">
        <w:t xml:space="preserve">before the interim control order proceeding could be heard.  </w:t>
      </w:r>
      <w:r w:rsidR="00010C5C">
        <w:t>In each case, t</w:t>
      </w:r>
      <w:r w:rsidR="00E94318">
        <w:t xml:space="preserve">he </w:t>
      </w:r>
      <w:r w:rsidR="00010C5C">
        <w:t xml:space="preserve">interim control </w:t>
      </w:r>
      <w:r w:rsidR="00E94318">
        <w:t>orders were made on the same day as the hearing.</w:t>
      </w:r>
    </w:p>
    <w:p w14:paraId="634D541D" w14:textId="1C5F6D60" w:rsidR="00717482" w:rsidRDefault="002A4412" w:rsidP="00B21179">
      <w:pPr>
        <w:pStyle w:val="ListNumber"/>
      </w:pPr>
      <w:r>
        <w:t>In relation to the jurisdictional issue, t</w:t>
      </w:r>
      <w:r w:rsidR="009158C7">
        <w:t xml:space="preserve">he PJCIS recommended that </w:t>
      </w:r>
      <w:r w:rsidR="008226FD">
        <w:t xml:space="preserve">‘the Government </w:t>
      </w:r>
      <w:r w:rsidR="00A85440">
        <w:t xml:space="preserve">consider whether the existing control order regime could be further improved to most effectively operate alongside the proposed continuing </w:t>
      </w:r>
      <w:r w:rsidR="00A85440">
        <w:lastRenderedPageBreak/>
        <w:t>detention order regime’.</w:t>
      </w:r>
      <w:r w:rsidR="00E27673">
        <w:rPr>
          <w:rStyle w:val="EndnoteReference"/>
        </w:rPr>
        <w:endnoteReference w:id="17"/>
      </w:r>
      <w:r w:rsidR="00327916">
        <w:t xml:space="preserve">  This matter was </w:t>
      </w:r>
      <w:r w:rsidR="005A3E31">
        <w:t xml:space="preserve">also </w:t>
      </w:r>
      <w:r w:rsidR="00327916">
        <w:t xml:space="preserve">referred to the INSLM for consideration. </w:t>
      </w:r>
    </w:p>
    <w:p w14:paraId="69911494" w14:textId="6A7861E2" w:rsidR="006829B4" w:rsidRDefault="00817F39" w:rsidP="00B21179">
      <w:pPr>
        <w:pStyle w:val="ListNumber"/>
      </w:pPr>
      <w:bookmarkStart w:id="13" w:name="_Ref54090699"/>
      <w:r>
        <w:t>The third INSLM, Dr James Renwick CSC SC, recommended that there be a separate ESO regime to operate alongside the CDO regime</w:t>
      </w:r>
      <w:r w:rsidR="00AA5103">
        <w:t xml:space="preserve">.  The INSLM made </w:t>
      </w:r>
      <w:proofErr w:type="gramStart"/>
      <w:r w:rsidR="00AA5103">
        <w:t>a number of</w:t>
      </w:r>
      <w:proofErr w:type="gramEnd"/>
      <w:r w:rsidR="00AA5103">
        <w:t xml:space="preserve"> specific recommendations about how the ESO regime should operate.  In particular, he recommended that:</w:t>
      </w:r>
      <w:bookmarkEnd w:id="13"/>
    </w:p>
    <w:p w14:paraId="666F61ED" w14:textId="727A3F57" w:rsidR="00CB5C64" w:rsidRDefault="00CB5C64" w:rsidP="00CB5C64">
      <w:pPr>
        <w:pStyle w:val="ListNumber"/>
        <w:numPr>
          <w:ilvl w:val="0"/>
          <w:numId w:val="39"/>
        </w:numPr>
      </w:pPr>
      <w:r>
        <w:t>State and Territory Supreme Courts be authorised to make an ESO as an alternative to a CDO on application by the relevant Minister</w:t>
      </w:r>
    </w:p>
    <w:p w14:paraId="5A0CB2C3" w14:textId="0CCFEA12" w:rsidR="00CB5C64" w:rsidRDefault="00CB5C64" w:rsidP="00CB5C64">
      <w:pPr>
        <w:pStyle w:val="ListNumber"/>
        <w:numPr>
          <w:ilvl w:val="0"/>
          <w:numId w:val="39"/>
        </w:numPr>
      </w:pPr>
      <w:r>
        <w:t xml:space="preserve">the </w:t>
      </w:r>
      <w:r w:rsidRPr="004A027F">
        <w:rPr>
          <w:u w:val="single"/>
        </w:rPr>
        <w:t>conditions</w:t>
      </w:r>
      <w:r>
        <w:t xml:space="preserve"> that may be imposed on a person pursuant to an ESO should be the same as the conditions that can currently be imposed on a person pursuant to a control order under s 104.5(3)</w:t>
      </w:r>
    </w:p>
    <w:p w14:paraId="3432D1BC" w14:textId="52E2AE62" w:rsidR="00CB5C64" w:rsidRDefault="00CB5C64" w:rsidP="00CB5C64">
      <w:pPr>
        <w:pStyle w:val="ListNumber"/>
        <w:numPr>
          <w:ilvl w:val="0"/>
          <w:numId w:val="39"/>
        </w:numPr>
      </w:pPr>
      <w:r>
        <w:t xml:space="preserve">the </w:t>
      </w:r>
      <w:r w:rsidRPr="004A027F">
        <w:rPr>
          <w:u w:val="single"/>
        </w:rPr>
        <w:t>threshold</w:t>
      </w:r>
      <w:r>
        <w:t xml:space="preserve"> for making an ESO should be the same as the threshold for making a CDO, namely that the Court is satisfied to a high degree of probability, on the basis of admissible evidence, that the offender poses an unacceptable risk of committing a serious Part 5.3 offence if the offender is released into the community</w:t>
      </w:r>
    </w:p>
    <w:p w14:paraId="1CA4EC8B" w14:textId="10728810" w:rsidR="00CB5C64" w:rsidRDefault="00CB5C64" w:rsidP="008D64BC">
      <w:pPr>
        <w:pStyle w:val="ListNumber"/>
        <w:numPr>
          <w:ilvl w:val="0"/>
          <w:numId w:val="39"/>
        </w:numPr>
      </w:pPr>
      <w:r>
        <w:t>the Court should only make a CDO if satisfied that an ESO would not be effective in preventing the identified risk</w:t>
      </w:r>
    </w:p>
    <w:p w14:paraId="7E1362C4" w14:textId="411F2895" w:rsidR="00CB5C64" w:rsidRDefault="00CB5C64" w:rsidP="008D64BC">
      <w:pPr>
        <w:pStyle w:val="ListNumber"/>
        <w:numPr>
          <w:ilvl w:val="0"/>
          <w:numId w:val="39"/>
        </w:numPr>
      </w:pPr>
      <w:r>
        <w:t xml:space="preserve">the </w:t>
      </w:r>
      <w:r w:rsidRPr="003C1CE0">
        <w:rPr>
          <w:u w:val="single"/>
        </w:rPr>
        <w:t>period</w:t>
      </w:r>
      <w:r>
        <w:t xml:space="preserve"> of any ESO be up to three years at a time</w:t>
      </w:r>
    </w:p>
    <w:p w14:paraId="48C0E3FA" w14:textId="05816085" w:rsidR="00CB5C64" w:rsidRDefault="00CB5C64" w:rsidP="008D64BC">
      <w:pPr>
        <w:pStyle w:val="ListNumber"/>
        <w:numPr>
          <w:ilvl w:val="0"/>
          <w:numId w:val="39"/>
        </w:numPr>
      </w:pPr>
      <w:r>
        <w:t xml:space="preserve">the same controls and </w:t>
      </w:r>
      <w:r w:rsidRPr="006B57BA">
        <w:rPr>
          <w:u w:val="single"/>
        </w:rPr>
        <w:t>monitoring</w:t>
      </w:r>
      <w:r>
        <w:t xml:space="preserve"> regime be available for an ESO as for control orders</w:t>
      </w:r>
    </w:p>
    <w:p w14:paraId="2AF6C184" w14:textId="5D6182D2" w:rsidR="00CB5C64" w:rsidRDefault="00CB5C64" w:rsidP="008D64BC">
      <w:pPr>
        <w:pStyle w:val="ListNumber"/>
        <w:numPr>
          <w:ilvl w:val="0"/>
          <w:numId w:val="39"/>
        </w:numPr>
      </w:pPr>
      <w:r>
        <w:t xml:space="preserve">the Government should consider making the </w:t>
      </w:r>
      <w:r w:rsidRPr="002F6ABA">
        <w:rPr>
          <w:u w:val="single"/>
        </w:rPr>
        <w:t>special advocate</w:t>
      </w:r>
      <w:r>
        <w:t xml:space="preserve"> regime currently available for use in relation to control orders also available for applications under </w:t>
      </w:r>
      <w:proofErr w:type="spellStart"/>
      <w:r>
        <w:t>Div</w:t>
      </w:r>
      <w:proofErr w:type="spellEnd"/>
      <w:r>
        <w:t xml:space="preserve"> 105A.</w:t>
      </w:r>
      <w:r>
        <w:rPr>
          <w:rStyle w:val="EndnoteReference"/>
        </w:rPr>
        <w:endnoteReference w:id="18"/>
      </w:r>
    </w:p>
    <w:p w14:paraId="27501C21" w14:textId="1241B3E4" w:rsidR="00AA5103" w:rsidRDefault="002B58FF" w:rsidP="002B58FF">
      <w:pPr>
        <w:pStyle w:val="ListNumber"/>
      </w:pPr>
      <w:r>
        <w:t xml:space="preserve">The INSLM’s recommendations were supported by the PJCIS </w:t>
      </w:r>
      <w:r w:rsidR="00534726">
        <w:t xml:space="preserve">during its 2018 review of counter-terrorism </w:t>
      </w:r>
      <w:r>
        <w:t>provisions</w:t>
      </w:r>
      <w:r w:rsidR="0026721E">
        <w:t>.</w:t>
      </w:r>
      <w:r>
        <w:rPr>
          <w:rStyle w:val="EndnoteReference"/>
        </w:rPr>
        <w:endnoteReference w:id="19"/>
      </w:r>
      <w:r>
        <w:t xml:space="preserve"> </w:t>
      </w:r>
      <w:r w:rsidR="0026721E">
        <w:t xml:space="preserve"> The Australian </w:t>
      </w:r>
      <w:r>
        <w:t xml:space="preserve">Government </w:t>
      </w:r>
      <w:r w:rsidR="0026721E">
        <w:t xml:space="preserve">also agreed with the INSLM’s recommendations </w:t>
      </w:r>
      <w:r>
        <w:t xml:space="preserve">in </w:t>
      </w:r>
      <w:r w:rsidR="0026721E">
        <w:t xml:space="preserve">its </w:t>
      </w:r>
      <w:r>
        <w:t>response to the report of the PJCIS.</w:t>
      </w:r>
      <w:r>
        <w:rPr>
          <w:rStyle w:val="EndnoteReference"/>
        </w:rPr>
        <w:endnoteReference w:id="20"/>
      </w:r>
    </w:p>
    <w:p w14:paraId="15D19D05" w14:textId="77777777" w:rsidR="00F31A96" w:rsidRDefault="00F31A96" w:rsidP="00F31A96">
      <w:pPr>
        <w:pStyle w:val="Heading2"/>
      </w:pPr>
      <w:bookmarkStart w:id="14" w:name="_Toc54876149"/>
      <w:r>
        <w:t>State and Territory regimes</w:t>
      </w:r>
      <w:bookmarkEnd w:id="14"/>
    </w:p>
    <w:p w14:paraId="25818D87" w14:textId="3B438DBD" w:rsidR="00F31A96" w:rsidRDefault="00F31A96" w:rsidP="00F31A96">
      <w:pPr>
        <w:pStyle w:val="ListNumber"/>
      </w:pPr>
      <w:r>
        <w:t xml:space="preserve">At the </w:t>
      </w:r>
      <w:proofErr w:type="gramStart"/>
      <w:r>
        <w:t>time</w:t>
      </w:r>
      <w:proofErr w:type="gramEnd"/>
      <w:r>
        <w:t xml:space="preserve"> the </w:t>
      </w:r>
      <w:r w:rsidR="00D91FCA" w:rsidRPr="00D91FCA">
        <w:t xml:space="preserve">Criminal Code Amendment (High Risk Terrorist Offenders) </w:t>
      </w:r>
      <w:r w:rsidR="00D91FCA">
        <w:t xml:space="preserve">Bill </w:t>
      </w:r>
      <w:r w:rsidR="00D91FCA" w:rsidRPr="00D91FCA">
        <w:t>2016</w:t>
      </w:r>
      <w:r w:rsidR="00D91FCA">
        <w:t xml:space="preserve"> (</w:t>
      </w:r>
      <w:proofErr w:type="spellStart"/>
      <w:r w:rsidR="00D91FCA">
        <w:t>Cth</w:t>
      </w:r>
      <w:proofErr w:type="spellEnd"/>
      <w:r w:rsidR="00D91FCA">
        <w:t xml:space="preserve">) (HRTO Bill) </w:t>
      </w:r>
      <w:r>
        <w:t>was introduced in 2016, there was a range of post-sentence preventative detention regimes in operation in Australia.  New South Wales and South Australia had regimes that covered both sex offenders and violent offenders.</w:t>
      </w:r>
      <w:r>
        <w:rPr>
          <w:rStyle w:val="EndnoteReference"/>
        </w:rPr>
        <w:endnoteReference w:id="21"/>
      </w:r>
      <w:r>
        <w:t xml:space="preserve">  Queensland, Victoria, Western Australia and the Northern Territory had regimes that covered sex offenders only.</w:t>
      </w:r>
      <w:r>
        <w:rPr>
          <w:rStyle w:val="EndnoteReference"/>
        </w:rPr>
        <w:endnoteReference w:id="22"/>
      </w:r>
      <w:r>
        <w:t xml:space="preserve">  Tasmania and the Australian Capital Territory did not have post-sentence preventative detention regimes, although in Tasmania the Supreme Court had the power to make a ‘dangerous criminal declaration’ which could result in indefinite detention.</w:t>
      </w:r>
      <w:r>
        <w:rPr>
          <w:rStyle w:val="EndnoteReference"/>
        </w:rPr>
        <w:endnoteReference w:id="23"/>
      </w:r>
    </w:p>
    <w:p w14:paraId="761F3D2C" w14:textId="77777777" w:rsidR="00F31A96" w:rsidRDefault="00F31A96" w:rsidP="00F31A96">
      <w:pPr>
        <w:pStyle w:val="ListNumber"/>
      </w:pPr>
      <w:r>
        <w:lastRenderedPageBreak/>
        <w:t>Since 2016, there has been an expansion in State and Territory post-sentence detention regimes, including:</w:t>
      </w:r>
    </w:p>
    <w:p w14:paraId="277AA59D" w14:textId="4D14FC44" w:rsidR="00F31A96" w:rsidRDefault="00F31A96" w:rsidP="00F31A96">
      <w:pPr>
        <w:pStyle w:val="ListNumber"/>
        <w:numPr>
          <w:ilvl w:val="0"/>
          <w:numId w:val="39"/>
        </w:numPr>
      </w:pPr>
      <w:r>
        <w:t xml:space="preserve">the </w:t>
      </w:r>
      <w:r w:rsidRPr="005C52CF">
        <w:rPr>
          <w:i/>
          <w:iCs/>
        </w:rPr>
        <w:t>Terrorism (High Risk Offenders) Act 2017</w:t>
      </w:r>
      <w:r>
        <w:t xml:space="preserve"> (NSW), which introduced a separate regime dealing with people convicted of: being a member of a terrorist organisation under s 310J of the </w:t>
      </w:r>
      <w:r w:rsidRPr="0033540F">
        <w:rPr>
          <w:i/>
          <w:iCs/>
        </w:rPr>
        <w:t>Crimes Act 1900</w:t>
      </w:r>
      <w:r>
        <w:t xml:space="preserve"> (NSW); a serious indictable offence committed in a ‘terrorism context’; or any indictable offence </w:t>
      </w:r>
      <w:r w:rsidR="007A5DC1">
        <w:t xml:space="preserve">by a person who had </w:t>
      </w:r>
      <w:r>
        <w:t>engaged in certain ‘terrorism activity’ at any time</w:t>
      </w:r>
    </w:p>
    <w:p w14:paraId="27304FC7" w14:textId="77777777" w:rsidR="00F31A96" w:rsidRDefault="00F31A96" w:rsidP="00F31A96">
      <w:pPr>
        <w:pStyle w:val="ListNumber"/>
        <w:numPr>
          <w:ilvl w:val="0"/>
          <w:numId w:val="39"/>
        </w:numPr>
      </w:pPr>
      <w:r>
        <w:t xml:space="preserve">the insertion of s 5A into the </w:t>
      </w:r>
      <w:r w:rsidRPr="006175E4">
        <w:rPr>
          <w:i/>
        </w:rPr>
        <w:t>Criminal Law (High Risk Offenders) Act 2015</w:t>
      </w:r>
      <w:r>
        <w:t xml:space="preserve"> (SA) to include ‘terror suspects’ within the scope of the regime</w:t>
      </w:r>
    </w:p>
    <w:p w14:paraId="037153AC" w14:textId="77777777" w:rsidR="00F31A96" w:rsidRDefault="00F31A96" w:rsidP="00F31A96">
      <w:pPr>
        <w:pStyle w:val="ListNumber"/>
        <w:numPr>
          <w:ilvl w:val="0"/>
          <w:numId w:val="39"/>
        </w:numPr>
      </w:pPr>
      <w:r>
        <w:t xml:space="preserve">the </w:t>
      </w:r>
      <w:r w:rsidRPr="00EA0AF1">
        <w:rPr>
          <w:i/>
          <w:iCs/>
        </w:rPr>
        <w:t>Serious Offenders Act 2018</w:t>
      </w:r>
      <w:r>
        <w:t xml:space="preserve"> (Vic), which replaced the previous regime dealing only with sex offences, and now deals with people convicted of a serious sex offence or a serious violence offence</w:t>
      </w:r>
    </w:p>
    <w:p w14:paraId="2DA3A0D0" w14:textId="77777777" w:rsidR="00F31A96" w:rsidRDefault="00F31A96" w:rsidP="00F31A96">
      <w:pPr>
        <w:pStyle w:val="ListNumber"/>
        <w:numPr>
          <w:ilvl w:val="0"/>
          <w:numId w:val="39"/>
        </w:numPr>
      </w:pPr>
      <w:r>
        <w:t xml:space="preserve">the </w:t>
      </w:r>
      <w:proofErr w:type="gramStart"/>
      <w:r w:rsidRPr="00EA0AF1">
        <w:rPr>
          <w:i/>
          <w:iCs/>
        </w:rPr>
        <w:t>High Risk</w:t>
      </w:r>
      <w:proofErr w:type="gramEnd"/>
      <w:r w:rsidRPr="00EA0AF1">
        <w:rPr>
          <w:i/>
          <w:iCs/>
        </w:rPr>
        <w:t xml:space="preserve"> Serious Offenders Act 2020</w:t>
      </w:r>
      <w:r>
        <w:t xml:space="preserve"> (WA), which replaced the previous regime dealing only with sex offences, and now deals with people convicted of a serious sex offence or a serious violence offence</w:t>
      </w:r>
    </w:p>
    <w:p w14:paraId="795D0F4B" w14:textId="6DD23074" w:rsidR="00F31A96" w:rsidRDefault="00F31A96" w:rsidP="00F31A96">
      <w:pPr>
        <w:pStyle w:val="ListNumber"/>
        <w:numPr>
          <w:ilvl w:val="0"/>
          <w:numId w:val="39"/>
        </w:numPr>
      </w:pPr>
      <w:r>
        <w:t>the exposure draft Sentencing Amendment (</w:t>
      </w:r>
      <w:r w:rsidRPr="00C46704">
        <w:t>Dangerous Criminals and High Risk Offenders</w:t>
      </w:r>
      <w:r>
        <w:t>)</w:t>
      </w:r>
      <w:r w:rsidRPr="00C46704">
        <w:t xml:space="preserve"> Bill 2020</w:t>
      </w:r>
      <w:r>
        <w:t xml:space="preserve"> (Tas) which would have amended the existing regime for making a declaration that an offender is a ‘dangerous criminal’ (permitting post-sentence detention) and inserted a new regime for the making of High Risk Orders (which </w:t>
      </w:r>
      <w:r w:rsidR="005F60EA">
        <w:t>would have been</w:t>
      </w:r>
      <w:r>
        <w:t xml:space="preserve"> in the nature of extended supervision orders).  Following feedback on the exposure draft, the Tasmanian Government now proposes to introduce a new standalone Act rather than amending the </w:t>
      </w:r>
      <w:r w:rsidRPr="005B6699">
        <w:rPr>
          <w:i/>
          <w:iCs/>
        </w:rPr>
        <w:t>Sentencing Act 1997</w:t>
      </w:r>
      <w:r>
        <w:t xml:space="preserve"> (Tas).</w:t>
      </w:r>
      <w:r>
        <w:rPr>
          <w:rStyle w:val="EndnoteReference"/>
        </w:rPr>
        <w:endnoteReference w:id="24"/>
      </w:r>
    </w:p>
    <w:p w14:paraId="0220B83F" w14:textId="0DFABC32" w:rsidR="00F31A96" w:rsidRDefault="00F31A96" w:rsidP="00F31A96">
      <w:pPr>
        <w:pStyle w:val="ListNumber"/>
      </w:pPr>
      <w:r>
        <w:t xml:space="preserve">The current position for post-sentence </w:t>
      </w:r>
      <w:r w:rsidR="00837874">
        <w:t>orders</w:t>
      </w:r>
      <w:r>
        <w:t xml:space="preserve"> </w:t>
      </w:r>
      <w:r w:rsidR="001F7082">
        <w:t xml:space="preserve">at the State and Territory level </w:t>
      </w:r>
      <w:r>
        <w:t>is as set out in the following table:</w:t>
      </w:r>
    </w:p>
    <w:tbl>
      <w:tblPr>
        <w:tblStyle w:val="TableGrid"/>
        <w:tblW w:w="0" w:type="auto"/>
        <w:tblInd w:w="1094" w:type="dxa"/>
        <w:tblLook w:val="04A0" w:firstRow="1" w:lastRow="0" w:firstColumn="1" w:lastColumn="0" w:noHBand="0" w:noVBand="1"/>
      </w:tblPr>
      <w:tblGrid>
        <w:gridCol w:w="2020"/>
        <w:gridCol w:w="2114"/>
        <w:gridCol w:w="1923"/>
        <w:gridCol w:w="1909"/>
      </w:tblGrid>
      <w:tr w:rsidR="00F31A96" w:rsidRPr="00BE071E" w14:paraId="26FAC58C" w14:textId="77777777" w:rsidTr="00405CCB">
        <w:trPr>
          <w:cantSplit/>
          <w:tblHeader/>
        </w:trPr>
        <w:tc>
          <w:tcPr>
            <w:tcW w:w="2020" w:type="dxa"/>
            <w:shd w:val="clear" w:color="auto" w:fill="DEEAF6" w:themeFill="accent1" w:themeFillTint="33"/>
          </w:tcPr>
          <w:p w14:paraId="3C48F013" w14:textId="77777777" w:rsidR="00F31A96" w:rsidRPr="00BE071E" w:rsidRDefault="00F31A96" w:rsidP="00405CCB">
            <w:pPr>
              <w:pStyle w:val="ListNumber"/>
              <w:numPr>
                <w:ilvl w:val="0"/>
                <w:numId w:val="0"/>
              </w:numPr>
              <w:rPr>
                <w:b/>
                <w:bCs/>
              </w:rPr>
            </w:pPr>
            <w:r w:rsidRPr="00BE071E">
              <w:rPr>
                <w:b/>
                <w:bCs/>
              </w:rPr>
              <w:t>Jurisdiction</w:t>
            </w:r>
          </w:p>
        </w:tc>
        <w:tc>
          <w:tcPr>
            <w:tcW w:w="2114" w:type="dxa"/>
            <w:shd w:val="clear" w:color="auto" w:fill="DEEAF6" w:themeFill="accent1" w:themeFillTint="33"/>
          </w:tcPr>
          <w:p w14:paraId="552EE2AB" w14:textId="77777777" w:rsidR="00F31A96" w:rsidRPr="00BE071E" w:rsidRDefault="00F31A96" w:rsidP="00405CCB">
            <w:pPr>
              <w:pStyle w:val="ListNumber"/>
              <w:numPr>
                <w:ilvl w:val="0"/>
                <w:numId w:val="0"/>
              </w:numPr>
              <w:rPr>
                <w:b/>
                <w:bCs/>
              </w:rPr>
            </w:pPr>
            <w:r w:rsidRPr="00BE071E">
              <w:rPr>
                <w:b/>
                <w:bCs/>
              </w:rPr>
              <w:t>Offence type</w:t>
            </w:r>
            <w:r>
              <w:rPr>
                <w:b/>
                <w:bCs/>
              </w:rPr>
              <w:t>s</w:t>
            </w:r>
          </w:p>
        </w:tc>
        <w:tc>
          <w:tcPr>
            <w:tcW w:w="1923" w:type="dxa"/>
            <w:shd w:val="clear" w:color="auto" w:fill="DEEAF6" w:themeFill="accent1" w:themeFillTint="33"/>
          </w:tcPr>
          <w:p w14:paraId="02BA9BD5" w14:textId="77777777" w:rsidR="00F31A96" w:rsidRPr="00BE071E" w:rsidRDefault="00F31A96" w:rsidP="00405CCB">
            <w:pPr>
              <w:pStyle w:val="ListNumber"/>
              <w:numPr>
                <w:ilvl w:val="0"/>
                <w:numId w:val="0"/>
              </w:numPr>
              <w:rPr>
                <w:b/>
                <w:bCs/>
              </w:rPr>
            </w:pPr>
            <w:r w:rsidRPr="00BE071E">
              <w:rPr>
                <w:b/>
                <w:bCs/>
              </w:rPr>
              <w:t>CDO</w:t>
            </w:r>
          </w:p>
        </w:tc>
        <w:tc>
          <w:tcPr>
            <w:tcW w:w="1909" w:type="dxa"/>
            <w:shd w:val="clear" w:color="auto" w:fill="DEEAF6" w:themeFill="accent1" w:themeFillTint="33"/>
          </w:tcPr>
          <w:p w14:paraId="4BF8E876" w14:textId="77777777" w:rsidR="00F31A96" w:rsidRPr="00BE071E" w:rsidRDefault="00F31A96" w:rsidP="00405CCB">
            <w:pPr>
              <w:pStyle w:val="ListNumber"/>
              <w:numPr>
                <w:ilvl w:val="0"/>
                <w:numId w:val="0"/>
              </w:numPr>
              <w:rPr>
                <w:b/>
                <w:bCs/>
              </w:rPr>
            </w:pPr>
            <w:r w:rsidRPr="00BE071E">
              <w:rPr>
                <w:b/>
                <w:bCs/>
              </w:rPr>
              <w:t>ESO</w:t>
            </w:r>
          </w:p>
        </w:tc>
      </w:tr>
      <w:tr w:rsidR="00F31A96" w14:paraId="3ACEC880" w14:textId="77777777" w:rsidTr="00405CCB">
        <w:trPr>
          <w:cantSplit/>
        </w:trPr>
        <w:tc>
          <w:tcPr>
            <w:tcW w:w="2020" w:type="dxa"/>
          </w:tcPr>
          <w:p w14:paraId="7D794BB2" w14:textId="77777777" w:rsidR="00F31A96" w:rsidRDefault="00F31A96" w:rsidP="00405CCB">
            <w:pPr>
              <w:pStyle w:val="ListNumber"/>
              <w:numPr>
                <w:ilvl w:val="0"/>
                <w:numId w:val="0"/>
              </w:numPr>
            </w:pPr>
            <w:r>
              <w:t>New South Wales</w:t>
            </w:r>
          </w:p>
        </w:tc>
        <w:tc>
          <w:tcPr>
            <w:tcW w:w="2114" w:type="dxa"/>
          </w:tcPr>
          <w:p w14:paraId="3159E294" w14:textId="77777777" w:rsidR="00F31A96" w:rsidRDefault="00F31A96" w:rsidP="00405CCB">
            <w:pPr>
              <w:pStyle w:val="ListNumber"/>
              <w:numPr>
                <w:ilvl w:val="0"/>
                <w:numId w:val="0"/>
              </w:numPr>
            </w:pPr>
            <w:r>
              <w:t>Terrorism</w:t>
            </w:r>
          </w:p>
          <w:p w14:paraId="6056056E" w14:textId="77777777" w:rsidR="00F31A96" w:rsidRDefault="00F31A96" w:rsidP="00405CCB">
            <w:pPr>
              <w:pStyle w:val="ListNumber"/>
              <w:numPr>
                <w:ilvl w:val="0"/>
                <w:numId w:val="0"/>
              </w:numPr>
            </w:pPr>
            <w:r>
              <w:t>Violent offences</w:t>
            </w:r>
          </w:p>
          <w:p w14:paraId="5F1B399B" w14:textId="77777777" w:rsidR="00F31A96" w:rsidRDefault="00F31A96" w:rsidP="00405CCB">
            <w:pPr>
              <w:pStyle w:val="ListNumber"/>
              <w:numPr>
                <w:ilvl w:val="0"/>
                <w:numId w:val="0"/>
              </w:numPr>
            </w:pPr>
            <w:r>
              <w:t>Sex offences</w:t>
            </w:r>
          </w:p>
        </w:tc>
        <w:tc>
          <w:tcPr>
            <w:tcW w:w="1923" w:type="dxa"/>
          </w:tcPr>
          <w:p w14:paraId="327DD7AF" w14:textId="77777777" w:rsidR="00F31A96" w:rsidRPr="00CD50A4" w:rsidRDefault="00F31A96" w:rsidP="00405CCB">
            <w:pPr>
              <w:pStyle w:val="ListNumber"/>
              <w:numPr>
                <w:ilvl w:val="0"/>
                <w:numId w:val="0"/>
              </w:numPr>
            </w:pPr>
            <w:r w:rsidRPr="00CD50A4">
              <w:rPr>
                <w:color w:val="000000" w:themeColor="text1"/>
              </w:rPr>
              <w:t>Yes</w:t>
            </w:r>
          </w:p>
        </w:tc>
        <w:tc>
          <w:tcPr>
            <w:tcW w:w="1909" w:type="dxa"/>
          </w:tcPr>
          <w:p w14:paraId="20C82F64" w14:textId="77777777" w:rsidR="00F31A96" w:rsidRDefault="00F31A96" w:rsidP="00405CCB">
            <w:pPr>
              <w:pStyle w:val="ListNumber"/>
              <w:numPr>
                <w:ilvl w:val="0"/>
                <w:numId w:val="0"/>
              </w:numPr>
            </w:pPr>
            <w:r w:rsidRPr="00481A72">
              <w:rPr>
                <w:color w:val="000000" w:themeColor="text1"/>
              </w:rPr>
              <w:t>Yes</w:t>
            </w:r>
          </w:p>
        </w:tc>
      </w:tr>
      <w:tr w:rsidR="00F31A96" w14:paraId="28AB1076" w14:textId="77777777" w:rsidTr="00405CCB">
        <w:trPr>
          <w:cantSplit/>
        </w:trPr>
        <w:tc>
          <w:tcPr>
            <w:tcW w:w="2020" w:type="dxa"/>
          </w:tcPr>
          <w:p w14:paraId="29EEA0AE" w14:textId="77777777" w:rsidR="00F31A96" w:rsidRDefault="00F31A96" w:rsidP="00405CCB">
            <w:pPr>
              <w:pStyle w:val="ListNumber"/>
              <w:numPr>
                <w:ilvl w:val="0"/>
                <w:numId w:val="0"/>
              </w:numPr>
            </w:pPr>
            <w:r>
              <w:t>South Australia</w:t>
            </w:r>
          </w:p>
        </w:tc>
        <w:tc>
          <w:tcPr>
            <w:tcW w:w="2114" w:type="dxa"/>
          </w:tcPr>
          <w:p w14:paraId="4297064E" w14:textId="77777777" w:rsidR="00F31A96" w:rsidRDefault="00F31A96" w:rsidP="00405CCB">
            <w:pPr>
              <w:pStyle w:val="ListNumber"/>
              <w:numPr>
                <w:ilvl w:val="0"/>
                <w:numId w:val="0"/>
              </w:numPr>
            </w:pPr>
            <w:r>
              <w:t>Terrorism</w:t>
            </w:r>
          </w:p>
          <w:p w14:paraId="36D9C909" w14:textId="77777777" w:rsidR="00F31A96" w:rsidRDefault="00F31A96" w:rsidP="00405CCB">
            <w:pPr>
              <w:pStyle w:val="ListNumber"/>
              <w:numPr>
                <w:ilvl w:val="0"/>
                <w:numId w:val="0"/>
              </w:numPr>
            </w:pPr>
            <w:r>
              <w:t>Violent offences</w:t>
            </w:r>
          </w:p>
          <w:p w14:paraId="5C022AEB" w14:textId="77777777" w:rsidR="00F31A96" w:rsidRDefault="00F31A96" w:rsidP="00405CCB">
            <w:pPr>
              <w:pStyle w:val="ListNumber"/>
              <w:numPr>
                <w:ilvl w:val="0"/>
                <w:numId w:val="0"/>
              </w:numPr>
            </w:pPr>
            <w:r>
              <w:t>Sex offences</w:t>
            </w:r>
          </w:p>
        </w:tc>
        <w:tc>
          <w:tcPr>
            <w:tcW w:w="1923" w:type="dxa"/>
          </w:tcPr>
          <w:p w14:paraId="5A35729B" w14:textId="77777777" w:rsidR="00F31A96" w:rsidRDefault="00F31A96" w:rsidP="00405CCB">
            <w:pPr>
              <w:pStyle w:val="ListNumber"/>
              <w:numPr>
                <w:ilvl w:val="0"/>
                <w:numId w:val="0"/>
              </w:numPr>
            </w:pPr>
            <w:r w:rsidRPr="00084012">
              <w:rPr>
                <w:color w:val="000000" w:themeColor="text1"/>
              </w:rPr>
              <w:t>Yes</w:t>
            </w:r>
          </w:p>
        </w:tc>
        <w:tc>
          <w:tcPr>
            <w:tcW w:w="1909" w:type="dxa"/>
          </w:tcPr>
          <w:p w14:paraId="4F7A7A1A" w14:textId="77777777" w:rsidR="00F31A96" w:rsidRDefault="00F31A96" w:rsidP="00405CCB">
            <w:pPr>
              <w:pStyle w:val="ListNumber"/>
              <w:numPr>
                <w:ilvl w:val="0"/>
                <w:numId w:val="0"/>
              </w:numPr>
            </w:pPr>
            <w:r w:rsidRPr="00084012">
              <w:rPr>
                <w:color w:val="000000" w:themeColor="text1"/>
              </w:rPr>
              <w:t>Yes</w:t>
            </w:r>
          </w:p>
        </w:tc>
      </w:tr>
      <w:tr w:rsidR="00F31A96" w14:paraId="7F9BC6AC" w14:textId="77777777" w:rsidTr="00405CCB">
        <w:trPr>
          <w:cantSplit/>
        </w:trPr>
        <w:tc>
          <w:tcPr>
            <w:tcW w:w="2020" w:type="dxa"/>
          </w:tcPr>
          <w:p w14:paraId="45A3509D" w14:textId="77777777" w:rsidR="00F31A96" w:rsidRDefault="00F31A96" w:rsidP="00405CCB">
            <w:pPr>
              <w:pStyle w:val="ListNumber"/>
              <w:numPr>
                <w:ilvl w:val="0"/>
                <w:numId w:val="0"/>
              </w:numPr>
            </w:pPr>
            <w:r>
              <w:t>Victoria</w:t>
            </w:r>
          </w:p>
        </w:tc>
        <w:tc>
          <w:tcPr>
            <w:tcW w:w="2114" w:type="dxa"/>
          </w:tcPr>
          <w:p w14:paraId="25587765" w14:textId="77777777" w:rsidR="00F31A96" w:rsidRDefault="00F31A96" w:rsidP="00405CCB">
            <w:pPr>
              <w:pStyle w:val="ListNumber"/>
              <w:numPr>
                <w:ilvl w:val="0"/>
                <w:numId w:val="0"/>
              </w:numPr>
            </w:pPr>
            <w:r>
              <w:t>Violent offences</w:t>
            </w:r>
          </w:p>
          <w:p w14:paraId="4DE927CC" w14:textId="77777777" w:rsidR="00F31A96" w:rsidRDefault="00F31A96" w:rsidP="00405CCB">
            <w:pPr>
              <w:pStyle w:val="ListNumber"/>
              <w:numPr>
                <w:ilvl w:val="0"/>
                <w:numId w:val="0"/>
              </w:numPr>
            </w:pPr>
            <w:r>
              <w:t>Sex offences</w:t>
            </w:r>
          </w:p>
        </w:tc>
        <w:tc>
          <w:tcPr>
            <w:tcW w:w="1923" w:type="dxa"/>
          </w:tcPr>
          <w:p w14:paraId="04A8893E" w14:textId="77777777" w:rsidR="00F31A96" w:rsidRDefault="00F31A96" w:rsidP="00405CCB">
            <w:pPr>
              <w:pStyle w:val="ListNumber"/>
              <w:numPr>
                <w:ilvl w:val="0"/>
                <w:numId w:val="0"/>
              </w:numPr>
            </w:pPr>
            <w:r w:rsidRPr="00084012">
              <w:rPr>
                <w:color w:val="000000" w:themeColor="text1"/>
              </w:rPr>
              <w:t>Yes</w:t>
            </w:r>
          </w:p>
        </w:tc>
        <w:tc>
          <w:tcPr>
            <w:tcW w:w="1909" w:type="dxa"/>
          </w:tcPr>
          <w:p w14:paraId="50A5B19D" w14:textId="77777777" w:rsidR="00F31A96" w:rsidRDefault="00F31A96" w:rsidP="00405CCB">
            <w:pPr>
              <w:pStyle w:val="ListNumber"/>
              <w:numPr>
                <w:ilvl w:val="0"/>
                <w:numId w:val="0"/>
              </w:numPr>
            </w:pPr>
            <w:r w:rsidRPr="00084012">
              <w:rPr>
                <w:color w:val="000000" w:themeColor="text1"/>
              </w:rPr>
              <w:t>Yes</w:t>
            </w:r>
          </w:p>
        </w:tc>
      </w:tr>
      <w:tr w:rsidR="00F31A96" w14:paraId="1F224D9E" w14:textId="77777777" w:rsidTr="00405CCB">
        <w:trPr>
          <w:cantSplit/>
        </w:trPr>
        <w:tc>
          <w:tcPr>
            <w:tcW w:w="2020" w:type="dxa"/>
          </w:tcPr>
          <w:p w14:paraId="1621B13E" w14:textId="77777777" w:rsidR="00F31A96" w:rsidRDefault="00F31A96" w:rsidP="00405CCB">
            <w:pPr>
              <w:pStyle w:val="ListNumber"/>
              <w:numPr>
                <w:ilvl w:val="0"/>
                <w:numId w:val="0"/>
              </w:numPr>
            </w:pPr>
            <w:r>
              <w:lastRenderedPageBreak/>
              <w:t>Western Australia</w:t>
            </w:r>
          </w:p>
        </w:tc>
        <w:tc>
          <w:tcPr>
            <w:tcW w:w="2114" w:type="dxa"/>
          </w:tcPr>
          <w:p w14:paraId="25995BA3" w14:textId="77777777" w:rsidR="00F31A96" w:rsidRDefault="00F31A96" w:rsidP="00405CCB">
            <w:pPr>
              <w:pStyle w:val="ListNumber"/>
              <w:numPr>
                <w:ilvl w:val="0"/>
                <w:numId w:val="0"/>
              </w:numPr>
            </w:pPr>
            <w:r>
              <w:t>Violent offences</w:t>
            </w:r>
          </w:p>
          <w:p w14:paraId="075D33F7" w14:textId="77777777" w:rsidR="00F31A96" w:rsidRDefault="00F31A96" w:rsidP="00405CCB">
            <w:pPr>
              <w:pStyle w:val="ListNumber"/>
              <w:numPr>
                <w:ilvl w:val="0"/>
                <w:numId w:val="0"/>
              </w:numPr>
            </w:pPr>
            <w:r>
              <w:t>Sex offences</w:t>
            </w:r>
          </w:p>
        </w:tc>
        <w:tc>
          <w:tcPr>
            <w:tcW w:w="1923" w:type="dxa"/>
          </w:tcPr>
          <w:p w14:paraId="1D9F439A" w14:textId="77777777" w:rsidR="00F31A96" w:rsidRDefault="00F31A96" w:rsidP="00405CCB">
            <w:pPr>
              <w:pStyle w:val="ListNumber"/>
              <w:numPr>
                <w:ilvl w:val="0"/>
                <w:numId w:val="0"/>
              </w:numPr>
            </w:pPr>
            <w:r w:rsidRPr="00084012">
              <w:rPr>
                <w:color w:val="000000" w:themeColor="text1"/>
              </w:rPr>
              <w:t>Yes</w:t>
            </w:r>
          </w:p>
        </w:tc>
        <w:tc>
          <w:tcPr>
            <w:tcW w:w="1909" w:type="dxa"/>
          </w:tcPr>
          <w:p w14:paraId="01F13F9E" w14:textId="77777777" w:rsidR="00F31A96" w:rsidRDefault="00F31A96" w:rsidP="00405CCB">
            <w:pPr>
              <w:pStyle w:val="ListNumber"/>
              <w:numPr>
                <w:ilvl w:val="0"/>
                <w:numId w:val="0"/>
              </w:numPr>
            </w:pPr>
            <w:r w:rsidRPr="00084012">
              <w:rPr>
                <w:color w:val="000000" w:themeColor="text1"/>
              </w:rPr>
              <w:t>Yes</w:t>
            </w:r>
          </w:p>
        </w:tc>
      </w:tr>
      <w:tr w:rsidR="00F31A96" w14:paraId="1811EBC4" w14:textId="77777777" w:rsidTr="00405CCB">
        <w:trPr>
          <w:cantSplit/>
        </w:trPr>
        <w:tc>
          <w:tcPr>
            <w:tcW w:w="2020" w:type="dxa"/>
          </w:tcPr>
          <w:p w14:paraId="0208693E" w14:textId="77777777" w:rsidR="00F31A96" w:rsidRDefault="00F31A96" w:rsidP="00405CCB">
            <w:pPr>
              <w:pStyle w:val="ListNumber"/>
              <w:numPr>
                <w:ilvl w:val="0"/>
                <w:numId w:val="0"/>
              </w:numPr>
            </w:pPr>
            <w:r>
              <w:t>Queensland</w:t>
            </w:r>
          </w:p>
        </w:tc>
        <w:tc>
          <w:tcPr>
            <w:tcW w:w="2114" w:type="dxa"/>
          </w:tcPr>
          <w:p w14:paraId="17BA148A" w14:textId="77777777" w:rsidR="00F31A96" w:rsidRDefault="00F31A96" w:rsidP="00405CCB">
            <w:pPr>
              <w:pStyle w:val="ListNumber"/>
              <w:numPr>
                <w:ilvl w:val="0"/>
                <w:numId w:val="0"/>
              </w:numPr>
            </w:pPr>
            <w:r w:rsidRPr="00567DE3">
              <w:t>Sex offences</w:t>
            </w:r>
          </w:p>
        </w:tc>
        <w:tc>
          <w:tcPr>
            <w:tcW w:w="1923" w:type="dxa"/>
          </w:tcPr>
          <w:p w14:paraId="58B2C1A2" w14:textId="77777777" w:rsidR="00F31A96" w:rsidRDefault="00F31A96" w:rsidP="00405CCB">
            <w:pPr>
              <w:pStyle w:val="ListNumber"/>
              <w:numPr>
                <w:ilvl w:val="0"/>
                <w:numId w:val="0"/>
              </w:numPr>
            </w:pPr>
            <w:r w:rsidRPr="00084012">
              <w:rPr>
                <w:color w:val="000000" w:themeColor="text1"/>
              </w:rPr>
              <w:t>Yes</w:t>
            </w:r>
          </w:p>
        </w:tc>
        <w:tc>
          <w:tcPr>
            <w:tcW w:w="1909" w:type="dxa"/>
          </w:tcPr>
          <w:p w14:paraId="5CBB49FA" w14:textId="77777777" w:rsidR="00F31A96" w:rsidRDefault="00F31A96" w:rsidP="00405CCB">
            <w:pPr>
              <w:pStyle w:val="ListNumber"/>
              <w:numPr>
                <w:ilvl w:val="0"/>
                <w:numId w:val="0"/>
              </w:numPr>
            </w:pPr>
            <w:r w:rsidRPr="00084012">
              <w:rPr>
                <w:color w:val="000000" w:themeColor="text1"/>
              </w:rPr>
              <w:t>Yes</w:t>
            </w:r>
          </w:p>
        </w:tc>
      </w:tr>
      <w:tr w:rsidR="00F31A96" w14:paraId="51EE7028" w14:textId="77777777" w:rsidTr="00405CCB">
        <w:trPr>
          <w:cantSplit/>
        </w:trPr>
        <w:tc>
          <w:tcPr>
            <w:tcW w:w="2020" w:type="dxa"/>
          </w:tcPr>
          <w:p w14:paraId="028E7FEB" w14:textId="77777777" w:rsidR="00F31A96" w:rsidRDefault="00F31A96" w:rsidP="00405CCB">
            <w:pPr>
              <w:pStyle w:val="ListNumber"/>
              <w:numPr>
                <w:ilvl w:val="0"/>
                <w:numId w:val="0"/>
              </w:numPr>
            </w:pPr>
            <w:r>
              <w:t>Northern Territory</w:t>
            </w:r>
          </w:p>
        </w:tc>
        <w:tc>
          <w:tcPr>
            <w:tcW w:w="2114" w:type="dxa"/>
          </w:tcPr>
          <w:p w14:paraId="2FCE1950" w14:textId="77777777" w:rsidR="00F31A96" w:rsidRDefault="00F31A96" w:rsidP="00405CCB">
            <w:pPr>
              <w:pStyle w:val="ListNumber"/>
              <w:numPr>
                <w:ilvl w:val="0"/>
                <w:numId w:val="0"/>
              </w:numPr>
            </w:pPr>
            <w:r w:rsidRPr="00567DE3">
              <w:t>Sex offences</w:t>
            </w:r>
          </w:p>
        </w:tc>
        <w:tc>
          <w:tcPr>
            <w:tcW w:w="1923" w:type="dxa"/>
          </w:tcPr>
          <w:p w14:paraId="10ADDBB9" w14:textId="77777777" w:rsidR="00F31A96" w:rsidRDefault="00F31A96" w:rsidP="00405CCB">
            <w:pPr>
              <w:pStyle w:val="ListNumber"/>
              <w:numPr>
                <w:ilvl w:val="0"/>
                <w:numId w:val="0"/>
              </w:numPr>
            </w:pPr>
            <w:r w:rsidRPr="00FF5872">
              <w:rPr>
                <w:color w:val="000000" w:themeColor="text1"/>
              </w:rPr>
              <w:t>Yes</w:t>
            </w:r>
          </w:p>
        </w:tc>
        <w:tc>
          <w:tcPr>
            <w:tcW w:w="1909" w:type="dxa"/>
          </w:tcPr>
          <w:p w14:paraId="78D30186" w14:textId="77777777" w:rsidR="00F31A96" w:rsidRDefault="00F31A96" w:rsidP="00405CCB">
            <w:pPr>
              <w:pStyle w:val="ListNumber"/>
              <w:numPr>
                <w:ilvl w:val="0"/>
                <w:numId w:val="0"/>
              </w:numPr>
            </w:pPr>
            <w:r w:rsidRPr="00FF5872">
              <w:rPr>
                <w:color w:val="000000" w:themeColor="text1"/>
              </w:rPr>
              <w:t>Yes</w:t>
            </w:r>
          </w:p>
        </w:tc>
      </w:tr>
      <w:tr w:rsidR="00F31A96" w14:paraId="1C3083C4" w14:textId="77777777" w:rsidTr="00405CCB">
        <w:trPr>
          <w:cantSplit/>
        </w:trPr>
        <w:tc>
          <w:tcPr>
            <w:tcW w:w="2020" w:type="dxa"/>
          </w:tcPr>
          <w:p w14:paraId="43519FBF" w14:textId="77777777" w:rsidR="00F31A96" w:rsidRDefault="00F31A96" w:rsidP="00405CCB">
            <w:pPr>
              <w:pStyle w:val="ListNumber"/>
              <w:numPr>
                <w:ilvl w:val="0"/>
                <w:numId w:val="0"/>
              </w:numPr>
            </w:pPr>
            <w:r>
              <w:t>Tasmania</w:t>
            </w:r>
          </w:p>
        </w:tc>
        <w:tc>
          <w:tcPr>
            <w:tcW w:w="2114" w:type="dxa"/>
          </w:tcPr>
          <w:p w14:paraId="2D6A4DD6" w14:textId="77777777" w:rsidR="00F31A96" w:rsidRDefault="00F31A96" w:rsidP="00405CCB">
            <w:pPr>
              <w:pStyle w:val="ListNumber"/>
              <w:numPr>
                <w:ilvl w:val="0"/>
                <w:numId w:val="0"/>
              </w:numPr>
            </w:pPr>
            <w:r w:rsidRPr="007A6A37">
              <w:t>Violent offences</w:t>
            </w:r>
          </w:p>
          <w:p w14:paraId="6238D059" w14:textId="77777777" w:rsidR="00F31A96" w:rsidRDefault="00F31A96" w:rsidP="00405CCB">
            <w:pPr>
              <w:pStyle w:val="ListNumber"/>
              <w:numPr>
                <w:ilvl w:val="0"/>
                <w:numId w:val="0"/>
              </w:numPr>
            </w:pPr>
            <w:r>
              <w:t>Sex offences</w:t>
            </w:r>
          </w:p>
        </w:tc>
        <w:tc>
          <w:tcPr>
            <w:tcW w:w="1923" w:type="dxa"/>
          </w:tcPr>
          <w:p w14:paraId="389DDCB8" w14:textId="77777777" w:rsidR="00F31A96" w:rsidRDefault="00F31A96" w:rsidP="00405CCB">
            <w:pPr>
              <w:pStyle w:val="ListNumber"/>
              <w:numPr>
                <w:ilvl w:val="0"/>
                <w:numId w:val="0"/>
              </w:numPr>
            </w:pPr>
            <w:r>
              <w:t>Yes (declaration as part of sentencing)</w:t>
            </w:r>
          </w:p>
        </w:tc>
        <w:tc>
          <w:tcPr>
            <w:tcW w:w="1909" w:type="dxa"/>
          </w:tcPr>
          <w:p w14:paraId="1B295863" w14:textId="77777777" w:rsidR="00F31A96" w:rsidRDefault="00F31A96" w:rsidP="00405CCB">
            <w:pPr>
              <w:pStyle w:val="ListNumber"/>
              <w:numPr>
                <w:ilvl w:val="0"/>
                <w:numId w:val="0"/>
              </w:numPr>
            </w:pPr>
            <w:r>
              <w:t>Proposed</w:t>
            </w:r>
          </w:p>
        </w:tc>
      </w:tr>
      <w:tr w:rsidR="00F31A96" w14:paraId="0582E0B9" w14:textId="77777777" w:rsidTr="00405CCB">
        <w:trPr>
          <w:cantSplit/>
        </w:trPr>
        <w:tc>
          <w:tcPr>
            <w:tcW w:w="2020" w:type="dxa"/>
          </w:tcPr>
          <w:p w14:paraId="0C3BB9B8" w14:textId="77777777" w:rsidR="00F31A96" w:rsidRDefault="00F31A96" w:rsidP="00405CCB">
            <w:pPr>
              <w:pStyle w:val="ListNumber"/>
              <w:numPr>
                <w:ilvl w:val="0"/>
                <w:numId w:val="0"/>
              </w:numPr>
            </w:pPr>
            <w:r>
              <w:t>Australian Capital Territory</w:t>
            </w:r>
          </w:p>
        </w:tc>
        <w:tc>
          <w:tcPr>
            <w:tcW w:w="2114" w:type="dxa"/>
          </w:tcPr>
          <w:p w14:paraId="6A506E34" w14:textId="77777777" w:rsidR="00F31A96" w:rsidRDefault="00F31A96" w:rsidP="00405CCB">
            <w:pPr>
              <w:pStyle w:val="ListNumber"/>
              <w:numPr>
                <w:ilvl w:val="0"/>
                <w:numId w:val="0"/>
              </w:numPr>
            </w:pPr>
            <w:r>
              <w:t>None</w:t>
            </w:r>
          </w:p>
        </w:tc>
        <w:tc>
          <w:tcPr>
            <w:tcW w:w="1923" w:type="dxa"/>
          </w:tcPr>
          <w:p w14:paraId="2AA0C118" w14:textId="77777777" w:rsidR="00F31A96" w:rsidRPr="002358B6" w:rsidRDefault="00F31A96" w:rsidP="00405CCB">
            <w:pPr>
              <w:pStyle w:val="ListNumber"/>
              <w:numPr>
                <w:ilvl w:val="0"/>
                <w:numId w:val="0"/>
              </w:numPr>
            </w:pPr>
            <w:r w:rsidRPr="002358B6">
              <w:t>No</w:t>
            </w:r>
          </w:p>
        </w:tc>
        <w:tc>
          <w:tcPr>
            <w:tcW w:w="1909" w:type="dxa"/>
          </w:tcPr>
          <w:p w14:paraId="741C8763" w14:textId="77777777" w:rsidR="00F31A96" w:rsidRPr="002358B6" w:rsidRDefault="00F31A96" w:rsidP="00405CCB">
            <w:pPr>
              <w:pStyle w:val="ListNumber"/>
              <w:numPr>
                <w:ilvl w:val="0"/>
                <w:numId w:val="0"/>
              </w:numPr>
            </w:pPr>
            <w:r w:rsidRPr="002358B6">
              <w:t>No</w:t>
            </w:r>
          </w:p>
        </w:tc>
      </w:tr>
    </w:tbl>
    <w:p w14:paraId="18321C55" w14:textId="0E738D75" w:rsidR="00327916" w:rsidRDefault="006829B4" w:rsidP="006829B4">
      <w:pPr>
        <w:pStyle w:val="Heading1"/>
      </w:pPr>
      <w:bookmarkStart w:id="15" w:name="_Toc54876150"/>
      <w:r>
        <w:t>Relationship with control orders</w:t>
      </w:r>
      <w:bookmarkEnd w:id="15"/>
    </w:p>
    <w:p w14:paraId="02068BC3" w14:textId="199EFBD8" w:rsidR="006829B4" w:rsidRDefault="00934E34" w:rsidP="00B21179">
      <w:pPr>
        <w:pStyle w:val="ListNumber"/>
      </w:pPr>
      <w:r>
        <w:t xml:space="preserve">The primary position of the Commission is that </w:t>
      </w:r>
      <w:proofErr w:type="spellStart"/>
      <w:r w:rsidR="00762A46">
        <w:t>Div</w:t>
      </w:r>
      <w:proofErr w:type="spellEnd"/>
      <w:r w:rsidR="00762A46">
        <w:t xml:space="preserve"> 104 of the Criminal Code, dealing with </w:t>
      </w:r>
      <w:r w:rsidR="00603C84">
        <w:t>control orders</w:t>
      </w:r>
      <w:r w:rsidR="00762A46">
        <w:t>,</w:t>
      </w:r>
      <w:r w:rsidR="00603C84">
        <w:t xml:space="preserve"> should be </w:t>
      </w:r>
      <w:proofErr w:type="gramStart"/>
      <w:r w:rsidR="00762A46">
        <w:t>repealed</w:t>
      </w:r>
      <w:proofErr w:type="gramEnd"/>
      <w:r w:rsidR="006D2D61">
        <w:t xml:space="preserve"> and replaced with an </w:t>
      </w:r>
      <w:r w:rsidR="004311CE">
        <w:t xml:space="preserve">ESO </w:t>
      </w:r>
      <w:r w:rsidR="003646E2">
        <w:t>regime</w:t>
      </w:r>
      <w:r w:rsidR="006D2D61">
        <w:t xml:space="preserve"> </w:t>
      </w:r>
      <w:r w:rsidR="00854290">
        <w:t>in the form recommended by the third INSLM.</w:t>
      </w:r>
    </w:p>
    <w:p w14:paraId="72B29361" w14:textId="0E980148" w:rsidR="00B06095" w:rsidRDefault="00C0288E" w:rsidP="00B21179">
      <w:pPr>
        <w:pStyle w:val="ListNumber"/>
      </w:pPr>
      <w:r>
        <w:t xml:space="preserve">Control orders </w:t>
      </w:r>
      <w:r w:rsidR="000E328F">
        <w:t xml:space="preserve">permit </w:t>
      </w:r>
      <w:proofErr w:type="gramStart"/>
      <w:r w:rsidR="00177F39">
        <w:t>particular kinds</w:t>
      </w:r>
      <w:proofErr w:type="gramEnd"/>
      <w:r w:rsidR="00177F39">
        <w:t xml:space="preserve"> of obligations, prohibitions and restrictions to be imposed on a person, based on the person’s anticipated future involvement in </w:t>
      </w:r>
      <w:r w:rsidR="00E85E4C">
        <w:t>terrorism activity</w:t>
      </w:r>
      <w:r w:rsidR="00177F39">
        <w:t xml:space="preserve">.  </w:t>
      </w:r>
      <w:r w:rsidR="00E85E4C">
        <w:t>These orders can be sought in a range of situations</w:t>
      </w:r>
      <w:r w:rsidR="00325890">
        <w:t>.  They can be sought:</w:t>
      </w:r>
    </w:p>
    <w:p w14:paraId="7875F1C8" w14:textId="6A0814C3" w:rsidR="00325890" w:rsidRDefault="00325890" w:rsidP="00325890">
      <w:pPr>
        <w:pStyle w:val="ListNumber"/>
        <w:numPr>
          <w:ilvl w:val="0"/>
          <w:numId w:val="0"/>
        </w:numPr>
        <w:ind w:left="1440" w:hanging="346"/>
      </w:pPr>
      <w:r>
        <w:t>(a)</w:t>
      </w:r>
      <w:r>
        <w:tab/>
        <w:t>as an alternative to prosecution—for example, where a person cannot be arrested because there is no reasonable basis to suspect that they have been involved in a terrorist act, or where they have been arrested but the CDPP has advised that there is no reasonable prospect of conviction</w:t>
      </w:r>
    </w:p>
    <w:p w14:paraId="53115D1F" w14:textId="213D44C4" w:rsidR="00325890" w:rsidRDefault="00325890" w:rsidP="00325890">
      <w:pPr>
        <w:pStyle w:val="ListNumber"/>
        <w:numPr>
          <w:ilvl w:val="0"/>
          <w:numId w:val="0"/>
        </w:numPr>
        <w:ind w:left="1440" w:hanging="346"/>
      </w:pPr>
      <w:r>
        <w:t>(b)</w:t>
      </w:r>
      <w:r>
        <w:tab/>
        <w:t>as a ‘second attempt’ following an unsuccessful prosecution—</w:t>
      </w:r>
      <w:r w:rsidR="000F7FBC">
        <w:t>for example, where a person has been tried and acquitted</w:t>
      </w:r>
    </w:p>
    <w:p w14:paraId="4683D357" w14:textId="03E0C9AE" w:rsidR="000F7FBC" w:rsidRDefault="000F7FBC" w:rsidP="00325890">
      <w:pPr>
        <w:pStyle w:val="ListNumber"/>
        <w:numPr>
          <w:ilvl w:val="0"/>
          <w:numId w:val="0"/>
        </w:numPr>
        <w:ind w:left="1440" w:hanging="346"/>
      </w:pPr>
      <w:r>
        <w:t>(c)</w:t>
      </w:r>
      <w:r>
        <w:tab/>
        <w:t>once a terrorist offender has been released from prison, in circumstances where they still pose an unacceptable risk to the community.</w:t>
      </w:r>
    </w:p>
    <w:p w14:paraId="22BC7C73" w14:textId="7316AB16" w:rsidR="00454D97" w:rsidRDefault="00C0288E" w:rsidP="00B21179">
      <w:pPr>
        <w:pStyle w:val="ListNumber"/>
      </w:pPr>
      <w:r>
        <w:t xml:space="preserve">The Commission </w:t>
      </w:r>
      <w:r w:rsidR="00D20252">
        <w:t xml:space="preserve">provided detailed submissions to the PJCIS as part of its Review of AFP Powers about why the use of control orders in </w:t>
      </w:r>
      <w:r w:rsidR="00085009">
        <w:t xml:space="preserve">categories (a) and (b) could not be justified, </w:t>
      </w:r>
      <w:r w:rsidR="008F51A0">
        <w:t xml:space="preserve">particularly in light of </w:t>
      </w:r>
      <w:r w:rsidR="00454D97">
        <w:t>the availability of more appropriate alternatives including surveillance, and arrest</w:t>
      </w:r>
      <w:r w:rsidR="00C93113">
        <w:t xml:space="preserve"> and prosecution for those reasonably suspected of having engaged in criminal conduct.</w:t>
      </w:r>
      <w:r w:rsidR="00472B65">
        <w:rPr>
          <w:rStyle w:val="EndnoteReference"/>
        </w:rPr>
        <w:endnoteReference w:id="25"/>
      </w:r>
      <w:r w:rsidR="00C93113">
        <w:t xml:space="preserve"> </w:t>
      </w:r>
      <w:r w:rsidR="00CD46F8">
        <w:t xml:space="preserve"> If there is insufficient evidence to ground a ‘reasonable suspicion’ of criminal conduct, </w:t>
      </w:r>
      <w:r w:rsidR="00075369">
        <w:t xml:space="preserve">including preparatory offences such as planning a terrorist act, </w:t>
      </w:r>
      <w:r w:rsidR="00FB06E7">
        <w:t xml:space="preserve">then the significant restrictions involved in a control order cannot be </w:t>
      </w:r>
      <w:r w:rsidR="00FF618A">
        <w:t xml:space="preserve">considered to be a </w:t>
      </w:r>
      <w:r w:rsidR="00FF618A">
        <w:lastRenderedPageBreak/>
        <w:t xml:space="preserve">proportionate response.  </w:t>
      </w:r>
      <w:r w:rsidR="005C211E">
        <w:t xml:space="preserve">If a person has been tried and acquitted of a criminal offence, then the use of control orders based on the same </w:t>
      </w:r>
      <w:proofErr w:type="gramStart"/>
      <w:r w:rsidR="005C211E">
        <w:t>evidence</w:t>
      </w:r>
      <w:proofErr w:type="gramEnd"/>
      <w:r w:rsidR="005C211E">
        <w:t xml:space="preserve"> but a lower standard of proof </w:t>
      </w:r>
      <w:r w:rsidR="00C26219">
        <w:t xml:space="preserve">raises serious concerns from a </w:t>
      </w:r>
      <w:r w:rsidR="003B2D94">
        <w:t>rule of law</w:t>
      </w:r>
      <w:r w:rsidR="00C26219">
        <w:t xml:space="preserve"> perspective</w:t>
      </w:r>
      <w:r w:rsidR="003B2D94">
        <w:t>.</w:t>
      </w:r>
    </w:p>
    <w:p w14:paraId="11B377B0" w14:textId="37BCC1EE" w:rsidR="00401995" w:rsidRDefault="003B2D94" w:rsidP="00B21179">
      <w:pPr>
        <w:pStyle w:val="ListNumber"/>
      </w:pPr>
      <w:r>
        <w:t xml:space="preserve">However, where a convicted terrorist offender </w:t>
      </w:r>
      <w:r w:rsidR="003E51DA">
        <w:t xml:space="preserve">can be demonstrated, through </w:t>
      </w:r>
      <w:r w:rsidR="002E7EFF">
        <w:t xml:space="preserve">cogent and reliable evidence, to still </w:t>
      </w:r>
      <w:r>
        <w:t>pose an unacceptable risk to the community</w:t>
      </w:r>
      <w:r w:rsidR="00E82794">
        <w:t xml:space="preserve"> at the end of their sentence</w:t>
      </w:r>
      <w:r>
        <w:t xml:space="preserve">, then </w:t>
      </w:r>
      <w:r w:rsidR="00E82794">
        <w:t>continuing controls</w:t>
      </w:r>
      <w:r w:rsidR="00574077">
        <w:t>, which are</w:t>
      </w:r>
      <w:r w:rsidR="00574077" w:rsidRPr="00574077">
        <w:t xml:space="preserve"> </w:t>
      </w:r>
      <w:r w:rsidR="00574077">
        <w:t>reasonable, proportionate and necessary</w:t>
      </w:r>
      <w:r w:rsidR="00E82794">
        <w:t xml:space="preserve"> to manage that risk</w:t>
      </w:r>
      <w:r w:rsidR="00574077">
        <w:t>,</w:t>
      </w:r>
      <w:r w:rsidR="00E82794">
        <w:t xml:space="preserve"> can be justified.  </w:t>
      </w:r>
      <w:r w:rsidR="006E3BF5">
        <w:t xml:space="preserve">In recent times, control orders have been used </w:t>
      </w:r>
      <w:r w:rsidR="003547F3">
        <w:t xml:space="preserve">overwhelmingly </w:t>
      </w:r>
      <w:r w:rsidR="006E3BF5">
        <w:t xml:space="preserve">in the post-conviction context. </w:t>
      </w:r>
      <w:r w:rsidR="003547F3">
        <w:t xml:space="preserve"> </w:t>
      </w:r>
      <w:r w:rsidR="00C0607F">
        <w:t xml:space="preserve">Since January </w:t>
      </w:r>
      <w:r w:rsidR="00042081">
        <w:t xml:space="preserve">2019, </w:t>
      </w:r>
      <w:r w:rsidR="00E26154">
        <w:t>10</w:t>
      </w:r>
      <w:r w:rsidR="00042081">
        <w:t xml:space="preserve"> control orders have been made.  </w:t>
      </w:r>
      <w:r w:rsidR="00DF4FF0">
        <w:t xml:space="preserve">In nine of those cases, the control order was sought in relation to a person who was being released into the community after </w:t>
      </w:r>
      <w:r w:rsidR="00F75C73">
        <w:t>serving a period of imprisonment for a terrorism offence.  Prior to this group of control orders</w:t>
      </w:r>
      <w:r w:rsidR="00B9066B">
        <w:t xml:space="preserve">, no control orders had been sought at all for more than </w:t>
      </w:r>
      <w:r w:rsidR="000561CC">
        <w:t>three</w:t>
      </w:r>
      <w:r w:rsidR="00B9066B">
        <w:t xml:space="preserve"> years. </w:t>
      </w:r>
    </w:p>
    <w:p w14:paraId="4058FDF5" w14:textId="599ACC98" w:rsidR="00C60ACF" w:rsidRDefault="003D71E8" w:rsidP="00B21179">
      <w:pPr>
        <w:pStyle w:val="ListNumber"/>
      </w:pPr>
      <w:r>
        <w:t xml:space="preserve">An ESO regime is a better way of dealing with people in category (c) above.  </w:t>
      </w:r>
      <w:r w:rsidR="00E53B7C">
        <w:t>This is because:</w:t>
      </w:r>
    </w:p>
    <w:p w14:paraId="22A7BE43" w14:textId="4F9953D5" w:rsidR="00E53B7C" w:rsidRDefault="00A861C6" w:rsidP="00E53B7C">
      <w:pPr>
        <w:pStyle w:val="ListNumber"/>
        <w:numPr>
          <w:ilvl w:val="0"/>
          <w:numId w:val="39"/>
        </w:numPr>
      </w:pPr>
      <w:r>
        <w:t xml:space="preserve">the regime is appropriately targeted to people who </w:t>
      </w:r>
      <w:r w:rsidR="00644820">
        <w:t xml:space="preserve">have a demonstrated history of </w:t>
      </w:r>
      <w:r w:rsidR="00D72724">
        <w:t xml:space="preserve">having committed a terrorism offence and </w:t>
      </w:r>
      <w:r w:rsidR="000561CC">
        <w:t xml:space="preserve">who </w:t>
      </w:r>
      <w:r w:rsidR="00AD0F3E">
        <w:t xml:space="preserve">have been shown to </w:t>
      </w:r>
      <w:r>
        <w:t>pos</w:t>
      </w:r>
      <w:r w:rsidR="00AD0F3E">
        <w:t>e</w:t>
      </w:r>
      <w:r>
        <w:t xml:space="preserve"> an unacceptable risk to the community</w:t>
      </w:r>
    </w:p>
    <w:p w14:paraId="706530C0" w14:textId="74ACC4B5" w:rsidR="00A861C6" w:rsidRDefault="00936D92" w:rsidP="00E53B7C">
      <w:pPr>
        <w:pStyle w:val="ListNumber"/>
        <w:numPr>
          <w:ilvl w:val="0"/>
          <w:numId w:val="39"/>
        </w:numPr>
      </w:pPr>
      <w:r>
        <w:t xml:space="preserve">as a result, the degree to which the conditions imposed limit the human rights of the person subject to the regime </w:t>
      </w:r>
      <w:r w:rsidR="00A006DE">
        <w:t>would be more likely to be proportionate to the purpose for their imposition</w:t>
      </w:r>
    </w:p>
    <w:p w14:paraId="230348DE" w14:textId="707AC75E" w:rsidR="00A006DE" w:rsidRDefault="00943E5D" w:rsidP="00E53B7C">
      <w:pPr>
        <w:pStyle w:val="ListNumber"/>
        <w:numPr>
          <w:ilvl w:val="0"/>
          <w:numId w:val="39"/>
        </w:numPr>
      </w:pPr>
      <w:r>
        <w:t xml:space="preserve">it avoids problematic aspects of the control order regime, including </w:t>
      </w:r>
      <w:r w:rsidR="00A006DE" w:rsidRPr="00943E5D">
        <w:rPr>
          <w:i/>
          <w:iCs/>
        </w:rPr>
        <w:t xml:space="preserve">ex </w:t>
      </w:r>
      <w:proofErr w:type="spellStart"/>
      <w:r w:rsidR="00A006DE" w:rsidRPr="00943E5D">
        <w:rPr>
          <w:i/>
          <w:iCs/>
        </w:rPr>
        <w:t>parte</w:t>
      </w:r>
      <w:proofErr w:type="spellEnd"/>
      <w:r w:rsidR="00A006DE">
        <w:t xml:space="preserve"> applications </w:t>
      </w:r>
      <w:r>
        <w:t xml:space="preserve">for interim orders based on hearsay evidence, </w:t>
      </w:r>
      <w:r w:rsidR="00417AD3">
        <w:t>and long delays prior to confirmation hearings</w:t>
      </w:r>
    </w:p>
    <w:p w14:paraId="313F4CF9" w14:textId="757617FE" w:rsidR="00417AD3" w:rsidRDefault="00417AD3" w:rsidP="00E53B7C">
      <w:pPr>
        <w:pStyle w:val="ListNumber"/>
        <w:numPr>
          <w:ilvl w:val="0"/>
          <w:numId w:val="39"/>
        </w:numPr>
      </w:pPr>
      <w:r>
        <w:t>instead, the evidence in support of an application could be properly tested in court proceedings when an order is first sought.</w:t>
      </w:r>
    </w:p>
    <w:p w14:paraId="6DDCABDC" w14:textId="3261DC45" w:rsidR="00442744" w:rsidRDefault="00652E2D" w:rsidP="00405CCB">
      <w:pPr>
        <w:pStyle w:val="ListNumber"/>
      </w:pPr>
      <w:r>
        <w:t xml:space="preserve">As described in paragraph </w:t>
      </w:r>
      <w:r w:rsidR="00670A4E">
        <w:fldChar w:fldCharType="begin"/>
      </w:r>
      <w:r w:rsidR="00670A4E">
        <w:instrText xml:space="preserve"> REF _Ref54090699 \r \h </w:instrText>
      </w:r>
      <w:r w:rsidR="00670A4E">
        <w:fldChar w:fldCharType="separate"/>
      </w:r>
      <w:r w:rsidR="004E2F67">
        <w:t>29</w:t>
      </w:r>
      <w:r w:rsidR="00670A4E">
        <w:fldChar w:fldCharType="end"/>
      </w:r>
      <w:r w:rsidR="00670A4E">
        <w:t xml:space="preserve"> above, the third INSLM recommended that aspects of the </w:t>
      </w:r>
      <w:r w:rsidR="003508A5">
        <w:t xml:space="preserve">current </w:t>
      </w:r>
      <w:r w:rsidR="00670A4E">
        <w:t>control order regime be built into the ESO regime.  The Bill departs from these recommendations in material respects.</w:t>
      </w:r>
      <w:r w:rsidR="00BB6E9F">
        <w:t xml:space="preserve">  </w:t>
      </w:r>
    </w:p>
    <w:p w14:paraId="70936963" w14:textId="0C267496" w:rsidR="00286FAD" w:rsidRDefault="00442744" w:rsidP="00405CCB">
      <w:pPr>
        <w:pStyle w:val="ListNumber"/>
      </w:pPr>
      <w:r>
        <w:t xml:space="preserve">Taking </w:t>
      </w:r>
      <w:proofErr w:type="gramStart"/>
      <w:r>
        <w:t>both of the steps</w:t>
      </w:r>
      <w:proofErr w:type="gramEnd"/>
      <w:r>
        <w:t xml:space="preserve"> that the Commission considers necessary, namely repealing </w:t>
      </w:r>
      <w:r w:rsidR="00C321AF">
        <w:t>the control order regime and i</w:t>
      </w:r>
      <w:r w:rsidR="00286FAD">
        <w:t xml:space="preserve">mplementing </w:t>
      </w:r>
      <w:r w:rsidR="00BB6E9F">
        <w:t xml:space="preserve">the INSLM’s </w:t>
      </w:r>
      <w:r w:rsidR="00286FAD">
        <w:t>recommendation</w:t>
      </w:r>
      <w:r w:rsidR="00BB6E9F">
        <w:t>s</w:t>
      </w:r>
      <w:r w:rsidR="00286FAD">
        <w:t xml:space="preserve"> </w:t>
      </w:r>
      <w:r w:rsidR="00C321AF">
        <w:t>in relation to ESOs</w:t>
      </w:r>
      <w:r w:rsidR="000B030B">
        <w:t>,</w:t>
      </w:r>
      <w:r w:rsidR="00C321AF">
        <w:t xml:space="preserve"> </w:t>
      </w:r>
      <w:r w:rsidR="00BB6E9F">
        <w:t xml:space="preserve">would </w:t>
      </w:r>
      <w:r w:rsidR="00286FAD">
        <w:t xml:space="preserve">require a substantial </w:t>
      </w:r>
      <w:r w:rsidR="00C41FE3">
        <w:t>revision to the present Bill.  As a result, the Commission recommends that the Bill not be passed in its current form.</w:t>
      </w:r>
    </w:p>
    <w:p w14:paraId="1737C28A" w14:textId="3EBAD794" w:rsidR="00854290" w:rsidRDefault="00286FAD" w:rsidP="00B21179">
      <w:pPr>
        <w:pStyle w:val="ListNumber"/>
      </w:pPr>
      <w:r>
        <w:t xml:space="preserve">If </w:t>
      </w:r>
      <w:r w:rsidR="00C41FE3">
        <w:t xml:space="preserve">the Commission’s primary </w:t>
      </w:r>
      <w:r w:rsidR="00951B0D">
        <w:t>recommendation is not accepted</w:t>
      </w:r>
      <w:r w:rsidR="007777C9">
        <w:t xml:space="preserve"> and control orders are retained</w:t>
      </w:r>
      <w:r w:rsidR="00951B0D">
        <w:t xml:space="preserve">, there should at least be a clear </w:t>
      </w:r>
      <w:r w:rsidR="001B57FE">
        <w:t>delineation</w:t>
      </w:r>
      <w:r w:rsidR="00951B0D">
        <w:t xml:space="preserve"> between ‘preventative’ orders </w:t>
      </w:r>
      <w:r w:rsidR="006D508E">
        <w:t xml:space="preserve">made under the control order regime, and post-sentence orders made under </w:t>
      </w:r>
      <w:proofErr w:type="spellStart"/>
      <w:r w:rsidR="00026C00">
        <w:t>Div</w:t>
      </w:r>
      <w:proofErr w:type="spellEnd"/>
      <w:r w:rsidR="00026C00">
        <w:t xml:space="preserve"> 105A</w:t>
      </w:r>
      <w:r w:rsidR="006D508E">
        <w:t>.  Control orders should not continue to be available as a</w:t>
      </w:r>
      <w:r w:rsidR="00E23F50">
        <w:t>n alternative</w:t>
      </w:r>
      <w:r w:rsidR="006D508E">
        <w:t xml:space="preserve"> </w:t>
      </w:r>
      <w:r w:rsidR="004D2D52">
        <w:t>form of post-sentence order</w:t>
      </w:r>
      <w:r w:rsidR="00B47A8B">
        <w:t xml:space="preserve"> once the ESO regime has been introduced</w:t>
      </w:r>
      <w:r w:rsidR="004D2D52">
        <w:t>.</w:t>
      </w:r>
    </w:p>
    <w:p w14:paraId="2582CD95" w14:textId="06D3976C" w:rsidR="004D2D52" w:rsidRDefault="004D2D52" w:rsidP="00B21179">
      <w:pPr>
        <w:pStyle w:val="ListNumber"/>
      </w:pPr>
      <w:r>
        <w:lastRenderedPageBreak/>
        <w:t xml:space="preserve">The desirability of such a split was recommended by the PJCIS as early as 2016.  In its report on the HRTO Bill, the PJCIS </w:t>
      </w:r>
      <w:r w:rsidR="006E6305">
        <w:t xml:space="preserve">noted that control orders </w:t>
      </w:r>
      <w:r w:rsidR="00D63833">
        <w:t xml:space="preserve">can currently </w:t>
      </w:r>
      <w:r w:rsidR="006E6305">
        <w:t xml:space="preserve">be made for a </w:t>
      </w:r>
      <w:r w:rsidR="00D63833">
        <w:t xml:space="preserve">range of different purposes.  It </w:t>
      </w:r>
      <w:r w:rsidR="00DC38F1">
        <w:t>went on to note</w:t>
      </w:r>
      <w:r>
        <w:t>:</w:t>
      </w:r>
    </w:p>
    <w:p w14:paraId="00E90973" w14:textId="137762E7" w:rsidR="004D2D52" w:rsidRPr="00E422CF" w:rsidRDefault="003A48C6" w:rsidP="00E422CF">
      <w:pPr>
        <w:pStyle w:val="ListNumber"/>
        <w:numPr>
          <w:ilvl w:val="0"/>
          <w:numId w:val="0"/>
        </w:numPr>
        <w:ind w:left="1440"/>
        <w:rPr>
          <w:sz w:val="22"/>
          <w:szCs w:val="22"/>
        </w:rPr>
      </w:pPr>
      <w:r w:rsidRPr="00E422CF">
        <w:rPr>
          <w:sz w:val="22"/>
          <w:szCs w:val="22"/>
        </w:rPr>
        <w:t>Given the</w:t>
      </w:r>
      <w:r w:rsidR="006E6305" w:rsidRPr="00E422CF">
        <w:rPr>
          <w:sz w:val="22"/>
          <w:szCs w:val="22"/>
        </w:rPr>
        <w:t>se</w:t>
      </w:r>
      <w:r w:rsidRPr="00E422CF">
        <w:rPr>
          <w:sz w:val="22"/>
          <w:szCs w:val="22"/>
        </w:rPr>
        <w:t xml:space="preserve"> differ</w:t>
      </w:r>
      <w:r w:rsidR="00DC38F1" w:rsidRPr="00E422CF">
        <w:rPr>
          <w:sz w:val="22"/>
          <w:szCs w:val="22"/>
        </w:rPr>
        <w:t>ing purposes, an appropriate solution to the interoperability issue could be that, in the first instance, the application processes for the existing control order regime be retained for preventative cases.  In addition, a separate application process could be introduced for post-sentence control orders that aligns more closely to the CDO regime</w:t>
      </w:r>
      <w:r w:rsidR="00E422CF" w:rsidRPr="00E422CF">
        <w:rPr>
          <w:sz w:val="22"/>
          <w:szCs w:val="22"/>
        </w:rPr>
        <w:t>.  The Committee suggests that consideration be given to these options.</w:t>
      </w:r>
      <w:r w:rsidR="00E422CF">
        <w:rPr>
          <w:rStyle w:val="EndnoteReference"/>
          <w:szCs w:val="22"/>
        </w:rPr>
        <w:endnoteReference w:id="26"/>
      </w:r>
    </w:p>
    <w:p w14:paraId="1D88AED2" w14:textId="0FA10023" w:rsidR="004D5C99" w:rsidRDefault="00056C00" w:rsidP="00E422CF">
      <w:pPr>
        <w:pStyle w:val="ListNumber"/>
      </w:pPr>
      <w:r>
        <w:t xml:space="preserve">At the least, this would involve </w:t>
      </w:r>
      <w:r w:rsidR="00E355F1">
        <w:t>amending s 104</w:t>
      </w:r>
      <w:r w:rsidR="002F5D6C">
        <w:t>.4</w:t>
      </w:r>
      <w:r w:rsidR="0090068E">
        <w:t>(1)</w:t>
      </w:r>
      <w:r w:rsidR="002F5D6C">
        <w:t xml:space="preserve">(c) of the Criminal Code to </w:t>
      </w:r>
      <w:r w:rsidR="00A92929">
        <w:t xml:space="preserve">remove </w:t>
      </w:r>
      <w:r w:rsidR="00EC60B8">
        <w:t xml:space="preserve">those grounds for making a control order that are </w:t>
      </w:r>
      <w:r w:rsidR="00141050">
        <w:t xml:space="preserve">based on </w:t>
      </w:r>
      <w:r w:rsidR="00141050" w:rsidRPr="00A454AB">
        <w:rPr>
          <w:i/>
          <w:iCs/>
        </w:rPr>
        <w:t>past</w:t>
      </w:r>
      <w:r w:rsidR="00141050">
        <w:t xml:space="preserve"> conduct involving a conviction</w:t>
      </w:r>
      <w:r w:rsidR="00B33E95">
        <w:t>,</w:t>
      </w:r>
      <w:r w:rsidR="00141050">
        <w:t xml:space="preserve"> or conduct that could be the subject of a conviction, and leaving only those grounds that </w:t>
      </w:r>
      <w:r w:rsidR="00EC60B8">
        <w:t>relate</w:t>
      </w:r>
      <w:r w:rsidR="00141050">
        <w:t xml:space="preserve"> </w:t>
      </w:r>
      <w:r w:rsidR="00EC60B8">
        <w:t xml:space="preserve">to the prevention of </w:t>
      </w:r>
      <w:r w:rsidR="00853953" w:rsidRPr="00A454AB">
        <w:rPr>
          <w:i/>
          <w:iCs/>
        </w:rPr>
        <w:t>future</w:t>
      </w:r>
      <w:r w:rsidR="00853953">
        <w:t xml:space="preserve"> terrorist acts.</w:t>
      </w:r>
    </w:p>
    <w:p w14:paraId="68E78279" w14:textId="413E632B" w:rsidR="00853953" w:rsidRDefault="00A454AB" w:rsidP="00E422CF">
      <w:pPr>
        <w:pStyle w:val="ListNumber"/>
      </w:pPr>
      <w:r>
        <w:t xml:space="preserve">If a person has engaged in conduct </w:t>
      </w:r>
      <w:r w:rsidR="00FD44D5">
        <w:t>that could be the subject of a prosecution, they should be prosecuted rather than having a control order imposed</w:t>
      </w:r>
      <w:r w:rsidR="00472E3B">
        <w:t xml:space="preserve">.  In substance, </w:t>
      </w:r>
      <w:proofErr w:type="gramStart"/>
      <w:r w:rsidR="009D132C">
        <w:t>all of</w:t>
      </w:r>
      <w:proofErr w:type="gramEnd"/>
      <w:r w:rsidR="009D132C">
        <w:t xml:space="preserve"> the conduct described in s</w:t>
      </w:r>
      <w:r w:rsidR="00F32BE6">
        <w:t>s 104</w:t>
      </w:r>
      <w:r w:rsidR="009263AC">
        <w:t>.4</w:t>
      </w:r>
      <w:r w:rsidR="00F32BE6">
        <w:t>(1)(c)(ii), (iii)</w:t>
      </w:r>
      <w:r w:rsidR="005852FF">
        <w:t xml:space="preserve"> and (vii)</w:t>
      </w:r>
      <w:r w:rsidR="009D132C">
        <w:t xml:space="preserve"> could be the subject of a criminal prosecution</w:t>
      </w:r>
      <w:r w:rsidR="00FD44D5">
        <w:t>.</w:t>
      </w:r>
      <w:r w:rsidR="009762C0">
        <w:rPr>
          <w:rStyle w:val="EndnoteReference"/>
        </w:rPr>
        <w:endnoteReference w:id="27"/>
      </w:r>
    </w:p>
    <w:p w14:paraId="59035197" w14:textId="52369B58" w:rsidR="00FD44D5" w:rsidRDefault="00FD44D5" w:rsidP="00E422CF">
      <w:pPr>
        <w:pStyle w:val="ListNumber"/>
      </w:pPr>
      <w:r>
        <w:t xml:space="preserve">If a person </w:t>
      </w:r>
      <w:r w:rsidR="00036820">
        <w:t xml:space="preserve">has been convicted of </w:t>
      </w:r>
      <w:r w:rsidR="005852FF">
        <w:t xml:space="preserve">a terrorist offence but </w:t>
      </w:r>
      <w:r w:rsidR="00DD2428">
        <w:t>does not pose an unacceptable risk to the community on release, they should not be subject to a control order (see s 104.</w:t>
      </w:r>
      <w:r w:rsidR="009263AC">
        <w:t>4</w:t>
      </w:r>
      <w:r w:rsidR="0090068E">
        <w:t>(1)(c)</w:t>
      </w:r>
      <w:r w:rsidR="009029C9">
        <w:t>(iv)).</w:t>
      </w:r>
    </w:p>
    <w:p w14:paraId="64B06428" w14:textId="5A23986F" w:rsidR="00ED76AC" w:rsidRDefault="00ED76AC" w:rsidP="00E422CF">
      <w:pPr>
        <w:pStyle w:val="ListNumber"/>
      </w:pPr>
      <w:r>
        <w:t xml:space="preserve">If, as recommended by the PJCIS, control orders were limited to preventative purposes, </w:t>
      </w:r>
      <w:r w:rsidR="00534AB5">
        <w:t>each of the grounds for control orders other than ss 104.</w:t>
      </w:r>
      <w:r w:rsidR="009263AC">
        <w:t>4</w:t>
      </w:r>
      <w:r w:rsidR="0090068E">
        <w:t>(1)</w:t>
      </w:r>
      <w:r w:rsidR="00534AB5">
        <w:t>(c)(</w:t>
      </w:r>
      <w:proofErr w:type="spellStart"/>
      <w:r w:rsidR="00534AB5">
        <w:t>i</w:t>
      </w:r>
      <w:proofErr w:type="spellEnd"/>
      <w:r w:rsidR="00534AB5">
        <w:t xml:space="preserve">) and (vi) could be repealed. </w:t>
      </w:r>
    </w:p>
    <w:p w14:paraId="59E02CED" w14:textId="401622D5" w:rsidR="000A45EB" w:rsidRDefault="00491CA7" w:rsidP="00E422CF">
      <w:pPr>
        <w:pStyle w:val="ListNumber"/>
      </w:pPr>
      <w:r>
        <w:t xml:space="preserve">Under this </w:t>
      </w:r>
      <w:r w:rsidR="00E535F2">
        <w:t xml:space="preserve">alternative </w:t>
      </w:r>
      <w:r>
        <w:t xml:space="preserve">recommendation, the Commission </w:t>
      </w:r>
      <w:r w:rsidR="00E535F2">
        <w:t xml:space="preserve">maintains that the </w:t>
      </w:r>
      <w:r w:rsidR="007C3654">
        <w:t xml:space="preserve">ESO </w:t>
      </w:r>
      <w:r w:rsidR="00E535F2">
        <w:t xml:space="preserve">regime should </w:t>
      </w:r>
      <w:r w:rsidR="007C3654">
        <w:t xml:space="preserve">still </w:t>
      </w:r>
      <w:r w:rsidR="00345BAE">
        <w:t>be in the form recommended by the third INSLM.</w:t>
      </w:r>
    </w:p>
    <w:p w14:paraId="3A517429" w14:textId="11D67951" w:rsidR="0088690A" w:rsidRPr="0088690A" w:rsidRDefault="0088690A" w:rsidP="0088690A">
      <w:pPr>
        <w:pStyle w:val="ListNumber"/>
        <w:keepNext/>
        <w:numPr>
          <w:ilvl w:val="0"/>
          <w:numId w:val="0"/>
        </w:numPr>
        <w:ind w:left="1094"/>
        <w:rPr>
          <w:b/>
          <w:bCs/>
        </w:rPr>
      </w:pPr>
      <w:r w:rsidRPr="0088690A">
        <w:rPr>
          <w:b/>
          <w:bCs/>
        </w:rPr>
        <w:t>Recommendation 1</w:t>
      </w:r>
    </w:p>
    <w:p w14:paraId="6BF8C2C2" w14:textId="08E51D5E" w:rsidR="0088690A" w:rsidRDefault="0088690A" w:rsidP="0088690A">
      <w:pPr>
        <w:pStyle w:val="ListNumber"/>
        <w:numPr>
          <w:ilvl w:val="0"/>
          <w:numId w:val="0"/>
        </w:numPr>
        <w:ind w:left="1094"/>
      </w:pPr>
      <w:r>
        <w:t>The Commission recommends that the Bill not be passed in its current form.</w:t>
      </w:r>
    </w:p>
    <w:p w14:paraId="58A442AA" w14:textId="7EE76F07" w:rsidR="0088690A" w:rsidRPr="0088690A" w:rsidRDefault="0088690A" w:rsidP="0088690A">
      <w:pPr>
        <w:pStyle w:val="ListNumber"/>
        <w:keepNext/>
        <w:numPr>
          <w:ilvl w:val="0"/>
          <w:numId w:val="0"/>
        </w:numPr>
        <w:ind w:left="1094"/>
        <w:rPr>
          <w:b/>
          <w:bCs/>
        </w:rPr>
      </w:pPr>
      <w:r w:rsidRPr="0088690A">
        <w:rPr>
          <w:b/>
          <w:bCs/>
        </w:rPr>
        <w:t>Recommendation 2</w:t>
      </w:r>
    </w:p>
    <w:p w14:paraId="0F9B66CB" w14:textId="5783C852" w:rsidR="0088690A" w:rsidRDefault="0088690A" w:rsidP="0088690A">
      <w:pPr>
        <w:pStyle w:val="ListNumber"/>
        <w:numPr>
          <w:ilvl w:val="0"/>
          <w:numId w:val="0"/>
        </w:numPr>
        <w:ind w:left="1094"/>
      </w:pPr>
      <w:r>
        <w:t xml:space="preserve">The Commission recommends that </w:t>
      </w:r>
      <w:r w:rsidR="006842E6">
        <w:t>the existing control</w:t>
      </w:r>
      <w:r w:rsidR="0030460F">
        <w:t xml:space="preserve"> order </w:t>
      </w:r>
      <w:r w:rsidR="0091556B">
        <w:t>regime</w:t>
      </w:r>
      <w:r w:rsidR="0030460F">
        <w:t xml:space="preserve"> be </w:t>
      </w:r>
      <w:r w:rsidR="00426973">
        <w:t xml:space="preserve">repealed and </w:t>
      </w:r>
      <w:r w:rsidR="0091556B">
        <w:t>replaced</w:t>
      </w:r>
      <w:r w:rsidR="00A90441">
        <w:t xml:space="preserve"> by an extended supervision order </w:t>
      </w:r>
      <w:r w:rsidR="003646E2">
        <w:t>regime</w:t>
      </w:r>
      <w:r w:rsidR="00A90441">
        <w:t xml:space="preserve"> in the form recommended by the third INSLM.</w:t>
      </w:r>
    </w:p>
    <w:p w14:paraId="237242A7" w14:textId="4CC17C1C" w:rsidR="00A90441" w:rsidRPr="000A0E12" w:rsidRDefault="00897999" w:rsidP="00713BF8">
      <w:pPr>
        <w:pStyle w:val="ListNumber"/>
        <w:keepNext/>
        <w:numPr>
          <w:ilvl w:val="0"/>
          <w:numId w:val="0"/>
        </w:numPr>
        <w:ind w:left="1094"/>
        <w:rPr>
          <w:b/>
          <w:bCs/>
        </w:rPr>
      </w:pPr>
      <w:r w:rsidRPr="000A0E12">
        <w:rPr>
          <w:b/>
          <w:bCs/>
        </w:rPr>
        <w:t>Recommendation 3</w:t>
      </w:r>
    </w:p>
    <w:p w14:paraId="5BF49BF1" w14:textId="5443060A" w:rsidR="00FF6E72" w:rsidRDefault="00897999" w:rsidP="0088690A">
      <w:pPr>
        <w:pStyle w:val="ListNumber"/>
        <w:numPr>
          <w:ilvl w:val="0"/>
          <w:numId w:val="0"/>
        </w:numPr>
        <w:ind w:left="1094"/>
      </w:pPr>
      <w:r>
        <w:t xml:space="preserve">If </w:t>
      </w:r>
      <w:r w:rsidR="008B02E6">
        <w:t>R</w:t>
      </w:r>
      <w:r>
        <w:t xml:space="preserve">ecommendation 2 is not accepted, the Commission </w:t>
      </w:r>
      <w:r w:rsidR="000A0E12">
        <w:t xml:space="preserve">recommends that </w:t>
      </w:r>
      <w:r w:rsidR="00EE3597">
        <w:t xml:space="preserve">the existing </w:t>
      </w:r>
      <w:r w:rsidR="00367019">
        <w:t xml:space="preserve">the control order regime </w:t>
      </w:r>
      <w:r w:rsidR="00EE3597">
        <w:t xml:space="preserve">be amended to </w:t>
      </w:r>
      <w:r w:rsidR="00B142F9">
        <w:t xml:space="preserve">focus only on </w:t>
      </w:r>
      <w:r w:rsidR="00FF6E72">
        <w:t xml:space="preserve">orders for </w:t>
      </w:r>
      <w:r w:rsidR="00F40BF3">
        <w:t xml:space="preserve">preventative </w:t>
      </w:r>
      <w:r w:rsidR="00FF6E72">
        <w:t xml:space="preserve">purposes, </w:t>
      </w:r>
      <w:r w:rsidR="00842E0C">
        <w:t xml:space="preserve">as recommended by the PJCIS in 2016, </w:t>
      </w:r>
      <w:r w:rsidR="00FF6E72">
        <w:t>leaving the extended supervision order regime to apply to post-sentence orders.  This should be done by:</w:t>
      </w:r>
    </w:p>
    <w:p w14:paraId="26CAB4D3" w14:textId="61B748EA" w:rsidR="001B48DA" w:rsidRDefault="00FF6E72" w:rsidP="0088690A">
      <w:pPr>
        <w:pStyle w:val="ListNumber"/>
        <w:numPr>
          <w:ilvl w:val="0"/>
          <w:numId w:val="0"/>
        </w:numPr>
        <w:ind w:left="1094"/>
      </w:pPr>
      <w:r>
        <w:t>(a)</w:t>
      </w:r>
      <w:r>
        <w:tab/>
      </w:r>
      <w:r w:rsidR="00250377">
        <w:t xml:space="preserve">repealing </w:t>
      </w:r>
      <w:r w:rsidR="00453E83">
        <w:t>ss 104.2</w:t>
      </w:r>
      <w:r w:rsidR="00843687">
        <w:t>(2)</w:t>
      </w:r>
      <w:r w:rsidR="00453E83">
        <w:t>(b) and (</w:t>
      </w:r>
      <w:r w:rsidR="00C160BD">
        <w:t>d</w:t>
      </w:r>
      <w:r w:rsidR="00453E83">
        <w:t>)</w:t>
      </w:r>
      <w:r w:rsidR="00860818" w:rsidRPr="00860818">
        <w:t xml:space="preserve"> </w:t>
      </w:r>
      <w:r w:rsidR="00860818">
        <w:t>of the Criminal Code</w:t>
      </w:r>
    </w:p>
    <w:p w14:paraId="4CCCB84D" w14:textId="5C2400B0" w:rsidR="00F84D90" w:rsidRDefault="00453E83" w:rsidP="0088690A">
      <w:pPr>
        <w:pStyle w:val="ListNumber"/>
        <w:numPr>
          <w:ilvl w:val="0"/>
          <w:numId w:val="0"/>
        </w:numPr>
        <w:ind w:left="1094"/>
      </w:pPr>
      <w:r>
        <w:t>(b)</w:t>
      </w:r>
      <w:r>
        <w:tab/>
      </w:r>
      <w:r w:rsidR="00C160BD">
        <w:t xml:space="preserve">repealing </w:t>
      </w:r>
      <w:r w:rsidR="00250377">
        <w:t>ss 104.</w:t>
      </w:r>
      <w:r w:rsidR="00110DF1">
        <w:t>4(</w:t>
      </w:r>
      <w:r w:rsidR="00250377">
        <w:t>1</w:t>
      </w:r>
      <w:r w:rsidR="00110DF1">
        <w:t>)</w:t>
      </w:r>
      <w:r w:rsidR="00250377">
        <w:t>(c)(ii)</w:t>
      </w:r>
      <w:r w:rsidR="00CD2845">
        <w:t xml:space="preserve">-(v) and </w:t>
      </w:r>
      <w:r w:rsidR="00D263D1">
        <w:t>(vii)</w:t>
      </w:r>
      <w:r w:rsidR="00860818" w:rsidRPr="00860818">
        <w:t xml:space="preserve"> </w:t>
      </w:r>
      <w:r w:rsidR="00860818">
        <w:t>of the Criminal Code</w:t>
      </w:r>
    </w:p>
    <w:p w14:paraId="35C32101" w14:textId="11900BCF" w:rsidR="00897999" w:rsidRDefault="00F84D90" w:rsidP="0088690A">
      <w:pPr>
        <w:pStyle w:val="ListNumber"/>
        <w:numPr>
          <w:ilvl w:val="0"/>
          <w:numId w:val="0"/>
        </w:numPr>
        <w:ind w:left="1094"/>
      </w:pPr>
      <w:r>
        <w:lastRenderedPageBreak/>
        <w:t>(c)</w:t>
      </w:r>
      <w:r>
        <w:tab/>
        <w:t xml:space="preserve">making any other necessary consequential amendments. </w:t>
      </w:r>
    </w:p>
    <w:p w14:paraId="6A364EBB" w14:textId="4B13F2E7" w:rsidR="00752FDD" w:rsidRDefault="00752FDD" w:rsidP="00345BAE">
      <w:pPr>
        <w:pStyle w:val="Heading1"/>
      </w:pPr>
      <w:bookmarkStart w:id="16" w:name="_Toc54876151"/>
      <w:r>
        <w:t>Structure of the extended supervision order regime</w:t>
      </w:r>
      <w:bookmarkEnd w:id="16"/>
    </w:p>
    <w:p w14:paraId="575A6DAB" w14:textId="66D07C9B" w:rsidR="00752FDD" w:rsidRDefault="00752FDD" w:rsidP="00752FDD">
      <w:pPr>
        <w:pStyle w:val="ListNumber"/>
      </w:pPr>
      <w:r>
        <w:t xml:space="preserve">The Bill would introduce an ESO regime alongside the existing CDO regime.  </w:t>
      </w:r>
      <w:r w:rsidR="0051345C">
        <w:t>Both kinds of orders would be referred to as post-sentence orders (P</w:t>
      </w:r>
      <w:r w:rsidR="00036AC4">
        <w:t>SO).</w:t>
      </w:r>
    </w:p>
    <w:p w14:paraId="2ACD2F5D" w14:textId="797EE44C" w:rsidR="008D6EBA" w:rsidRDefault="008D6EBA" w:rsidP="00752FDD">
      <w:pPr>
        <w:pStyle w:val="ListNumber"/>
      </w:pPr>
      <w:r>
        <w:t xml:space="preserve">The AFP Minister </w:t>
      </w:r>
      <w:r w:rsidR="00AE50B4">
        <w:t xml:space="preserve">(currently the Minister for Home Affairs) </w:t>
      </w:r>
      <w:r>
        <w:t>would have the option of applying to the Supreme Court for either a CDO or an ESO.</w:t>
      </w:r>
      <w:r>
        <w:rPr>
          <w:rStyle w:val="EndnoteReference"/>
        </w:rPr>
        <w:endnoteReference w:id="28"/>
      </w:r>
    </w:p>
    <w:p w14:paraId="1D8A12C1" w14:textId="663445EE" w:rsidR="00036AC4" w:rsidRDefault="00036AC4" w:rsidP="00752FDD">
      <w:pPr>
        <w:pStyle w:val="ListNumber"/>
      </w:pPr>
      <w:r>
        <w:t xml:space="preserve">If </w:t>
      </w:r>
      <w:r w:rsidR="00953A26">
        <w:t xml:space="preserve">the Minister applied for </w:t>
      </w:r>
      <w:r w:rsidR="00D14D75">
        <w:t>a CDO, the Supreme Court would have the option of either:</w:t>
      </w:r>
    </w:p>
    <w:p w14:paraId="5E80BC43" w14:textId="4284BDD1" w:rsidR="00FD03E5" w:rsidRDefault="00FD03E5" w:rsidP="00FD03E5">
      <w:pPr>
        <w:pStyle w:val="ListNumber"/>
        <w:numPr>
          <w:ilvl w:val="0"/>
          <w:numId w:val="39"/>
        </w:numPr>
      </w:pPr>
      <w:r>
        <w:t>making a CDO</w:t>
      </w:r>
      <w:r w:rsidR="00D5500B">
        <w:t>, or</w:t>
      </w:r>
    </w:p>
    <w:p w14:paraId="3ADCB7FD" w14:textId="78FAE217" w:rsidR="00770198" w:rsidRDefault="00FD03E5" w:rsidP="00FD03E5">
      <w:pPr>
        <w:pStyle w:val="ListNumber"/>
        <w:numPr>
          <w:ilvl w:val="0"/>
          <w:numId w:val="39"/>
        </w:numPr>
      </w:pPr>
      <w:r>
        <w:t>making an ESO</w:t>
      </w:r>
      <w:r w:rsidR="00770198">
        <w:t>:</w:t>
      </w:r>
    </w:p>
    <w:p w14:paraId="3E2A484C" w14:textId="3CCD21AB" w:rsidR="00770198" w:rsidRDefault="00937B45" w:rsidP="00770198">
      <w:pPr>
        <w:pStyle w:val="ListNumber"/>
        <w:numPr>
          <w:ilvl w:val="1"/>
          <w:numId w:val="39"/>
        </w:numPr>
      </w:pPr>
      <w:r>
        <w:t xml:space="preserve">if </w:t>
      </w:r>
      <w:r w:rsidR="000A1118">
        <w:t xml:space="preserve">the threshold </w:t>
      </w:r>
      <w:r w:rsidR="00770198">
        <w:t>for making a CDO was not met, or</w:t>
      </w:r>
      <w:r w:rsidR="000A1118">
        <w:t xml:space="preserve"> </w:t>
      </w:r>
    </w:p>
    <w:p w14:paraId="5DE351C7" w14:textId="3A1C8875" w:rsidR="00FD03E5" w:rsidRDefault="00FD03E5" w:rsidP="00770198">
      <w:pPr>
        <w:pStyle w:val="ListNumber"/>
        <w:numPr>
          <w:ilvl w:val="1"/>
          <w:numId w:val="39"/>
        </w:numPr>
      </w:pPr>
      <w:r>
        <w:t xml:space="preserve">as a less-restrictive </w:t>
      </w:r>
      <w:r w:rsidR="006F1DF8">
        <w:t xml:space="preserve">measure </w:t>
      </w:r>
      <w:r w:rsidR="00E928E0">
        <w:t xml:space="preserve">than a CDO </w:t>
      </w:r>
      <w:r w:rsidR="006F1DF8">
        <w:t xml:space="preserve">that would be effective in </w:t>
      </w:r>
      <w:r w:rsidR="00457AE6">
        <w:t>preventing the unacceptable risk</w:t>
      </w:r>
      <w:r w:rsidR="0021110A">
        <w:t>, or</w:t>
      </w:r>
    </w:p>
    <w:p w14:paraId="331E1CD8" w14:textId="277DA07E" w:rsidR="00FD03E5" w:rsidRDefault="00FD03E5" w:rsidP="00FD03E5">
      <w:pPr>
        <w:pStyle w:val="ListNumber"/>
        <w:numPr>
          <w:ilvl w:val="0"/>
          <w:numId w:val="39"/>
        </w:numPr>
      </w:pPr>
      <w:r>
        <w:t>dismissing the application.</w:t>
      </w:r>
      <w:r>
        <w:rPr>
          <w:rStyle w:val="EndnoteReference"/>
        </w:rPr>
        <w:endnoteReference w:id="29"/>
      </w:r>
    </w:p>
    <w:p w14:paraId="3400630C" w14:textId="31806D61" w:rsidR="00875459" w:rsidRDefault="00875459" w:rsidP="00752FDD">
      <w:pPr>
        <w:pStyle w:val="ListNumber"/>
      </w:pPr>
      <w:r>
        <w:t xml:space="preserve">The first step </w:t>
      </w:r>
      <w:r w:rsidR="00192043">
        <w:t xml:space="preserve">by </w:t>
      </w:r>
      <w:r>
        <w:t xml:space="preserve">the Court would be to </w:t>
      </w:r>
      <w:r w:rsidR="00AE6BCF">
        <w:t xml:space="preserve">ask </w:t>
      </w:r>
      <w:r w:rsidR="0059187B">
        <w:t xml:space="preserve">whether </w:t>
      </w:r>
      <w:r w:rsidR="00192043">
        <w:t>it was ‘satisfied to a high degree of probability</w:t>
      </w:r>
      <w:r w:rsidR="008C5374">
        <w:t xml:space="preserve"> … that the offender poses an unacceptable risk of committing a serious Part 5.3 offence</w:t>
      </w:r>
      <w:r w:rsidR="00A7623E">
        <w:t>’</w:t>
      </w:r>
      <w:r w:rsidR="008C5374">
        <w:t>.</w:t>
      </w:r>
      <w:r w:rsidR="00431194">
        <w:rPr>
          <w:rStyle w:val="EndnoteReference"/>
        </w:rPr>
        <w:endnoteReference w:id="30"/>
      </w:r>
      <w:r w:rsidR="00F4132E">
        <w:t xml:space="preserve">  </w:t>
      </w:r>
    </w:p>
    <w:p w14:paraId="4019AE33" w14:textId="38FAE321" w:rsidR="0089293F" w:rsidRDefault="00A7623E" w:rsidP="00752FDD">
      <w:pPr>
        <w:pStyle w:val="ListNumber"/>
      </w:pPr>
      <w:r>
        <w:t>If the answer to that question was ‘no’, the Court could not make a CDO</w:t>
      </w:r>
      <w:r w:rsidR="006D2F51">
        <w:t>,</w:t>
      </w:r>
      <w:r w:rsidR="0089293F">
        <w:t xml:space="preserve"> </w:t>
      </w:r>
      <w:r w:rsidR="006D2F51">
        <w:t>b</w:t>
      </w:r>
      <w:r w:rsidR="0089293F">
        <w:t xml:space="preserve">ut </w:t>
      </w:r>
      <w:r w:rsidR="006D2F51">
        <w:t>would then need to consider whether</w:t>
      </w:r>
      <w:r w:rsidR="000D2268">
        <w:t xml:space="preserve"> it was satisfied of such a risk </w:t>
      </w:r>
      <w:r w:rsidR="004B164F">
        <w:t>to a lower degree of confidence (balance of probabilities)</w:t>
      </w:r>
      <w:r w:rsidR="000D2268">
        <w:t xml:space="preserve">, which would permit it to </w:t>
      </w:r>
      <w:r w:rsidR="006D2F51">
        <w:t xml:space="preserve">make an ESO. </w:t>
      </w:r>
    </w:p>
    <w:p w14:paraId="7B7E922E" w14:textId="09D644E3" w:rsidR="0089293F" w:rsidRDefault="0089293F" w:rsidP="00752FDD">
      <w:pPr>
        <w:pStyle w:val="ListNumber"/>
      </w:pPr>
      <w:r>
        <w:t xml:space="preserve">If the answer to that </w:t>
      </w:r>
      <w:r w:rsidR="00ED5945">
        <w:t xml:space="preserve">first </w:t>
      </w:r>
      <w:r>
        <w:t xml:space="preserve">question was ‘yes’, the Court would then have to consider whether </w:t>
      </w:r>
      <w:r w:rsidR="00420AD1">
        <w:t xml:space="preserve">there was a less restrictive alternative, including the making of an ESO, that </w:t>
      </w:r>
      <w:r w:rsidR="006D2F51">
        <w:t>would be effective in preventing the unacceptable risk.</w:t>
      </w:r>
    </w:p>
    <w:p w14:paraId="302ABBE3" w14:textId="36DC22E3" w:rsidR="004317A7" w:rsidRDefault="006D2F51" w:rsidP="00752FDD">
      <w:pPr>
        <w:pStyle w:val="ListNumber"/>
      </w:pPr>
      <w:r>
        <w:t>If</w:t>
      </w:r>
      <w:r w:rsidR="00786B46">
        <w:t>, on either of these alternatives,</w:t>
      </w:r>
      <w:r>
        <w:t xml:space="preserve"> the Court </w:t>
      </w:r>
      <w:r w:rsidR="005A4801">
        <w:t xml:space="preserve">was called on to consider whether to make </w:t>
      </w:r>
      <w:r w:rsidR="00786B46">
        <w:t xml:space="preserve">an ESO, it </w:t>
      </w:r>
      <w:r w:rsidR="00F4132E">
        <w:t xml:space="preserve">would be </w:t>
      </w:r>
      <w:r w:rsidR="005D0CA5">
        <w:t>required to seek material from the Minister to assist it in determining whether to make an ESO</w:t>
      </w:r>
      <w:r w:rsidR="004317A7">
        <w:t xml:space="preserve">.  This </w:t>
      </w:r>
      <w:r w:rsidR="00BD3D5D">
        <w:t xml:space="preserve">material </w:t>
      </w:r>
      <w:r w:rsidR="004317A7">
        <w:t>includes:</w:t>
      </w:r>
    </w:p>
    <w:p w14:paraId="603264F2" w14:textId="791C4563" w:rsidR="005D0CA5" w:rsidRDefault="004317A7" w:rsidP="004317A7">
      <w:pPr>
        <w:pStyle w:val="ListNumber"/>
        <w:numPr>
          <w:ilvl w:val="0"/>
          <w:numId w:val="39"/>
        </w:numPr>
      </w:pPr>
      <w:r>
        <w:t>a copy of the proposed conditions that would be sought for an ESO</w:t>
      </w:r>
    </w:p>
    <w:p w14:paraId="54AF3137" w14:textId="5B1BBF98" w:rsidR="004317A7" w:rsidRDefault="00582832" w:rsidP="004317A7">
      <w:pPr>
        <w:pStyle w:val="ListNumber"/>
        <w:numPr>
          <w:ilvl w:val="0"/>
          <w:numId w:val="39"/>
        </w:numPr>
      </w:pPr>
      <w:r>
        <w:t>an explanation as to why each condition should be imposed</w:t>
      </w:r>
    </w:p>
    <w:p w14:paraId="529204A8" w14:textId="58BF9D8A" w:rsidR="00582832" w:rsidRDefault="00582832" w:rsidP="004317A7">
      <w:pPr>
        <w:pStyle w:val="ListNumber"/>
        <w:numPr>
          <w:ilvl w:val="0"/>
          <w:numId w:val="39"/>
        </w:numPr>
      </w:pPr>
      <w:r>
        <w:t>a statement of any facts relating to why any of the conditions should not be imposed</w:t>
      </w:r>
      <w:r w:rsidR="00BD3D5D">
        <w:t>.</w:t>
      </w:r>
      <w:r w:rsidR="00BD3D5D">
        <w:rPr>
          <w:rStyle w:val="EndnoteReference"/>
        </w:rPr>
        <w:endnoteReference w:id="31"/>
      </w:r>
    </w:p>
    <w:p w14:paraId="683B618D" w14:textId="541517F0" w:rsidR="0078023B" w:rsidRDefault="0078023B" w:rsidP="00752FDD">
      <w:pPr>
        <w:pStyle w:val="ListNumber"/>
      </w:pPr>
      <w:r>
        <w:t xml:space="preserve">In assessing whether </w:t>
      </w:r>
      <w:r w:rsidR="00FD380A">
        <w:t xml:space="preserve">to make </w:t>
      </w:r>
      <w:r w:rsidR="005B7B5B">
        <w:t xml:space="preserve">an ESO, the Court would consider whether it was ‘satisfied on the balance of </w:t>
      </w:r>
      <w:r w:rsidR="00922EA4">
        <w:t>probabilities … that the offender poses an unacceptable risk of committing a serious Part 5.3 offence’</w:t>
      </w:r>
      <w:r w:rsidR="003A4CE1">
        <w:t>.</w:t>
      </w:r>
      <w:r w:rsidR="007C1270">
        <w:rPr>
          <w:rStyle w:val="EndnoteReference"/>
        </w:rPr>
        <w:endnoteReference w:id="32"/>
      </w:r>
      <w:r w:rsidR="003A4CE1">
        <w:t xml:space="preserve">  This is a lower threshold than required for making </w:t>
      </w:r>
      <w:r w:rsidR="00630A20">
        <w:t xml:space="preserve">a CDO, and is contrary to the </w:t>
      </w:r>
      <w:r w:rsidR="00630A20">
        <w:lastRenderedPageBreak/>
        <w:t xml:space="preserve">recommendation of the third INSLM.  This issue is discussed in more detail in section </w:t>
      </w:r>
      <w:r w:rsidR="007A3A8A">
        <w:fldChar w:fldCharType="begin"/>
      </w:r>
      <w:r w:rsidR="007A3A8A">
        <w:instrText xml:space="preserve"> REF _Ref53496623 \r \h </w:instrText>
      </w:r>
      <w:r w:rsidR="007A3A8A">
        <w:fldChar w:fldCharType="separate"/>
      </w:r>
      <w:r w:rsidR="004E2F67">
        <w:t>7.2</w:t>
      </w:r>
      <w:r w:rsidR="007A3A8A">
        <w:fldChar w:fldCharType="end"/>
      </w:r>
      <w:r w:rsidR="00630A20">
        <w:t xml:space="preserve"> below.</w:t>
      </w:r>
    </w:p>
    <w:p w14:paraId="770B334D" w14:textId="71A09F22" w:rsidR="00630A20" w:rsidRDefault="0056143C" w:rsidP="00752FDD">
      <w:pPr>
        <w:pStyle w:val="ListNumber"/>
      </w:pPr>
      <w:r>
        <w:t xml:space="preserve">The Court would also consider </w:t>
      </w:r>
      <w:r w:rsidR="00E57740">
        <w:t>whether it was satisfied, on the balance of probabilities, that each of the proposed conditions was reasonably necessary, and reasonably appropriate and adapted</w:t>
      </w:r>
      <w:r w:rsidR="0022207B">
        <w:t>, for the purpose of protecting the community from that unacceptable risk.</w:t>
      </w:r>
      <w:r w:rsidR="00807E8D">
        <w:t xml:space="preserve">  This is substantially the same </w:t>
      </w:r>
      <w:r w:rsidR="00831A95">
        <w:t xml:space="preserve">test </w:t>
      </w:r>
      <w:r w:rsidR="00807E8D">
        <w:t xml:space="preserve">that currently exists for </w:t>
      </w:r>
      <w:r w:rsidR="00BD46E5">
        <w:t xml:space="preserve">control orders (subject to </w:t>
      </w:r>
      <w:r w:rsidR="004F4E3A">
        <w:t xml:space="preserve">the </w:t>
      </w:r>
      <w:r w:rsidR="007C1270">
        <w:t xml:space="preserve">assessment of the conditions against the </w:t>
      </w:r>
      <w:r w:rsidR="004F4E3A">
        <w:t>different purpose</w:t>
      </w:r>
      <w:r w:rsidR="0001364B">
        <w:t>s</w:t>
      </w:r>
      <w:r w:rsidR="004F4E3A">
        <w:t xml:space="preserve"> of each regime). </w:t>
      </w:r>
    </w:p>
    <w:p w14:paraId="6D8768D8" w14:textId="62B1BBD6" w:rsidR="00791500" w:rsidRDefault="00920DDC" w:rsidP="00752FDD">
      <w:pPr>
        <w:pStyle w:val="ListNumber"/>
      </w:pPr>
      <w:r>
        <w:t>In ea</w:t>
      </w:r>
      <w:r w:rsidR="00F3078C">
        <w:t>ch kind of application, t</w:t>
      </w:r>
      <w:r>
        <w:t xml:space="preserve">he onus is on the Minister </w:t>
      </w:r>
      <w:r w:rsidR="00F3078C">
        <w:t>to satisfy the Court to the relevant standard.</w:t>
      </w:r>
    </w:p>
    <w:p w14:paraId="261804B7" w14:textId="3938D73A" w:rsidR="0021110A" w:rsidRDefault="00291562" w:rsidP="00752FDD">
      <w:pPr>
        <w:pStyle w:val="ListNumber"/>
      </w:pPr>
      <w:r>
        <w:t xml:space="preserve">As with a CDO, an ESO may be in force for up to </w:t>
      </w:r>
      <w:r w:rsidR="00F6532C">
        <w:t>three</w:t>
      </w:r>
      <w:r>
        <w:t xml:space="preserve"> years at a time and multiple ESOs may be granted in relation to the same offender.</w:t>
      </w:r>
    </w:p>
    <w:p w14:paraId="75FEB01E" w14:textId="3C4496EE" w:rsidR="00345BAE" w:rsidRDefault="00345BAE" w:rsidP="00345BAE">
      <w:pPr>
        <w:pStyle w:val="Heading1"/>
      </w:pPr>
      <w:bookmarkStart w:id="17" w:name="_Toc54876152"/>
      <w:r>
        <w:t xml:space="preserve">Proposed amendments to the </w:t>
      </w:r>
      <w:r w:rsidR="00C52B84">
        <w:t>extended supervision order regime</w:t>
      </w:r>
      <w:bookmarkEnd w:id="17"/>
    </w:p>
    <w:p w14:paraId="634B3160" w14:textId="217EDBC6" w:rsidR="00345BAE" w:rsidRDefault="000E7B05" w:rsidP="00E422CF">
      <w:pPr>
        <w:pStyle w:val="ListNumber"/>
      </w:pPr>
      <w:r>
        <w:t xml:space="preserve">As noted above, the Commission’s primary recommendations would require </w:t>
      </w:r>
      <w:r w:rsidR="00C240F1">
        <w:t xml:space="preserve">substantial amendments to the Bill.  The preferable course would be for the PJCIS to make </w:t>
      </w:r>
      <w:r w:rsidR="000675FA">
        <w:t xml:space="preserve">recommendations </w:t>
      </w:r>
      <w:proofErr w:type="gramStart"/>
      <w:r w:rsidR="000675FA">
        <w:t>in the nature of high</w:t>
      </w:r>
      <w:r w:rsidR="00E55392">
        <w:t>-</w:t>
      </w:r>
      <w:r w:rsidR="000675FA">
        <w:t>level</w:t>
      </w:r>
      <w:proofErr w:type="gramEnd"/>
      <w:r w:rsidR="000675FA">
        <w:t xml:space="preserve"> drafting instructions and </w:t>
      </w:r>
      <w:r w:rsidR="005D4845">
        <w:t xml:space="preserve">for the drafting process </w:t>
      </w:r>
      <w:r w:rsidR="00E55392">
        <w:t xml:space="preserve">for this Bill </w:t>
      </w:r>
      <w:r w:rsidR="005D4845">
        <w:t>to start again</w:t>
      </w:r>
      <w:r w:rsidR="00E55392">
        <w:t>.</w:t>
      </w:r>
    </w:p>
    <w:p w14:paraId="4A22F32D" w14:textId="3429E463" w:rsidR="00E55392" w:rsidRDefault="008B335C" w:rsidP="00E422CF">
      <w:pPr>
        <w:pStyle w:val="ListNumber"/>
      </w:pPr>
      <w:r>
        <w:t xml:space="preserve">The </w:t>
      </w:r>
      <w:r w:rsidR="000A1B7A">
        <w:t>discussion below engages with the detail of the current Bill and is in</w:t>
      </w:r>
      <w:r w:rsidR="007E1B73">
        <w:t xml:space="preserve"> the alternative to the Commission’s primary position.</w:t>
      </w:r>
    </w:p>
    <w:p w14:paraId="462B84DA" w14:textId="6BC397D3" w:rsidR="007E1B73" w:rsidRDefault="00853FBA" w:rsidP="00E422CF">
      <w:pPr>
        <w:pStyle w:val="ListNumber"/>
      </w:pPr>
      <w:r>
        <w:t>It should be emphasised</w:t>
      </w:r>
      <w:r w:rsidR="0001716E">
        <w:t xml:space="preserve"> that the Bill </w:t>
      </w:r>
      <w:r w:rsidR="00D914DD">
        <w:t xml:space="preserve">departs in material respects from the model recommended by the third INSLM </w:t>
      </w:r>
      <w:r w:rsidR="00BB7FC3">
        <w:t xml:space="preserve">in 2017 </w:t>
      </w:r>
      <w:r w:rsidR="00D914DD">
        <w:t xml:space="preserve">and endorsed by the PJCIS </w:t>
      </w:r>
      <w:r w:rsidR="00BB7FC3">
        <w:t xml:space="preserve">and the Australian Government </w:t>
      </w:r>
      <w:r w:rsidR="00D914DD">
        <w:t xml:space="preserve">in </w:t>
      </w:r>
      <w:r w:rsidR="00BB7FC3">
        <w:t>2018.</w:t>
      </w:r>
      <w:r>
        <w:t xml:space="preserve"> </w:t>
      </w:r>
      <w:r w:rsidR="0040159B">
        <w:t xml:space="preserve"> </w:t>
      </w:r>
      <w:r>
        <w:t xml:space="preserve">In other words, </w:t>
      </w:r>
      <w:r w:rsidR="001E3F85">
        <w:t xml:space="preserve">it appears that </w:t>
      </w:r>
      <w:r>
        <w:t>the Government has changed its position since issuing its response to the third INSLM’s 2017 report.</w:t>
      </w:r>
      <w:r w:rsidR="002E526D">
        <w:t xml:space="preserve">  Given that only two years have passed since the Government set out its position, at the very least it would be important to understand why that </w:t>
      </w:r>
      <w:r w:rsidR="006D0A17">
        <w:t xml:space="preserve">position </w:t>
      </w:r>
      <w:r w:rsidR="002E526D">
        <w:t>appears to have changed in ways that lessen a number of human rights protections.</w:t>
      </w:r>
    </w:p>
    <w:p w14:paraId="61C4476C" w14:textId="20E022A4" w:rsidR="00BB7FC3" w:rsidRDefault="00943A6C" w:rsidP="00E422CF">
      <w:pPr>
        <w:pStyle w:val="ListNumber"/>
      </w:pPr>
      <w:r>
        <w:t>Key differences relate to:</w:t>
      </w:r>
    </w:p>
    <w:p w14:paraId="519DB4C2" w14:textId="03DE94D3" w:rsidR="00943A6C" w:rsidRDefault="00943A6C" w:rsidP="00943A6C">
      <w:pPr>
        <w:pStyle w:val="ListNumber"/>
        <w:numPr>
          <w:ilvl w:val="0"/>
          <w:numId w:val="39"/>
        </w:numPr>
      </w:pPr>
      <w:r>
        <w:t xml:space="preserve">The scope of </w:t>
      </w:r>
      <w:r w:rsidR="00863CB4">
        <w:t>the regime, in terms of who it applies to</w:t>
      </w:r>
      <w:r>
        <w:t>.</w:t>
      </w:r>
    </w:p>
    <w:p w14:paraId="08F48FBF" w14:textId="7B08D8D5" w:rsidR="00943A6C" w:rsidRDefault="009F661C" w:rsidP="00943A6C">
      <w:pPr>
        <w:pStyle w:val="ListNumber"/>
        <w:numPr>
          <w:ilvl w:val="0"/>
          <w:numId w:val="39"/>
        </w:numPr>
      </w:pPr>
      <w:r>
        <w:t xml:space="preserve">The </w:t>
      </w:r>
      <w:r w:rsidR="00325A14">
        <w:t xml:space="preserve">‘balance of probabilities’ </w:t>
      </w:r>
      <w:r w:rsidR="00EF5FF5">
        <w:t xml:space="preserve">standard </w:t>
      </w:r>
      <w:r>
        <w:t>for making an ESO.</w:t>
      </w:r>
    </w:p>
    <w:p w14:paraId="592F6CB5" w14:textId="55C22CF8" w:rsidR="00EA5023" w:rsidRDefault="00325A14" w:rsidP="00943A6C">
      <w:pPr>
        <w:pStyle w:val="ListNumber"/>
        <w:numPr>
          <w:ilvl w:val="0"/>
          <w:numId w:val="39"/>
        </w:numPr>
      </w:pPr>
      <w:r>
        <w:t>The range of conditions that may be imposed under an ESO.</w:t>
      </w:r>
    </w:p>
    <w:p w14:paraId="59059A5D" w14:textId="7F81022D" w:rsidR="009F661C" w:rsidRDefault="00434093" w:rsidP="00943A6C">
      <w:pPr>
        <w:pStyle w:val="ListNumber"/>
        <w:numPr>
          <w:ilvl w:val="0"/>
          <w:numId w:val="39"/>
        </w:numPr>
      </w:pPr>
      <w:r>
        <w:t xml:space="preserve">The lack of a requirement to consider the impact of an ESO on the </w:t>
      </w:r>
      <w:r w:rsidR="00B94148">
        <w:t xml:space="preserve">circumstances of the </w:t>
      </w:r>
      <w:r w:rsidR="002D474E">
        <w:t>person in respect of whom the ESO is made</w:t>
      </w:r>
      <w:r w:rsidR="00B94148">
        <w:t>.</w:t>
      </w:r>
    </w:p>
    <w:p w14:paraId="6D735D59" w14:textId="53BB9BAA" w:rsidR="00325A14" w:rsidRDefault="00325A14" w:rsidP="00943A6C">
      <w:pPr>
        <w:pStyle w:val="ListNumber"/>
        <w:numPr>
          <w:ilvl w:val="0"/>
          <w:numId w:val="39"/>
        </w:numPr>
      </w:pPr>
      <w:r>
        <w:t xml:space="preserve">The addition of a </w:t>
      </w:r>
      <w:r w:rsidR="00A37D68">
        <w:t xml:space="preserve">new requirement that the offender </w:t>
      </w:r>
      <w:proofErr w:type="gramStart"/>
      <w:r w:rsidR="00A37D68">
        <w:t>participate</w:t>
      </w:r>
      <w:proofErr w:type="gramEnd"/>
      <w:r w:rsidR="00A37D68">
        <w:t xml:space="preserve"> in assessments with an expert chosen by the Minister, which duplicates the </w:t>
      </w:r>
      <w:r w:rsidR="00A37D68">
        <w:lastRenderedPageBreak/>
        <w:t>existing requirement that the offender participate in an assessment with an independent expert chosen by the Court.</w:t>
      </w:r>
    </w:p>
    <w:p w14:paraId="5F4FBB2C" w14:textId="16976137" w:rsidR="00A37D68" w:rsidRDefault="00A37D68" w:rsidP="00943A6C">
      <w:pPr>
        <w:pStyle w:val="ListNumber"/>
        <w:numPr>
          <w:ilvl w:val="0"/>
          <w:numId w:val="39"/>
        </w:numPr>
      </w:pPr>
      <w:r>
        <w:t xml:space="preserve">The </w:t>
      </w:r>
      <w:r w:rsidR="00886A9B">
        <w:t>reduction of ‘use immunity’ for offenders in relation to the compulsory expert assessments.</w:t>
      </w:r>
    </w:p>
    <w:p w14:paraId="470941E9" w14:textId="154404A8" w:rsidR="00B94148" w:rsidRDefault="00C37B7F" w:rsidP="00943A6C">
      <w:pPr>
        <w:pStyle w:val="ListNumber"/>
        <w:numPr>
          <w:ilvl w:val="0"/>
          <w:numId w:val="39"/>
        </w:numPr>
      </w:pPr>
      <w:r>
        <w:t>Rules in relation to the variation of the ESO</w:t>
      </w:r>
      <w:r w:rsidR="008F0BE7">
        <w:t>.</w:t>
      </w:r>
    </w:p>
    <w:p w14:paraId="79CF4C52" w14:textId="5B287A4C" w:rsidR="008F0BE7" w:rsidRPr="008F0BE7" w:rsidRDefault="008F0BE7" w:rsidP="008F0BE7">
      <w:pPr>
        <w:pStyle w:val="ListNumber"/>
      </w:pPr>
      <w:r>
        <w:t>These differences</w:t>
      </w:r>
      <w:r w:rsidR="001B40D9">
        <w:t>, along with a discussion about the consequences of a breach of an ESO,</w:t>
      </w:r>
      <w:r w:rsidR="007A5F4A">
        <w:t xml:space="preserve"> </w:t>
      </w:r>
      <w:r>
        <w:t>are considered in more detail below.</w:t>
      </w:r>
    </w:p>
    <w:p w14:paraId="2B94CFCF" w14:textId="3BC932E7" w:rsidR="00591D96" w:rsidRDefault="007E19D1" w:rsidP="00203C7D">
      <w:pPr>
        <w:pStyle w:val="Heading2"/>
      </w:pPr>
      <w:bookmarkStart w:id="18" w:name="_Toc54876153"/>
      <w:r>
        <w:t xml:space="preserve">Scope of </w:t>
      </w:r>
      <w:r w:rsidR="00591D96">
        <w:t>post-sentence order</w:t>
      </w:r>
      <w:r w:rsidR="00D64CC3">
        <w:t xml:space="preserve"> regime</w:t>
      </w:r>
      <w:bookmarkEnd w:id="18"/>
    </w:p>
    <w:p w14:paraId="090F6DCD" w14:textId="601D3131" w:rsidR="00A07C73" w:rsidRDefault="001504A9" w:rsidP="00591D96">
      <w:pPr>
        <w:pStyle w:val="ListNumber"/>
      </w:pPr>
      <w:r>
        <w:t>The Bill propose</w:t>
      </w:r>
      <w:r w:rsidR="00156C58">
        <w:t>s</w:t>
      </w:r>
      <w:r>
        <w:t xml:space="preserve"> to expand the scope of the </w:t>
      </w:r>
      <w:r w:rsidR="00C70283">
        <w:t xml:space="preserve">PSO </w:t>
      </w:r>
      <w:r w:rsidR="00A07C73">
        <w:t>regime by amending s 105A.3 of the Criminal Code.</w:t>
      </w:r>
    </w:p>
    <w:p w14:paraId="0B688152" w14:textId="0D687D72" w:rsidR="00FC2F42" w:rsidRDefault="00FC2F42" w:rsidP="004057C0">
      <w:pPr>
        <w:pStyle w:val="ListNumber"/>
      </w:pPr>
      <w:r>
        <w:t>At present, a CDO can be made in relation to a person who:</w:t>
      </w:r>
    </w:p>
    <w:p w14:paraId="4B3C1B6A" w14:textId="1577780F" w:rsidR="00FC2F42" w:rsidRDefault="00700DCE" w:rsidP="00FC2F42">
      <w:pPr>
        <w:pStyle w:val="ListNumber"/>
        <w:numPr>
          <w:ilvl w:val="0"/>
          <w:numId w:val="39"/>
        </w:numPr>
      </w:pPr>
      <w:r>
        <w:t>is s</w:t>
      </w:r>
      <w:r w:rsidR="00FC2F42">
        <w:t>er</w:t>
      </w:r>
      <w:r>
        <w:t xml:space="preserve">ving a sentence of imprisonment for a </w:t>
      </w:r>
      <w:proofErr w:type="gramStart"/>
      <w:r>
        <w:t>terrorist offence</w:t>
      </w:r>
      <w:r w:rsidR="00161B4A">
        <w:t>;</w:t>
      </w:r>
      <w:proofErr w:type="gramEnd"/>
    </w:p>
    <w:p w14:paraId="27397FEE" w14:textId="5DDB5FF1" w:rsidR="00700DCE" w:rsidRDefault="00700DCE" w:rsidP="00FC2F42">
      <w:pPr>
        <w:pStyle w:val="ListNumber"/>
        <w:numPr>
          <w:ilvl w:val="0"/>
          <w:numId w:val="39"/>
        </w:numPr>
      </w:pPr>
      <w:r>
        <w:t xml:space="preserve">was serving a sentence of imprisonment for a terrorist offence and is still in custody serving a sentence of imprisonment for </w:t>
      </w:r>
      <w:r w:rsidR="00E67D7B">
        <w:t>another offence</w:t>
      </w:r>
      <w:r w:rsidR="00161B4A">
        <w:t>; or</w:t>
      </w:r>
    </w:p>
    <w:p w14:paraId="4308053C" w14:textId="4DA720A3" w:rsidR="00E67D7B" w:rsidRDefault="00E67D7B" w:rsidP="00FC2F42">
      <w:pPr>
        <w:pStyle w:val="ListNumber"/>
        <w:numPr>
          <w:ilvl w:val="0"/>
          <w:numId w:val="39"/>
        </w:numPr>
      </w:pPr>
      <w:r>
        <w:t>is detained under a CDO.</w:t>
      </w:r>
      <w:r w:rsidR="00B803EA">
        <w:rPr>
          <w:rStyle w:val="EndnoteReference"/>
        </w:rPr>
        <w:endnoteReference w:id="33"/>
      </w:r>
    </w:p>
    <w:p w14:paraId="06DCDEC3" w14:textId="777D8C5C" w:rsidR="004057C0" w:rsidRDefault="004057C0" w:rsidP="004057C0">
      <w:pPr>
        <w:pStyle w:val="ListNumber"/>
      </w:pPr>
      <w:r>
        <w:t xml:space="preserve">The Bill would extend the </w:t>
      </w:r>
      <w:r w:rsidR="0022147A">
        <w:t xml:space="preserve">scope of the regime to </w:t>
      </w:r>
      <w:r w:rsidR="00D81149">
        <w:t xml:space="preserve">also </w:t>
      </w:r>
      <w:r w:rsidR="0022147A">
        <w:t xml:space="preserve">allow a </w:t>
      </w:r>
      <w:r w:rsidR="00C70283">
        <w:t xml:space="preserve">PSO </w:t>
      </w:r>
      <w:r w:rsidR="0022147A">
        <w:t>to be made in relation to a person who</w:t>
      </w:r>
      <w:r w:rsidR="00CE17DA">
        <w:t xml:space="preserve"> is serving a sentence of imprisonment for</w:t>
      </w:r>
      <w:r w:rsidR="0022147A">
        <w:t xml:space="preserve">: </w:t>
      </w:r>
    </w:p>
    <w:p w14:paraId="6CFA8E35" w14:textId="410FAA12" w:rsidR="00FC2F42" w:rsidRDefault="00605A53" w:rsidP="0022147A">
      <w:pPr>
        <w:pStyle w:val="ListNumber"/>
        <w:numPr>
          <w:ilvl w:val="0"/>
          <w:numId w:val="39"/>
        </w:numPr>
      </w:pPr>
      <w:r>
        <w:t xml:space="preserve">a breach </w:t>
      </w:r>
      <w:r w:rsidR="005B1B57">
        <w:t>of an ESO</w:t>
      </w:r>
      <w:r w:rsidR="00BF3DC3">
        <w:t xml:space="preserve"> (</w:t>
      </w:r>
      <w:proofErr w:type="gramStart"/>
      <w:r w:rsidR="00BF3DC3">
        <w:t>provided that</w:t>
      </w:r>
      <w:proofErr w:type="gramEnd"/>
      <w:r w:rsidR="00BF3DC3">
        <w:t xml:space="preserve"> they were charged before the ESO expired, or within 6 months of the breach)</w:t>
      </w:r>
      <w:r w:rsidR="001A11BE">
        <w:t>; or</w:t>
      </w:r>
    </w:p>
    <w:p w14:paraId="5EE7AB80" w14:textId="0C8B8EC8" w:rsidR="0022147A" w:rsidRDefault="00A966B0" w:rsidP="0022147A">
      <w:pPr>
        <w:pStyle w:val="ListNumber"/>
        <w:numPr>
          <w:ilvl w:val="0"/>
          <w:numId w:val="39"/>
        </w:numPr>
      </w:pPr>
      <w:r>
        <w:t>a breach of a control order</w:t>
      </w:r>
      <w:r w:rsidR="00C47BAE">
        <w:t xml:space="preserve"> </w:t>
      </w:r>
      <w:r>
        <w:t xml:space="preserve">that was applied for while the person was in custody for </w:t>
      </w:r>
      <w:r w:rsidR="004E15EF">
        <w:t>a terrorist offence (</w:t>
      </w:r>
      <w:proofErr w:type="gramStart"/>
      <w:r w:rsidR="004E15EF">
        <w:t>provided that</w:t>
      </w:r>
      <w:proofErr w:type="gramEnd"/>
      <w:r w:rsidR="004E15EF">
        <w:t xml:space="preserve"> they were charged before the control order expired, or within 6 months of the breach)</w:t>
      </w:r>
      <w:r w:rsidR="003B58CC">
        <w:t>.</w:t>
      </w:r>
      <w:r w:rsidR="00D81149">
        <w:rPr>
          <w:rStyle w:val="EndnoteReference"/>
        </w:rPr>
        <w:endnoteReference w:id="34"/>
      </w:r>
    </w:p>
    <w:p w14:paraId="0D988323" w14:textId="2833EC71" w:rsidR="003B58CC" w:rsidRPr="003B58CC" w:rsidRDefault="003B58CC" w:rsidP="003B58CC">
      <w:pPr>
        <w:pStyle w:val="ListNumber"/>
      </w:pPr>
      <w:r>
        <w:t xml:space="preserve">The Bill would also extend the scope of the </w:t>
      </w:r>
      <w:r w:rsidR="00FD1836">
        <w:t>regime to allow an ESO to be made in relation to a person who</w:t>
      </w:r>
      <w:r w:rsidR="00AD369D">
        <w:t>:</w:t>
      </w:r>
    </w:p>
    <w:p w14:paraId="79D6F05F" w14:textId="6B0274A1" w:rsidR="000D1625" w:rsidRDefault="009F2753" w:rsidP="0022147A">
      <w:pPr>
        <w:pStyle w:val="ListNumber"/>
        <w:numPr>
          <w:ilvl w:val="0"/>
          <w:numId w:val="39"/>
        </w:numPr>
      </w:pPr>
      <w:r>
        <w:t xml:space="preserve">is subject to an </w:t>
      </w:r>
      <w:proofErr w:type="gramStart"/>
      <w:r>
        <w:t>ESO</w:t>
      </w:r>
      <w:r w:rsidR="000A5E64">
        <w:t>;</w:t>
      </w:r>
      <w:proofErr w:type="gramEnd"/>
    </w:p>
    <w:p w14:paraId="343E2E03" w14:textId="3F4A63A8" w:rsidR="009F2753" w:rsidRDefault="002660BF" w:rsidP="0022147A">
      <w:pPr>
        <w:pStyle w:val="ListNumber"/>
        <w:numPr>
          <w:ilvl w:val="0"/>
          <w:numId w:val="39"/>
        </w:numPr>
      </w:pPr>
      <w:r>
        <w:t xml:space="preserve">is </w:t>
      </w:r>
      <w:r w:rsidR="00C910E3">
        <w:t xml:space="preserve">serving a sentence of imprisonment for another offence </w:t>
      </w:r>
      <w:r w:rsidR="00216046">
        <w:t>and was taken into custody while subject to an ESO</w:t>
      </w:r>
      <w:r w:rsidR="000A5E64">
        <w:t>; or</w:t>
      </w:r>
    </w:p>
    <w:p w14:paraId="338FD925" w14:textId="7E145E63" w:rsidR="00C910E3" w:rsidRDefault="00B0653F" w:rsidP="0022147A">
      <w:pPr>
        <w:pStyle w:val="ListNumber"/>
        <w:numPr>
          <w:ilvl w:val="0"/>
          <w:numId w:val="39"/>
        </w:numPr>
      </w:pPr>
      <w:r>
        <w:t xml:space="preserve">had been convicted of a terrorism offence and </w:t>
      </w:r>
      <w:r w:rsidR="00B00BD7">
        <w:t>is subject to a control order sought</w:t>
      </w:r>
      <w:r>
        <w:t xml:space="preserve"> </w:t>
      </w:r>
      <w:r w:rsidR="00226A91">
        <w:t>before being released (and before these amendments took effect).</w:t>
      </w:r>
      <w:r w:rsidR="002A69EA">
        <w:rPr>
          <w:rStyle w:val="EndnoteReference"/>
        </w:rPr>
        <w:endnoteReference w:id="35"/>
      </w:r>
    </w:p>
    <w:p w14:paraId="60024B53" w14:textId="798B825E" w:rsidR="00B16B20" w:rsidRDefault="00226A91" w:rsidP="0012481D">
      <w:pPr>
        <w:pStyle w:val="ListNumber"/>
      </w:pPr>
      <w:r>
        <w:t xml:space="preserve">In the case of </w:t>
      </w:r>
      <w:r w:rsidR="00FB4BA2">
        <w:t xml:space="preserve">the </w:t>
      </w:r>
      <w:r>
        <w:t xml:space="preserve">last </w:t>
      </w:r>
      <w:r w:rsidR="00FB4BA2">
        <w:t>criteri</w:t>
      </w:r>
      <w:r w:rsidR="006E4101">
        <w:t>on</w:t>
      </w:r>
      <w:r w:rsidR="00B95721">
        <w:t>, this would permit an ESO to be made in relation to the</w:t>
      </w:r>
      <w:r w:rsidR="00946AE7">
        <w:t xml:space="preserve"> eight people who are currently </w:t>
      </w:r>
      <w:r w:rsidR="006755A5">
        <w:t xml:space="preserve">subject to control orders </w:t>
      </w:r>
      <w:r w:rsidR="00526130">
        <w:t>after being released from custody after serving a sentence of imprisonment for a terrorism offence</w:t>
      </w:r>
      <w:r w:rsidR="00B65DCF">
        <w:t>, provided that</w:t>
      </w:r>
      <w:r w:rsidR="00463DD7">
        <w:t xml:space="preserve"> </w:t>
      </w:r>
      <w:r w:rsidR="00B16B20">
        <w:t>the control order ha</w:t>
      </w:r>
      <w:r w:rsidR="001B759C">
        <w:t>d</w:t>
      </w:r>
      <w:r w:rsidR="00B16B20">
        <w:t xml:space="preserve"> not expired by the time the Bill is passed</w:t>
      </w:r>
      <w:r w:rsidR="00463DD7">
        <w:t xml:space="preserve">.  </w:t>
      </w:r>
      <w:r w:rsidR="0012481D">
        <w:t xml:space="preserve">These people are listed in rows 2 to 9 of Appendix A.  </w:t>
      </w:r>
      <w:r w:rsidR="00463DD7">
        <w:t xml:space="preserve">Although in three cases </w:t>
      </w:r>
      <w:r w:rsidR="0043522E">
        <w:t xml:space="preserve">the control order was not obtained until after the person was released </w:t>
      </w:r>
      <w:r w:rsidR="0043522E">
        <w:lastRenderedPageBreak/>
        <w:t>from detention</w:t>
      </w:r>
      <w:r w:rsidR="0012481D">
        <w:t>, in each case the control order was sought while the person was still in detention.</w:t>
      </w:r>
    </w:p>
    <w:p w14:paraId="437C120A" w14:textId="624285CC" w:rsidR="00AF587A" w:rsidRDefault="00AF587A" w:rsidP="0012481D">
      <w:pPr>
        <w:pStyle w:val="ListNumber"/>
      </w:pPr>
      <w:r>
        <w:t xml:space="preserve">In general terms, the proposed extension of the regime is relatively limited and still requires a </w:t>
      </w:r>
      <w:r w:rsidR="00915AD9">
        <w:t>temporal nexus and some degree of continuity with the commission of a relevant terrorism offence.</w:t>
      </w:r>
      <w:r w:rsidR="00117B0E">
        <w:t xml:space="preserve">  It appears open to find that </w:t>
      </w:r>
      <w:r w:rsidR="00236CFF">
        <w:t xml:space="preserve">these amendments are </w:t>
      </w:r>
      <w:r w:rsidR="00117B0E">
        <w:t xml:space="preserve">directed towards the legitimate purpose </w:t>
      </w:r>
      <w:r w:rsidR="003E7458">
        <w:t xml:space="preserve">of protecting the </w:t>
      </w:r>
      <w:r w:rsidR="00AA7E23">
        <w:t>community</w:t>
      </w:r>
      <w:r w:rsidR="003E7458">
        <w:t xml:space="preserve"> from a serious Part 5.3 </w:t>
      </w:r>
      <w:proofErr w:type="gramStart"/>
      <w:r w:rsidR="003E7458">
        <w:t>offence, and</w:t>
      </w:r>
      <w:proofErr w:type="gramEnd"/>
      <w:r w:rsidR="003E7458">
        <w:t xml:space="preserve"> </w:t>
      </w:r>
      <w:r w:rsidR="00997381">
        <w:t xml:space="preserve">are </w:t>
      </w:r>
      <w:r w:rsidR="003E7458">
        <w:t>proportionate to that purpose.</w:t>
      </w:r>
    </w:p>
    <w:p w14:paraId="5F47AFAF" w14:textId="53B9914A" w:rsidR="000D1625" w:rsidRPr="000D1625" w:rsidRDefault="003A45E9" w:rsidP="000D1625">
      <w:pPr>
        <w:pStyle w:val="ListNumber"/>
      </w:pPr>
      <w:r>
        <w:t>However, as the Commission has previously recommended, the</w:t>
      </w:r>
      <w:r w:rsidR="005E2EE7">
        <w:t xml:space="preserve"> scope of offences that bring a person within this regime in the first place should be narrowed to </w:t>
      </w:r>
      <w:r w:rsidR="00E50A7C">
        <w:t xml:space="preserve">ensure that </w:t>
      </w:r>
      <w:r w:rsidR="002D3449">
        <w:t xml:space="preserve">it only includes offences where the nature of the offence gives rise to an inference that there would be a high risk to community safety once a person is released after serving their term of imprisonment.  </w:t>
      </w:r>
      <w:r w:rsidR="000D1625" w:rsidRPr="000D1625">
        <w:t>The Commission reiterates Recommendation 9 in its recent submission to the PJCIS in its Review of AFP Powers that the offence in s 119.2 of the Criminal Code (entering, or remaining in, declared areas) be excluded from the definition of ‘terrorist offender’.  The reasons for this are set out at [259]</w:t>
      </w:r>
      <w:proofErr w:type="gramStart"/>
      <w:r w:rsidR="00CC2014">
        <w:t>–</w:t>
      </w:r>
      <w:r w:rsidR="000D1625" w:rsidRPr="000D1625">
        <w:t>[</w:t>
      </w:r>
      <w:proofErr w:type="gramEnd"/>
      <w:r w:rsidR="000D1625" w:rsidRPr="000D1625">
        <w:t>266] of that submission.</w:t>
      </w:r>
      <w:r w:rsidR="000D1625" w:rsidRPr="000D1625">
        <w:rPr>
          <w:rStyle w:val="EndnoteReference"/>
          <w:szCs w:val="20"/>
        </w:rPr>
        <w:endnoteReference w:id="36"/>
      </w:r>
    </w:p>
    <w:p w14:paraId="5C2BB699" w14:textId="3A8C2D5E" w:rsidR="000D1625" w:rsidRPr="006F2A10" w:rsidRDefault="000D1625" w:rsidP="000D1625">
      <w:pPr>
        <w:pStyle w:val="ListNumber"/>
        <w:keepNext/>
        <w:numPr>
          <w:ilvl w:val="0"/>
          <w:numId w:val="0"/>
        </w:numPr>
        <w:ind w:left="1094"/>
        <w:rPr>
          <w:b/>
          <w:bCs/>
        </w:rPr>
      </w:pPr>
      <w:r w:rsidRPr="006F2A10">
        <w:rPr>
          <w:b/>
          <w:bCs/>
        </w:rPr>
        <w:t xml:space="preserve">Recommendation </w:t>
      </w:r>
      <w:r w:rsidR="00927298">
        <w:rPr>
          <w:b/>
          <w:bCs/>
        </w:rPr>
        <w:t>4</w:t>
      </w:r>
    </w:p>
    <w:p w14:paraId="6F99613C" w14:textId="18E28EED" w:rsidR="004057C0" w:rsidRDefault="000D1625" w:rsidP="008B7559">
      <w:pPr>
        <w:pStyle w:val="ListNumber"/>
        <w:numPr>
          <w:ilvl w:val="0"/>
          <w:numId w:val="0"/>
        </w:numPr>
        <w:ind w:left="1094"/>
      </w:pPr>
      <w:r>
        <w:t>The Commission recommends that the offence in s 119.2 of the Criminal Code (entering, or remaining in, declared areas) be excluded from the definition of ‘terrorist offender’ in proposed s 105A.3(1)(a) of the Criminal Code, with the effect that a person convicted for such an offence is not liable for a post-sentence order.</w:t>
      </w:r>
    </w:p>
    <w:p w14:paraId="5EBB43CF" w14:textId="5626A9BE" w:rsidR="00923960" w:rsidRPr="001E0D65" w:rsidRDefault="00086AAE" w:rsidP="00923960">
      <w:pPr>
        <w:pStyle w:val="Heading2"/>
      </w:pPr>
      <w:bookmarkStart w:id="19" w:name="_Ref53496623"/>
      <w:bookmarkStart w:id="20" w:name="_Toc54876154"/>
      <w:r>
        <w:t>Standard of proof</w:t>
      </w:r>
      <w:bookmarkEnd w:id="19"/>
      <w:bookmarkEnd w:id="20"/>
    </w:p>
    <w:p w14:paraId="51254AA5" w14:textId="77777777" w:rsidR="00923960" w:rsidRDefault="00923960" w:rsidP="00923960">
      <w:pPr>
        <w:pStyle w:val="ListNumber"/>
      </w:pPr>
      <w:r>
        <w:t>The Bill proposes a lower standard of proof to obtain an ESO than is currently required to obtain a CDO.</w:t>
      </w:r>
    </w:p>
    <w:p w14:paraId="1EAD6BBE" w14:textId="08688671" w:rsidR="00923960" w:rsidRPr="00FB4F65" w:rsidRDefault="00923960" w:rsidP="00923960">
      <w:pPr>
        <w:pStyle w:val="ListNumber"/>
      </w:pPr>
      <w:r>
        <w:t>This issue was given detailed consideration by t</w:t>
      </w:r>
      <w:r w:rsidRPr="00FB4F65">
        <w:t xml:space="preserve">he third INSLM </w:t>
      </w:r>
      <w:r>
        <w:t xml:space="preserve">who </w:t>
      </w:r>
      <w:r w:rsidRPr="00FB4F65">
        <w:t xml:space="preserve">recommended that </w:t>
      </w:r>
      <w:r>
        <w:t xml:space="preserve">the threshold for making </w:t>
      </w:r>
      <w:r w:rsidRPr="00FB4F65">
        <w:t xml:space="preserve">an ESO </w:t>
      </w:r>
      <w:r>
        <w:t xml:space="preserve">should be the same as the threshold for making a CDO, namely, that the Court </w:t>
      </w:r>
      <w:r w:rsidR="00537191">
        <w:t>be</w:t>
      </w:r>
      <w:r>
        <w:t xml:space="preserve"> ‘satisfied to a high degree of probability, on the basis of admissible evidence, that the offender poses an unacceptable risk of committing a serious Part 5.3 offence if the offender is released into the community’ without the order being made.</w:t>
      </w:r>
      <w:r w:rsidRPr="00FB4F65">
        <w:rPr>
          <w:rStyle w:val="EndnoteReference"/>
          <w:szCs w:val="20"/>
        </w:rPr>
        <w:endnoteReference w:id="37"/>
      </w:r>
      <w:r w:rsidRPr="00FB4F65">
        <w:t xml:space="preserve">  </w:t>
      </w:r>
    </w:p>
    <w:p w14:paraId="7E0B1CA7" w14:textId="77777777" w:rsidR="00923960" w:rsidRDefault="00923960" w:rsidP="00923960">
      <w:pPr>
        <w:pStyle w:val="ListNumber"/>
      </w:pPr>
      <w:r>
        <w:t>This recommendation by the INSLM was specifically supported by the Australian Government.</w:t>
      </w:r>
      <w:r>
        <w:rPr>
          <w:rStyle w:val="EndnoteReference"/>
        </w:rPr>
        <w:endnoteReference w:id="38"/>
      </w:r>
      <w:r>
        <w:t xml:space="preserve"> </w:t>
      </w:r>
    </w:p>
    <w:p w14:paraId="0B57418F" w14:textId="77777777" w:rsidR="00923960" w:rsidRDefault="00923960" w:rsidP="00923960">
      <w:pPr>
        <w:pStyle w:val="ListNumber"/>
      </w:pPr>
      <w:r>
        <w:t xml:space="preserve">However, the Bill departs from this recommendation by proposing that an ESO could be made on the ordinary civil standard of ‘balance of </w:t>
      </w:r>
      <w:proofErr w:type="gramStart"/>
      <w:r>
        <w:t>probabilities’</w:t>
      </w:r>
      <w:proofErr w:type="gramEnd"/>
      <w:r>
        <w:t>.</w:t>
      </w:r>
      <w:r>
        <w:rPr>
          <w:rStyle w:val="EndnoteReference"/>
        </w:rPr>
        <w:endnoteReference w:id="39"/>
      </w:r>
    </w:p>
    <w:p w14:paraId="2D7ACD69" w14:textId="6CE0058F" w:rsidR="00923960" w:rsidRDefault="00923960" w:rsidP="00923960">
      <w:pPr>
        <w:pStyle w:val="ListNumber"/>
      </w:pPr>
      <w:r>
        <w:t xml:space="preserve">There is little explanation in the Explanatory Memorandum for why this </w:t>
      </w:r>
      <w:r w:rsidR="00DA34A1">
        <w:t xml:space="preserve">standard of proof </w:t>
      </w:r>
      <w:r>
        <w:t xml:space="preserve">was chosen.  The EM notes that a balance of probabilities standard applies in control order proceedings and that an ESO is a less restrictive measure </w:t>
      </w:r>
      <w:r>
        <w:lastRenderedPageBreak/>
        <w:t>than a CDO.</w:t>
      </w:r>
      <w:r>
        <w:rPr>
          <w:rStyle w:val="EndnoteReference"/>
        </w:rPr>
        <w:endnoteReference w:id="40"/>
      </w:r>
      <w:r>
        <w:t xml:space="preserve">  However, the INSLM specifically considered, and rejected, the option of using the </w:t>
      </w:r>
      <w:r w:rsidR="00BE40F7">
        <w:t xml:space="preserve">balance of probabilities standard of proof, as applies to </w:t>
      </w:r>
      <w:r>
        <w:t>control order</w:t>
      </w:r>
      <w:r w:rsidR="00464295">
        <w:t>s</w:t>
      </w:r>
      <w:r w:rsidR="00BE40F7">
        <w:t>,</w:t>
      </w:r>
      <w:r>
        <w:t xml:space="preserve"> </w:t>
      </w:r>
      <w:r w:rsidR="00BE40F7">
        <w:t xml:space="preserve">in respect of </w:t>
      </w:r>
      <w:r>
        <w:t xml:space="preserve">ESOs, noting that the difference in </w:t>
      </w:r>
      <w:r w:rsidR="00BE40F7">
        <w:t xml:space="preserve">standards </w:t>
      </w:r>
      <w:r>
        <w:t>and associated assessments ‘is consistent with the differing nature of the risk that the respective regimes are designed to address’.</w:t>
      </w:r>
      <w:r w:rsidRPr="00FB4F65">
        <w:rPr>
          <w:rStyle w:val="EndnoteReference"/>
          <w:szCs w:val="20"/>
        </w:rPr>
        <w:endnoteReference w:id="41"/>
      </w:r>
      <w:r>
        <w:t xml:space="preserve"> </w:t>
      </w:r>
    </w:p>
    <w:p w14:paraId="2ACA2584" w14:textId="464DF270" w:rsidR="000A0A04" w:rsidRDefault="00BE40F7" w:rsidP="00923960">
      <w:pPr>
        <w:pStyle w:val="ListNumber"/>
      </w:pPr>
      <w:r>
        <w:t xml:space="preserve">Ordinarily, a court will punish an individual, by ordering that they be detained or in some other way </w:t>
      </w:r>
      <w:r w:rsidR="000A0A04">
        <w:t>restricting</w:t>
      </w:r>
      <w:r>
        <w:t xml:space="preserve"> their rights, only following proof that the individual committed </w:t>
      </w:r>
      <w:r w:rsidR="00C124D9">
        <w:t>a</w:t>
      </w:r>
      <w:r w:rsidR="00593393">
        <w:t xml:space="preserve"> relevant offence on the basis of the exacting criminal standard—‘beyond reasonable doubt’.  The criminal standard of proof is difficult to satisfy, because in our liberal democratic system the prospect of an innocent person being wrongly punished is rightly viewed with revulsion.  The criminal standard of proof offers an important protection against wrongful conviction and punishment. </w:t>
      </w:r>
    </w:p>
    <w:p w14:paraId="3F88B35A" w14:textId="26732FB4" w:rsidR="00BF0AC9" w:rsidRDefault="000A5CC1" w:rsidP="00923960">
      <w:pPr>
        <w:pStyle w:val="ListNumber"/>
      </w:pPr>
      <w:r>
        <w:t xml:space="preserve">Where detention </w:t>
      </w:r>
      <w:r w:rsidR="005B2D62">
        <w:t xml:space="preserve">or other restrictions </w:t>
      </w:r>
      <w:r w:rsidR="00593393">
        <w:t>are imposed</w:t>
      </w:r>
      <w:r w:rsidR="000C398D">
        <w:t xml:space="preserve"> on a person</w:t>
      </w:r>
      <w:r w:rsidR="00593393">
        <w:t xml:space="preserve"> for reasons other than punishment following conviction for an offence</w:t>
      </w:r>
      <w:r w:rsidR="003B3919">
        <w:t>, then a lower standard of proof typically applies</w:t>
      </w:r>
      <w:r w:rsidR="00593393">
        <w:t xml:space="preserve">. </w:t>
      </w:r>
      <w:r w:rsidR="000A0A04">
        <w:t xml:space="preserve"> However, whether imposed as punishment for commission of an offence or for another reason, the effects of detention and other such restrictions are severe, and so it remains vital that such restrictions are not imposed wrongly.  Lowering the standard of proof increases the risk of error; the more the standard is lowered, the greater that risk. </w:t>
      </w:r>
    </w:p>
    <w:p w14:paraId="790AD465" w14:textId="4CFA1052" w:rsidR="004A08C2" w:rsidRDefault="000757E8" w:rsidP="00923960">
      <w:pPr>
        <w:pStyle w:val="ListNumber"/>
      </w:pPr>
      <w:r>
        <w:t>It is important that</w:t>
      </w:r>
      <w:r w:rsidR="00BF0AC9">
        <w:t xml:space="preserve"> a court be very confident in the correctness of any decision to impose a PSO</w:t>
      </w:r>
      <w:r w:rsidR="005B2560">
        <w:t xml:space="preserve"> on an offender at the end of their criminal sentence</w:t>
      </w:r>
      <w:r w:rsidR="00BF0AC9">
        <w:t xml:space="preserve">.  While there may be pragmatic reasons to support a lower standard of proof than beyond reasonable doubt, the standard chosen for a PSO should reflect the seriousness of the decision making and the consequences of error.  This is true regardless of whether </w:t>
      </w:r>
      <w:r w:rsidR="00923960">
        <w:t xml:space="preserve">a </w:t>
      </w:r>
      <w:r w:rsidR="00EA32B8">
        <w:t>PSO</w:t>
      </w:r>
      <w:r w:rsidR="00BF0AC9">
        <w:t xml:space="preserve"> leads to </w:t>
      </w:r>
      <w:r w:rsidR="00417D53">
        <w:t xml:space="preserve">the </w:t>
      </w:r>
      <w:r w:rsidR="00BF0AC9">
        <w:t xml:space="preserve">individual being detained </w:t>
      </w:r>
      <w:r w:rsidR="00923960">
        <w:t xml:space="preserve">or </w:t>
      </w:r>
      <w:r w:rsidR="00F52828">
        <w:t>to the imposition of</w:t>
      </w:r>
      <w:r w:rsidR="00BF0AC9">
        <w:t xml:space="preserve"> conditions on </w:t>
      </w:r>
      <w:r w:rsidR="00F52828">
        <w:t>what the individual may do</w:t>
      </w:r>
      <w:r w:rsidR="00BF0AC9">
        <w:t xml:space="preserve"> </w:t>
      </w:r>
      <w:r w:rsidR="00923960">
        <w:t xml:space="preserve">in the community.  </w:t>
      </w:r>
    </w:p>
    <w:p w14:paraId="5B271367" w14:textId="3D69FC6A" w:rsidR="00923960" w:rsidRDefault="00F52828" w:rsidP="00923960">
      <w:pPr>
        <w:pStyle w:val="ListNumber"/>
      </w:pPr>
      <w:r>
        <w:t>I</w:t>
      </w:r>
      <w:r w:rsidR="00923960">
        <w:t xml:space="preserve">n every other </w:t>
      </w:r>
      <w:r>
        <w:t xml:space="preserve">jurisdiction </w:t>
      </w:r>
      <w:r w:rsidR="00923960">
        <w:t>in Australia, with the exception of South Australia</w:t>
      </w:r>
      <w:r>
        <w:t xml:space="preserve">, </w:t>
      </w:r>
      <w:r w:rsidR="0006251C">
        <w:t xml:space="preserve">there is </w:t>
      </w:r>
      <w:r>
        <w:t xml:space="preserve">a consistent standard of proof for </w:t>
      </w:r>
      <w:r w:rsidR="002664F6">
        <w:t>the making of</w:t>
      </w:r>
      <w:r>
        <w:t xml:space="preserve"> PSOs regardless of whether the PSO will lead to detention or some other restriction</w:t>
      </w:r>
      <w:r w:rsidR="00923960">
        <w:t>.</w:t>
      </w:r>
      <w:r w:rsidR="00923960">
        <w:rPr>
          <w:rStyle w:val="EndnoteReference"/>
        </w:rPr>
        <w:endnoteReference w:id="42"/>
      </w:r>
      <w:r w:rsidR="00923960">
        <w:t xml:space="preserve">  </w:t>
      </w:r>
      <w:r w:rsidR="00521451">
        <w:t>All of th</w:t>
      </w:r>
      <w:r>
        <w:t>ose jurisdictions</w:t>
      </w:r>
      <w:r w:rsidR="00521451">
        <w:t xml:space="preserve"> require </w:t>
      </w:r>
      <w:r w:rsidR="00BC568F">
        <w:t>satisfaction to a ‘high degree of probability</w:t>
      </w:r>
      <w:r w:rsidR="007E0FE3">
        <w:t xml:space="preserve">’ and apply this </w:t>
      </w:r>
      <w:r w:rsidR="00687746">
        <w:t xml:space="preserve">standard </w:t>
      </w:r>
      <w:r w:rsidR="007E0FE3">
        <w:t>to the making of both CDOs and ESOs</w:t>
      </w:r>
      <w:r w:rsidR="00BC568F">
        <w:t xml:space="preserve">.  </w:t>
      </w:r>
      <w:r w:rsidR="00923960">
        <w:t>(South Australia has a unique regime where a person can only be subject to a CDO if they breach a term of an ESO while in the community, and they may only be detained for the remainder of the period of the ESO.)</w:t>
      </w:r>
      <w:r w:rsidR="00923960">
        <w:rPr>
          <w:rStyle w:val="EndnoteReference"/>
        </w:rPr>
        <w:endnoteReference w:id="43"/>
      </w:r>
    </w:p>
    <w:p w14:paraId="05204398" w14:textId="66E12514" w:rsidR="00923960" w:rsidRDefault="00923960" w:rsidP="00923960">
      <w:pPr>
        <w:pStyle w:val="ListNumber"/>
      </w:pPr>
      <w:r>
        <w:t xml:space="preserve">The Commission considers that the </w:t>
      </w:r>
      <w:r w:rsidR="00687746">
        <w:t xml:space="preserve">standard of proof </w:t>
      </w:r>
      <w:r>
        <w:t xml:space="preserve">proposed in the Bill does not give sufficient weight to the significant restrictions on liberty imposed by the ESO regime.  This is a quasi-criminal regime that, as presently drafted, can impose restrictions on all areas of a person’s life, based on an assessment of their risk of engaging in future criminal activity.  </w:t>
      </w:r>
      <w:r w:rsidR="00564835">
        <w:t xml:space="preserve">Those restrictions may be imposed for up to three years at a time.  </w:t>
      </w:r>
      <w:r>
        <w:t xml:space="preserve">It is appropriate that a standard higher than the usual civil standard be applied for the imposition of such extensive restrictions.  The Commission recommends that the same standard </w:t>
      </w:r>
      <w:r w:rsidR="009F5248">
        <w:t xml:space="preserve">apply </w:t>
      </w:r>
      <w:r>
        <w:t xml:space="preserve">as for a CDO, namely, </w:t>
      </w:r>
      <w:r>
        <w:lastRenderedPageBreak/>
        <w:t xml:space="preserve">satisfaction to a </w:t>
      </w:r>
      <w:r w:rsidR="00C359F0">
        <w:t>‘</w:t>
      </w:r>
      <w:r>
        <w:t xml:space="preserve">high degree of probability’.  </w:t>
      </w:r>
      <w:r w:rsidR="0006251C">
        <w:t xml:space="preserve">This standard remains lower than the criminal standard (beyond reasonable doubt), and so is less difficult to satisfy than would ordinarily be the case in criminal proceedings that could result in an individual being detained or otherwise subject to punishment.  </w:t>
      </w:r>
      <w:r w:rsidR="00B4595F">
        <w:t>A</w:t>
      </w:r>
      <w:r w:rsidR="00C359F0">
        <w:t>s noted above, t</w:t>
      </w:r>
      <w:r>
        <w:t>h</w:t>
      </w:r>
      <w:r w:rsidR="0006251C">
        <w:t>e high degree of probability standard</w:t>
      </w:r>
      <w:r>
        <w:t xml:space="preserve"> is the standard used in every comparable regime in Australia.</w:t>
      </w:r>
    </w:p>
    <w:p w14:paraId="41CDC448" w14:textId="1CA1997B" w:rsidR="00923960" w:rsidRDefault="00923960" w:rsidP="00923960">
      <w:pPr>
        <w:pStyle w:val="ListNumber"/>
      </w:pPr>
      <w:r>
        <w:t xml:space="preserve">Once that </w:t>
      </w:r>
      <w:r w:rsidR="00687746">
        <w:t xml:space="preserve">standard </w:t>
      </w:r>
      <w:r>
        <w:t xml:space="preserve">is met for the application of the regime to a particular offender, the Commission agrees that the imposition of </w:t>
      </w:r>
      <w:proofErr w:type="gramStart"/>
      <w:r>
        <w:t>particular conditions</w:t>
      </w:r>
      <w:proofErr w:type="gramEnd"/>
      <w:r>
        <w:t xml:space="preserve"> should be subject to the proposed balance of probabilities test.  That is, the Court </w:t>
      </w:r>
      <w:r w:rsidR="00687746">
        <w:t>should be</w:t>
      </w:r>
      <w:r>
        <w:t xml:space="preserve"> satisfied on the balance of probabilities that each of the conditions to be imposed on the offender by the order is reasonably necessary, and reasonably appropriate and adapted</w:t>
      </w:r>
      <w:r w:rsidR="00687746">
        <w:t xml:space="preserve"> (or proportionate)</w:t>
      </w:r>
      <w:r>
        <w:t>, for the purpose of protecting the community from that unacceptable risk.</w:t>
      </w:r>
      <w:r>
        <w:rPr>
          <w:rStyle w:val="EndnoteReference"/>
        </w:rPr>
        <w:endnoteReference w:id="44"/>
      </w:r>
    </w:p>
    <w:p w14:paraId="0DEFE27D" w14:textId="2309B121" w:rsidR="00923960" w:rsidRDefault="00923960" w:rsidP="00923960">
      <w:pPr>
        <w:pStyle w:val="ListNumber"/>
      </w:pPr>
      <w:r>
        <w:t>This change would have some impact on the making of an ISO.  The relevant threshold for making an ISO is that the Court is satisfied that there are reasonable grounds for considering that an ESO will be made in relation to the offender.</w:t>
      </w:r>
      <w:r>
        <w:rPr>
          <w:rStyle w:val="EndnoteReference"/>
        </w:rPr>
        <w:endnoteReference w:id="45"/>
      </w:r>
      <w:r>
        <w:t xml:space="preserve">  If the </w:t>
      </w:r>
      <w:r w:rsidR="00687746">
        <w:t xml:space="preserve">standard of proof </w:t>
      </w:r>
      <w:r>
        <w:t xml:space="preserve">for making an ESO is amended as recommended by the Commission, then a Court considering whether to make an ISO would need to be satisfied that there were reasonable grounds for considering that an ESO based on that higher </w:t>
      </w:r>
      <w:r w:rsidR="0020007A">
        <w:t xml:space="preserve">standard </w:t>
      </w:r>
      <w:r>
        <w:t>would be made.</w:t>
      </w:r>
    </w:p>
    <w:p w14:paraId="46D09134" w14:textId="0A04342D" w:rsidR="00923960" w:rsidRPr="00351A42" w:rsidRDefault="00923960" w:rsidP="00923960">
      <w:pPr>
        <w:pStyle w:val="ListNumber"/>
        <w:keepNext/>
        <w:numPr>
          <w:ilvl w:val="0"/>
          <w:numId w:val="0"/>
        </w:numPr>
        <w:ind w:left="1094"/>
        <w:rPr>
          <w:b/>
          <w:bCs/>
        </w:rPr>
      </w:pPr>
      <w:r w:rsidRPr="00351A42">
        <w:rPr>
          <w:b/>
          <w:bCs/>
        </w:rPr>
        <w:t xml:space="preserve">Recommendation </w:t>
      </w:r>
      <w:r w:rsidR="00927298">
        <w:rPr>
          <w:b/>
          <w:bCs/>
        </w:rPr>
        <w:t>5</w:t>
      </w:r>
    </w:p>
    <w:p w14:paraId="4A5F4FC8" w14:textId="6C3B4F5A" w:rsidR="00923960" w:rsidRDefault="00923960" w:rsidP="00923960">
      <w:pPr>
        <w:pStyle w:val="ListNumber"/>
        <w:numPr>
          <w:ilvl w:val="0"/>
          <w:numId w:val="0"/>
        </w:numPr>
        <w:ind w:left="1094"/>
      </w:pPr>
      <w:r>
        <w:t xml:space="preserve">The Commission recommends that the threshold for making an extended supervision order in proposed s 105A.7A(1)(b) </w:t>
      </w:r>
      <w:r w:rsidR="00860818">
        <w:t xml:space="preserve">of the Criminal Code </w:t>
      </w:r>
      <w:r>
        <w:t>be amended to require that the Court be ‘satisfied to a high degree of probability, on the basis of admissible evidence, that the offender poses an unacceptable risk of committing a serious Part 5.3 offence’.</w:t>
      </w:r>
    </w:p>
    <w:p w14:paraId="64B77DD8" w14:textId="099F7E57" w:rsidR="00487697" w:rsidRDefault="00487697" w:rsidP="00203C7D">
      <w:pPr>
        <w:pStyle w:val="Heading2"/>
      </w:pPr>
      <w:bookmarkStart w:id="21" w:name="_Toc54876155"/>
      <w:r>
        <w:t>Conditions</w:t>
      </w:r>
      <w:r w:rsidR="00500F19">
        <w:t xml:space="preserve"> of an extended supervision order</w:t>
      </w:r>
      <w:bookmarkEnd w:id="21"/>
    </w:p>
    <w:p w14:paraId="4A289695" w14:textId="43EA5DB0" w:rsidR="00562491" w:rsidRPr="00FB4F65" w:rsidRDefault="00562491" w:rsidP="00FB4F65">
      <w:pPr>
        <w:pStyle w:val="ListNumber"/>
      </w:pPr>
      <w:r w:rsidRPr="00FB4F65">
        <w:t xml:space="preserve">The third INSLM recommended that if an ESO regime were incorporated into </w:t>
      </w:r>
      <w:proofErr w:type="spellStart"/>
      <w:r w:rsidRPr="00FB4F65">
        <w:t>Div</w:t>
      </w:r>
      <w:proofErr w:type="spellEnd"/>
      <w:r w:rsidRPr="00FB4F65">
        <w:t xml:space="preserve"> 105A, ‘the conditions to which such an order may be subject should be the same as the terms of s 104.5(3)’.</w:t>
      </w:r>
      <w:r w:rsidRPr="00FB4F65">
        <w:rPr>
          <w:rStyle w:val="EndnoteReference"/>
          <w:szCs w:val="20"/>
        </w:rPr>
        <w:endnoteReference w:id="46"/>
      </w:r>
      <w:r w:rsidRPr="00FB4F65">
        <w:t xml:space="preserve">  In making that recommendation, the INSLM had regard to the kinds of conditions that </w:t>
      </w:r>
      <w:r w:rsidR="00D8312B">
        <w:t>could</w:t>
      </w:r>
      <w:r w:rsidRPr="00FB4F65">
        <w:t xml:space="preserve"> be imposed on a person under State and Territory legislation dealing with post-sentence </w:t>
      </w:r>
      <w:r w:rsidR="0056308C">
        <w:t>regimes</w:t>
      </w:r>
      <w:r w:rsidRPr="00FB4F65">
        <w:t xml:space="preserve"> for high-risk</w:t>
      </w:r>
      <w:r w:rsidR="008923E5">
        <w:t xml:space="preserve"> or </w:t>
      </w:r>
      <w:r w:rsidRPr="00FB4F65">
        <w:t>serious sex offenders.</w:t>
      </w:r>
    </w:p>
    <w:p w14:paraId="1225BA82" w14:textId="77777777" w:rsidR="00562491" w:rsidRDefault="00562491" w:rsidP="00562491">
      <w:pPr>
        <w:pStyle w:val="ListNumber"/>
      </w:pPr>
      <w:r>
        <w:t>This recommendation was specifically supported by the Australian Government.</w:t>
      </w:r>
      <w:r>
        <w:rPr>
          <w:rStyle w:val="EndnoteReference"/>
        </w:rPr>
        <w:endnoteReference w:id="47"/>
      </w:r>
      <w:r>
        <w:t xml:space="preserve"> </w:t>
      </w:r>
    </w:p>
    <w:p w14:paraId="5236CA33" w14:textId="4272F08E" w:rsidR="00407160" w:rsidRDefault="00562491" w:rsidP="00562491">
      <w:pPr>
        <w:pStyle w:val="ListNumber"/>
      </w:pPr>
      <w:r>
        <w:t xml:space="preserve">However, the </w:t>
      </w:r>
      <w:r w:rsidR="000110FC">
        <w:t>kinds of conditions that may be imposed under the proposed ESO regime are not limited to the conditions that may be imposed under the control order regime.  Instead, any kind of condition may be imposed under the ESO regime, provided the court making the order is satisfied, on the balance of probabilities, that the condition is reasonably necessary</w:t>
      </w:r>
      <w:r w:rsidR="00C23349">
        <w:t xml:space="preserve">, and reasonably </w:t>
      </w:r>
      <w:r w:rsidR="00C23349">
        <w:lastRenderedPageBreak/>
        <w:t>appropriate and adapted, for the purpose of protecting the community from the unacceptable risk of the offender committing a serious Part 5.3 offence.</w:t>
      </w:r>
      <w:r w:rsidR="00FC0ABB">
        <w:rPr>
          <w:rStyle w:val="EndnoteReference"/>
        </w:rPr>
        <w:endnoteReference w:id="48"/>
      </w:r>
      <w:r w:rsidR="00C23349">
        <w:t xml:space="preserve">  </w:t>
      </w:r>
    </w:p>
    <w:p w14:paraId="4C70C1AD" w14:textId="2404E25C" w:rsidR="00562491" w:rsidRDefault="00C23349" w:rsidP="00562491">
      <w:pPr>
        <w:pStyle w:val="ListNumber"/>
      </w:pPr>
      <w:r>
        <w:t xml:space="preserve">Two non-exhaustive lists of </w:t>
      </w:r>
      <w:r w:rsidR="00407160">
        <w:t>possible conditions, significantly more extensive than the conditions that may be imposed in relation to a control order</w:t>
      </w:r>
      <w:r w:rsidR="00B9641C">
        <w:t>, are included in the Bill.</w:t>
      </w:r>
      <w:r w:rsidR="00073FE7">
        <w:rPr>
          <w:rStyle w:val="EndnoteReference"/>
        </w:rPr>
        <w:endnoteReference w:id="49"/>
      </w:r>
    </w:p>
    <w:p w14:paraId="6A6CA19C" w14:textId="6F485658" w:rsidR="00B11A07" w:rsidRDefault="00B11A07" w:rsidP="00562491">
      <w:pPr>
        <w:pStyle w:val="ListNumber"/>
      </w:pPr>
      <w:r>
        <w:t xml:space="preserve">Some of these conditions are </w:t>
      </w:r>
      <w:r w:rsidR="002F6F67">
        <w:t xml:space="preserve">broadly equivalent to conditions that may be imposed under a control order.  </w:t>
      </w:r>
      <w:r w:rsidR="00030335">
        <w:t>In relation to the first list in s 105A.7B(3), t</w:t>
      </w:r>
      <w:r w:rsidR="002F6F67">
        <w:t xml:space="preserve">hese are conditions </w:t>
      </w:r>
      <w:r w:rsidR="00133FA7">
        <w:t xml:space="preserve">in </w:t>
      </w:r>
      <w:r w:rsidR="00030335">
        <w:t xml:space="preserve">paragraphs </w:t>
      </w:r>
      <w:r w:rsidR="00297147">
        <w:t>(a)(</w:t>
      </w:r>
      <w:proofErr w:type="spellStart"/>
      <w:r w:rsidR="00297147">
        <w:t>i</w:t>
      </w:r>
      <w:proofErr w:type="spellEnd"/>
      <w:r w:rsidR="00297147">
        <w:t xml:space="preserve">) and (ii), </w:t>
      </w:r>
      <w:r w:rsidR="00666A02">
        <w:t xml:space="preserve">(b), (c), </w:t>
      </w:r>
      <w:r w:rsidR="00C905B2">
        <w:t>(d)</w:t>
      </w:r>
      <w:r w:rsidR="006E56A0">
        <w:t>, (h)(</w:t>
      </w:r>
      <w:proofErr w:type="spellStart"/>
      <w:r w:rsidR="006E56A0">
        <w:t>i</w:t>
      </w:r>
      <w:proofErr w:type="spellEnd"/>
      <w:r w:rsidR="006E56A0">
        <w:t xml:space="preserve">) and (ii), </w:t>
      </w:r>
      <w:r w:rsidR="00A02A15">
        <w:t>(</w:t>
      </w:r>
      <w:proofErr w:type="spellStart"/>
      <w:r w:rsidR="00A02A15">
        <w:t>i</w:t>
      </w:r>
      <w:proofErr w:type="spellEnd"/>
      <w:r w:rsidR="00A02A15">
        <w:t xml:space="preserve">), </w:t>
      </w:r>
      <w:r w:rsidR="00FD1FC3">
        <w:t>(j), (k)</w:t>
      </w:r>
      <w:r w:rsidR="008A0E94">
        <w:t xml:space="preserve"> and</w:t>
      </w:r>
      <w:r w:rsidR="00FD1FC3">
        <w:t xml:space="preserve"> </w:t>
      </w:r>
      <w:r w:rsidR="000932A5">
        <w:t>(l)</w:t>
      </w:r>
      <w:r w:rsidR="008A0E94">
        <w:t>.  In relation to the second list in s 105A.7</w:t>
      </w:r>
      <w:r w:rsidR="009D4FC2">
        <w:t xml:space="preserve">B(5), these are the conditions in paragraphs </w:t>
      </w:r>
      <w:r w:rsidR="008877DA">
        <w:t>(b), (c)</w:t>
      </w:r>
      <w:r w:rsidR="001369D8">
        <w:t>, (d)</w:t>
      </w:r>
      <w:r w:rsidR="004427B4">
        <w:t xml:space="preserve"> and</w:t>
      </w:r>
      <w:r w:rsidR="001369D8">
        <w:t xml:space="preserve"> (f)(</w:t>
      </w:r>
      <w:proofErr w:type="spellStart"/>
      <w:r w:rsidR="001369D8">
        <w:t>i</w:t>
      </w:r>
      <w:proofErr w:type="spellEnd"/>
      <w:r w:rsidR="001369D8">
        <w:t>)</w:t>
      </w:r>
      <w:r w:rsidR="004427B4">
        <w:t>.</w:t>
      </w:r>
    </w:p>
    <w:p w14:paraId="45255B70" w14:textId="44D9DBAD" w:rsidR="00CD2D92" w:rsidRDefault="00CD2D92" w:rsidP="00562491">
      <w:pPr>
        <w:pStyle w:val="ListNumber"/>
      </w:pPr>
      <w:r>
        <w:t xml:space="preserve">Other conditions extend significantly beyond the conditions that may be imposed under a control order.  </w:t>
      </w:r>
    </w:p>
    <w:p w14:paraId="74CD4473" w14:textId="22615D7A" w:rsidR="006114CE" w:rsidRDefault="00810D85" w:rsidP="000E753D">
      <w:pPr>
        <w:pStyle w:val="Heading3"/>
      </w:pPr>
      <w:bookmarkStart w:id="22" w:name="_Toc54876156"/>
      <w:r>
        <w:t>General comments</w:t>
      </w:r>
      <w:bookmarkEnd w:id="22"/>
    </w:p>
    <w:p w14:paraId="4CD54D6F" w14:textId="07A70D6D" w:rsidR="000E753D" w:rsidRDefault="000E753D" w:rsidP="005A3BE2">
      <w:pPr>
        <w:pStyle w:val="ListNumber"/>
      </w:pPr>
      <w:r>
        <w:t xml:space="preserve">As noted above, </w:t>
      </w:r>
      <w:r w:rsidR="00CD3161">
        <w:t>the two lists are not exhaustive.</w:t>
      </w:r>
      <w:r w:rsidR="00012685">
        <w:t xml:space="preserve">  The Explanatory Memorandum makes clear that the lists merely contain ‘examples’ of conditions that could be imposed </w:t>
      </w:r>
      <w:r w:rsidR="00E24B22">
        <w:t>and</w:t>
      </w:r>
      <w:r w:rsidR="00012685">
        <w:t xml:space="preserve"> that</w:t>
      </w:r>
      <w:r w:rsidR="00E24B22">
        <w:t>, in practice,</w:t>
      </w:r>
      <w:r w:rsidR="00012685">
        <w:t xml:space="preserve"> </w:t>
      </w:r>
      <w:r w:rsidR="00835D7C">
        <w:t>an ESO ‘</w:t>
      </w:r>
      <w:r w:rsidR="00E24B22">
        <w:t xml:space="preserve">may </w:t>
      </w:r>
      <w:r w:rsidR="00835D7C">
        <w:t>include a very broad range of conditions directed at all aspects of an offender’s life’.</w:t>
      </w:r>
      <w:r w:rsidR="00365B8D">
        <w:rPr>
          <w:rStyle w:val="EndnoteReference"/>
        </w:rPr>
        <w:endnoteReference w:id="50"/>
      </w:r>
    </w:p>
    <w:p w14:paraId="104999C1" w14:textId="65F2E56D" w:rsidR="005A3BE2" w:rsidRDefault="005A3BE2" w:rsidP="005A3BE2">
      <w:pPr>
        <w:pStyle w:val="ListNumber"/>
      </w:pPr>
      <w:r>
        <w:t xml:space="preserve">The fact that </w:t>
      </w:r>
      <w:r w:rsidR="00CD3161">
        <w:t xml:space="preserve">the range of possible </w:t>
      </w:r>
      <w:r>
        <w:t xml:space="preserve">conditions </w:t>
      </w:r>
      <w:r w:rsidR="00CD3161">
        <w:t xml:space="preserve">is </w:t>
      </w:r>
      <w:r>
        <w:t xml:space="preserve">‘at large’ provides a risk that over time they may become more onerous.  Without some legislative limit on these kinds of orders, it will be left to courts to determine the appropriate upper threshold of what are, in essence, civil obligations. </w:t>
      </w:r>
    </w:p>
    <w:p w14:paraId="729C3543" w14:textId="571F5B7B" w:rsidR="005A3BE2" w:rsidRDefault="005A3BE2" w:rsidP="005A3BE2">
      <w:pPr>
        <w:pStyle w:val="ListNumber"/>
      </w:pPr>
      <w:r>
        <w:t xml:space="preserve">The Commission’s </w:t>
      </w:r>
      <w:r w:rsidR="001B0585">
        <w:t>R</w:t>
      </w:r>
      <w:r>
        <w:t xml:space="preserve">ecommendations 5 and 6 in </w:t>
      </w:r>
      <w:r w:rsidR="00A17749">
        <w:t xml:space="preserve">its </w:t>
      </w:r>
      <w:r>
        <w:t xml:space="preserve">submission </w:t>
      </w:r>
      <w:r w:rsidR="00A17749">
        <w:t>to the Review of AFP Powers inquiry by the PJCIS wer</w:t>
      </w:r>
      <w:r>
        <w:t>e directed to amending the nature of the conditions that may be imposed under either control orders or ESOs to ensure that there are proper limits on their scope.</w:t>
      </w:r>
    </w:p>
    <w:p w14:paraId="0DE62DC4" w14:textId="40014A40" w:rsidR="00860396" w:rsidRDefault="007441C2" w:rsidP="00405CCB">
      <w:pPr>
        <w:pStyle w:val="ListNumber"/>
      </w:pPr>
      <w:r>
        <w:t xml:space="preserve">It is not </w:t>
      </w:r>
      <w:r w:rsidR="00624571">
        <w:t xml:space="preserve">a sufficient safeguard </w:t>
      </w:r>
      <w:r>
        <w:t xml:space="preserve">that a Court must find that the </w:t>
      </w:r>
      <w:r w:rsidR="000127B3">
        <w:t xml:space="preserve">particular </w:t>
      </w:r>
      <w:r>
        <w:t xml:space="preserve">requirements to be imposed </w:t>
      </w:r>
      <w:r w:rsidR="000127B3">
        <w:t xml:space="preserve">must be </w:t>
      </w:r>
      <w:r w:rsidR="00AC5F62">
        <w:t xml:space="preserve">reasonably necessary, and reasonably appropriate and adapted, for the purpose of protecting the community from </w:t>
      </w:r>
      <w:r w:rsidR="00F81726">
        <w:t>an unacceptable risk.</w:t>
      </w:r>
      <w:r w:rsidR="00F81726">
        <w:rPr>
          <w:rStyle w:val="EndnoteReference"/>
        </w:rPr>
        <w:endnoteReference w:id="51"/>
      </w:r>
      <w:r w:rsidR="00AE284A">
        <w:t xml:space="preserve">  T</w:t>
      </w:r>
      <w:r w:rsidR="00860396">
        <w:t xml:space="preserve">he fact that particular </w:t>
      </w:r>
      <w:r w:rsidR="00A810F9">
        <w:t xml:space="preserve">examples of </w:t>
      </w:r>
      <w:r w:rsidR="00860396">
        <w:t xml:space="preserve">conditions </w:t>
      </w:r>
      <w:r w:rsidR="00A810F9">
        <w:t>are set out in ss </w:t>
      </w:r>
      <w:r w:rsidR="00995061">
        <w:t xml:space="preserve">105A.7B(3) and (5) indicates strongly to the Court that the </w:t>
      </w:r>
      <w:r w:rsidR="00305032">
        <w:t>L</w:t>
      </w:r>
      <w:r w:rsidR="00995061">
        <w:t xml:space="preserve">egislature considers the specified conditions to be ones that </w:t>
      </w:r>
      <w:r w:rsidR="001C069F">
        <w:t xml:space="preserve">may reasonably be imposed.  </w:t>
      </w:r>
      <w:r w:rsidR="005E01FA">
        <w:t xml:space="preserve">In this sense, the legislation seeks to </w:t>
      </w:r>
      <w:r w:rsidR="00567F88">
        <w:t xml:space="preserve">establish norms and </w:t>
      </w:r>
      <w:r w:rsidR="005E01FA">
        <w:t xml:space="preserve">delineate a range of </w:t>
      </w:r>
      <w:r w:rsidR="008372AF">
        <w:t xml:space="preserve">conduct that is </w:t>
      </w:r>
      <w:r w:rsidR="00E41F04">
        <w:t>deemed</w:t>
      </w:r>
      <w:r w:rsidR="008372AF">
        <w:t xml:space="preserve"> to be acceptable and </w:t>
      </w:r>
      <w:r w:rsidR="008C26DF">
        <w:t xml:space="preserve">to </w:t>
      </w:r>
      <w:r w:rsidR="008372AF">
        <w:t xml:space="preserve">which a Court would need to have regard when determining the conditions to impose in a particular case.  </w:t>
      </w:r>
      <w:r w:rsidR="001C069F">
        <w:t>As discussed in more detail below, there are real concerns about some of these new specified conditions</w:t>
      </w:r>
      <w:r w:rsidR="00FA0643">
        <w:t>.</w:t>
      </w:r>
      <w:r w:rsidR="00000602">
        <w:t xml:space="preserve">  </w:t>
      </w:r>
    </w:p>
    <w:p w14:paraId="0C576683" w14:textId="4486865E" w:rsidR="00654C51" w:rsidRDefault="000E37CE" w:rsidP="00AC3FC4">
      <w:pPr>
        <w:pStyle w:val="Heading3"/>
      </w:pPr>
      <w:bookmarkStart w:id="23" w:name="_Toc54876157"/>
      <w:r>
        <w:lastRenderedPageBreak/>
        <w:t>Discretion</w:t>
      </w:r>
      <w:r w:rsidR="00AC3FC4">
        <w:t>s</w:t>
      </w:r>
      <w:r>
        <w:t xml:space="preserve"> granted to a ‘specified authority’</w:t>
      </w:r>
      <w:bookmarkEnd w:id="23"/>
    </w:p>
    <w:p w14:paraId="77DD907F" w14:textId="2402E0A0" w:rsidR="00AC3FC4" w:rsidRDefault="00AC3FC4" w:rsidP="005A3BE2">
      <w:pPr>
        <w:pStyle w:val="ListNumber"/>
      </w:pPr>
      <w:r>
        <w:t xml:space="preserve">Many of the </w:t>
      </w:r>
      <w:r w:rsidR="00FA0643">
        <w:t>new</w:t>
      </w:r>
      <w:r w:rsidR="00BF7AF9">
        <w:t xml:space="preserve"> </w:t>
      </w:r>
      <w:r w:rsidR="00A3722D">
        <w:t xml:space="preserve">suggested </w:t>
      </w:r>
      <w:r w:rsidR="00BF7AF9">
        <w:t xml:space="preserve">conditions </w:t>
      </w:r>
      <w:r w:rsidR="005F55A6">
        <w:t xml:space="preserve">in </w:t>
      </w:r>
      <w:r w:rsidR="00BF7AF9">
        <w:t xml:space="preserve">the Bill </w:t>
      </w:r>
      <w:r w:rsidR="005F55A6">
        <w:t xml:space="preserve">would </w:t>
      </w:r>
      <w:r w:rsidR="00BF7AF9">
        <w:t xml:space="preserve">permit </w:t>
      </w:r>
      <w:r w:rsidR="00735CCC">
        <w:t xml:space="preserve">a Court </w:t>
      </w:r>
      <w:r w:rsidR="00BF7AF9">
        <w:t xml:space="preserve">to </w:t>
      </w:r>
      <w:r w:rsidR="002C38F7">
        <w:t>give power to a ‘specified authority’ to do certain things.  For example, conditions may be imposed that allow a ‘specified authority’ to:</w:t>
      </w:r>
    </w:p>
    <w:p w14:paraId="4DD7BE8B" w14:textId="1D720BCC" w:rsidR="002C38F7" w:rsidRDefault="001B2916" w:rsidP="002C38F7">
      <w:pPr>
        <w:pStyle w:val="ListNumber"/>
        <w:numPr>
          <w:ilvl w:val="0"/>
          <w:numId w:val="39"/>
        </w:numPr>
      </w:pPr>
      <w:r>
        <w:t>determine an area or place where the offender may not be present</w:t>
      </w:r>
    </w:p>
    <w:p w14:paraId="3B3B42CA" w14:textId="39C1A3E2" w:rsidR="001B2916" w:rsidRDefault="00425508" w:rsidP="002C38F7">
      <w:pPr>
        <w:pStyle w:val="ListNumber"/>
        <w:numPr>
          <w:ilvl w:val="0"/>
          <w:numId w:val="39"/>
        </w:numPr>
      </w:pPr>
      <w:r>
        <w:t xml:space="preserve">grant </w:t>
      </w:r>
      <w:r w:rsidR="00D40CE1">
        <w:t xml:space="preserve">or withhold </w:t>
      </w:r>
      <w:r>
        <w:t>permission to the offender to move residence</w:t>
      </w:r>
    </w:p>
    <w:p w14:paraId="730739A8" w14:textId="19B5C630" w:rsidR="00425508" w:rsidRDefault="00CF15DB" w:rsidP="002C38F7">
      <w:pPr>
        <w:pStyle w:val="ListNumber"/>
        <w:numPr>
          <w:ilvl w:val="0"/>
          <w:numId w:val="39"/>
        </w:numPr>
      </w:pPr>
      <w:r>
        <w:t>take possession of the offender’s passport</w:t>
      </w:r>
    </w:p>
    <w:p w14:paraId="56EF0373" w14:textId="77777777" w:rsidR="005B2CFC" w:rsidRDefault="00DA50D4" w:rsidP="002C38F7">
      <w:pPr>
        <w:pStyle w:val="ListNumber"/>
        <w:numPr>
          <w:ilvl w:val="0"/>
          <w:numId w:val="39"/>
        </w:numPr>
      </w:pPr>
      <w:r>
        <w:t xml:space="preserve">grant </w:t>
      </w:r>
      <w:r w:rsidR="00D40CE1">
        <w:t xml:space="preserve">or withhold </w:t>
      </w:r>
      <w:r>
        <w:t xml:space="preserve">permission to the offender to </w:t>
      </w:r>
      <w:r w:rsidR="00D40CE1">
        <w:t xml:space="preserve">engage in </w:t>
      </w:r>
      <w:r w:rsidR="005B2CFC">
        <w:t>training or education</w:t>
      </w:r>
    </w:p>
    <w:p w14:paraId="6D80EAAA" w14:textId="7F886D70" w:rsidR="00DA50D4" w:rsidRDefault="00831F0B" w:rsidP="002C38F7">
      <w:pPr>
        <w:pStyle w:val="ListNumber"/>
        <w:numPr>
          <w:ilvl w:val="0"/>
          <w:numId w:val="39"/>
        </w:numPr>
      </w:pPr>
      <w:r>
        <w:t>direct the offender to attend and participate in treatment, rehabilitation or intervention programs or activities</w:t>
      </w:r>
    </w:p>
    <w:p w14:paraId="2FDB559A" w14:textId="2B79BD7B" w:rsidR="00447306" w:rsidRDefault="00447306" w:rsidP="002C38F7">
      <w:pPr>
        <w:pStyle w:val="ListNumber"/>
        <w:numPr>
          <w:ilvl w:val="0"/>
          <w:numId w:val="39"/>
        </w:numPr>
      </w:pPr>
      <w:r>
        <w:t>direct the offender to undertake psychological or psychiatric assessment or counselling</w:t>
      </w:r>
    </w:p>
    <w:p w14:paraId="22D6A1F2" w14:textId="77777777" w:rsidR="00D91B4B" w:rsidRDefault="00481DCD" w:rsidP="00E22396">
      <w:pPr>
        <w:pStyle w:val="ListNumber"/>
        <w:numPr>
          <w:ilvl w:val="0"/>
          <w:numId w:val="39"/>
        </w:numPr>
      </w:pPr>
      <w:r>
        <w:t>direct the offender to attend and participate in interviews and assessments</w:t>
      </w:r>
    </w:p>
    <w:p w14:paraId="53C32803" w14:textId="77777777" w:rsidR="009C4D9D" w:rsidRDefault="003A49A0" w:rsidP="00E22396">
      <w:pPr>
        <w:pStyle w:val="ListNumber"/>
        <w:numPr>
          <w:ilvl w:val="0"/>
          <w:numId w:val="39"/>
        </w:numPr>
      </w:pPr>
      <w:r>
        <w:t xml:space="preserve">test the offender in relation to the possession or use of </w:t>
      </w:r>
      <w:r w:rsidR="009C4D9D">
        <w:t>specified articles or substances</w:t>
      </w:r>
    </w:p>
    <w:p w14:paraId="511AF002" w14:textId="77777777" w:rsidR="009C4D9D" w:rsidRDefault="009C4D9D" w:rsidP="00E22396">
      <w:pPr>
        <w:pStyle w:val="ListNumber"/>
        <w:numPr>
          <w:ilvl w:val="0"/>
          <w:numId w:val="39"/>
        </w:numPr>
      </w:pPr>
      <w:r>
        <w:t>photograph the offender</w:t>
      </w:r>
    </w:p>
    <w:p w14:paraId="563C2777" w14:textId="6080F7C0" w:rsidR="00DA50D4" w:rsidRDefault="009C4D9D" w:rsidP="00E22396">
      <w:pPr>
        <w:pStyle w:val="ListNumber"/>
        <w:numPr>
          <w:ilvl w:val="0"/>
          <w:numId w:val="39"/>
        </w:numPr>
      </w:pPr>
      <w:r>
        <w:t>take impressions of the offender’s fingerprints</w:t>
      </w:r>
      <w:r w:rsidR="00DA50D4">
        <w:t>.</w:t>
      </w:r>
      <w:r w:rsidR="00DA50D4">
        <w:rPr>
          <w:rStyle w:val="EndnoteReference"/>
        </w:rPr>
        <w:endnoteReference w:id="52"/>
      </w:r>
    </w:p>
    <w:p w14:paraId="68D78F6B" w14:textId="26972948" w:rsidR="00491AEF" w:rsidRDefault="00E22396" w:rsidP="005A3BE2">
      <w:pPr>
        <w:pStyle w:val="ListNumber"/>
      </w:pPr>
      <w:r>
        <w:t xml:space="preserve">A condition may also be made that the offender comply with </w:t>
      </w:r>
      <w:r w:rsidR="00C5251C">
        <w:t xml:space="preserve">any </w:t>
      </w:r>
      <w:r w:rsidR="009F6B57">
        <w:t xml:space="preserve">other </w:t>
      </w:r>
      <w:r w:rsidR="00C5251C">
        <w:t>reasonable direction given by a ‘specified authority’.</w:t>
      </w:r>
      <w:r w:rsidR="00496B3B">
        <w:t xml:space="preserve">  Proposed amendments to the control order regime would also </w:t>
      </w:r>
      <w:r w:rsidR="00465901">
        <w:t xml:space="preserve">provide greater scope for a ‘specified authority’ to </w:t>
      </w:r>
      <w:r w:rsidR="00057106">
        <w:t xml:space="preserve">exercise powers </w:t>
      </w:r>
      <w:r w:rsidR="00465901">
        <w:t>in relation to electronic monitoring.</w:t>
      </w:r>
      <w:r w:rsidR="00744447">
        <w:rPr>
          <w:rStyle w:val="EndnoteReference"/>
        </w:rPr>
        <w:endnoteReference w:id="53"/>
      </w:r>
    </w:p>
    <w:p w14:paraId="30D31B6D" w14:textId="26280625" w:rsidR="00C5251C" w:rsidRDefault="00C5251C" w:rsidP="00C5251C">
      <w:pPr>
        <w:pStyle w:val="ListNumber"/>
      </w:pPr>
      <w:r>
        <w:t>The definition of the new term ‘specified authority’ is drafted inclusively and could be a police officer, but could equally be ‘any other person or class of person’.</w:t>
      </w:r>
      <w:r>
        <w:rPr>
          <w:rStyle w:val="EndnoteReference"/>
        </w:rPr>
        <w:endnoteReference w:id="54"/>
      </w:r>
      <w:r>
        <w:t xml:space="preserve">  </w:t>
      </w:r>
      <w:r w:rsidR="009560DA">
        <w:t>It need not be an ‘authority’ at all</w:t>
      </w:r>
      <w:r w:rsidR="00E31916">
        <w:t>, in the way that word is usually understood</w:t>
      </w:r>
      <w:r w:rsidR="009560DA">
        <w:t xml:space="preserve">.  </w:t>
      </w:r>
      <w:r>
        <w:t>There is a requirement that the Court be satisfied that the person ‘is appropriate in relation to the requirement or condition’.  However, in practice</w:t>
      </w:r>
      <w:r w:rsidR="004945A2">
        <w:t>,</w:t>
      </w:r>
      <w:r>
        <w:t xml:space="preserve"> it could be any person in Australia.  </w:t>
      </w:r>
    </w:p>
    <w:p w14:paraId="1CD096A7" w14:textId="679E84C9" w:rsidR="00633340" w:rsidRDefault="00AE1BE3" w:rsidP="005A3BE2">
      <w:pPr>
        <w:pStyle w:val="ListNumber"/>
      </w:pPr>
      <w:r>
        <w:t xml:space="preserve">If a condition is imposed in the terms of </w:t>
      </w:r>
      <w:r w:rsidR="00AF5E26">
        <w:t xml:space="preserve">proposed </w:t>
      </w:r>
      <w:r>
        <w:t>s </w:t>
      </w:r>
      <w:r w:rsidR="00AF5E26">
        <w:t xml:space="preserve">105A.7B(3)(r), </w:t>
      </w:r>
      <w:r w:rsidR="00090F83">
        <w:t>which allows a ‘specified authority’ t</w:t>
      </w:r>
      <w:r w:rsidR="00262C7E">
        <w:t xml:space="preserve">o give other binding directions to a person, </w:t>
      </w:r>
      <w:r w:rsidR="00AF5E26">
        <w:t>t</w:t>
      </w:r>
      <w:r w:rsidR="00DB2306">
        <w:t xml:space="preserve">here are </w:t>
      </w:r>
      <w:r w:rsidR="00AF3807">
        <w:t>few</w:t>
      </w:r>
      <w:r w:rsidR="00DB2306">
        <w:t xml:space="preserve"> limits on the </w:t>
      </w:r>
      <w:r w:rsidR="000F6C03">
        <w:t xml:space="preserve">kind of </w:t>
      </w:r>
      <w:r w:rsidR="00DB2306">
        <w:t xml:space="preserve">directions that </w:t>
      </w:r>
      <w:r w:rsidR="000F6C03">
        <w:t xml:space="preserve">the </w:t>
      </w:r>
      <w:r w:rsidR="00DB2306">
        <w:t xml:space="preserve">‘specified authority’ could give.  </w:t>
      </w:r>
      <w:r w:rsidR="00AF3807">
        <w:t>The directions must be</w:t>
      </w:r>
      <w:r w:rsidR="00633340">
        <w:t>:</w:t>
      </w:r>
    </w:p>
    <w:p w14:paraId="2E826509" w14:textId="4A9C058E" w:rsidR="00633340" w:rsidRDefault="00AF3807" w:rsidP="00633340">
      <w:pPr>
        <w:pStyle w:val="ListNumber"/>
        <w:numPr>
          <w:ilvl w:val="0"/>
          <w:numId w:val="39"/>
        </w:numPr>
      </w:pPr>
      <w:r>
        <w:t>‘reasonable’</w:t>
      </w:r>
    </w:p>
    <w:p w14:paraId="086BBC53" w14:textId="0FF3E84A" w:rsidR="00EC3416" w:rsidRDefault="00C5656B" w:rsidP="00633340">
      <w:pPr>
        <w:pStyle w:val="ListNumber"/>
        <w:numPr>
          <w:ilvl w:val="0"/>
          <w:numId w:val="39"/>
        </w:numPr>
      </w:pPr>
      <w:r>
        <w:t>in r</w:t>
      </w:r>
      <w:r w:rsidR="00CE758F">
        <w:t>elation to a</w:t>
      </w:r>
      <w:r w:rsidR="00633340">
        <w:t>n</w:t>
      </w:r>
      <w:r w:rsidR="00F8105B">
        <w:t xml:space="preserve">other </w:t>
      </w:r>
      <w:r w:rsidR="00CE758F">
        <w:t>condition</w:t>
      </w:r>
      <w:r w:rsidR="00633340">
        <w:t xml:space="preserve"> (which </w:t>
      </w:r>
      <w:r w:rsidR="00C43D30">
        <w:t>are not limited in type)</w:t>
      </w:r>
      <w:r w:rsidR="00633340">
        <w:t xml:space="preserve">, </w:t>
      </w:r>
    </w:p>
    <w:p w14:paraId="139999E0" w14:textId="017FB615" w:rsidR="00C5251C" w:rsidRDefault="00633340" w:rsidP="00EC3416">
      <w:pPr>
        <w:pStyle w:val="ListNumber"/>
        <w:numPr>
          <w:ilvl w:val="0"/>
          <w:numId w:val="0"/>
        </w:numPr>
        <w:ind w:left="1094"/>
      </w:pPr>
      <w:r>
        <w:t xml:space="preserve">and the person giving the direction must be satisfied that the direction is reasonable in all the circumstances to give effect </w:t>
      </w:r>
      <w:r w:rsidR="00C87986">
        <w:t xml:space="preserve">either </w:t>
      </w:r>
      <w:r>
        <w:t>to</w:t>
      </w:r>
      <w:r w:rsidR="00F8105B">
        <w:t xml:space="preserve"> the condition or </w:t>
      </w:r>
      <w:r w:rsidR="006C1DEB">
        <w:t xml:space="preserve">to </w:t>
      </w:r>
      <w:r w:rsidR="00F8105B">
        <w:t>the objects of the Division.</w:t>
      </w:r>
    </w:p>
    <w:p w14:paraId="1B79020C" w14:textId="65E0358D" w:rsidR="006C1DEB" w:rsidRDefault="00C31A04" w:rsidP="00BC55C1">
      <w:pPr>
        <w:pStyle w:val="ListNumber"/>
      </w:pPr>
      <w:r>
        <w:lastRenderedPageBreak/>
        <w:t xml:space="preserve">It is a criminal offence, punishable by up to </w:t>
      </w:r>
      <w:r w:rsidR="000A45B8">
        <w:t>five</w:t>
      </w:r>
      <w:r>
        <w:t xml:space="preserve"> years imprisonment, to contravene a condition of an ESO, including a condition that is dependent on a power exercised by a ‘specified </w:t>
      </w:r>
      <w:r w:rsidR="00EB3C76">
        <w:t>authority’.</w:t>
      </w:r>
    </w:p>
    <w:p w14:paraId="26E155C8" w14:textId="5339D176" w:rsidR="00AB3545" w:rsidRDefault="00AB3545" w:rsidP="00AB3545">
      <w:pPr>
        <w:pStyle w:val="ListNumber"/>
      </w:pPr>
      <w:r>
        <w:t xml:space="preserve">The Commission considers that the definition of ‘specified authority’ is too broad.  It should not be an available option to nominate any person in Australia, who may give </w:t>
      </w:r>
      <w:r w:rsidR="009C5049">
        <w:t xml:space="preserve">onerous </w:t>
      </w:r>
      <w:r>
        <w:t>directions to a person the subject of a</w:t>
      </w:r>
      <w:r w:rsidR="009E4380">
        <w:t>n ESO</w:t>
      </w:r>
      <w:r>
        <w:t xml:space="preserve">, with criminal consequences if the person fails to comply with them.  The definition should be much more closely targeted so that it is properly limited to police </w:t>
      </w:r>
      <w:r w:rsidR="0018305D">
        <w:t xml:space="preserve">and </w:t>
      </w:r>
      <w:r>
        <w:t>public authorities responsible for corrections.</w:t>
      </w:r>
    </w:p>
    <w:p w14:paraId="2DA4923B" w14:textId="0B0AB04E" w:rsidR="00AB3545" w:rsidRPr="00495B20" w:rsidRDefault="00AB3545" w:rsidP="00AB3545">
      <w:pPr>
        <w:pStyle w:val="ListNumber"/>
        <w:keepNext/>
        <w:numPr>
          <w:ilvl w:val="0"/>
          <w:numId w:val="0"/>
        </w:numPr>
        <w:ind w:left="1094"/>
        <w:rPr>
          <w:b/>
          <w:bCs/>
        </w:rPr>
      </w:pPr>
      <w:r w:rsidRPr="00495B20">
        <w:rPr>
          <w:b/>
          <w:bCs/>
        </w:rPr>
        <w:t xml:space="preserve">Recommendation </w:t>
      </w:r>
      <w:r w:rsidR="00927298">
        <w:rPr>
          <w:b/>
          <w:bCs/>
        </w:rPr>
        <w:t>6</w:t>
      </w:r>
    </w:p>
    <w:p w14:paraId="1D8A9A3B" w14:textId="3887EFDA" w:rsidR="00AB3545" w:rsidRDefault="00AB3545" w:rsidP="00AB3545">
      <w:pPr>
        <w:pStyle w:val="ListNumber"/>
        <w:numPr>
          <w:ilvl w:val="0"/>
          <w:numId w:val="0"/>
        </w:numPr>
        <w:ind w:left="1094"/>
      </w:pPr>
      <w:r>
        <w:t xml:space="preserve">The Commission recommends that the proposed definition of ‘specified authority’ in s 100.1(1) </w:t>
      </w:r>
      <w:r w:rsidR="00CF4067">
        <w:t xml:space="preserve">of the Criminal Code </w:t>
      </w:r>
      <w:r>
        <w:t xml:space="preserve">be limited to police officers </w:t>
      </w:r>
      <w:r w:rsidR="00977170">
        <w:t xml:space="preserve">and </w:t>
      </w:r>
      <w:r>
        <w:t>public authorities responsible for corrections.</w:t>
      </w:r>
    </w:p>
    <w:p w14:paraId="13F1DB0E" w14:textId="29AC5A0F" w:rsidR="00AB3545" w:rsidRDefault="00AB3545" w:rsidP="00AB3545">
      <w:pPr>
        <w:pStyle w:val="ListNumber"/>
      </w:pPr>
      <w:r>
        <w:t>The potential for a broad and indeterminate range of directions to be given by a ‘specified authority’ (</w:t>
      </w:r>
      <w:proofErr w:type="spellStart"/>
      <w:r>
        <w:t>ie</w:t>
      </w:r>
      <w:proofErr w:type="spellEnd"/>
      <w:r>
        <w:t xml:space="preserve">, any nominated person) adds a significant level of uncertainty to the scope of a person’s obligations that cannot be determined merely from reading the terms of the </w:t>
      </w:r>
      <w:r w:rsidR="00A429A6">
        <w:t>ESO</w:t>
      </w:r>
      <w:r>
        <w:t xml:space="preserve"> </w:t>
      </w:r>
      <w:r w:rsidR="00B177C4">
        <w:t xml:space="preserve">(or control order) </w:t>
      </w:r>
      <w:r>
        <w:t>itself.  This increases the risk that a person may inadvertently breach a</w:t>
      </w:r>
      <w:r w:rsidR="00A429A6">
        <w:t>n ESO</w:t>
      </w:r>
      <w:r>
        <w:t xml:space="preserve"> (by doing an act that is contrary to a direction by a specified authority, which may be a direction received over the phone, but not otherwise prohibited by the particular terms of the </w:t>
      </w:r>
      <w:r w:rsidR="00A429A6">
        <w:t>ESO</w:t>
      </w:r>
      <w:r>
        <w:t xml:space="preserve">).  Breach of such a direction would expose the person to criminal sanctions.  </w:t>
      </w:r>
    </w:p>
    <w:p w14:paraId="406D6A8C" w14:textId="7BC9C9A8" w:rsidR="00AB3545" w:rsidRPr="001F77A8" w:rsidRDefault="00AB3545" w:rsidP="00AB3545">
      <w:pPr>
        <w:pStyle w:val="ListNumber"/>
      </w:pPr>
      <w:r>
        <w:t>It may well be necessary for authorities to have some increased flexibility to give directions to people subject to a</w:t>
      </w:r>
      <w:r w:rsidR="00A429A6">
        <w:t>n ESO</w:t>
      </w:r>
      <w:r>
        <w:t xml:space="preserve"> </w:t>
      </w:r>
      <w:r w:rsidR="000053DE">
        <w:t xml:space="preserve">(or control order) </w:t>
      </w:r>
      <w:r>
        <w:t xml:space="preserve">to ensure that electronic monitoring devices are working appropriately.  However, the increased uncertainty about the scope of </w:t>
      </w:r>
      <w:r w:rsidR="000E73DB">
        <w:t xml:space="preserve">ESOs </w:t>
      </w:r>
      <w:r>
        <w:t>that this creates, reinforces the importance of ensuring that any sanctions imposed for breach of a</w:t>
      </w:r>
      <w:r w:rsidR="000E73DB">
        <w:t>n ESO</w:t>
      </w:r>
      <w:r>
        <w:t xml:space="preserve"> can be appropriately tailored to the circumstances.</w:t>
      </w:r>
      <w:r w:rsidR="002553BF">
        <w:t xml:space="preserve">  This issue is considered in more detail in section </w:t>
      </w:r>
      <w:r w:rsidR="00F31C04">
        <w:fldChar w:fldCharType="begin"/>
      </w:r>
      <w:r w:rsidR="00F31C04">
        <w:instrText xml:space="preserve"> REF _Ref54096498 \r \h </w:instrText>
      </w:r>
      <w:r w:rsidR="00F31C04">
        <w:fldChar w:fldCharType="separate"/>
      </w:r>
      <w:r w:rsidR="004E2F67">
        <w:t>7.8</w:t>
      </w:r>
      <w:r w:rsidR="00F31C04">
        <w:fldChar w:fldCharType="end"/>
      </w:r>
      <w:r w:rsidR="002553BF">
        <w:t xml:space="preserve"> below.</w:t>
      </w:r>
    </w:p>
    <w:p w14:paraId="43D14C6F" w14:textId="665165CF" w:rsidR="00AB3545" w:rsidRDefault="00A3722D" w:rsidP="00BE400D">
      <w:pPr>
        <w:pStyle w:val="Heading3"/>
      </w:pPr>
      <w:bookmarkStart w:id="24" w:name="_Toc54876158"/>
      <w:r>
        <w:t>Compulsory engag</w:t>
      </w:r>
      <w:r w:rsidR="00BE400D">
        <w:t xml:space="preserve">ement in </w:t>
      </w:r>
      <w:r w:rsidR="001C5CF3">
        <w:t xml:space="preserve">de-radicalisation programs and other </w:t>
      </w:r>
      <w:r w:rsidR="00BE400D">
        <w:t>activities</w:t>
      </w:r>
      <w:bookmarkEnd w:id="24"/>
    </w:p>
    <w:p w14:paraId="0D87962A" w14:textId="3114BA78" w:rsidR="00BE400D" w:rsidRDefault="00497353" w:rsidP="00651967">
      <w:pPr>
        <w:pStyle w:val="ListNumber"/>
      </w:pPr>
      <w:r>
        <w:t xml:space="preserve">Some of the new </w:t>
      </w:r>
      <w:r w:rsidR="00FA45E0">
        <w:t xml:space="preserve">specified conditions permit people to be forced to participate in various kinds of programs against their will, in a way that at least </w:t>
      </w:r>
      <w:r w:rsidR="00282636">
        <w:t>one</w:t>
      </w:r>
      <w:r w:rsidR="00FA45E0">
        <w:t xml:space="preserve"> member of this Committee </w:t>
      </w:r>
      <w:r w:rsidR="000D1C41">
        <w:t xml:space="preserve">identified </w:t>
      </w:r>
      <w:r w:rsidR="00FA45E0">
        <w:t>may be counterproductive.</w:t>
      </w:r>
    </w:p>
    <w:p w14:paraId="3A3D3725" w14:textId="71D3C056" w:rsidR="00FA45E0" w:rsidRDefault="00A20688" w:rsidP="00651967">
      <w:pPr>
        <w:pStyle w:val="ListNumber"/>
      </w:pPr>
      <w:r>
        <w:t xml:space="preserve">Under the existing control order regime, </w:t>
      </w:r>
      <w:r w:rsidR="00B83614">
        <w:t>one of the conditions that may be imposed is a requirement that the person participate in specified counselling or education.</w:t>
      </w:r>
      <w:r w:rsidR="00F871FE">
        <w:rPr>
          <w:rStyle w:val="EndnoteReference"/>
        </w:rPr>
        <w:endnoteReference w:id="55"/>
      </w:r>
      <w:r w:rsidR="00F871FE">
        <w:t xml:space="preserve">  However, </w:t>
      </w:r>
      <w:r w:rsidR="00FA75BE">
        <w:t xml:space="preserve">this obligation is expressly limited </w:t>
      </w:r>
      <w:r w:rsidR="00224E05">
        <w:t>to situations of voluntary participation.  A</w:t>
      </w:r>
      <w:r w:rsidR="00F2158D">
        <w:t xml:space="preserve"> person can only be required to participate </w:t>
      </w:r>
      <w:r w:rsidR="008A3A3F">
        <w:t>in counselling or education</w:t>
      </w:r>
      <w:r w:rsidR="00160482">
        <w:t>, if they agree to participate at the time of the counselling or education.</w:t>
      </w:r>
      <w:r w:rsidR="006C0B0A">
        <w:rPr>
          <w:rStyle w:val="EndnoteReference"/>
        </w:rPr>
        <w:endnoteReference w:id="56"/>
      </w:r>
      <w:r w:rsidR="00160482">
        <w:t xml:space="preserve"> </w:t>
      </w:r>
      <w:r w:rsidR="00993160">
        <w:t xml:space="preserve"> The way in which such conditions have been imposed in practice is </w:t>
      </w:r>
      <w:r w:rsidR="00F22CCF">
        <w:t>to require the person to ‘consider in good faith participating in counselling or education’ relating to particular matters.</w:t>
      </w:r>
      <w:r w:rsidR="00FD6D13">
        <w:rPr>
          <w:rStyle w:val="EndnoteReference"/>
        </w:rPr>
        <w:endnoteReference w:id="57"/>
      </w:r>
    </w:p>
    <w:p w14:paraId="1E665FA2" w14:textId="415866AB" w:rsidR="006E79CF" w:rsidRDefault="00EF3C3B" w:rsidP="00651967">
      <w:pPr>
        <w:pStyle w:val="ListNumber"/>
      </w:pPr>
      <w:r>
        <w:lastRenderedPageBreak/>
        <w:t xml:space="preserve">Evaluations of </w:t>
      </w:r>
      <w:r w:rsidR="00673BC8">
        <w:t xml:space="preserve">programs aimed at </w:t>
      </w:r>
      <w:r w:rsidR="007B44B4">
        <w:t>c</w:t>
      </w:r>
      <w:r w:rsidR="00673BC8">
        <w:t xml:space="preserve">ountering </w:t>
      </w:r>
      <w:r w:rsidR="007B44B4">
        <w:t>v</w:t>
      </w:r>
      <w:r w:rsidR="00673BC8">
        <w:t xml:space="preserve">iolent </w:t>
      </w:r>
      <w:r w:rsidR="007B44B4">
        <w:t>e</w:t>
      </w:r>
      <w:r w:rsidR="00673BC8">
        <w:t xml:space="preserve">xtremism have identified </w:t>
      </w:r>
      <w:proofErr w:type="gramStart"/>
      <w:r w:rsidR="00673BC8">
        <w:t>a number of</w:t>
      </w:r>
      <w:proofErr w:type="gramEnd"/>
      <w:r w:rsidR="00673BC8">
        <w:t xml:space="preserve"> </w:t>
      </w:r>
      <w:r w:rsidR="005D1EEF">
        <w:t>essential elements: religious rehabilitation, education and vocational training, psychological rehabilitation, social and economic support, family rehabilitation and post-</w:t>
      </w:r>
      <w:r w:rsidR="009F2EC6">
        <w:t>release support</w:t>
      </w:r>
      <w:r w:rsidR="005223E0">
        <w:t xml:space="preserve"> to assist in reintegration</w:t>
      </w:r>
      <w:r w:rsidR="009F2EC6">
        <w:t>.</w:t>
      </w:r>
      <w:r w:rsidR="009F2EC6">
        <w:rPr>
          <w:rStyle w:val="EndnoteReference"/>
        </w:rPr>
        <w:endnoteReference w:id="58"/>
      </w:r>
    </w:p>
    <w:p w14:paraId="0CB7B958" w14:textId="31221203" w:rsidR="006C0B0A" w:rsidRDefault="006C0B0A" w:rsidP="00651967">
      <w:pPr>
        <w:pStyle w:val="ListNumber"/>
      </w:pPr>
      <w:r>
        <w:t xml:space="preserve">During the last hearing of the PJCIS in relation to its Review of AFP Powers, </w:t>
      </w:r>
      <w:r w:rsidR="008D1A8C">
        <w:t>the First Assistant Secretary, Integrity and Security</w:t>
      </w:r>
      <w:r w:rsidR="00BC34CA">
        <w:t>, Attorney-General’s Department</w:t>
      </w:r>
      <w:r w:rsidR="006013F1">
        <w:t>,</w:t>
      </w:r>
      <w:r w:rsidR="00BC34CA">
        <w:t xml:space="preserve"> agreed with </w:t>
      </w:r>
      <w:r w:rsidR="00194E4A">
        <w:t>a</w:t>
      </w:r>
      <w:r w:rsidR="00BC34CA">
        <w:t xml:space="preserve"> proposition </w:t>
      </w:r>
      <w:r w:rsidR="0018527A">
        <w:t xml:space="preserve">made by </w:t>
      </w:r>
      <w:r w:rsidR="00BC34CA">
        <w:t xml:space="preserve">Senator </w:t>
      </w:r>
      <w:proofErr w:type="spellStart"/>
      <w:r w:rsidR="00BC34CA">
        <w:t>Abetz</w:t>
      </w:r>
      <w:proofErr w:type="spellEnd"/>
      <w:r w:rsidR="00BC34CA">
        <w:t xml:space="preserve"> that </w:t>
      </w:r>
      <w:r w:rsidR="00090A2C">
        <w:t>trying to force a person to be de-radicalised would be counterproductive</w:t>
      </w:r>
      <w:r w:rsidR="00A03F17">
        <w:t>, saying:</w:t>
      </w:r>
    </w:p>
    <w:p w14:paraId="15FD325F" w14:textId="5CCCACAC" w:rsidR="00A03F17" w:rsidRPr="00FF4FF2" w:rsidRDefault="00A03F17" w:rsidP="00FF4FF2">
      <w:pPr>
        <w:pStyle w:val="ListNumber"/>
        <w:numPr>
          <w:ilvl w:val="0"/>
          <w:numId w:val="0"/>
        </w:numPr>
        <w:ind w:left="1440"/>
        <w:rPr>
          <w:sz w:val="22"/>
          <w:szCs w:val="22"/>
        </w:rPr>
      </w:pPr>
      <w:r w:rsidRPr="00FF4FF2">
        <w:rPr>
          <w:sz w:val="22"/>
          <w:szCs w:val="22"/>
        </w:rPr>
        <w:t xml:space="preserve">Yes, </w:t>
      </w:r>
      <w:proofErr w:type="gramStart"/>
      <w:r w:rsidRPr="00FF4FF2">
        <w:rPr>
          <w:sz w:val="22"/>
          <w:szCs w:val="22"/>
        </w:rPr>
        <w:t>that’s</w:t>
      </w:r>
      <w:proofErr w:type="gramEnd"/>
      <w:r w:rsidRPr="00FF4FF2">
        <w:rPr>
          <w:sz w:val="22"/>
          <w:szCs w:val="22"/>
        </w:rPr>
        <w:t xml:space="preserve"> essentially the reasoning as to why that hasn’t been the case in the past.  For somebody who is not willing to participate, there’s little benefit in compelling that person to do so.</w:t>
      </w:r>
      <w:r w:rsidR="00A21DD0">
        <w:rPr>
          <w:rStyle w:val="EndnoteReference"/>
          <w:szCs w:val="22"/>
        </w:rPr>
        <w:endnoteReference w:id="59"/>
      </w:r>
    </w:p>
    <w:p w14:paraId="2627A401" w14:textId="3000230D" w:rsidR="00686C1D" w:rsidRDefault="00686C1D" w:rsidP="00FF4FF2">
      <w:pPr>
        <w:pStyle w:val="ListNumber"/>
      </w:pPr>
      <w:r>
        <w:t xml:space="preserve">The Department </w:t>
      </w:r>
      <w:r w:rsidR="00914D14">
        <w:t xml:space="preserve">of Home Affairs </w:t>
      </w:r>
      <w:r>
        <w:t>said in response to questions on notice that it was not aware of any State or Territory legislation that mandates participation in such programs while offenders are in prison.</w:t>
      </w:r>
      <w:r>
        <w:rPr>
          <w:rStyle w:val="EndnoteReference"/>
        </w:rPr>
        <w:endnoteReference w:id="60"/>
      </w:r>
      <w:r w:rsidR="00E941A9">
        <w:t xml:space="preserve">  For example</w:t>
      </w:r>
      <w:r w:rsidR="00182187">
        <w:t>,</w:t>
      </w:r>
      <w:r w:rsidR="00E941A9">
        <w:t xml:space="preserve"> the </w:t>
      </w:r>
      <w:r w:rsidR="004951A9">
        <w:t>Proactive Integrated Support Model (PRISM)</w:t>
      </w:r>
      <w:r w:rsidR="00693E5F">
        <w:t xml:space="preserve"> is a program </w:t>
      </w:r>
      <w:r w:rsidR="008F5924">
        <w:t xml:space="preserve">aimed </w:t>
      </w:r>
      <w:r w:rsidR="00B70447">
        <w:t xml:space="preserve">both </w:t>
      </w:r>
      <w:r w:rsidR="008F5924">
        <w:t>at prison inmates</w:t>
      </w:r>
      <w:r w:rsidR="00D843CA">
        <w:t xml:space="preserve"> and those on parole</w:t>
      </w:r>
      <w:r w:rsidR="008F5924">
        <w:t xml:space="preserve"> in New South Wales who have a terrorist conviction or who have been identified </w:t>
      </w:r>
      <w:r w:rsidR="00C91B76">
        <w:t xml:space="preserve">as at risk of radicalisation.  PRISM has </w:t>
      </w:r>
      <w:r w:rsidR="003F5F3A">
        <w:t xml:space="preserve">been delivered by </w:t>
      </w:r>
      <w:r w:rsidR="00C54294">
        <w:t xml:space="preserve">Corrective Services NSW </w:t>
      </w:r>
      <w:r w:rsidR="003F5F3A">
        <w:t xml:space="preserve">since </w:t>
      </w:r>
      <w:r w:rsidR="00C54294">
        <w:t>2016</w:t>
      </w:r>
      <w:r w:rsidR="00AB4CE7">
        <w:t xml:space="preserve"> </w:t>
      </w:r>
      <w:r w:rsidR="00C91B76">
        <w:t xml:space="preserve">and </w:t>
      </w:r>
      <w:r w:rsidR="00AB4CE7">
        <w:t>operates on a voluntary basis.</w:t>
      </w:r>
      <w:r w:rsidR="00AB4CE7">
        <w:rPr>
          <w:rStyle w:val="EndnoteReference"/>
        </w:rPr>
        <w:endnoteReference w:id="61"/>
      </w:r>
    </w:p>
    <w:p w14:paraId="6AA973DE" w14:textId="77777777" w:rsidR="00F24855" w:rsidRDefault="00164FF8" w:rsidP="00FF4FF2">
      <w:pPr>
        <w:pStyle w:val="ListNumber"/>
      </w:pPr>
      <w:r>
        <w:t xml:space="preserve">The approach taken by the States and Territories is consistent with </w:t>
      </w:r>
      <w:r w:rsidR="009C646B">
        <w:t>research in this area which finds that</w:t>
      </w:r>
      <w:r w:rsidR="00F24855">
        <w:t>:</w:t>
      </w:r>
    </w:p>
    <w:p w14:paraId="4C8650EE" w14:textId="5A975B3E" w:rsidR="00164FF8" w:rsidRDefault="007B4A7C" w:rsidP="00F24855">
      <w:pPr>
        <w:pStyle w:val="ListNumber"/>
        <w:numPr>
          <w:ilvl w:val="0"/>
          <w:numId w:val="0"/>
        </w:numPr>
        <w:ind w:left="1440"/>
      </w:pPr>
      <w:proofErr w:type="gramStart"/>
      <w:r w:rsidRPr="00F24855">
        <w:rPr>
          <w:sz w:val="22"/>
          <w:szCs w:val="22"/>
        </w:rPr>
        <w:t>in order for</w:t>
      </w:r>
      <w:proofErr w:type="gramEnd"/>
      <w:r w:rsidRPr="00F24855">
        <w:rPr>
          <w:sz w:val="22"/>
          <w:szCs w:val="22"/>
        </w:rPr>
        <w:t xml:space="preserve"> individuals to be disengaged, they must first be willing to hear alternate ideas and accept the support on offer.  F</w:t>
      </w:r>
      <w:r w:rsidR="00C47065" w:rsidRPr="00F24855">
        <w:rPr>
          <w:sz w:val="22"/>
          <w:szCs w:val="22"/>
        </w:rPr>
        <w:t>orced participation is unlikely to achieve either the desired results or positive outcomes and, in many cases, may harden the radical views of those forced to participate.</w:t>
      </w:r>
      <w:r w:rsidR="00A14878">
        <w:rPr>
          <w:rStyle w:val="EndnoteReference"/>
        </w:rPr>
        <w:endnoteReference w:id="62"/>
      </w:r>
    </w:p>
    <w:p w14:paraId="6B7961D9" w14:textId="6422CD37" w:rsidR="00FF4FF2" w:rsidRDefault="003E08BB" w:rsidP="00FF4FF2">
      <w:pPr>
        <w:pStyle w:val="ListNumber"/>
      </w:pPr>
      <w:r>
        <w:t xml:space="preserve">The Bill would </w:t>
      </w:r>
      <w:r w:rsidR="000D1089">
        <w:t>depart from that principle by permitting conditions to be imposed on an ESO that would force a person to:</w:t>
      </w:r>
    </w:p>
    <w:p w14:paraId="09B5A621" w14:textId="6750E27B" w:rsidR="000D1089" w:rsidRDefault="00A6701D" w:rsidP="000D1089">
      <w:pPr>
        <w:pStyle w:val="ListNumber"/>
        <w:numPr>
          <w:ilvl w:val="0"/>
          <w:numId w:val="39"/>
        </w:numPr>
      </w:pPr>
      <w:r>
        <w:t>attend and participate in treatment, rehabilitative or intervention programs or activities</w:t>
      </w:r>
    </w:p>
    <w:p w14:paraId="5B6EA7A1" w14:textId="358C7BC8" w:rsidR="00A6701D" w:rsidRDefault="00A6701D" w:rsidP="000D1089">
      <w:pPr>
        <w:pStyle w:val="ListNumber"/>
        <w:numPr>
          <w:ilvl w:val="0"/>
          <w:numId w:val="39"/>
        </w:numPr>
      </w:pPr>
      <w:r>
        <w:t>undertake psychological or psychiatric assess</w:t>
      </w:r>
      <w:r w:rsidR="007F3D4A">
        <w:t>ment or counselling</w:t>
      </w:r>
    </w:p>
    <w:p w14:paraId="69758816" w14:textId="1466622D" w:rsidR="007F3D4A" w:rsidRDefault="007F3D4A" w:rsidP="000D1089">
      <w:pPr>
        <w:pStyle w:val="ListNumber"/>
        <w:numPr>
          <w:ilvl w:val="0"/>
          <w:numId w:val="39"/>
        </w:numPr>
      </w:pPr>
      <w:r>
        <w:t>participate in interviews and assessments</w:t>
      </w:r>
    </w:p>
    <w:p w14:paraId="36D10CCC" w14:textId="6808FA72" w:rsidR="007F3D4A" w:rsidRDefault="007F3D4A" w:rsidP="000D1089">
      <w:pPr>
        <w:pStyle w:val="ListNumber"/>
        <w:numPr>
          <w:ilvl w:val="0"/>
          <w:numId w:val="39"/>
        </w:numPr>
      </w:pPr>
      <w:r>
        <w:t xml:space="preserve">allow the results of interviews and assessments to be disclosed to </w:t>
      </w:r>
      <w:r w:rsidR="003307E6">
        <w:t>a ‘specified authority’</w:t>
      </w:r>
    </w:p>
    <w:p w14:paraId="3B7CC779" w14:textId="12650BFE" w:rsidR="003307E6" w:rsidRDefault="00E22080" w:rsidP="000D1089">
      <w:pPr>
        <w:pStyle w:val="ListNumber"/>
        <w:numPr>
          <w:ilvl w:val="0"/>
          <w:numId w:val="39"/>
        </w:numPr>
      </w:pPr>
      <w:r>
        <w:t>provide specified information to a ‘specified authority’.</w:t>
      </w:r>
      <w:r w:rsidR="007A6313">
        <w:rPr>
          <w:rStyle w:val="EndnoteReference"/>
        </w:rPr>
        <w:endnoteReference w:id="63"/>
      </w:r>
    </w:p>
    <w:p w14:paraId="2A7EE375" w14:textId="4E898F05" w:rsidR="009C7984" w:rsidRDefault="009C7984" w:rsidP="009C7984">
      <w:pPr>
        <w:pStyle w:val="ListNumber"/>
      </w:pPr>
      <w:r>
        <w:t xml:space="preserve">None of these conditions </w:t>
      </w:r>
      <w:r w:rsidR="00182187">
        <w:t>is</w:t>
      </w:r>
      <w:r>
        <w:t xml:space="preserve"> subject to the </w:t>
      </w:r>
      <w:r w:rsidR="00C06FFF">
        <w:t xml:space="preserve">existing, </w:t>
      </w:r>
      <w:r w:rsidR="00D829B9">
        <w:t xml:space="preserve">appropriate </w:t>
      </w:r>
      <w:r w:rsidR="00C06FFF">
        <w:t xml:space="preserve">safeguard </w:t>
      </w:r>
      <w:r>
        <w:t xml:space="preserve">in the control order regime that they </w:t>
      </w:r>
      <w:r w:rsidR="00694440">
        <w:t>be voluntary.</w:t>
      </w:r>
    </w:p>
    <w:p w14:paraId="1A4C4D1B" w14:textId="5A88A810" w:rsidR="002F096B" w:rsidRDefault="002F096B" w:rsidP="009C7984">
      <w:pPr>
        <w:pStyle w:val="ListNumber"/>
      </w:pPr>
      <w:r>
        <w:t xml:space="preserve">Whether a person </w:t>
      </w:r>
      <w:r w:rsidR="00CD6BB4">
        <w:t xml:space="preserve">is prepared to voluntarily engage </w:t>
      </w:r>
      <w:proofErr w:type="gramStart"/>
      <w:r w:rsidR="00CD6BB4">
        <w:t>in particular programs</w:t>
      </w:r>
      <w:proofErr w:type="gramEnd"/>
      <w:r w:rsidR="00CD6BB4">
        <w:t xml:space="preserve"> </w:t>
      </w:r>
      <w:r w:rsidR="00993269">
        <w:t xml:space="preserve">or activities </w:t>
      </w:r>
      <w:r w:rsidR="00CD6BB4">
        <w:t xml:space="preserve">may be a factor that </w:t>
      </w:r>
      <w:r w:rsidR="00993269">
        <w:t>the C</w:t>
      </w:r>
      <w:r w:rsidR="00CD6BB4">
        <w:t xml:space="preserve">ourt </w:t>
      </w:r>
      <w:r w:rsidR="00182187">
        <w:t xml:space="preserve">properly </w:t>
      </w:r>
      <w:r w:rsidR="00CD6BB4">
        <w:t xml:space="preserve">takes into account in determining whether an ESO would be </w:t>
      </w:r>
      <w:r w:rsidR="00AB2582">
        <w:t xml:space="preserve">effective in preventing an </w:t>
      </w:r>
      <w:r w:rsidR="00435F88">
        <w:t xml:space="preserve">unacceptable risk to the community.  </w:t>
      </w:r>
      <w:r w:rsidR="00854DF0">
        <w:t xml:space="preserve">However, the Commission considers that there is </w:t>
      </w:r>
      <w:r w:rsidR="00E57DF4">
        <w:t>little</w:t>
      </w:r>
      <w:r w:rsidR="00854DF0">
        <w:t xml:space="preserve"> </w:t>
      </w:r>
      <w:r w:rsidR="00854DF0">
        <w:lastRenderedPageBreak/>
        <w:t xml:space="preserve">value in compelling participation in circumstances where </w:t>
      </w:r>
      <w:r w:rsidR="006474D3">
        <w:t>it</w:t>
      </w:r>
      <w:r w:rsidR="00E57DF4">
        <w:t xml:space="preserve"> is not voluntary</w:t>
      </w:r>
      <w:r w:rsidR="00C77E5F">
        <w:t xml:space="preserve">, and that this in fact </w:t>
      </w:r>
      <w:r w:rsidR="00EF093E">
        <w:t xml:space="preserve">is likely to </w:t>
      </w:r>
      <w:r w:rsidR="00C77E5F">
        <w:t>be counterproductive</w:t>
      </w:r>
      <w:r w:rsidR="00E57DF4">
        <w:t>.</w:t>
      </w:r>
    </w:p>
    <w:p w14:paraId="3C661174" w14:textId="7D41CA5D" w:rsidR="00F97641" w:rsidRPr="00F97641" w:rsidRDefault="00F97641" w:rsidP="00F97641">
      <w:pPr>
        <w:pStyle w:val="ListNumber"/>
        <w:keepNext/>
        <w:numPr>
          <w:ilvl w:val="0"/>
          <w:numId w:val="0"/>
        </w:numPr>
        <w:ind w:left="1094"/>
        <w:rPr>
          <w:b/>
          <w:bCs/>
        </w:rPr>
      </w:pPr>
      <w:r w:rsidRPr="00F97641">
        <w:rPr>
          <w:b/>
          <w:bCs/>
        </w:rPr>
        <w:t xml:space="preserve">Recommendation </w:t>
      </w:r>
      <w:r w:rsidR="00B74373">
        <w:rPr>
          <w:b/>
          <w:bCs/>
        </w:rPr>
        <w:t>7</w:t>
      </w:r>
    </w:p>
    <w:p w14:paraId="76EE4C7E" w14:textId="3538579D" w:rsidR="00F97641" w:rsidRDefault="00F97641" w:rsidP="00F97641">
      <w:pPr>
        <w:pStyle w:val="ListNumber"/>
        <w:numPr>
          <w:ilvl w:val="0"/>
          <w:numId w:val="0"/>
        </w:numPr>
        <w:ind w:left="1094"/>
      </w:pPr>
      <w:r>
        <w:t xml:space="preserve">The Commission recommends that </w:t>
      </w:r>
      <w:r w:rsidR="00812EF9">
        <w:t xml:space="preserve">any condition imposed by an extended supervision order or </w:t>
      </w:r>
      <w:r w:rsidR="009165D7">
        <w:t>interim supervision order that require</w:t>
      </w:r>
      <w:r w:rsidR="00182187">
        <w:t>s</w:t>
      </w:r>
      <w:r w:rsidR="009165D7">
        <w:t xml:space="preserve"> a person to participate in treatment, </w:t>
      </w:r>
      <w:r w:rsidR="00857BA5">
        <w:t xml:space="preserve">rehabilitative or intervention programs or activities, psychological or psychiatric assessment or counselling, interviews or other assessments, be subject to a </w:t>
      </w:r>
      <w:r w:rsidR="00CB0D46">
        <w:t xml:space="preserve">further </w:t>
      </w:r>
      <w:r w:rsidR="009E6931">
        <w:t xml:space="preserve">condition that </w:t>
      </w:r>
      <w:r w:rsidR="00CB0D46">
        <w:t>a person is only required to parti</w:t>
      </w:r>
      <w:r w:rsidR="00E03D66">
        <w:t xml:space="preserve">cipate if they agree, at the time of the relevant activity, to so participate. </w:t>
      </w:r>
    </w:p>
    <w:p w14:paraId="27850152" w14:textId="5F7944F4" w:rsidR="00694440" w:rsidRDefault="00770428" w:rsidP="00770428">
      <w:pPr>
        <w:pStyle w:val="Heading3"/>
      </w:pPr>
      <w:bookmarkStart w:id="25" w:name="_Toc54876159"/>
      <w:r>
        <w:t>Home detention</w:t>
      </w:r>
      <w:bookmarkEnd w:id="25"/>
    </w:p>
    <w:p w14:paraId="6119402D" w14:textId="5888EB43" w:rsidR="007429EC" w:rsidRDefault="007429EC" w:rsidP="009C7984">
      <w:pPr>
        <w:pStyle w:val="ListNumber"/>
      </w:pPr>
      <w:r>
        <w:t>It appears that, unlike the case with control orders, an ESO would permit conditions authorising home detention.</w:t>
      </w:r>
    </w:p>
    <w:p w14:paraId="4A57369B" w14:textId="78654BC8" w:rsidR="00770428" w:rsidRDefault="00770428" w:rsidP="009C7984">
      <w:pPr>
        <w:pStyle w:val="ListNumber"/>
      </w:pPr>
      <w:r>
        <w:t xml:space="preserve">One of the example conditions that may be imposed </w:t>
      </w:r>
      <w:r w:rsidR="00AE4137">
        <w:t>pursuant to an ESO is a condition:</w:t>
      </w:r>
    </w:p>
    <w:p w14:paraId="2713FE77" w14:textId="554FE245" w:rsidR="00AE4137" w:rsidRPr="00E77530" w:rsidRDefault="00E77530" w:rsidP="00E77530">
      <w:pPr>
        <w:pStyle w:val="ListNumber"/>
        <w:numPr>
          <w:ilvl w:val="0"/>
          <w:numId w:val="0"/>
        </w:numPr>
        <w:ind w:left="1440"/>
        <w:rPr>
          <w:sz w:val="22"/>
          <w:szCs w:val="22"/>
        </w:rPr>
      </w:pPr>
      <w:r w:rsidRPr="00E77530">
        <w:rPr>
          <w:sz w:val="22"/>
          <w:szCs w:val="22"/>
        </w:rPr>
        <w:t>t</w:t>
      </w:r>
      <w:r w:rsidR="00AE4137" w:rsidRPr="00E77530">
        <w:rPr>
          <w:sz w:val="22"/>
          <w:szCs w:val="22"/>
        </w:rPr>
        <w:t xml:space="preserve">hat the offender </w:t>
      </w:r>
      <w:proofErr w:type="gramStart"/>
      <w:r w:rsidR="00AE4137" w:rsidRPr="00E77530">
        <w:rPr>
          <w:sz w:val="22"/>
          <w:szCs w:val="22"/>
        </w:rPr>
        <w:t>remain</w:t>
      </w:r>
      <w:proofErr w:type="gramEnd"/>
      <w:r w:rsidR="00AE4137" w:rsidRPr="00E77530">
        <w:rPr>
          <w:sz w:val="22"/>
          <w:szCs w:val="22"/>
        </w:rPr>
        <w:t xml:space="preserve"> at specified premises between specified times each day</w:t>
      </w:r>
      <w:r w:rsidRPr="00E77530">
        <w:rPr>
          <w:sz w:val="22"/>
          <w:szCs w:val="22"/>
        </w:rPr>
        <w:t>, or on specified days, but for no more than 12 hours within any 24 hours</w:t>
      </w:r>
      <w:r w:rsidR="002915EA">
        <w:rPr>
          <w:rStyle w:val="EndnoteReference"/>
          <w:szCs w:val="22"/>
        </w:rPr>
        <w:endnoteReference w:id="64"/>
      </w:r>
    </w:p>
    <w:p w14:paraId="27DFD28A" w14:textId="430B5C94" w:rsidR="00AE4137" w:rsidRDefault="00E77530" w:rsidP="009C7984">
      <w:pPr>
        <w:pStyle w:val="ListNumber"/>
      </w:pPr>
      <w:r>
        <w:t xml:space="preserve">This </w:t>
      </w:r>
      <w:r w:rsidR="002915EA">
        <w:t>condition is in the same form a</w:t>
      </w:r>
      <w:r w:rsidR="00411AA3">
        <w:t>s one of the existing conditions in relation to control orders.</w:t>
      </w:r>
      <w:r w:rsidR="00523616">
        <w:rPr>
          <w:rStyle w:val="EndnoteReference"/>
        </w:rPr>
        <w:endnoteReference w:id="65"/>
      </w:r>
      <w:r w:rsidR="00411AA3">
        <w:t xml:space="preserve">  However, the fact that it is only an </w:t>
      </w:r>
      <w:r w:rsidR="00411AA3" w:rsidRPr="00D82BBD">
        <w:rPr>
          <w:i/>
          <w:iCs/>
        </w:rPr>
        <w:t>example</w:t>
      </w:r>
      <w:r w:rsidR="00411AA3">
        <w:t xml:space="preserve"> means that </w:t>
      </w:r>
      <w:r w:rsidR="00730E8D">
        <w:t xml:space="preserve">the limitation that any curfew imposed be no longer than 12 hours would appear to have no effect.  </w:t>
      </w:r>
      <w:r w:rsidR="002808E8">
        <w:t xml:space="preserve">The limitation is also only an example.  </w:t>
      </w:r>
      <w:r w:rsidR="00AB2AE8">
        <w:t xml:space="preserve">There appears to be nothing preventing a court from imposing a curfew </w:t>
      </w:r>
      <w:r w:rsidR="009934FA">
        <w:t xml:space="preserve">for longer than 12 hours per day, including a curfew that lasted 24 hours per day. </w:t>
      </w:r>
      <w:r w:rsidR="00F43AB9">
        <w:t xml:space="preserve"> Nor are there limits on the number of consecutive days of </w:t>
      </w:r>
      <w:r w:rsidR="00E70277">
        <w:t>home detention that could be imposed.</w:t>
      </w:r>
    </w:p>
    <w:p w14:paraId="0312F8B8" w14:textId="48E52218" w:rsidR="00D82BBD" w:rsidRDefault="00D82BBD" w:rsidP="009C7984">
      <w:pPr>
        <w:pStyle w:val="ListNumber"/>
      </w:pPr>
      <w:r>
        <w:t>It appears that one of the fundamental safeguards of the control order regime protecting against home detention would be taken away.</w:t>
      </w:r>
    </w:p>
    <w:p w14:paraId="1959DB8C" w14:textId="77652826" w:rsidR="00D82BBD" w:rsidRDefault="009934FA" w:rsidP="009C7984">
      <w:pPr>
        <w:pStyle w:val="ListNumber"/>
      </w:pPr>
      <w:r>
        <w:t xml:space="preserve">In some cases, </w:t>
      </w:r>
      <w:r w:rsidR="00646D0F">
        <w:t>where an Act contains both a specific power to do something and a more general power</w:t>
      </w:r>
      <w:r w:rsidR="001659BD">
        <w:t xml:space="preserve"> which could also extend to the same thing</w:t>
      </w:r>
      <w:r w:rsidR="00646D0F">
        <w:t xml:space="preserve">, the Act is interpreted in a way that does not permit </w:t>
      </w:r>
      <w:r w:rsidR="00D3776E">
        <w:t xml:space="preserve">the thing to be done otherwise than in </w:t>
      </w:r>
      <w:r w:rsidR="001659BD">
        <w:t xml:space="preserve">accordance with the </w:t>
      </w:r>
      <w:r w:rsidR="00D3776E">
        <w:t xml:space="preserve">more specific </w:t>
      </w:r>
      <w:r w:rsidR="001659BD">
        <w:t>power</w:t>
      </w:r>
      <w:r w:rsidR="00556EED">
        <w:t>.</w:t>
      </w:r>
      <w:r w:rsidR="00D3776E">
        <w:rPr>
          <w:rStyle w:val="EndnoteReference"/>
        </w:rPr>
        <w:endnoteReference w:id="66"/>
      </w:r>
      <w:r w:rsidR="00556EED">
        <w:t xml:space="preserve">  </w:t>
      </w:r>
      <w:r w:rsidR="005C4BC1">
        <w:t xml:space="preserve">That is, </w:t>
      </w:r>
      <w:r w:rsidR="003B1731">
        <w:t>an affirmative grant of power necessarily implie</w:t>
      </w:r>
      <w:r w:rsidR="005567E5">
        <w:t>s</w:t>
      </w:r>
      <w:r w:rsidR="003B1731">
        <w:t xml:space="preserve"> a negative</w:t>
      </w:r>
      <w:r w:rsidR="00FC28DA">
        <w:t>—a prohibition on doing the thing in another way.</w:t>
      </w:r>
      <w:r w:rsidR="00CF44A6">
        <w:t xml:space="preserve"> </w:t>
      </w:r>
      <w:r w:rsidR="00FC28DA">
        <w:t xml:space="preserve"> </w:t>
      </w:r>
      <w:r w:rsidR="00556EED">
        <w:t xml:space="preserve">However, it is far from clear that </w:t>
      </w:r>
      <w:r w:rsidR="00BF28D0">
        <w:t>the</w:t>
      </w:r>
      <w:r w:rsidR="00556EED">
        <w:t xml:space="preserve"> principle would apply in this case.  One reason for that is that</w:t>
      </w:r>
      <w:r w:rsidR="00674903">
        <w:t xml:space="preserve"> </w:t>
      </w:r>
      <w:r w:rsidR="00FC28DA">
        <w:t xml:space="preserve">the power to </w:t>
      </w:r>
      <w:r w:rsidR="007D2314">
        <w:t xml:space="preserve">impose </w:t>
      </w:r>
      <w:r w:rsidR="00FC28DA">
        <w:t xml:space="preserve">conditions </w:t>
      </w:r>
      <w:r w:rsidR="00DF6AB3">
        <w:t xml:space="preserve">by an ESO </w:t>
      </w:r>
      <w:r w:rsidR="00FC28DA">
        <w:t xml:space="preserve">is </w:t>
      </w:r>
      <w:r w:rsidR="00582B6E">
        <w:t xml:space="preserve">expressed in broad terms, and </w:t>
      </w:r>
      <w:r w:rsidR="00674903">
        <w:t xml:space="preserve">the curfew condition is explicitly framed as merely an example of </w:t>
      </w:r>
      <w:r w:rsidR="00582B6E">
        <w:t xml:space="preserve">one </w:t>
      </w:r>
      <w:r w:rsidR="00674903">
        <w:t>condition that could be imposed</w:t>
      </w:r>
      <w:r w:rsidR="00086C91">
        <w:t xml:space="preserve">.  Further, there is no suggestion in the Explanatory Memorandum that this </w:t>
      </w:r>
      <w:r w:rsidR="00582B6E">
        <w:t xml:space="preserve">example </w:t>
      </w:r>
      <w:r w:rsidR="00086C91">
        <w:t>represents an outer limit of the curfew power.</w:t>
      </w:r>
      <w:r w:rsidR="00926C9B">
        <w:rPr>
          <w:rStyle w:val="EndnoteReference"/>
        </w:rPr>
        <w:endnoteReference w:id="67"/>
      </w:r>
    </w:p>
    <w:p w14:paraId="6E3B7F52" w14:textId="04206B84" w:rsidR="007A78FA" w:rsidRDefault="00086C91" w:rsidP="009C7984">
      <w:pPr>
        <w:pStyle w:val="ListNumber"/>
      </w:pPr>
      <w:r>
        <w:t xml:space="preserve">The Commission has </w:t>
      </w:r>
      <w:r w:rsidR="00EE3375">
        <w:t xml:space="preserve">previously expressed concerns about the breadth of the current curfew power in relation to control orders in its submission to the PJCIS Review of AFP Powers.  In particular, the Commission </w:t>
      </w:r>
      <w:r w:rsidR="00174C99">
        <w:t xml:space="preserve">reiterated a concern of the second INSLM, the Hon Roger </w:t>
      </w:r>
      <w:proofErr w:type="spellStart"/>
      <w:r w:rsidR="00174C99">
        <w:t>Gyles</w:t>
      </w:r>
      <w:proofErr w:type="spellEnd"/>
      <w:r w:rsidR="00174C99">
        <w:t xml:space="preserve"> AO QC, that </w:t>
      </w:r>
      <w:r w:rsidR="007A5235">
        <w:t>‘</w:t>
      </w:r>
      <w:r w:rsidR="002632DC">
        <w:t xml:space="preserve">a </w:t>
      </w:r>
      <w:proofErr w:type="gramStart"/>
      <w:r w:rsidR="002632DC">
        <w:t>12 hour</w:t>
      </w:r>
      <w:proofErr w:type="gramEnd"/>
      <w:r w:rsidR="002632DC">
        <w:t xml:space="preserve"> daytime curfew plus </w:t>
      </w:r>
      <w:r w:rsidR="002632DC">
        <w:lastRenderedPageBreak/>
        <w:t xml:space="preserve">residence at home overnight would be close to home detention’.  </w:t>
      </w:r>
      <w:r w:rsidR="006429C5">
        <w:t xml:space="preserve">The Government Response to the second INSLM’s report appeared to accept that </w:t>
      </w:r>
      <w:r w:rsidR="000E0517">
        <w:t xml:space="preserve">creating </w:t>
      </w:r>
      <w:r w:rsidR="000E0517" w:rsidRPr="000E0517">
        <w:rPr>
          <w:i/>
          <w:iCs/>
        </w:rPr>
        <w:t>de facto</w:t>
      </w:r>
      <w:r w:rsidR="000E0517">
        <w:t xml:space="preserve"> home detention through the control order regime would be inappropriate.  </w:t>
      </w:r>
      <w:r w:rsidR="002632DC">
        <w:t xml:space="preserve">The Commission recommended </w:t>
      </w:r>
      <w:r w:rsidR="00AC00E7">
        <w:t>that s 104.5(3) of the Criminal Code be amended to expressly prohibit long curfew periods</w:t>
      </w:r>
      <w:r w:rsidR="007A78FA">
        <w:t xml:space="preserve"> during daylight hours as part of a control order.</w:t>
      </w:r>
      <w:r w:rsidR="000E0517">
        <w:rPr>
          <w:rStyle w:val="EndnoteReference"/>
        </w:rPr>
        <w:endnoteReference w:id="68"/>
      </w:r>
    </w:p>
    <w:p w14:paraId="6DB4FDE8" w14:textId="77777777" w:rsidR="007A78FA" w:rsidRDefault="007A78FA" w:rsidP="009C7984">
      <w:pPr>
        <w:pStyle w:val="ListNumber"/>
      </w:pPr>
      <w:r>
        <w:t>The same concerns arise even more starkly in relation to the proposed ESO regime.  The conditions should be expressly limited to prevent home detention.</w:t>
      </w:r>
    </w:p>
    <w:p w14:paraId="195F8540" w14:textId="1D653768" w:rsidR="007A78FA" w:rsidRPr="007A78FA" w:rsidRDefault="007A78FA" w:rsidP="00AF5329">
      <w:pPr>
        <w:pStyle w:val="ListNumber"/>
        <w:keepNext/>
        <w:numPr>
          <w:ilvl w:val="0"/>
          <w:numId w:val="0"/>
        </w:numPr>
        <w:ind w:left="1094"/>
        <w:rPr>
          <w:b/>
          <w:bCs/>
        </w:rPr>
      </w:pPr>
      <w:r w:rsidRPr="007A78FA">
        <w:rPr>
          <w:b/>
          <w:bCs/>
        </w:rPr>
        <w:t xml:space="preserve">Recommendation </w:t>
      </w:r>
      <w:r w:rsidR="00B74373">
        <w:rPr>
          <w:b/>
          <w:bCs/>
        </w:rPr>
        <w:t>8</w:t>
      </w:r>
    </w:p>
    <w:p w14:paraId="24A6876E" w14:textId="39356B98" w:rsidR="00086C91" w:rsidRPr="00651967" w:rsidRDefault="00AF5329" w:rsidP="00AF5329">
      <w:pPr>
        <w:pStyle w:val="ListNumber"/>
        <w:numPr>
          <w:ilvl w:val="0"/>
          <w:numId w:val="0"/>
        </w:numPr>
        <w:ind w:left="1094"/>
      </w:pPr>
      <w:r>
        <w:t xml:space="preserve">The Commission recommends that </w:t>
      </w:r>
      <w:r w:rsidR="00B17757">
        <w:t xml:space="preserve">the Bill be amended to prevent the imposition of a condition </w:t>
      </w:r>
      <w:r w:rsidR="00CF0E51">
        <w:t xml:space="preserve">in an extended supervision order or an interim supervision order that would permit </w:t>
      </w:r>
      <w:r w:rsidR="00BE36DD">
        <w:t xml:space="preserve">or amount to </w:t>
      </w:r>
      <w:r w:rsidR="00CF0E51">
        <w:t>home detention.</w:t>
      </w:r>
      <w:r w:rsidR="00086C91">
        <w:t xml:space="preserve"> </w:t>
      </w:r>
    </w:p>
    <w:p w14:paraId="51083684" w14:textId="5A2C4CB6" w:rsidR="00F8105B" w:rsidRDefault="00B86557" w:rsidP="00F8105B">
      <w:pPr>
        <w:pStyle w:val="Heading3"/>
      </w:pPr>
      <w:bookmarkStart w:id="26" w:name="_Toc54876160"/>
      <w:r>
        <w:t>Electronic monitoring</w:t>
      </w:r>
      <w:bookmarkEnd w:id="26"/>
    </w:p>
    <w:p w14:paraId="68DB5207" w14:textId="05E8834B" w:rsidR="00894682" w:rsidRDefault="00065C57" w:rsidP="00065C57">
      <w:pPr>
        <w:pStyle w:val="ListNumber"/>
      </w:pPr>
      <w:r w:rsidRPr="00065C57">
        <w:t>T</w:t>
      </w:r>
      <w:r>
        <w:t xml:space="preserve">he Bill would </w:t>
      </w:r>
      <w:r w:rsidR="002C1E31">
        <w:t>add</w:t>
      </w:r>
      <w:r w:rsidR="003C3AC8">
        <w:t xml:space="preserve"> </w:t>
      </w:r>
      <w:r>
        <w:t>new obligations that can be imposed under a control order</w:t>
      </w:r>
      <w:r w:rsidR="00B86557">
        <w:t xml:space="preserve"> in relation to electronic monitoring and extend these new obligations </w:t>
      </w:r>
      <w:r w:rsidR="00CF2484">
        <w:t>to the ESO regime</w:t>
      </w:r>
      <w:r w:rsidR="003C3AC8">
        <w:t xml:space="preserve">.  These </w:t>
      </w:r>
      <w:r w:rsidR="00954141">
        <w:t xml:space="preserve">obligations expand on the existing obligation </w:t>
      </w:r>
      <w:r w:rsidR="00CF2484">
        <w:t xml:space="preserve">in the control order regime </w:t>
      </w:r>
      <w:r w:rsidR="00954141">
        <w:t xml:space="preserve">to </w:t>
      </w:r>
      <w:r w:rsidR="00122CEC">
        <w:t>wear a tracking device.</w:t>
      </w:r>
      <w:r w:rsidR="00122CEC">
        <w:rPr>
          <w:rStyle w:val="EndnoteReference"/>
        </w:rPr>
        <w:endnoteReference w:id="69"/>
      </w:r>
      <w:r w:rsidR="00122CEC">
        <w:t xml:space="preserve">  They </w:t>
      </w:r>
      <w:r w:rsidR="003C3AC8">
        <w:t>i</w:t>
      </w:r>
      <w:r w:rsidR="00894682">
        <w:t>nclude</w:t>
      </w:r>
      <w:r w:rsidR="00DC6656">
        <w:t xml:space="preserve"> requirements that the person</w:t>
      </w:r>
      <w:r w:rsidR="00894682">
        <w:t>:</w:t>
      </w:r>
    </w:p>
    <w:p w14:paraId="2FD35070" w14:textId="1D7FD9BF" w:rsidR="002E6C44" w:rsidRDefault="002E6C44" w:rsidP="00894682">
      <w:pPr>
        <w:pStyle w:val="ListNumber"/>
        <w:numPr>
          <w:ilvl w:val="0"/>
          <w:numId w:val="39"/>
        </w:numPr>
      </w:pPr>
      <w:r>
        <w:t xml:space="preserve">comply with directions given by a </w:t>
      </w:r>
      <w:r w:rsidR="002C1E31">
        <w:t>‘</w:t>
      </w:r>
      <w:r>
        <w:t>specified authority</w:t>
      </w:r>
      <w:r w:rsidR="002C1E31">
        <w:t>’</w:t>
      </w:r>
      <w:r>
        <w:t xml:space="preserve"> in relation to electronic monitoring</w:t>
      </w:r>
      <w:r w:rsidR="0095798F">
        <w:rPr>
          <w:rStyle w:val="EndnoteReference"/>
        </w:rPr>
        <w:endnoteReference w:id="70"/>
      </w:r>
    </w:p>
    <w:p w14:paraId="3E3919B7" w14:textId="4AEEE591" w:rsidR="0095798F" w:rsidRDefault="005C7BA7" w:rsidP="00894682">
      <w:pPr>
        <w:pStyle w:val="ListNumber"/>
        <w:numPr>
          <w:ilvl w:val="0"/>
          <w:numId w:val="39"/>
        </w:numPr>
      </w:pPr>
      <w:r>
        <w:t>carry a specified mobile phone</w:t>
      </w:r>
      <w:r w:rsidR="00065C57">
        <w:t xml:space="preserve"> </w:t>
      </w:r>
      <w:r>
        <w:t>at all times, be available to answer</w:t>
      </w:r>
      <w:r w:rsidR="000456CF">
        <w:t xml:space="preserve"> any call from a </w:t>
      </w:r>
      <w:r w:rsidR="002C1E31">
        <w:t>‘</w:t>
      </w:r>
      <w:r w:rsidR="000456CF">
        <w:t>specified authority</w:t>
      </w:r>
      <w:r w:rsidR="002C1E31">
        <w:t>’</w:t>
      </w:r>
      <w:r w:rsidR="000456CF">
        <w:t xml:space="preserve"> (or return a call that they were unable to answer) and comply with </w:t>
      </w:r>
      <w:r w:rsidR="0095798F">
        <w:t>directions in relation to these obligations</w:t>
      </w:r>
      <w:r w:rsidR="00BC1EC6">
        <w:t>.</w:t>
      </w:r>
      <w:r w:rsidR="0095798F">
        <w:rPr>
          <w:rStyle w:val="EndnoteReference"/>
        </w:rPr>
        <w:endnoteReference w:id="71"/>
      </w:r>
    </w:p>
    <w:p w14:paraId="34FAADC0" w14:textId="1130B772" w:rsidR="005B5785" w:rsidRDefault="005B5785" w:rsidP="001F77A8">
      <w:pPr>
        <w:pStyle w:val="ListNumber"/>
      </w:pPr>
      <w:r>
        <w:t>A ‘s</w:t>
      </w:r>
      <w:r w:rsidR="00E051E2">
        <w:t xml:space="preserve">pecified authority’ </w:t>
      </w:r>
      <w:r>
        <w:t>includes, but is not limited to, any public or private entity contracted by the AFP to perform functions relating to electronic monitoring of persons.</w:t>
      </w:r>
      <w:r>
        <w:rPr>
          <w:rStyle w:val="EndnoteReference"/>
        </w:rPr>
        <w:endnoteReference w:id="72"/>
      </w:r>
      <w:r>
        <w:t xml:space="preserve">  </w:t>
      </w:r>
      <w:r w:rsidR="00E051E2">
        <w:t xml:space="preserve">As noted above, a ‘specified authority’ could </w:t>
      </w:r>
      <w:r w:rsidR="00671D11">
        <w:t xml:space="preserve">also </w:t>
      </w:r>
      <w:r w:rsidR="00E051E2">
        <w:t>be any person in Australia.</w:t>
      </w:r>
    </w:p>
    <w:p w14:paraId="0022DA9E" w14:textId="1CEA00BA" w:rsidR="003072C1" w:rsidRDefault="009B4089" w:rsidP="00405CCB">
      <w:pPr>
        <w:pStyle w:val="ListNumber"/>
      </w:pPr>
      <w:r>
        <w:t xml:space="preserve">As with the </w:t>
      </w:r>
      <w:r w:rsidR="00500DB2">
        <w:t xml:space="preserve">more general </w:t>
      </w:r>
      <w:r>
        <w:t>conditions in relation to ESOs, t</w:t>
      </w:r>
      <w:r w:rsidR="009810FC">
        <w:t xml:space="preserve">here are few limits on the directions that </w:t>
      </w:r>
      <w:r w:rsidR="007A1C81">
        <w:t xml:space="preserve">a ‘specified authority’ </w:t>
      </w:r>
      <w:r w:rsidR="009810FC">
        <w:t>could give</w:t>
      </w:r>
      <w:r w:rsidR="00500DB2">
        <w:t xml:space="preserve"> when it comes to electronic monitoring</w:t>
      </w:r>
      <w:r w:rsidR="009810FC">
        <w:t xml:space="preserve">.  </w:t>
      </w:r>
      <w:r w:rsidR="00AF0422">
        <w:t xml:space="preserve">In the case of </w:t>
      </w:r>
      <w:r w:rsidR="00A113B7">
        <w:t>conditions imposed pursuant to a control order that permit the giving of directions, t</w:t>
      </w:r>
      <w:r w:rsidR="00CA3DE8">
        <w:t xml:space="preserve">he directions must </w:t>
      </w:r>
      <w:r w:rsidR="00032C6D">
        <w:t xml:space="preserve">be ‘in relation to’ electronic monitoring </w:t>
      </w:r>
      <w:r w:rsidR="003C34A1">
        <w:t xml:space="preserve">and the person giving the </w:t>
      </w:r>
      <w:r w:rsidR="00FC0528">
        <w:t xml:space="preserve">direction </w:t>
      </w:r>
      <w:r w:rsidR="003C34A1">
        <w:t xml:space="preserve">must be </w:t>
      </w:r>
      <w:r w:rsidR="00FC0528">
        <w:t xml:space="preserve">satisfied that the direction is reasonable in all the circumstances </w:t>
      </w:r>
      <w:r w:rsidR="00813C00">
        <w:t>to give effect to</w:t>
      </w:r>
      <w:r w:rsidR="003C34A1">
        <w:t xml:space="preserve"> the requirements of the paragraphs dealing with electronic monitoring</w:t>
      </w:r>
      <w:r w:rsidR="008B20CB">
        <w:t>,</w:t>
      </w:r>
      <w:r w:rsidR="003C34A1">
        <w:t xml:space="preserve"> or the objects of </w:t>
      </w:r>
      <w:proofErr w:type="spellStart"/>
      <w:r w:rsidR="003C34A1">
        <w:t>Div</w:t>
      </w:r>
      <w:proofErr w:type="spellEnd"/>
      <w:r w:rsidR="003C34A1">
        <w:t xml:space="preserve"> 104.</w:t>
      </w:r>
      <w:r w:rsidR="00A053FB">
        <w:rPr>
          <w:rStyle w:val="EndnoteReference"/>
        </w:rPr>
        <w:endnoteReference w:id="73"/>
      </w:r>
    </w:p>
    <w:p w14:paraId="645966F0" w14:textId="0AA76310" w:rsidR="00F8627C" w:rsidRDefault="00F8627C" w:rsidP="00405CCB">
      <w:pPr>
        <w:pStyle w:val="ListNumber"/>
      </w:pPr>
      <w:r>
        <w:t xml:space="preserve">The Commission reiterates </w:t>
      </w:r>
      <w:r w:rsidR="000B2217">
        <w:t xml:space="preserve">Recommendation </w:t>
      </w:r>
      <w:r w:rsidR="000F599E">
        <w:t>6</w:t>
      </w:r>
      <w:r w:rsidR="000B2217">
        <w:t xml:space="preserve"> above that the definition of a ‘specified authority’ should be more tightly </w:t>
      </w:r>
      <w:r w:rsidR="001D1076">
        <w:t>circumscribed.</w:t>
      </w:r>
    </w:p>
    <w:p w14:paraId="31ABB886" w14:textId="4D70106E" w:rsidR="001D1076" w:rsidRDefault="00105FC4" w:rsidP="00105FC4">
      <w:pPr>
        <w:pStyle w:val="Heading3"/>
      </w:pPr>
      <w:bookmarkStart w:id="27" w:name="_Ref54103909"/>
      <w:bookmarkStart w:id="28" w:name="_Toc54876161"/>
      <w:r>
        <w:lastRenderedPageBreak/>
        <w:t>Entering the home of a person subject to an order</w:t>
      </w:r>
      <w:bookmarkEnd w:id="27"/>
      <w:bookmarkEnd w:id="28"/>
    </w:p>
    <w:p w14:paraId="5F333037" w14:textId="45D4A9C4" w:rsidR="00105FC4" w:rsidRDefault="00D25FDE" w:rsidP="00405CCB">
      <w:pPr>
        <w:pStyle w:val="ListNumber"/>
      </w:pPr>
      <w:r>
        <w:t>The control order regime already contains extensive provisions in relation to monitoring and enforcement</w:t>
      </w:r>
      <w:r w:rsidR="002250BD">
        <w:t>.</w:t>
      </w:r>
      <w:r w:rsidR="0096511F">
        <w:rPr>
          <w:rStyle w:val="EndnoteReference"/>
        </w:rPr>
        <w:endnoteReference w:id="74"/>
      </w:r>
      <w:r w:rsidR="002250BD">
        <w:t xml:space="preserve">  These provisions are substantially replicated in relation to ESOs (see section </w:t>
      </w:r>
      <w:r w:rsidR="00AF2E82">
        <w:fldChar w:fldCharType="begin"/>
      </w:r>
      <w:r w:rsidR="00AF2E82">
        <w:instrText xml:space="preserve"> REF _Ref54177494 \r \h </w:instrText>
      </w:r>
      <w:r w:rsidR="00AF2E82">
        <w:fldChar w:fldCharType="separate"/>
      </w:r>
      <w:r w:rsidR="004E2F67">
        <w:t>10</w:t>
      </w:r>
      <w:r w:rsidR="00AF2E82">
        <w:fldChar w:fldCharType="end"/>
      </w:r>
      <w:r w:rsidR="002250BD">
        <w:t xml:space="preserve"> below).  However, </w:t>
      </w:r>
      <w:r w:rsidR="00955ED0">
        <w:t xml:space="preserve">the Bill also </w:t>
      </w:r>
      <w:r w:rsidR="007314CF">
        <w:t>indicates</w:t>
      </w:r>
      <w:r w:rsidR="00955ED0">
        <w:t xml:space="preserve"> that appropriate conditions to be imposed on an ESO </w:t>
      </w:r>
      <w:r w:rsidR="00EC36EB">
        <w:t xml:space="preserve">could </w:t>
      </w:r>
      <w:r w:rsidR="00955ED0">
        <w:t xml:space="preserve">include </w:t>
      </w:r>
      <w:r w:rsidR="003F17A8" w:rsidRPr="00441C06">
        <w:rPr>
          <w:i/>
          <w:iCs/>
        </w:rPr>
        <w:t>requiring</w:t>
      </w:r>
      <w:r w:rsidR="003F17A8">
        <w:t xml:space="preserve"> </w:t>
      </w:r>
      <w:r w:rsidR="00441C06">
        <w:t>the offender to consent to a range of things including entry into their home.</w:t>
      </w:r>
    </w:p>
    <w:p w14:paraId="69E9B13A" w14:textId="63AE5F0A" w:rsidR="00EC2CB9" w:rsidRDefault="00EC2CB9" w:rsidP="00405CCB">
      <w:pPr>
        <w:pStyle w:val="ListNumber"/>
      </w:pPr>
      <w:r>
        <w:t xml:space="preserve">In particular, the Bill would permit conditions </w:t>
      </w:r>
      <w:r w:rsidRPr="003D6BA4">
        <w:rPr>
          <w:i/>
          <w:iCs/>
        </w:rPr>
        <w:t>requir</w:t>
      </w:r>
      <w:r w:rsidR="00731B25" w:rsidRPr="003D6BA4">
        <w:rPr>
          <w:i/>
          <w:iCs/>
        </w:rPr>
        <w:t>ing</w:t>
      </w:r>
      <w:r w:rsidR="00731B25">
        <w:t xml:space="preserve"> a person to consent to:</w:t>
      </w:r>
    </w:p>
    <w:p w14:paraId="3380E77D" w14:textId="2A55E9E8" w:rsidR="00731B25" w:rsidRDefault="008D268D" w:rsidP="00731B25">
      <w:pPr>
        <w:pStyle w:val="ListNumber"/>
        <w:numPr>
          <w:ilvl w:val="0"/>
          <w:numId w:val="39"/>
        </w:numPr>
      </w:pPr>
      <w:r>
        <w:t>v</w:t>
      </w:r>
      <w:r w:rsidR="00F95754">
        <w:t xml:space="preserve">isits at specified premises </w:t>
      </w:r>
      <w:r>
        <w:t xml:space="preserve">(including their own home) </w:t>
      </w:r>
      <w:r w:rsidR="00F95754">
        <w:t xml:space="preserve">from a </w:t>
      </w:r>
      <w:r>
        <w:t>‘specified authority’</w:t>
      </w:r>
      <w:r w:rsidR="003F2EF9">
        <w:t xml:space="preserve"> </w:t>
      </w:r>
      <w:r w:rsidR="00240125">
        <w:t xml:space="preserve">at </w:t>
      </w:r>
      <w:r w:rsidR="00240125" w:rsidRPr="00240125">
        <w:rPr>
          <w:u w:val="single"/>
        </w:rPr>
        <w:t>any time</w:t>
      </w:r>
      <w:r w:rsidR="00240125">
        <w:t xml:space="preserve"> </w:t>
      </w:r>
      <w:r w:rsidR="003F2EF9">
        <w:t xml:space="preserve">for the purpose </w:t>
      </w:r>
      <w:r w:rsidR="00240125">
        <w:t>of ensuring compliance with a curfew condition</w:t>
      </w:r>
    </w:p>
    <w:p w14:paraId="2A5EADB9" w14:textId="25B0B404" w:rsidR="00A64869" w:rsidRDefault="00C745CC" w:rsidP="00731B25">
      <w:pPr>
        <w:pStyle w:val="ListNumber"/>
        <w:numPr>
          <w:ilvl w:val="0"/>
          <w:numId w:val="39"/>
        </w:numPr>
      </w:pPr>
      <w:r>
        <w:t>entry to specified premises (including their own home) by a ‘specified authority’</w:t>
      </w:r>
      <w:r w:rsidR="00240125">
        <w:t xml:space="preserve"> at </w:t>
      </w:r>
      <w:r w:rsidR="00240125" w:rsidRPr="00240125">
        <w:rPr>
          <w:u w:val="single"/>
        </w:rPr>
        <w:t>any time</w:t>
      </w:r>
      <w:r w:rsidR="00240125">
        <w:t xml:space="preserve"> for the purpose</w:t>
      </w:r>
      <w:r w:rsidR="00A64869">
        <w:t>s</w:t>
      </w:r>
      <w:r w:rsidR="00240125">
        <w:t xml:space="preserve"> of</w:t>
      </w:r>
      <w:r w:rsidR="00CA7FF4">
        <w:t xml:space="preserve"> ensuring compliance with a curfew condition</w:t>
      </w:r>
    </w:p>
    <w:p w14:paraId="4678D1AB" w14:textId="7FDF4EDE" w:rsidR="00AF15D4" w:rsidRDefault="00AF15D4" w:rsidP="00AF15D4">
      <w:pPr>
        <w:pStyle w:val="ListNumber"/>
        <w:numPr>
          <w:ilvl w:val="0"/>
          <w:numId w:val="39"/>
        </w:numPr>
      </w:pPr>
      <w:r>
        <w:t>entry to the person’s home by a ‘specified authority’ at any reasonable time for any purpose relating to electronic monitoring</w:t>
      </w:r>
      <w:r w:rsidR="00D554E4">
        <w:t xml:space="preserve"> (this provision applies to both control orders and ESOs)</w:t>
      </w:r>
      <w:r>
        <w:rPr>
          <w:rStyle w:val="EndnoteReference"/>
        </w:rPr>
        <w:endnoteReference w:id="75"/>
      </w:r>
    </w:p>
    <w:p w14:paraId="46C91F36" w14:textId="77777777" w:rsidR="00236594" w:rsidRDefault="00236594" w:rsidP="00236594">
      <w:pPr>
        <w:pStyle w:val="ListNumber"/>
        <w:numPr>
          <w:ilvl w:val="0"/>
          <w:numId w:val="39"/>
        </w:numPr>
      </w:pPr>
      <w:r>
        <w:t>providing a ‘specified authority’ with a schedule setting out their proposed movements, and complying with that schedule (noting that any deviation from the schedule would be a criminal offence, subject to penalties of imprisonment)</w:t>
      </w:r>
    </w:p>
    <w:p w14:paraId="20E6304D" w14:textId="78FB5C92" w:rsidR="008D268D" w:rsidRDefault="00CA7FF4" w:rsidP="00236594">
      <w:pPr>
        <w:pStyle w:val="ListNumber"/>
        <w:numPr>
          <w:ilvl w:val="0"/>
          <w:numId w:val="39"/>
        </w:numPr>
      </w:pPr>
      <w:r>
        <w:t xml:space="preserve">entry to </w:t>
      </w:r>
      <w:r w:rsidR="00236594">
        <w:t>specified premises (including their own home) by a police officer for the purposes of:</w:t>
      </w:r>
    </w:p>
    <w:p w14:paraId="2922B070" w14:textId="492A0540" w:rsidR="00A64869" w:rsidRDefault="008D32BF" w:rsidP="00A64869">
      <w:pPr>
        <w:pStyle w:val="ListNumber"/>
        <w:numPr>
          <w:ilvl w:val="1"/>
          <w:numId w:val="39"/>
        </w:numPr>
      </w:pPr>
      <w:r>
        <w:t>searching the person</w:t>
      </w:r>
    </w:p>
    <w:p w14:paraId="6C183E7D" w14:textId="3A1CCE97" w:rsidR="008D32BF" w:rsidRDefault="008D32BF" w:rsidP="00A64869">
      <w:pPr>
        <w:pStyle w:val="ListNumber"/>
        <w:numPr>
          <w:ilvl w:val="1"/>
          <w:numId w:val="39"/>
        </w:numPr>
      </w:pPr>
      <w:r>
        <w:t>searching the person’s residence</w:t>
      </w:r>
    </w:p>
    <w:p w14:paraId="7E2E53D7" w14:textId="5AA4DA02" w:rsidR="008D32BF" w:rsidRDefault="008D32BF" w:rsidP="00A64869">
      <w:pPr>
        <w:pStyle w:val="ListNumber"/>
        <w:numPr>
          <w:ilvl w:val="1"/>
          <w:numId w:val="39"/>
        </w:numPr>
      </w:pPr>
      <w:r>
        <w:t>searching any other premises under the person’s control</w:t>
      </w:r>
    </w:p>
    <w:p w14:paraId="014C6EE6" w14:textId="40994B73" w:rsidR="008D32BF" w:rsidRDefault="00766BC9" w:rsidP="00A64869">
      <w:pPr>
        <w:pStyle w:val="ListNumber"/>
        <w:numPr>
          <w:ilvl w:val="1"/>
          <w:numId w:val="39"/>
        </w:numPr>
      </w:pPr>
      <w:r>
        <w:t xml:space="preserve">seizing </w:t>
      </w:r>
      <w:r w:rsidR="008121D5">
        <w:t>any item found during those searches (</w:t>
      </w:r>
      <w:proofErr w:type="gramStart"/>
      <w:r w:rsidR="008121D5">
        <w:t>whether or not</w:t>
      </w:r>
      <w:proofErr w:type="gramEnd"/>
      <w:r w:rsidR="008121D5">
        <w:t xml:space="preserve"> connected to any offence) including to allow the item to be examined forensically</w:t>
      </w:r>
    </w:p>
    <w:p w14:paraId="342F231D" w14:textId="53E46731" w:rsidR="003D6BA4" w:rsidRDefault="000730A1" w:rsidP="00731B25">
      <w:pPr>
        <w:pStyle w:val="ListNumber"/>
        <w:numPr>
          <w:ilvl w:val="0"/>
          <w:numId w:val="39"/>
        </w:numPr>
      </w:pPr>
      <w:r>
        <w:t xml:space="preserve">providing a </w:t>
      </w:r>
      <w:r w:rsidR="00C56BFE">
        <w:t>police officer</w:t>
      </w:r>
      <w:r>
        <w:t xml:space="preserve"> with </w:t>
      </w:r>
      <w:r w:rsidR="00DA0FDF">
        <w:t xml:space="preserve">passwords and </w:t>
      </w:r>
      <w:r>
        <w:t>access to</w:t>
      </w:r>
      <w:r w:rsidR="00DA0FDF">
        <w:t>:</w:t>
      </w:r>
    </w:p>
    <w:p w14:paraId="4DE3BB4B" w14:textId="2DAFAF96" w:rsidR="00DA0FDF" w:rsidRDefault="00DA0FDF" w:rsidP="00DA0FDF">
      <w:pPr>
        <w:pStyle w:val="ListNumber"/>
        <w:numPr>
          <w:ilvl w:val="1"/>
          <w:numId w:val="39"/>
        </w:numPr>
      </w:pPr>
      <w:r>
        <w:t>electronic equipment or technology</w:t>
      </w:r>
      <w:r w:rsidR="00A1504C">
        <w:t xml:space="preserve"> owned or controlled by the person</w:t>
      </w:r>
    </w:p>
    <w:p w14:paraId="3F8DE130" w14:textId="4F403590" w:rsidR="00DA0FDF" w:rsidRDefault="00DA0FDF" w:rsidP="00DA0FDF">
      <w:pPr>
        <w:pStyle w:val="ListNumber"/>
        <w:numPr>
          <w:ilvl w:val="1"/>
          <w:numId w:val="39"/>
        </w:numPr>
      </w:pPr>
      <w:r>
        <w:t>any data held on</w:t>
      </w:r>
      <w:r w:rsidR="00A1504C">
        <w:t>,</w:t>
      </w:r>
      <w:r>
        <w:t xml:space="preserve"> </w:t>
      </w:r>
      <w:r w:rsidR="00A1504C">
        <w:t>or accessible from, such equipment or technology</w:t>
      </w:r>
    </w:p>
    <w:p w14:paraId="6D53BFA2" w14:textId="7FE91B07" w:rsidR="006071AA" w:rsidRDefault="006071AA" w:rsidP="006071AA">
      <w:pPr>
        <w:pStyle w:val="ListNumber"/>
        <w:numPr>
          <w:ilvl w:val="0"/>
          <w:numId w:val="0"/>
        </w:numPr>
        <w:ind w:left="1094" w:hanging="737"/>
      </w:pPr>
      <w:r>
        <w:tab/>
      </w:r>
      <w:r>
        <w:tab/>
      </w:r>
      <w:r>
        <w:tab/>
      </w:r>
      <w:r w:rsidR="000C66D5">
        <w:t xml:space="preserve">and allowing the equipment or data to be seized. </w:t>
      </w:r>
    </w:p>
    <w:p w14:paraId="094168D1" w14:textId="77777777" w:rsidR="00287D53" w:rsidRDefault="00287D53" w:rsidP="00287D53">
      <w:pPr>
        <w:pStyle w:val="ListNumber"/>
      </w:pPr>
      <w:r>
        <w:t>The Bill would also authorise a police officer to use reasonable force to enter a person’s home to install, repair, fit or remove an electronic monitoring device if the person did not give consent to that action.</w:t>
      </w:r>
      <w:r>
        <w:rPr>
          <w:rStyle w:val="EndnoteReference"/>
        </w:rPr>
        <w:endnoteReference w:id="76"/>
      </w:r>
    </w:p>
    <w:p w14:paraId="561B3D3A" w14:textId="5F7314AC" w:rsidR="0096511F" w:rsidRDefault="00E0680A" w:rsidP="00405CCB">
      <w:pPr>
        <w:pStyle w:val="ListNumber"/>
      </w:pPr>
      <w:r>
        <w:lastRenderedPageBreak/>
        <w:t>The Commission’s view is that these proposed conditions should be removed from the Bill</w:t>
      </w:r>
      <w:r w:rsidR="00EC2CB9">
        <w:t xml:space="preserve"> because they unnecessar</w:t>
      </w:r>
      <w:r w:rsidR="0024408E">
        <w:t>il</w:t>
      </w:r>
      <w:r w:rsidR="00EC2CB9">
        <w:t>y</w:t>
      </w:r>
      <w:r w:rsidR="0024408E">
        <w:t xml:space="preserve"> restrict human rights</w:t>
      </w:r>
      <w:r w:rsidR="00EC2CB9">
        <w:t xml:space="preserve">.  If </w:t>
      </w:r>
      <w:r w:rsidR="00731B25">
        <w:t xml:space="preserve">a police officer </w:t>
      </w:r>
      <w:r w:rsidR="00EE6BEE">
        <w:t>monitoring compliance with an ESO wants to search the person</w:t>
      </w:r>
      <w:r w:rsidR="00076B27">
        <w:t>,</w:t>
      </w:r>
      <w:r w:rsidR="00EE6BEE">
        <w:t xml:space="preserve"> enter their premises, </w:t>
      </w:r>
      <w:r w:rsidR="00076B27">
        <w:t xml:space="preserve">or carry out some task in relation to an electronic monitoring device, </w:t>
      </w:r>
      <w:r w:rsidR="00EE6BEE">
        <w:t>they can do so either:</w:t>
      </w:r>
    </w:p>
    <w:p w14:paraId="547029DA" w14:textId="6EE82DA5" w:rsidR="00EE6BEE" w:rsidRDefault="00EE6BEE" w:rsidP="00EE6BEE">
      <w:pPr>
        <w:pStyle w:val="ListNumber"/>
        <w:numPr>
          <w:ilvl w:val="0"/>
          <w:numId w:val="39"/>
        </w:numPr>
      </w:pPr>
      <w:r>
        <w:t xml:space="preserve">with the </w:t>
      </w:r>
      <w:r w:rsidRPr="006E4B50">
        <w:rPr>
          <w:i/>
          <w:iCs/>
        </w:rPr>
        <w:t>actual</w:t>
      </w:r>
      <w:r>
        <w:t xml:space="preserve"> consent of the person; or</w:t>
      </w:r>
    </w:p>
    <w:p w14:paraId="53C4B6D6" w14:textId="54C2FE38" w:rsidR="00EE6BEE" w:rsidRDefault="005576E7" w:rsidP="00EE6BEE">
      <w:pPr>
        <w:pStyle w:val="ListNumber"/>
        <w:numPr>
          <w:ilvl w:val="0"/>
          <w:numId w:val="39"/>
        </w:numPr>
      </w:pPr>
      <w:r>
        <w:t>pursuant to a warrant</w:t>
      </w:r>
      <w:r w:rsidR="00183F61">
        <w:t xml:space="preserve"> where the proposed conduct must be justified before an independent decision</w:t>
      </w:r>
      <w:r w:rsidR="00053DF4">
        <w:t xml:space="preserve"> </w:t>
      </w:r>
      <w:r w:rsidR="00183F61">
        <w:t>maker.</w:t>
      </w:r>
    </w:p>
    <w:p w14:paraId="42F927F4" w14:textId="5DB05409" w:rsidR="00EC36EB" w:rsidRDefault="00077985" w:rsidP="00A63590">
      <w:pPr>
        <w:pStyle w:val="ListNumber"/>
      </w:pPr>
      <w:r>
        <w:t xml:space="preserve">As the </w:t>
      </w:r>
      <w:r w:rsidR="00D67580">
        <w:t xml:space="preserve">Bill’s </w:t>
      </w:r>
      <w:r>
        <w:t>Statement of Compat</w:t>
      </w:r>
      <w:r w:rsidR="00D67580">
        <w:t xml:space="preserve">ibility with Human Rights observes, the warrant regime </w:t>
      </w:r>
      <w:r w:rsidR="00B46A3D">
        <w:t>ensures that</w:t>
      </w:r>
      <w:r w:rsidR="00DE7736">
        <w:t xml:space="preserve"> where entry is on the basis of consent</w:t>
      </w:r>
      <w:r w:rsidR="00B46A3D">
        <w:t xml:space="preserve"> ‘entry and search are only authorised if consent is informed and voluntary, limiting the impact on privacy’.</w:t>
      </w:r>
      <w:r w:rsidR="00BA4CE8">
        <w:rPr>
          <w:rStyle w:val="EndnoteReference"/>
        </w:rPr>
        <w:endnoteReference w:id="77"/>
      </w:r>
      <w:r w:rsidR="00B46A3D">
        <w:t xml:space="preserve">  The proposed </w:t>
      </w:r>
      <w:r w:rsidR="00BA4CE8">
        <w:t xml:space="preserve">conditions would undermine these protections.  </w:t>
      </w:r>
    </w:p>
    <w:p w14:paraId="108177AB" w14:textId="34C9F643" w:rsidR="00A63590" w:rsidRDefault="00A63590" w:rsidP="00A63590">
      <w:pPr>
        <w:pStyle w:val="ListNumber"/>
      </w:pPr>
      <w:r>
        <w:t>Warrantless entry to premises clearly engages the right to privacy.  This right is also recognised at common law.  Every unauthorised entry onto private premises, whether by police officers or anyone else, amounts to a trespass.</w:t>
      </w:r>
      <w:r w:rsidRPr="00B13036">
        <w:rPr>
          <w:sz w:val="20"/>
          <w:szCs w:val="20"/>
          <w:vertAlign w:val="superscript"/>
        </w:rPr>
        <w:endnoteReference w:id="78"/>
      </w:r>
      <w:r>
        <w:t xml:space="preserve"> </w:t>
      </w:r>
    </w:p>
    <w:p w14:paraId="51D894D1" w14:textId="77777777" w:rsidR="00A63590" w:rsidRDefault="00A63590" w:rsidP="00A63590">
      <w:pPr>
        <w:pStyle w:val="ListNumber"/>
      </w:pPr>
      <w:r>
        <w:t>In the absence of permission from the lawful owner or occupier, a police officer may normally only enter private premises pursuant to a warrant.  Legislation provides for warrants to be issued by justices or magistrates and to be subject to conditions, in order to ‘balance the need for an effective criminal justice system against the need to protect the individual from arbitrary invasions of his privacy and property’.</w:t>
      </w:r>
      <w:r w:rsidRPr="00B13036">
        <w:rPr>
          <w:sz w:val="20"/>
          <w:szCs w:val="20"/>
          <w:vertAlign w:val="superscript"/>
        </w:rPr>
        <w:endnoteReference w:id="79"/>
      </w:r>
    </w:p>
    <w:p w14:paraId="27745C8D" w14:textId="71264AC9" w:rsidR="005576E7" w:rsidRDefault="005576E7" w:rsidP="00431D22">
      <w:pPr>
        <w:pStyle w:val="ListNumber"/>
      </w:pPr>
      <w:r>
        <w:t xml:space="preserve">The proposed conditions </w:t>
      </w:r>
      <w:r w:rsidR="00183F61">
        <w:t xml:space="preserve">in the Bill </w:t>
      </w:r>
      <w:r>
        <w:t>effectively circumvent the already extensive warrant provisions and the requirement for judicial oversight of these intrusive powers on a case</w:t>
      </w:r>
      <w:r w:rsidR="00063C20">
        <w:t>-</w:t>
      </w:r>
      <w:r>
        <w:t>by</w:t>
      </w:r>
      <w:r w:rsidR="00063C20">
        <w:t>-</w:t>
      </w:r>
      <w:r>
        <w:t>case basis.</w:t>
      </w:r>
    </w:p>
    <w:p w14:paraId="3538A801" w14:textId="1A8FAC95" w:rsidR="00431D22" w:rsidRPr="006F5D73" w:rsidRDefault="006F5D73" w:rsidP="006F5D73">
      <w:pPr>
        <w:pStyle w:val="ListNumber"/>
        <w:keepNext/>
        <w:numPr>
          <w:ilvl w:val="0"/>
          <w:numId w:val="0"/>
        </w:numPr>
        <w:ind w:left="1094"/>
        <w:rPr>
          <w:b/>
          <w:bCs/>
        </w:rPr>
      </w:pPr>
      <w:r w:rsidRPr="006F5D73">
        <w:rPr>
          <w:b/>
          <w:bCs/>
        </w:rPr>
        <w:t xml:space="preserve">Recommendation </w:t>
      </w:r>
      <w:r w:rsidR="00B74373">
        <w:rPr>
          <w:b/>
          <w:bCs/>
        </w:rPr>
        <w:t>9</w:t>
      </w:r>
    </w:p>
    <w:p w14:paraId="3A08E154" w14:textId="2F377E6F" w:rsidR="006F5D73" w:rsidRDefault="006F5D73" w:rsidP="006F5D73">
      <w:pPr>
        <w:pStyle w:val="ListNumber"/>
        <w:numPr>
          <w:ilvl w:val="0"/>
          <w:numId w:val="0"/>
        </w:numPr>
        <w:ind w:left="1094"/>
      </w:pPr>
      <w:r>
        <w:t xml:space="preserve">The Commission recommends that </w:t>
      </w:r>
      <w:r w:rsidR="002F767E">
        <w:t xml:space="preserve">the conditions </w:t>
      </w:r>
      <w:r w:rsidR="00282331">
        <w:t xml:space="preserve">requiring a person to consent to certain </w:t>
      </w:r>
      <w:r w:rsidR="002F767E">
        <w:t xml:space="preserve">monitoring and enforcement </w:t>
      </w:r>
      <w:r w:rsidR="00282331">
        <w:t xml:space="preserve">activity </w:t>
      </w:r>
      <w:r w:rsidR="002F767E">
        <w:t xml:space="preserve">in proposed </w:t>
      </w:r>
      <w:r w:rsidR="00AA4A38">
        <w:rPr>
          <w:lang w:val="en-US"/>
        </w:rPr>
        <w:t>s</w:t>
      </w:r>
      <w:r w:rsidR="00AA4A38">
        <w:t>s 104.5A(1)(c)(</w:t>
      </w:r>
      <w:proofErr w:type="spellStart"/>
      <w:r w:rsidR="00AA4A38">
        <w:t>i</w:t>
      </w:r>
      <w:proofErr w:type="spellEnd"/>
      <w:r w:rsidR="00AA4A38">
        <w:t>)</w:t>
      </w:r>
      <w:r w:rsidR="008F0DB6">
        <w:t>,</w:t>
      </w:r>
      <w:r w:rsidR="00205FC2">
        <w:t xml:space="preserve"> (2)(a)</w:t>
      </w:r>
      <w:r w:rsidR="008F0DB6">
        <w:t xml:space="preserve"> and (5);</w:t>
      </w:r>
      <w:r w:rsidR="00AA4A38">
        <w:t xml:space="preserve"> </w:t>
      </w:r>
      <w:r w:rsidR="002F767E">
        <w:t>105A.7B</w:t>
      </w:r>
      <w:r w:rsidR="00945C5B">
        <w:t>(5)(g)–(j)</w:t>
      </w:r>
      <w:r w:rsidR="008F0DB6">
        <w:t>;</w:t>
      </w:r>
      <w:r w:rsidR="00B55C74">
        <w:t xml:space="preserve"> </w:t>
      </w:r>
      <w:r w:rsidR="009504F0">
        <w:t xml:space="preserve">and </w:t>
      </w:r>
      <w:r w:rsidR="00B55C74">
        <w:t>105A.7E(1)(c)(</w:t>
      </w:r>
      <w:proofErr w:type="spellStart"/>
      <w:r w:rsidR="00B55C74">
        <w:t>i</w:t>
      </w:r>
      <w:proofErr w:type="spellEnd"/>
      <w:r w:rsidR="00B55C74">
        <w:t>)</w:t>
      </w:r>
      <w:r w:rsidR="008F0DB6">
        <w:t>,</w:t>
      </w:r>
      <w:r w:rsidR="00B55C74">
        <w:t xml:space="preserve"> (2)(a)</w:t>
      </w:r>
      <w:r w:rsidR="008F0DB6">
        <w:t xml:space="preserve"> </w:t>
      </w:r>
      <w:r w:rsidR="007725E6">
        <w:t xml:space="preserve">and </w:t>
      </w:r>
      <w:r w:rsidR="008F0DB6">
        <w:t>(5)</w:t>
      </w:r>
      <w:r w:rsidR="009504F0">
        <w:t xml:space="preserve"> </w:t>
      </w:r>
      <w:r w:rsidR="00EA345E">
        <w:t xml:space="preserve">of the Criminal Code </w:t>
      </w:r>
      <w:r w:rsidR="009504F0">
        <w:t xml:space="preserve">be removed from the Bill </w:t>
      </w:r>
      <w:r w:rsidR="0042530A">
        <w:t>on the basis that they are not necessary, given the existing and proposed new monitoring warrants.</w:t>
      </w:r>
    </w:p>
    <w:p w14:paraId="6F9BC804" w14:textId="702C512D" w:rsidR="005C5C55" w:rsidRPr="006A3611" w:rsidRDefault="005C5C55" w:rsidP="005C5C55">
      <w:pPr>
        <w:pStyle w:val="Heading3"/>
      </w:pPr>
      <w:bookmarkStart w:id="29" w:name="_Toc54876162"/>
      <w:r w:rsidRPr="006A3611">
        <w:t>Exemptions</w:t>
      </w:r>
      <w:bookmarkEnd w:id="29"/>
    </w:p>
    <w:p w14:paraId="02AC8BA2" w14:textId="60F15E43" w:rsidR="004A31D4" w:rsidRDefault="00331974" w:rsidP="005C5C55">
      <w:pPr>
        <w:pStyle w:val="ListNumber"/>
      </w:pPr>
      <w:r>
        <w:t xml:space="preserve">The Bill provides that the Court making an ESO may </w:t>
      </w:r>
      <w:r w:rsidR="00B52A51">
        <w:t xml:space="preserve">specify certain conditions of the ESO to be ‘exemption </w:t>
      </w:r>
      <w:proofErr w:type="gramStart"/>
      <w:r w:rsidR="00B52A51">
        <w:t>conditions’</w:t>
      </w:r>
      <w:proofErr w:type="gramEnd"/>
      <w:r w:rsidR="00B52A51">
        <w:t>.</w:t>
      </w:r>
      <w:r w:rsidR="002357BC">
        <w:rPr>
          <w:rStyle w:val="EndnoteReference"/>
        </w:rPr>
        <w:endnoteReference w:id="80"/>
      </w:r>
      <w:r w:rsidR="00B52A51">
        <w:t xml:space="preserve">  </w:t>
      </w:r>
      <w:r w:rsidR="004A31D4">
        <w:t xml:space="preserve">Such conditions </w:t>
      </w:r>
      <w:r w:rsidR="00B52A51">
        <w:t xml:space="preserve">would </w:t>
      </w:r>
      <w:r w:rsidR="004A31D4">
        <w:t xml:space="preserve">permit an offender to apply to a ‘specified authority’ for </w:t>
      </w:r>
      <w:r w:rsidR="002357BC">
        <w:t>a temporary exemption.  The ‘specified authority’ would then have a discretion about whether to grant or refuse the exemption.</w:t>
      </w:r>
    </w:p>
    <w:p w14:paraId="22BDA861" w14:textId="3D719C36" w:rsidR="002357BC" w:rsidRDefault="00BF16EF" w:rsidP="005C5C55">
      <w:pPr>
        <w:pStyle w:val="ListNumber"/>
      </w:pPr>
      <w:r>
        <w:t xml:space="preserve">One example of where an exemption could apply is if a person </w:t>
      </w:r>
      <w:r w:rsidR="00D900A1">
        <w:t>subject to an ESO had been asked by their employer to work a night shift that conflicted with a curfew requirement under the ESO.</w:t>
      </w:r>
      <w:r w:rsidR="00326B8F">
        <w:rPr>
          <w:rStyle w:val="EndnoteReference"/>
        </w:rPr>
        <w:endnoteReference w:id="81"/>
      </w:r>
      <w:r w:rsidR="00D900A1">
        <w:t xml:space="preserve">  </w:t>
      </w:r>
      <w:r w:rsidR="00BE4824">
        <w:t xml:space="preserve">If the curfew condition was specified to be </w:t>
      </w:r>
      <w:r w:rsidR="00BE4824">
        <w:lastRenderedPageBreak/>
        <w:t xml:space="preserve">an ‘exemption condition’, then the person could seek permission </w:t>
      </w:r>
      <w:r w:rsidR="0006744B">
        <w:t>for an exemption from that condition so that they could work the night shift.</w:t>
      </w:r>
    </w:p>
    <w:p w14:paraId="4A82A04E" w14:textId="29F7B967" w:rsidR="0006744B" w:rsidRDefault="009E7BD6" w:rsidP="005C5C55">
      <w:pPr>
        <w:pStyle w:val="ListNumber"/>
      </w:pPr>
      <w:r>
        <w:t xml:space="preserve">The Commission supports the ability for conditions to be made subject to </w:t>
      </w:r>
      <w:r w:rsidR="00566E8A">
        <w:t xml:space="preserve">temporary </w:t>
      </w:r>
      <w:r>
        <w:t xml:space="preserve">exemptions.  </w:t>
      </w:r>
      <w:r w:rsidR="00566E8A">
        <w:t xml:space="preserve">However, as discussed in section </w:t>
      </w:r>
      <w:r w:rsidR="008776E2">
        <w:fldChar w:fldCharType="begin"/>
      </w:r>
      <w:r w:rsidR="008776E2">
        <w:instrText xml:space="preserve"> REF _Ref54096498 \w \h </w:instrText>
      </w:r>
      <w:r w:rsidR="008776E2">
        <w:fldChar w:fldCharType="separate"/>
      </w:r>
      <w:r w:rsidR="004E2F67">
        <w:t>7.8</w:t>
      </w:r>
      <w:r w:rsidR="008776E2">
        <w:fldChar w:fldCharType="end"/>
      </w:r>
      <w:r w:rsidR="00515125">
        <w:t xml:space="preserve"> </w:t>
      </w:r>
      <w:r w:rsidR="00566E8A">
        <w:t xml:space="preserve">below, dealing with penalties, further amendments to the ESO and control order regime are required to </w:t>
      </w:r>
      <w:r w:rsidR="006D4E36">
        <w:t xml:space="preserve">enhance flexibility and ensure proportionality in the application and enforcement of the regime. </w:t>
      </w:r>
    </w:p>
    <w:p w14:paraId="1A294F72" w14:textId="214D3A76" w:rsidR="0008297B" w:rsidRDefault="006D4E36" w:rsidP="005C5C55">
      <w:pPr>
        <w:pStyle w:val="ListNumber"/>
      </w:pPr>
      <w:r>
        <w:t xml:space="preserve">In relation to </w:t>
      </w:r>
      <w:r w:rsidR="0008297B">
        <w:t xml:space="preserve">exemption conditions, further detail is also required.  For example, the </w:t>
      </w:r>
      <w:r w:rsidR="00DF175F">
        <w:t xml:space="preserve">proposed section would appear to grant an unconstrained discretion on a ‘specified authority’ to either grant or refuse an exemption </w:t>
      </w:r>
      <w:r w:rsidR="00735152">
        <w:t xml:space="preserve">application.  However, there is no detail about how the ‘specified authority’ is to make its decision, </w:t>
      </w:r>
      <w:r w:rsidR="00A63FE9">
        <w:t xml:space="preserve">what </w:t>
      </w:r>
      <w:r w:rsidR="00960A53">
        <w:t xml:space="preserve">factors </w:t>
      </w:r>
      <w:r w:rsidR="00A63FE9">
        <w:t>it should take into account, when the decision should be made, whether reasons should be provided</w:t>
      </w:r>
      <w:r w:rsidR="00EE2F6B">
        <w:t xml:space="preserve"> and how the applicant could seek review of any adverse decision.</w:t>
      </w:r>
    </w:p>
    <w:p w14:paraId="13355A34" w14:textId="4401755C" w:rsidR="0063493E" w:rsidRDefault="00EE6BF1" w:rsidP="005C5C55">
      <w:pPr>
        <w:pStyle w:val="ListNumber"/>
      </w:pPr>
      <w:r>
        <w:t xml:space="preserve">It is not enough for </w:t>
      </w:r>
      <w:r w:rsidR="00137EBC">
        <w:t>a</w:t>
      </w:r>
      <w:r w:rsidR="00574984">
        <w:t>n unfettered</w:t>
      </w:r>
      <w:r w:rsidR="00137EBC">
        <w:t xml:space="preserve"> discretion to be provided to a ‘specified authority’.  There needs to be a framework for decision</w:t>
      </w:r>
      <w:r w:rsidR="0024408E">
        <w:t xml:space="preserve"> </w:t>
      </w:r>
      <w:r w:rsidR="00137EBC">
        <w:t xml:space="preserve">making that ensures that any decision about </w:t>
      </w:r>
      <w:proofErr w:type="gramStart"/>
      <w:r w:rsidR="00137EBC">
        <w:t>whether or not</w:t>
      </w:r>
      <w:proofErr w:type="gramEnd"/>
      <w:r w:rsidR="00137EBC">
        <w:t xml:space="preserve"> to grant an exemption application is fair. </w:t>
      </w:r>
    </w:p>
    <w:p w14:paraId="304C353B" w14:textId="601969E5" w:rsidR="00137EBC" w:rsidRPr="00D36B3C" w:rsidRDefault="00D36B3C" w:rsidP="00D36B3C">
      <w:pPr>
        <w:pStyle w:val="ListNumber"/>
        <w:keepNext/>
        <w:numPr>
          <w:ilvl w:val="0"/>
          <w:numId w:val="0"/>
        </w:numPr>
        <w:ind w:left="1094"/>
        <w:rPr>
          <w:b/>
          <w:bCs/>
        </w:rPr>
      </w:pPr>
      <w:r w:rsidRPr="00D36B3C">
        <w:rPr>
          <w:b/>
          <w:bCs/>
        </w:rPr>
        <w:t xml:space="preserve">Recommendation </w:t>
      </w:r>
      <w:r w:rsidR="00D15892">
        <w:rPr>
          <w:b/>
          <w:bCs/>
        </w:rPr>
        <w:t>10</w:t>
      </w:r>
    </w:p>
    <w:p w14:paraId="56363829" w14:textId="070033DA" w:rsidR="00D36B3C" w:rsidRDefault="00D36B3C" w:rsidP="00D36B3C">
      <w:pPr>
        <w:pStyle w:val="ListNumber"/>
        <w:numPr>
          <w:ilvl w:val="0"/>
          <w:numId w:val="0"/>
        </w:numPr>
        <w:ind w:left="1094"/>
      </w:pPr>
      <w:r>
        <w:t xml:space="preserve">The Commission recommends that the Bill be amended to </w:t>
      </w:r>
      <w:r w:rsidR="00864C4B">
        <w:t>set out the parameters for decision</w:t>
      </w:r>
      <w:r w:rsidR="0024408E">
        <w:t xml:space="preserve"> </w:t>
      </w:r>
      <w:r w:rsidR="00864C4B">
        <w:t xml:space="preserve">making by a specified authority in relation to </w:t>
      </w:r>
      <w:r w:rsidR="0022112E">
        <w:t>an application for an exemption under s 105A.7C</w:t>
      </w:r>
      <w:r w:rsidR="00EA345E" w:rsidRPr="00EA345E">
        <w:t xml:space="preserve"> </w:t>
      </w:r>
      <w:r w:rsidR="00EA345E">
        <w:t>of the Criminal Code</w:t>
      </w:r>
      <w:r w:rsidR="0022112E">
        <w:t>.  This should include:</w:t>
      </w:r>
    </w:p>
    <w:p w14:paraId="11D70F37" w14:textId="67B839AD" w:rsidR="0022112E" w:rsidRDefault="0022112E" w:rsidP="00E254F3">
      <w:pPr>
        <w:pStyle w:val="ListNumber"/>
        <w:numPr>
          <w:ilvl w:val="0"/>
          <w:numId w:val="0"/>
        </w:numPr>
        <w:ind w:left="1440" w:hanging="346"/>
      </w:pPr>
      <w:r>
        <w:t>(a)</w:t>
      </w:r>
      <w:r>
        <w:tab/>
      </w:r>
      <w:r w:rsidR="00E254F3">
        <w:t xml:space="preserve">the considerations that the specified authority </w:t>
      </w:r>
      <w:r w:rsidR="0024408E">
        <w:t xml:space="preserve">must </w:t>
      </w:r>
      <w:proofErr w:type="gramStart"/>
      <w:r w:rsidR="00E254F3">
        <w:t>take into account</w:t>
      </w:r>
      <w:proofErr w:type="gramEnd"/>
      <w:r w:rsidR="00E254F3">
        <w:t xml:space="preserve"> in making its decision</w:t>
      </w:r>
    </w:p>
    <w:p w14:paraId="227002C8" w14:textId="321A0F6A" w:rsidR="00E254F3" w:rsidRDefault="00E254F3" w:rsidP="00D36B3C">
      <w:pPr>
        <w:pStyle w:val="ListNumber"/>
        <w:numPr>
          <w:ilvl w:val="0"/>
          <w:numId w:val="0"/>
        </w:numPr>
        <w:ind w:left="1094"/>
      </w:pPr>
      <w:r>
        <w:t>(b)</w:t>
      </w:r>
      <w:r>
        <w:tab/>
      </w:r>
      <w:r w:rsidR="00F1488E">
        <w:t>the timeframe for a decision by the specified authority</w:t>
      </w:r>
    </w:p>
    <w:p w14:paraId="2CCE1247" w14:textId="35A2C20C" w:rsidR="00F1488E" w:rsidRDefault="00F1488E" w:rsidP="00F1488E">
      <w:pPr>
        <w:pStyle w:val="ListNumber"/>
        <w:numPr>
          <w:ilvl w:val="0"/>
          <w:numId w:val="0"/>
        </w:numPr>
        <w:ind w:left="1440" w:hanging="346"/>
      </w:pPr>
      <w:r>
        <w:t>(c)</w:t>
      </w:r>
      <w:r>
        <w:tab/>
        <w:t>a requirement that the specified authority provide written reasons for its decision</w:t>
      </w:r>
    </w:p>
    <w:p w14:paraId="3FFB2452" w14:textId="55CB54E8" w:rsidR="00F1488E" w:rsidRDefault="00F1488E" w:rsidP="00F1488E">
      <w:pPr>
        <w:pStyle w:val="ListNumber"/>
        <w:numPr>
          <w:ilvl w:val="0"/>
          <w:numId w:val="0"/>
        </w:numPr>
        <w:ind w:left="1440" w:hanging="346"/>
      </w:pPr>
      <w:r>
        <w:t>(d)</w:t>
      </w:r>
      <w:r>
        <w:tab/>
      </w:r>
      <w:r w:rsidR="00865FE8">
        <w:t>clear review rights for an applicant.</w:t>
      </w:r>
    </w:p>
    <w:p w14:paraId="3820A231" w14:textId="77777777" w:rsidR="00B752AE" w:rsidRDefault="00B752AE" w:rsidP="00B752AE">
      <w:pPr>
        <w:pStyle w:val="Heading2"/>
      </w:pPr>
      <w:bookmarkStart w:id="30" w:name="_Toc54876163"/>
      <w:r>
        <w:t>Consideration of personal circumstances</w:t>
      </w:r>
      <w:bookmarkEnd w:id="30"/>
    </w:p>
    <w:p w14:paraId="56FAF490" w14:textId="7D1DFCFA" w:rsidR="00B752AE" w:rsidRDefault="00B752AE" w:rsidP="00B752AE">
      <w:pPr>
        <w:pStyle w:val="ListNumber"/>
      </w:pPr>
      <w:r>
        <w:t xml:space="preserve">The ESO regime proposed in the Bill does not require the Court to </w:t>
      </w:r>
      <w:proofErr w:type="gramStart"/>
      <w:r>
        <w:t>take into account</w:t>
      </w:r>
      <w:proofErr w:type="gramEnd"/>
      <w:r>
        <w:t xml:space="preserve"> the impact of proposed conditions on the circumstances of the offender.  </w:t>
      </w:r>
      <w:r w:rsidR="0024408E">
        <w:t xml:space="preserve">By contrast, </w:t>
      </w:r>
      <w:r>
        <w:t>in control order proceedings</w:t>
      </w:r>
      <w:r w:rsidR="0024408E">
        <w:t>, this is a mandatory consideration. It is an important protection against disproportionate decision making</w:t>
      </w:r>
      <w:r>
        <w:t xml:space="preserve">.  </w:t>
      </w:r>
    </w:p>
    <w:p w14:paraId="74850C14" w14:textId="5F335D06" w:rsidR="00B752AE" w:rsidRDefault="00B752AE" w:rsidP="00B752AE">
      <w:pPr>
        <w:pStyle w:val="ListNumber"/>
      </w:pPr>
      <w:r>
        <w:t xml:space="preserve">When a Court is considering making </w:t>
      </w:r>
      <w:r w:rsidR="0024408E">
        <w:t xml:space="preserve">or confirming </w:t>
      </w:r>
      <w:r>
        <w:t xml:space="preserve">an interim control order, it must be satisfied on the balance of probabilities that each of the obligations, prohibitions and restrictions to be imposed on the person by the order are reasonably necessary, and reasonably appropriate and adapted, for the purpose of achieving the objects of </w:t>
      </w:r>
      <w:proofErr w:type="spellStart"/>
      <w:r>
        <w:t>Div</w:t>
      </w:r>
      <w:proofErr w:type="spellEnd"/>
      <w:r>
        <w:t xml:space="preserve"> 104.</w:t>
      </w:r>
      <w:r>
        <w:rPr>
          <w:rStyle w:val="EndnoteReference"/>
        </w:rPr>
        <w:endnoteReference w:id="82"/>
      </w:r>
      <w:r>
        <w:t xml:space="preserve">  In carrying out this assessment, the Court must take into account the impact of the obligation, prohibition or restriction on </w:t>
      </w:r>
      <w:r>
        <w:lastRenderedPageBreak/>
        <w:t>the person’s circumstances, including the person’s financial and personal circumstances.</w:t>
      </w:r>
      <w:r>
        <w:rPr>
          <w:rStyle w:val="EndnoteReference"/>
        </w:rPr>
        <w:endnoteReference w:id="83"/>
      </w:r>
      <w:r>
        <w:t xml:space="preserve">  </w:t>
      </w:r>
    </w:p>
    <w:p w14:paraId="2F2D5E51" w14:textId="77777777" w:rsidR="00B752AE" w:rsidRDefault="00B752AE" w:rsidP="00B752AE">
      <w:pPr>
        <w:pStyle w:val="ListNumber"/>
      </w:pPr>
      <w:r>
        <w:t>This requirement has been part of the control order regime since it was first introduced in 2005.  The rationale given by the Australian Government for including this provision at the time was:</w:t>
      </w:r>
    </w:p>
    <w:p w14:paraId="7A88176C" w14:textId="77777777" w:rsidR="00B752AE" w:rsidRPr="00E51D3A" w:rsidRDefault="00B752AE" w:rsidP="00B752AE">
      <w:pPr>
        <w:pStyle w:val="ListNumber"/>
        <w:numPr>
          <w:ilvl w:val="0"/>
          <w:numId w:val="0"/>
        </w:numPr>
        <w:ind w:left="1440"/>
        <w:rPr>
          <w:sz w:val="22"/>
          <w:szCs w:val="22"/>
        </w:rPr>
      </w:pPr>
      <w:r w:rsidRPr="00E51D3A">
        <w:rPr>
          <w:sz w:val="22"/>
          <w:szCs w:val="22"/>
        </w:rPr>
        <w:t>to ensure an obligation that would, for example, have an adverse impact on the ability of person to earn a living and support his or her family must be taken into account before the obligation, prohibition or restriction is imposed</w:t>
      </w:r>
      <w:r>
        <w:rPr>
          <w:sz w:val="22"/>
          <w:szCs w:val="22"/>
        </w:rPr>
        <w:t>.</w:t>
      </w:r>
      <w:r>
        <w:rPr>
          <w:rStyle w:val="EndnoteReference"/>
          <w:szCs w:val="22"/>
        </w:rPr>
        <w:endnoteReference w:id="84"/>
      </w:r>
    </w:p>
    <w:p w14:paraId="3FEB1EE4" w14:textId="7450D36F" w:rsidR="006F3411" w:rsidRDefault="00B752AE" w:rsidP="00B752AE">
      <w:pPr>
        <w:pStyle w:val="ListNumber"/>
      </w:pPr>
      <w:r>
        <w:t xml:space="preserve">There is no such protection in the Bill in relation to imposing conditions in an ESO.  </w:t>
      </w:r>
      <w:r w:rsidR="006F3411">
        <w:t xml:space="preserve">The Explanatory Memorandum recognises that </w:t>
      </w:r>
      <w:r w:rsidR="00D50934">
        <w:t xml:space="preserve">the protection has been </w:t>
      </w:r>
      <w:proofErr w:type="gramStart"/>
      <w:r w:rsidR="00D50934">
        <w:t>omitted, but</w:t>
      </w:r>
      <w:proofErr w:type="gramEnd"/>
      <w:r w:rsidR="00D50934">
        <w:t xml:space="preserve"> does not provide a convincing </w:t>
      </w:r>
      <w:r w:rsidR="0024408E">
        <w:t>justification</w:t>
      </w:r>
      <w:r w:rsidR="00D50934">
        <w:t>.</w:t>
      </w:r>
      <w:r w:rsidR="009603B6">
        <w:rPr>
          <w:rStyle w:val="EndnoteReference"/>
        </w:rPr>
        <w:endnoteReference w:id="85"/>
      </w:r>
    </w:p>
    <w:p w14:paraId="51F78DCF" w14:textId="464D5BE1" w:rsidR="00B752AE" w:rsidRDefault="00B752AE" w:rsidP="00B752AE">
      <w:pPr>
        <w:pStyle w:val="ListNumber"/>
      </w:pPr>
      <w:r>
        <w:t xml:space="preserve">While a Court generally has a discretion to </w:t>
      </w:r>
      <w:proofErr w:type="gramStart"/>
      <w:r>
        <w:t>take into account</w:t>
      </w:r>
      <w:proofErr w:type="gramEnd"/>
      <w:r>
        <w:t xml:space="preserve"> matters that it considers relevant when making decisions, </w:t>
      </w:r>
      <w:r w:rsidR="0024408E">
        <w:t xml:space="preserve">it is striking that this is not </w:t>
      </w:r>
      <w:r>
        <w:t>a mandatory consideration, particularly given the existing control order model.  The Commission submits that this missing protection should be inserted into the provisions dealing with:</w:t>
      </w:r>
    </w:p>
    <w:p w14:paraId="2108168B" w14:textId="77777777" w:rsidR="00B752AE" w:rsidRDefault="00B752AE" w:rsidP="00B752AE">
      <w:pPr>
        <w:pStyle w:val="ListNumber"/>
        <w:numPr>
          <w:ilvl w:val="0"/>
          <w:numId w:val="39"/>
        </w:numPr>
      </w:pPr>
      <w:r>
        <w:t>making an ESO</w:t>
      </w:r>
    </w:p>
    <w:p w14:paraId="4E558BE4" w14:textId="556ABB79" w:rsidR="00B752AE" w:rsidRDefault="00B752AE" w:rsidP="00B752AE">
      <w:pPr>
        <w:pStyle w:val="ListNumber"/>
        <w:numPr>
          <w:ilvl w:val="0"/>
          <w:numId w:val="39"/>
        </w:numPr>
      </w:pPr>
      <w:r>
        <w:t>making an ISO</w:t>
      </w:r>
    </w:p>
    <w:p w14:paraId="42E488EA" w14:textId="77777777" w:rsidR="00B752AE" w:rsidRDefault="00B752AE" w:rsidP="00B752AE">
      <w:pPr>
        <w:pStyle w:val="ListNumber"/>
        <w:numPr>
          <w:ilvl w:val="0"/>
          <w:numId w:val="39"/>
        </w:numPr>
      </w:pPr>
      <w:r>
        <w:t>varying an ESO or ISO</w:t>
      </w:r>
    </w:p>
    <w:p w14:paraId="54653FBD" w14:textId="77777777" w:rsidR="00B752AE" w:rsidRDefault="00B752AE" w:rsidP="00B752AE">
      <w:pPr>
        <w:pStyle w:val="ListNumber"/>
        <w:numPr>
          <w:ilvl w:val="0"/>
          <w:numId w:val="39"/>
        </w:numPr>
      </w:pPr>
      <w:r>
        <w:t>varying an ESO after review.</w:t>
      </w:r>
    </w:p>
    <w:p w14:paraId="4B4B217B" w14:textId="0894A804" w:rsidR="00B752AE" w:rsidRPr="00E27E61" w:rsidRDefault="00B752AE" w:rsidP="00B752AE">
      <w:pPr>
        <w:pStyle w:val="ListNumber"/>
        <w:keepNext/>
        <w:numPr>
          <w:ilvl w:val="0"/>
          <w:numId w:val="0"/>
        </w:numPr>
        <w:ind w:left="1094"/>
        <w:rPr>
          <w:b/>
          <w:bCs/>
        </w:rPr>
      </w:pPr>
      <w:r w:rsidRPr="00E27E61">
        <w:rPr>
          <w:b/>
          <w:bCs/>
        </w:rPr>
        <w:t xml:space="preserve">Recommendation </w:t>
      </w:r>
      <w:r w:rsidR="000A3786">
        <w:rPr>
          <w:b/>
          <w:bCs/>
        </w:rPr>
        <w:t>11</w:t>
      </w:r>
    </w:p>
    <w:p w14:paraId="1C505423" w14:textId="2551DFC8" w:rsidR="00B752AE" w:rsidRDefault="00B752AE" w:rsidP="00B752AE">
      <w:pPr>
        <w:pStyle w:val="ListNumber"/>
        <w:numPr>
          <w:ilvl w:val="0"/>
          <w:numId w:val="0"/>
        </w:numPr>
        <w:ind w:left="1094"/>
      </w:pPr>
      <w:r>
        <w:t xml:space="preserve">The Commission recommends that </w:t>
      </w:r>
      <w:r w:rsidR="002314CA">
        <w:t xml:space="preserve">proposed </w:t>
      </w:r>
      <w:r>
        <w:t xml:space="preserve">ss 105A.7A(2), 105A.9A(5), 105A.9C(2) and 105A.12A(5) </w:t>
      </w:r>
      <w:r w:rsidR="00EA345E">
        <w:t xml:space="preserve">of the Criminal Code </w:t>
      </w:r>
      <w:r>
        <w:t xml:space="preserve">be amended to ensure that a Court hearing an application for the making or variation of an </w:t>
      </w:r>
      <w:r w:rsidR="002E25DE">
        <w:t>extended supervision order</w:t>
      </w:r>
      <w:r>
        <w:t xml:space="preserve"> or </w:t>
      </w:r>
      <w:r w:rsidR="002E25DE">
        <w:t>interim supervision order</w:t>
      </w:r>
      <w:r>
        <w:t xml:space="preserve">, or conducting a review of an </w:t>
      </w:r>
      <w:r w:rsidR="002E25DE">
        <w:t>extended supervision order</w:t>
      </w:r>
      <w:r>
        <w:t>, is required to take into account the impact of the proposed conditions on the person’s circumstances, including their financial and personal circumstances, for the purpose of determining whether the condition is reasonably necessary and reasonably appropriate and adapted.</w:t>
      </w:r>
    </w:p>
    <w:p w14:paraId="06B9FB50" w14:textId="52D99022" w:rsidR="009257EA" w:rsidRPr="00E76FF1" w:rsidRDefault="009257EA" w:rsidP="009257EA">
      <w:pPr>
        <w:pStyle w:val="Heading2"/>
      </w:pPr>
      <w:bookmarkStart w:id="31" w:name="_Toc54876164"/>
      <w:r w:rsidRPr="00E76FF1">
        <w:t xml:space="preserve">Duplication of </w:t>
      </w:r>
      <w:r w:rsidR="008762AD" w:rsidRPr="00E76FF1">
        <w:t xml:space="preserve">mandatory </w:t>
      </w:r>
      <w:r w:rsidRPr="00E76FF1">
        <w:t>expert</w:t>
      </w:r>
      <w:r w:rsidR="008762AD" w:rsidRPr="00E76FF1">
        <w:t xml:space="preserve"> </w:t>
      </w:r>
      <w:r w:rsidR="005E326D">
        <w:t xml:space="preserve">assessment </w:t>
      </w:r>
      <w:r w:rsidR="008762AD" w:rsidRPr="00E76FF1">
        <w:t>requirement</w:t>
      </w:r>
      <w:bookmarkEnd w:id="31"/>
    </w:p>
    <w:p w14:paraId="2D8C8439" w14:textId="347429A6" w:rsidR="00F10196" w:rsidRDefault="00F10196" w:rsidP="00F10196">
      <w:pPr>
        <w:pStyle w:val="ListNumber"/>
      </w:pPr>
      <w:r>
        <w:t xml:space="preserve">Currently, </w:t>
      </w:r>
      <w:r w:rsidR="00B9483A">
        <w:t xml:space="preserve">the </w:t>
      </w:r>
      <w:r w:rsidR="00DE6C9C">
        <w:t xml:space="preserve">Supreme </w:t>
      </w:r>
      <w:r w:rsidR="00B9483A">
        <w:t xml:space="preserve">Court can appoint an independent expert </w:t>
      </w:r>
      <w:r w:rsidR="00B2254F">
        <w:t xml:space="preserve">to conduct </w:t>
      </w:r>
      <w:r>
        <w:t xml:space="preserve">an assessment </w:t>
      </w:r>
      <w:r w:rsidR="00B2254F">
        <w:t xml:space="preserve">of </w:t>
      </w:r>
      <w:r>
        <w:t>the offender’s risk of committing a Part 5.3 offence</w:t>
      </w:r>
      <w:r w:rsidR="006B61F1">
        <w:t xml:space="preserve"> and provide a report of that assessment to the Court</w:t>
      </w:r>
      <w:r>
        <w:t>.</w:t>
      </w:r>
      <w:r w:rsidR="00BD796A">
        <w:rPr>
          <w:rStyle w:val="EndnoteReference"/>
        </w:rPr>
        <w:endnoteReference w:id="86"/>
      </w:r>
      <w:r>
        <w:t xml:space="preserve">  </w:t>
      </w:r>
      <w:r w:rsidR="00FF5795">
        <w:t>The offender is required to attend the assessment.</w:t>
      </w:r>
      <w:r w:rsidR="00FB149B">
        <w:rPr>
          <w:rStyle w:val="EndnoteReference"/>
        </w:rPr>
        <w:endnoteReference w:id="87"/>
      </w:r>
      <w:r w:rsidR="00FF5795">
        <w:t xml:space="preserve">  The offender is not required to participate in the assessment, but the Court must have regard to the offender’s level of participation (including a refusal to participate) in deciding whether it is satisfied that the offender poses an unacceptable risk of committing a serious Part 5.3 offence.</w:t>
      </w:r>
      <w:r w:rsidR="00FF5795">
        <w:rPr>
          <w:rStyle w:val="EndnoteReference"/>
        </w:rPr>
        <w:endnoteReference w:id="88"/>
      </w:r>
      <w:r w:rsidR="00FF5795">
        <w:t xml:space="preserve"> </w:t>
      </w:r>
    </w:p>
    <w:p w14:paraId="6E3A7DE7" w14:textId="1A75E7BA" w:rsidR="00F10196" w:rsidRDefault="007A0DAA" w:rsidP="009257EA">
      <w:pPr>
        <w:pStyle w:val="ListNumber"/>
      </w:pPr>
      <w:r>
        <w:lastRenderedPageBreak/>
        <w:t xml:space="preserve">While the Minister </w:t>
      </w:r>
      <w:r w:rsidR="00601A6E">
        <w:t xml:space="preserve">and the offender can nominate an expert to carry out this task, ultimately the decision on which expert </w:t>
      </w:r>
      <w:r w:rsidR="00F87B52">
        <w:t xml:space="preserve">(or experts) </w:t>
      </w:r>
      <w:r w:rsidR="00601A6E">
        <w:t xml:space="preserve">to appoint is </w:t>
      </w:r>
      <w:r w:rsidR="00236AD8">
        <w:t xml:space="preserve">one </w:t>
      </w:r>
      <w:r w:rsidR="00601A6E">
        <w:t>for the Court</w:t>
      </w:r>
      <w:r w:rsidR="00F87B52">
        <w:t>.</w:t>
      </w:r>
    </w:p>
    <w:p w14:paraId="3208C411" w14:textId="5E6773B8" w:rsidR="009B3E7A" w:rsidRDefault="00F72C36" w:rsidP="009257EA">
      <w:pPr>
        <w:pStyle w:val="ListNumber"/>
      </w:pPr>
      <w:r>
        <w:t xml:space="preserve">The fact that the Court selects </w:t>
      </w:r>
      <w:r w:rsidR="00947083">
        <w:t>the person</w:t>
      </w:r>
      <w:r>
        <w:t xml:space="preserve"> it considers to be the most appropriate expert does not preclude either the Minister or the offender from </w:t>
      </w:r>
      <w:r w:rsidR="00733256">
        <w:t xml:space="preserve">calling </w:t>
      </w:r>
      <w:r w:rsidR="00464846">
        <w:t>expert evidence from an expert of their choosing at the hearing.</w:t>
      </w:r>
      <w:r w:rsidR="00464846">
        <w:rPr>
          <w:rStyle w:val="EndnoteReference"/>
        </w:rPr>
        <w:endnoteReference w:id="89"/>
      </w:r>
    </w:p>
    <w:p w14:paraId="2618563E" w14:textId="3BAB9C4F" w:rsidR="00E8116E" w:rsidRDefault="00F87B52" w:rsidP="009257EA">
      <w:pPr>
        <w:pStyle w:val="ListNumber"/>
      </w:pPr>
      <w:r>
        <w:t xml:space="preserve">The Bill would duplicate </w:t>
      </w:r>
      <w:r w:rsidR="00464846">
        <w:t xml:space="preserve">the </w:t>
      </w:r>
      <w:r w:rsidR="00E0305C">
        <w:t xml:space="preserve">existing </w:t>
      </w:r>
      <w:r w:rsidR="00464846">
        <w:t xml:space="preserve">mandatory </w:t>
      </w:r>
      <w:r w:rsidR="002F69EC">
        <w:t xml:space="preserve">expert </w:t>
      </w:r>
      <w:r w:rsidR="00464846">
        <w:t>assessment</w:t>
      </w:r>
      <w:r>
        <w:t xml:space="preserve"> requirement by </w:t>
      </w:r>
      <w:r w:rsidR="00AF4FA1">
        <w:t xml:space="preserve">giving the Minister the power to direct the offender to also </w:t>
      </w:r>
      <w:r>
        <w:t>attend assessment</w:t>
      </w:r>
      <w:r w:rsidR="00A26FC9">
        <w:t>s</w:t>
      </w:r>
      <w:r>
        <w:t xml:space="preserve"> with an expert nominated by the Minister.</w:t>
      </w:r>
      <w:r w:rsidR="00B80A6D">
        <w:rPr>
          <w:rStyle w:val="EndnoteReference"/>
        </w:rPr>
        <w:endnoteReference w:id="90"/>
      </w:r>
      <w:r w:rsidR="00DF5E6F">
        <w:t xml:space="preserve">  </w:t>
      </w:r>
      <w:r w:rsidR="0091383D">
        <w:t>T</w:t>
      </w:r>
      <w:r w:rsidR="002D4C70">
        <w:t xml:space="preserve">he </w:t>
      </w:r>
      <w:r w:rsidR="00DF5E6F">
        <w:t>mandatory assessment</w:t>
      </w:r>
      <w:r w:rsidR="00B8560E">
        <w:t>s</w:t>
      </w:r>
      <w:r w:rsidR="00DF5E6F">
        <w:t xml:space="preserve"> </w:t>
      </w:r>
      <w:r w:rsidR="002D4C70">
        <w:t xml:space="preserve">by the Minister’s expert </w:t>
      </w:r>
      <w:r w:rsidR="00FE7D81">
        <w:t>c</w:t>
      </w:r>
      <w:r w:rsidR="002D4C70">
        <w:t xml:space="preserve">ould </w:t>
      </w:r>
      <w:r w:rsidR="00DF5E6F">
        <w:t>take place before any application for a PSO is made</w:t>
      </w:r>
      <w:r w:rsidR="00FE7D81">
        <w:t xml:space="preserve"> or while a PSO is in force</w:t>
      </w:r>
      <w:r w:rsidR="000E43AA">
        <w:t>.</w:t>
      </w:r>
      <w:r w:rsidR="00C604E4">
        <w:rPr>
          <w:rStyle w:val="EndnoteReference"/>
        </w:rPr>
        <w:endnoteReference w:id="91"/>
      </w:r>
      <w:r w:rsidR="004C2469">
        <w:t xml:space="preserve">  </w:t>
      </w:r>
      <w:r w:rsidR="00F7789D">
        <w:t xml:space="preserve">There is no limit to the number of sessions </w:t>
      </w:r>
      <w:r w:rsidR="00343DCA">
        <w:t>the offender may be required to attend with the Minister’s expert.</w:t>
      </w:r>
      <w:r w:rsidR="00B8560E">
        <w:rPr>
          <w:rStyle w:val="EndnoteReference"/>
        </w:rPr>
        <w:endnoteReference w:id="92"/>
      </w:r>
      <w:r w:rsidR="00343DCA">
        <w:t xml:space="preserve">  </w:t>
      </w:r>
      <w:r w:rsidR="00BC4EE9">
        <w:t xml:space="preserve">The decision by the Minister to direct an offender to attend an assessment with the Minister’s expert would not be subject to </w:t>
      </w:r>
      <w:r w:rsidR="007B631B">
        <w:t xml:space="preserve">merits review, or judicial </w:t>
      </w:r>
      <w:r w:rsidR="00BC4EE9">
        <w:t xml:space="preserve">review under the </w:t>
      </w:r>
      <w:r w:rsidR="00BC4EE9" w:rsidRPr="00BC4EE9">
        <w:rPr>
          <w:i/>
          <w:iCs/>
        </w:rPr>
        <w:t>Administrative Decisions (Judicial Review) Act 1977</w:t>
      </w:r>
      <w:r w:rsidR="00BC4EE9">
        <w:t xml:space="preserve"> (</w:t>
      </w:r>
      <w:proofErr w:type="spellStart"/>
      <w:r w:rsidR="00BC4EE9">
        <w:t>Cth</w:t>
      </w:r>
      <w:proofErr w:type="spellEnd"/>
      <w:r w:rsidR="00BC4EE9">
        <w:t>).</w:t>
      </w:r>
      <w:r w:rsidR="00BC4EE9">
        <w:rPr>
          <w:rStyle w:val="EndnoteReference"/>
        </w:rPr>
        <w:endnoteReference w:id="93"/>
      </w:r>
    </w:p>
    <w:p w14:paraId="4B0B7D80" w14:textId="23203830" w:rsidR="00F87B52" w:rsidRDefault="00CF6B75" w:rsidP="009257EA">
      <w:pPr>
        <w:pStyle w:val="ListNumber"/>
      </w:pPr>
      <w:r>
        <w:t>Significantly, i</w:t>
      </w:r>
      <w:r w:rsidR="003E2493">
        <w:t>n deciding whether to make a PSO, t</w:t>
      </w:r>
      <w:r w:rsidR="004C2469">
        <w:t xml:space="preserve">he Court </w:t>
      </w:r>
      <w:r w:rsidR="004C2469" w:rsidRPr="00FE7D81">
        <w:rPr>
          <w:i/>
          <w:iCs/>
        </w:rPr>
        <w:t>must</w:t>
      </w:r>
      <w:r w:rsidR="004C2469">
        <w:t xml:space="preserve"> </w:t>
      </w:r>
      <w:r w:rsidR="003E2493">
        <w:t xml:space="preserve">have regard to the report from the Minister’s expert, and </w:t>
      </w:r>
      <w:r w:rsidR="00E35D6B">
        <w:t>the level of the offender’s participation in the assessment</w:t>
      </w:r>
      <w:r w:rsidR="009F0239">
        <w:t>s</w:t>
      </w:r>
      <w:r w:rsidR="00E35D6B">
        <w:t xml:space="preserve"> by the Minister’s expert</w:t>
      </w:r>
      <w:r w:rsidR="000C3753">
        <w:t>, in the same way as that of the independent expert chosen by the Court</w:t>
      </w:r>
      <w:r w:rsidR="00E35D6B">
        <w:t>.</w:t>
      </w:r>
      <w:r w:rsidR="00E35D6B">
        <w:rPr>
          <w:rStyle w:val="EndnoteReference"/>
        </w:rPr>
        <w:endnoteReference w:id="94"/>
      </w:r>
      <w:r w:rsidR="00BB7FE7">
        <w:t xml:space="preserve">  This means that if an offender refuses to participate in assessments by the Minister’s expert, this fact can be </w:t>
      </w:r>
      <w:r w:rsidR="00BF6461">
        <w:t xml:space="preserve">later </w:t>
      </w:r>
      <w:r w:rsidR="00BB7FE7">
        <w:t>held against them</w:t>
      </w:r>
      <w:r w:rsidR="00BF6461">
        <w:t>.</w:t>
      </w:r>
    </w:p>
    <w:p w14:paraId="648F950A" w14:textId="1D1B8500" w:rsidR="00F87B52" w:rsidRDefault="000F58E0" w:rsidP="009257EA">
      <w:pPr>
        <w:pStyle w:val="ListNumber"/>
      </w:pPr>
      <w:r>
        <w:t xml:space="preserve">The Commission considers that this </w:t>
      </w:r>
      <w:r w:rsidR="00B957C5">
        <w:t xml:space="preserve">additional </w:t>
      </w:r>
      <w:r>
        <w:t>p</w:t>
      </w:r>
      <w:r w:rsidR="00B957C5">
        <w:t xml:space="preserve">rovision is not warranted and </w:t>
      </w:r>
      <w:r w:rsidR="002D4835">
        <w:t xml:space="preserve">has a significant adverse impact on the fairness of </w:t>
      </w:r>
      <w:r w:rsidR="006D66B1">
        <w:t>PSO</w:t>
      </w:r>
      <w:r w:rsidR="009733D6">
        <w:t xml:space="preserve"> proceedings.</w:t>
      </w:r>
      <w:r w:rsidR="004F6209">
        <w:t xml:space="preserve">  </w:t>
      </w:r>
      <w:r w:rsidR="00DB52AF">
        <w:t>It is inconsistent with t</w:t>
      </w:r>
      <w:r w:rsidR="004F6209">
        <w:t xml:space="preserve">he </w:t>
      </w:r>
      <w:r w:rsidR="00DB52AF">
        <w:t xml:space="preserve">general requirement that the </w:t>
      </w:r>
      <w:r w:rsidR="004F6209">
        <w:t xml:space="preserve">onus </w:t>
      </w:r>
      <w:r w:rsidR="00DB52AF">
        <w:t xml:space="preserve">is </w:t>
      </w:r>
      <w:r w:rsidR="004F6209">
        <w:t>on the AFP Minister to prove that the person poses an unacceptable risk to the community.</w:t>
      </w:r>
      <w:r w:rsidR="00C94BDD">
        <w:rPr>
          <w:rStyle w:val="EndnoteReference"/>
        </w:rPr>
        <w:endnoteReference w:id="95"/>
      </w:r>
    </w:p>
    <w:p w14:paraId="22784BC8" w14:textId="6FD16FF2" w:rsidR="00833900" w:rsidRDefault="00CD1FCC" w:rsidP="009257EA">
      <w:pPr>
        <w:pStyle w:val="ListNumber"/>
      </w:pPr>
      <w:r>
        <w:t xml:space="preserve">It is </w:t>
      </w:r>
      <w:r w:rsidR="00CB3E75">
        <w:t xml:space="preserve">a </w:t>
      </w:r>
      <w:r>
        <w:t xml:space="preserve">fundamental principle of </w:t>
      </w:r>
      <w:r w:rsidR="00117D8A">
        <w:t xml:space="preserve">criminal law proceedings, also reflected in the </w:t>
      </w:r>
      <w:r w:rsidR="00117D8A" w:rsidRPr="00965D39">
        <w:rPr>
          <w:i/>
          <w:iCs/>
        </w:rPr>
        <w:t>Evidence Act</w:t>
      </w:r>
      <w:r w:rsidR="00965D39" w:rsidRPr="00965D39">
        <w:rPr>
          <w:i/>
          <w:iCs/>
        </w:rPr>
        <w:t xml:space="preserve"> 1995</w:t>
      </w:r>
      <w:r w:rsidR="00965D39">
        <w:t xml:space="preserve"> (</w:t>
      </w:r>
      <w:proofErr w:type="spellStart"/>
      <w:r w:rsidR="00965D39">
        <w:t>Cth</w:t>
      </w:r>
      <w:proofErr w:type="spellEnd"/>
      <w:r w:rsidR="00965D39">
        <w:t>)</w:t>
      </w:r>
      <w:r w:rsidR="00117D8A">
        <w:t xml:space="preserve">, that </w:t>
      </w:r>
      <w:r w:rsidR="00610554">
        <w:t xml:space="preserve">a defendant </w:t>
      </w:r>
      <w:r w:rsidR="005C39DB">
        <w:t xml:space="preserve">is not competent, and </w:t>
      </w:r>
      <w:r w:rsidR="00610554">
        <w:t>cannot be compelled</w:t>
      </w:r>
      <w:r w:rsidR="005C39DB">
        <w:t>,</w:t>
      </w:r>
      <w:r w:rsidR="00610554">
        <w:t xml:space="preserve"> to give evidence as a witness for the prosecution.</w:t>
      </w:r>
      <w:r w:rsidR="00610554">
        <w:rPr>
          <w:rStyle w:val="EndnoteReference"/>
        </w:rPr>
        <w:endnoteReference w:id="96"/>
      </w:r>
      <w:r w:rsidR="00150C46">
        <w:t xml:space="preserve">  This is </w:t>
      </w:r>
      <w:r w:rsidR="000C0A89">
        <w:t xml:space="preserve">a </w:t>
      </w:r>
      <w:r w:rsidR="00150C46">
        <w:t>protection that cannot be waived.</w:t>
      </w:r>
      <w:r w:rsidR="00150C46">
        <w:rPr>
          <w:rStyle w:val="EndnoteReference"/>
        </w:rPr>
        <w:endnoteReference w:id="97"/>
      </w:r>
      <w:r w:rsidR="00BF07D3">
        <w:t xml:space="preserve">  </w:t>
      </w:r>
      <w:r w:rsidR="00F65716">
        <w:t>It is a protection recognised in inte</w:t>
      </w:r>
      <w:r w:rsidR="00306ACE">
        <w:t xml:space="preserve">rnational law, including in article 14(3)(g) of the ICCPR.  </w:t>
      </w:r>
      <w:r w:rsidR="00BF07D3">
        <w:t xml:space="preserve">While </w:t>
      </w:r>
      <w:r w:rsidR="00072629">
        <w:t xml:space="preserve">the offender here has the right not to participate in the assessment by the Minister’s expert, the offender must attend any assessments and </w:t>
      </w:r>
      <w:r w:rsidR="002F2511">
        <w:t xml:space="preserve">failure to participate must be </w:t>
      </w:r>
      <w:proofErr w:type="gramStart"/>
      <w:r w:rsidR="002F2511">
        <w:t>taken into account</w:t>
      </w:r>
      <w:proofErr w:type="gramEnd"/>
      <w:r w:rsidR="002F2511">
        <w:t xml:space="preserve"> by the Court hearing the PSO proceeding.  </w:t>
      </w:r>
    </w:p>
    <w:p w14:paraId="662402A1" w14:textId="5F7D8B17" w:rsidR="00D277DF" w:rsidRDefault="00833900" w:rsidP="009257EA">
      <w:pPr>
        <w:pStyle w:val="ListNumber"/>
      </w:pPr>
      <w:r>
        <w:t xml:space="preserve">The </w:t>
      </w:r>
      <w:r w:rsidR="00FD4AD6">
        <w:t xml:space="preserve">Bill’s Statement of Compatibility with Human Rights asserts </w:t>
      </w:r>
      <w:r>
        <w:t xml:space="preserve">that </w:t>
      </w:r>
      <w:r w:rsidR="0036362B">
        <w:t>article 14(3) of the ICCPR</w:t>
      </w:r>
      <w:r>
        <w:t xml:space="preserve"> </w:t>
      </w:r>
      <w:r w:rsidR="0036362B">
        <w:t xml:space="preserve">is </w:t>
      </w:r>
      <w:r w:rsidR="00FD4AD6">
        <w:t>not applicable because PSO proceedings are civil and not criminal.</w:t>
      </w:r>
      <w:r w:rsidR="008C6172">
        <w:rPr>
          <w:rStyle w:val="EndnoteReference"/>
        </w:rPr>
        <w:endnoteReference w:id="98"/>
      </w:r>
      <w:r w:rsidR="00FD4AD6">
        <w:t xml:space="preserve">  </w:t>
      </w:r>
      <w:r w:rsidR="00D277DF">
        <w:t xml:space="preserve">Further, it asserts that </w:t>
      </w:r>
      <w:r w:rsidR="00B612D4">
        <w:t xml:space="preserve">the fact that the Court must take into account the offender’s level of participation ‘does not </w:t>
      </w:r>
      <w:r w:rsidR="00BC45D8">
        <w:t>create a de facto obligation to participate’.</w:t>
      </w:r>
      <w:r w:rsidR="005A2520">
        <w:rPr>
          <w:rStyle w:val="EndnoteReference"/>
        </w:rPr>
        <w:endnoteReference w:id="99"/>
      </w:r>
      <w:r w:rsidR="00BC45D8">
        <w:t xml:space="preserve">  </w:t>
      </w:r>
    </w:p>
    <w:p w14:paraId="628FB44A" w14:textId="1CC34F7E" w:rsidR="007B631B" w:rsidRDefault="005306B4" w:rsidP="009257EA">
      <w:pPr>
        <w:pStyle w:val="ListNumber"/>
      </w:pPr>
      <w:r>
        <w:t>These</w:t>
      </w:r>
      <w:r w:rsidR="007B631B">
        <w:t xml:space="preserve"> justification</w:t>
      </w:r>
      <w:r>
        <w:t>s</w:t>
      </w:r>
      <w:r w:rsidR="007B631B">
        <w:t xml:space="preserve"> </w:t>
      </w:r>
      <w:r>
        <w:t>are</w:t>
      </w:r>
      <w:r w:rsidR="007B631B">
        <w:t xml:space="preserve"> insufficient.  The human rights restrictions that may be imposed via a PSO are </w:t>
      </w:r>
      <w:proofErr w:type="gramStart"/>
      <w:r w:rsidR="007B631B">
        <w:t>extensive, and</w:t>
      </w:r>
      <w:proofErr w:type="gramEnd"/>
      <w:r w:rsidR="007B631B">
        <w:t xml:space="preserve"> include detention.  That those restrictions are imposed pre-emptively, as distinct from the more conventional situation whereby they are imposed as punishment for the commission of a criminal </w:t>
      </w:r>
      <w:r w:rsidR="007B631B">
        <w:lastRenderedPageBreak/>
        <w:t xml:space="preserve">offence, does not lessen their impact on the individual concerned. </w:t>
      </w:r>
      <w:r w:rsidR="00965CD2">
        <w:t xml:space="preserve"> </w:t>
      </w:r>
      <w:r w:rsidR="00FD4AD6">
        <w:t xml:space="preserve">The Commission reiterates its view that these proceedings have a quasi-criminal character </w:t>
      </w:r>
      <w:r w:rsidR="007E45BD">
        <w:t xml:space="preserve">because the decision making turns on </w:t>
      </w:r>
      <w:r w:rsidR="00E028F6">
        <w:t xml:space="preserve">the risk of a person committing a criminal offence in the future, and the </w:t>
      </w:r>
      <w:r w:rsidR="00AE32D3">
        <w:t xml:space="preserve">outcomes for a respondent include orders </w:t>
      </w:r>
      <w:r w:rsidR="00B8602E">
        <w:t>such as</w:t>
      </w:r>
      <w:r w:rsidR="008F356D">
        <w:t xml:space="preserve"> detention and restrictions on liberty </w:t>
      </w:r>
      <w:r w:rsidR="00B8602E">
        <w:t xml:space="preserve">that are </w:t>
      </w:r>
      <w:r w:rsidR="008F356D">
        <w:t xml:space="preserve">commonly made by criminal courts.  </w:t>
      </w:r>
    </w:p>
    <w:p w14:paraId="3B78040D" w14:textId="3C3190F1" w:rsidR="009733D6" w:rsidRDefault="007B631B" w:rsidP="009257EA">
      <w:pPr>
        <w:pStyle w:val="ListNumber"/>
      </w:pPr>
      <w:r>
        <w:t>Moreover, t</w:t>
      </w:r>
      <w:r w:rsidR="001C77EF">
        <w:t xml:space="preserve">he Court must </w:t>
      </w:r>
      <w:proofErr w:type="gramStart"/>
      <w:r w:rsidR="001C77EF">
        <w:t>take into account</w:t>
      </w:r>
      <w:proofErr w:type="gramEnd"/>
      <w:r w:rsidR="001C77EF">
        <w:t xml:space="preserve"> a failure to participate in an assessment.  The only reason for including such a provision is </w:t>
      </w:r>
      <w:r w:rsidR="0090127B">
        <w:t xml:space="preserve">so that </w:t>
      </w:r>
      <w:r w:rsidR="001C77EF">
        <w:t xml:space="preserve">negative </w:t>
      </w:r>
      <w:r w:rsidR="0090127B">
        <w:t xml:space="preserve">inferences could be drawn against a respondent as a result.  </w:t>
      </w:r>
      <w:r w:rsidR="002F2511">
        <w:t>Given the nature of these proceedings, the Commission considers that the</w:t>
      </w:r>
      <w:r w:rsidR="00CF1E54">
        <w:t xml:space="preserve"> proposed</w:t>
      </w:r>
      <w:r w:rsidR="002F2511">
        <w:t xml:space="preserve"> obligations </w:t>
      </w:r>
      <w:r w:rsidR="00DC4BEA">
        <w:t xml:space="preserve">on an offender in relation to the Minister’s expert </w:t>
      </w:r>
      <w:r w:rsidR="002F2511">
        <w:t xml:space="preserve">are contrary to longstanding common law </w:t>
      </w:r>
      <w:r w:rsidR="0027003A">
        <w:t xml:space="preserve">and human rights </w:t>
      </w:r>
      <w:r w:rsidR="002F2511">
        <w:t>principles designed to ensure that proceedings are conducted fairly.</w:t>
      </w:r>
    </w:p>
    <w:p w14:paraId="49A5F5C6" w14:textId="3C341C13" w:rsidR="002F2511" w:rsidRPr="000A260E" w:rsidRDefault="000A260E" w:rsidP="000A260E">
      <w:pPr>
        <w:pStyle w:val="ListNumber"/>
        <w:keepNext/>
        <w:numPr>
          <w:ilvl w:val="0"/>
          <w:numId w:val="0"/>
        </w:numPr>
        <w:ind w:left="1094"/>
        <w:rPr>
          <w:b/>
          <w:bCs/>
        </w:rPr>
      </w:pPr>
      <w:r w:rsidRPr="000A260E">
        <w:rPr>
          <w:b/>
          <w:bCs/>
        </w:rPr>
        <w:t xml:space="preserve">Recommendation </w:t>
      </w:r>
      <w:r w:rsidR="00C709F1">
        <w:rPr>
          <w:b/>
          <w:bCs/>
        </w:rPr>
        <w:t>12</w:t>
      </w:r>
    </w:p>
    <w:p w14:paraId="79941708" w14:textId="42D9FE1F" w:rsidR="009257EA" w:rsidRDefault="000A260E" w:rsidP="000A260E">
      <w:pPr>
        <w:pStyle w:val="ListNumber"/>
        <w:numPr>
          <w:ilvl w:val="0"/>
          <w:numId w:val="0"/>
        </w:numPr>
        <w:ind w:left="1094"/>
      </w:pPr>
      <w:r>
        <w:t xml:space="preserve">The Commission recommends that </w:t>
      </w:r>
      <w:r w:rsidR="00C709F1">
        <w:t xml:space="preserve">proposed </w:t>
      </w:r>
      <w:r w:rsidR="002D0B58">
        <w:t>s 105A.18D</w:t>
      </w:r>
      <w:r w:rsidR="00C709F1">
        <w:t xml:space="preserve"> of the Criminal Code</w:t>
      </w:r>
      <w:r w:rsidR="002D0B58">
        <w:t xml:space="preserve">, dealing with the power of the AFP Minister to direct an offender to be assessed by an expert </w:t>
      </w:r>
      <w:r w:rsidR="00BD3346">
        <w:t>chosen by the Minister, be removed from the Bill.</w:t>
      </w:r>
    </w:p>
    <w:p w14:paraId="4A47CCDB" w14:textId="2CEAEB96" w:rsidR="00BD3346" w:rsidRPr="00BD3346" w:rsidRDefault="00BD3346" w:rsidP="00BD3346">
      <w:pPr>
        <w:pStyle w:val="ListNumber"/>
        <w:keepNext/>
        <w:numPr>
          <w:ilvl w:val="0"/>
          <w:numId w:val="0"/>
        </w:numPr>
        <w:ind w:left="1094"/>
        <w:rPr>
          <w:b/>
          <w:bCs/>
        </w:rPr>
      </w:pPr>
      <w:r w:rsidRPr="00BD3346">
        <w:rPr>
          <w:b/>
          <w:bCs/>
        </w:rPr>
        <w:t xml:space="preserve">Recommendation </w:t>
      </w:r>
      <w:r w:rsidR="00C709F1">
        <w:rPr>
          <w:b/>
          <w:bCs/>
        </w:rPr>
        <w:t>13</w:t>
      </w:r>
    </w:p>
    <w:p w14:paraId="1CB401FA" w14:textId="2A4B9B7B" w:rsidR="00BD3346" w:rsidRDefault="00BD3346" w:rsidP="000A260E">
      <w:pPr>
        <w:pStyle w:val="ListNumber"/>
        <w:numPr>
          <w:ilvl w:val="0"/>
          <w:numId w:val="0"/>
        </w:numPr>
        <w:ind w:left="1094"/>
      </w:pPr>
      <w:r>
        <w:t xml:space="preserve">If Recommendation </w:t>
      </w:r>
      <w:r w:rsidR="00F00B88">
        <w:t>12</w:t>
      </w:r>
      <w:r>
        <w:t xml:space="preserve"> is not accepted, the Commission recommends that:</w:t>
      </w:r>
    </w:p>
    <w:p w14:paraId="6A869430" w14:textId="6111F494" w:rsidR="00BD3346" w:rsidRDefault="00BD3346" w:rsidP="00B04AF2">
      <w:pPr>
        <w:pStyle w:val="ListNumber"/>
        <w:numPr>
          <w:ilvl w:val="0"/>
          <w:numId w:val="0"/>
        </w:numPr>
        <w:ind w:left="1440" w:hanging="346"/>
      </w:pPr>
      <w:r>
        <w:t>(a)</w:t>
      </w:r>
      <w:r>
        <w:tab/>
      </w:r>
      <w:r w:rsidR="00397D29">
        <w:t xml:space="preserve">proposed </w:t>
      </w:r>
      <w:r w:rsidR="00B04AF2">
        <w:t>s 105A.18D</w:t>
      </w:r>
      <w:r w:rsidR="00F6167A">
        <w:t xml:space="preserve"> of the Criminal Code</w:t>
      </w:r>
      <w:r w:rsidR="00B04AF2">
        <w:t xml:space="preserve"> be amended to confirm that </w:t>
      </w:r>
      <w:r w:rsidR="002F2D9A">
        <w:t>the offender is not required to attend an assessment</w:t>
      </w:r>
      <w:r w:rsidR="00F44989">
        <w:t xml:space="preserve"> with an expert chosen by the AFP Minister; and</w:t>
      </w:r>
    </w:p>
    <w:p w14:paraId="7E2FC2F0" w14:textId="314906C5" w:rsidR="002F2D9A" w:rsidRPr="00A60018" w:rsidRDefault="00B04AF2" w:rsidP="00F67EA0">
      <w:pPr>
        <w:pStyle w:val="ListNumber"/>
        <w:numPr>
          <w:ilvl w:val="0"/>
          <w:numId w:val="0"/>
        </w:numPr>
        <w:ind w:left="1440" w:hanging="346"/>
      </w:pPr>
      <w:r>
        <w:t>(b)</w:t>
      </w:r>
      <w:r>
        <w:tab/>
      </w:r>
      <w:r w:rsidR="00397D29">
        <w:t xml:space="preserve">proposed </w:t>
      </w:r>
      <w:r>
        <w:t>s </w:t>
      </w:r>
      <w:r w:rsidR="00397D29">
        <w:t xml:space="preserve">105A.6B </w:t>
      </w:r>
      <w:r w:rsidR="00F6167A">
        <w:t xml:space="preserve">of the Criminal Code </w:t>
      </w:r>
      <w:r w:rsidR="00397D29">
        <w:t xml:space="preserve">be amended to </w:t>
      </w:r>
      <w:r w:rsidR="006168A6">
        <w:t xml:space="preserve">remove the requirement for the Court to </w:t>
      </w:r>
      <w:proofErr w:type="gramStart"/>
      <w:r w:rsidR="006168A6">
        <w:t>take into account</w:t>
      </w:r>
      <w:proofErr w:type="gramEnd"/>
      <w:r w:rsidR="006168A6">
        <w:t xml:space="preserve"> the level of the offender’s participation in any assessment under s 105A.18D.</w:t>
      </w:r>
    </w:p>
    <w:p w14:paraId="3C26E254" w14:textId="77777777" w:rsidR="005B07E6" w:rsidRDefault="005B07E6" w:rsidP="005B07E6">
      <w:pPr>
        <w:pStyle w:val="Heading2"/>
      </w:pPr>
      <w:bookmarkStart w:id="32" w:name="_Toc54876165"/>
      <w:r>
        <w:t>Use immunity in relation to compulsory assessment by an expert</w:t>
      </w:r>
      <w:bookmarkEnd w:id="32"/>
    </w:p>
    <w:p w14:paraId="28E67E6A" w14:textId="7018EEF1" w:rsidR="00F10196" w:rsidRDefault="008C0A29" w:rsidP="005B07E6">
      <w:pPr>
        <w:pStyle w:val="ListNumber"/>
      </w:pPr>
      <w:r>
        <w:t xml:space="preserve">As described in the preceding section, </w:t>
      </w:r>
      <w:r w:rsidR="00B9483A">
        <w:t>an offender can be required to attend an assessment by an independent expert appointed by the Court for the purpose of assessing the offender’s risk of committing a Part 5.3 offence</w:t>
      </w:r>
      <w:r w:rsidR="00F352FF">
        <w:t>.</w:t>
      </w:r>
      <w:r w:rsidR="00C21E49">
        <w:t xml:space="preserve">  </w:t>
      </w:r>
      <w:r w:rsidR="00737DE7">
        <w:t>One</w:t>
      </w:r>
      <w:r w:rsidR="00C21E49">
        <w:t xml:space="preserve"> important safeguard built into this compulsory system </w:t>
      </w:r>
      <w:r w:rsidR="00F945D1">
        <w:t>is</w:t>
      </w:r>
      <w:r w:rsidR="00C21E49">
        <w:t xml:space="preserve"> that the offender is not required to participate in the assessment.  </w:t>
      </w:r>
    </w:p>
    <w:p w14:paraId="46EF3B84" w14:textId="7927A01D" w:rsidR="005B07E6" w:rsidRDefault="005B07E6" w:rsidP="00C21E49">
      <w:pPr>
        <w:pStyle w:val="ListNumber"/>
        <w:keepNext/>
      </w:pPr>
      <w:r>
        <w:t>A second safeguard is that neither:</w:t>
      </w:r>
    </w:p>
    <w:p w14:paraId="62CB0F5E" w14:textId="77777777" w:rsidR="005B07E6" w:rsidRDefault="005B07E6" w:rsidP="005B07E6">
      <w:pPr>
        <w:pStyle w:val="ListNumber"/>
        <w:numPr>
          <w:ilvl w:val="0"/>
          <w:numId w:val="39"/>
        </w:numPr>
      </w:pPr>
      <w:r>
        <w:t>the answer to a question or information given at the assessment; nor</w:t>
      </w:r>
    </w:p>
    <w:p w14:paraId="23196FE1" w14:textId="77777777" w:rsidR="005B07E6" w:rsidRDefault="005B07E6" w:rsidP="005B07E6">
      <w:pPr>
        <w:pStyle w:val="ListNumber"/>
        <w:numPr>
          <w:ilvl w:val="0"/>
          <w:numId w:val="39"/>
        </w:numPr>
      </w:pPr>
      <w:r>
        <w:t>the fact of answering a question or giving information at the assessment</w:t>
      </w:r>
    </w:p>
    <w:p w14:paraId="21E5BF57" w14:textId="0A82C9CE" w:rsidR="005B07E6" w:rsidRDefault="00DF48A6" w:rsidP="005B07E6">
      <w:pPr>
        <w:pStyle w:val="ListNumber"/>
        <w:numPr>
          <w:ilvl w:val="0"/>
          <w:numId w:val="0"/>
        </w:numPr>
        <w:ind w:left="1094"/>
      </w:pPr>
      <w:r>
        <w:t xml:space="preserve">is </w:t>
      </w:r>
      <w:r w:rsidR="005B07E6">
        <w:t>admissible in evidence against the offender in civil or criminal proceedings.</w:t>
      </w:r>
      <w:r w:rsidR="005B07E6">
        <w:rPr>
          <w:rStyle w:val="EndnoteReference"/>
        </w:rPr>
        <w:endnoteReference w:id="100"/>
      </w:r>
      <w:r w:rsidR="005B07E6">
        <w:t xml:space="preserve"> </w:t>
      </w:r>
    </w:p>
    <w:p w14:paraId="05EA33B7" w14:textId="6DA6CB2E" w:rsidR="005B07E6" w:rsidRDefault="00EF7C05" w:rsidP="005B07E6">
      <w:pPr>
        <w:pStyle w:val="ListNumber"/>
      </w:pPr>
      <w:r>
        <w:t>T</w:t>
      </w:r>
      <w:r w:rsidR="005B07E6">
        <w:t xml:space="preserve">he second safeguard </w:t>
      </w:r>
      <w:r w:rsidR="005F7F5C">
        <w:t>is described as a</w:t>
      </w:r>
      <w:r w:rsidR="005B07E6">
        <w:t xml:space="preserve"> ‘use immunity’ in relation to answers and participation</w:t>
      </w:r>
      <w:r w:rsidR="005F7F5C">
        <w:t>.</w:t>
      </w:r>
      <w:r w:rsidR="005B07E6">
        <w:t xml:space="preserve"> </w:t>
      </w:r>
      <w:r w:rsidR="005F7F5C">
        <w:t xml:space="preserve"> The Commission considers that such a use immunity </w:t>
      </w:r>
      <w:r w:rsidR="005B07E6">
        <w:t xml:space="preserve">is appropriate </w:t>
      </w:r>
      <w:r w:rsidR="005B07E6">
        <w:lastRenderedPageBreak/>
        <w:t>because it recognises the infringement on a person’s liberty by requiring them to attend an assessment with an expert.</w:t>
      </w:r>
    </w:p>
    <w:p w14:paraId="04CEB56C" w14:textId="77777777" w:rsidR="005B07E6" w:rsidRDefault="005B07E6" w:rsidP="005B07E6">
      <w:pPr>
        <w:pStyle w:val="ListNumber"/>
      </w:pPr>
      <w:r>
        <w:t>There is also a practical benefit to the provision, in that it provides an incentive for an offender to actively participate in the assessment and thus provide the best possible basis for the Court to make an assessment about whether a CDO should be made.  As the Australian Government identified when the provision was first enacted:</w:t>
      </w:r>
    </w:p>
    <w:p w14:paraId="09129DB8" w14:textId="77777777" w:rsidR="005B07E6" w:rsidRPr="00D35EB8" w:rsidRDefault="005B07E6" w:rsidP="005B07E6">
      <w:pPr>
        <w:pStyle w:val="ListNumber"/>
        <w:numPr>
          <w:ilvl w:val="0"/>
          <w:numId w:val="0"/>
        </w:numPr>
        <w:ind w:left="1440"/>
        <w:rPr>
          <w:sz w:val="22"/>
          <w:szCs w:val="22"/>
        </w:rPr>
      </w:pPr>
      <w:r w:rsidRPr="00D35EB8">
        <w:rPr>
          <w:sz w:val="22"/>
          <w:szCs w:val="22"/>
        </w:rPr>
        <w:t>In order to avoid the terrorist offender having to decide between participating in the assessment but potentially disclosing self-incriminating information, and not participating in the assessment at all, subsection 105A.6(5A) guarantees that the terrorist offender will be protected from self-incrimination.</w:t>
      </w:r>
      <w:r>
        <w:rPr>
          <w:rStyle w:val="EndnoteReference"/>
          <w:szCs w:val="22"/>
        </w:rPr>
        <w:endnoteReference w:id="101"/>
      </w:r>
    </w:p>
    <w:p w14:paraId="2A395923" w14:textId="5F612390" w:rsidR="005B07E6" w:rsidRDefault="00E017D3" w:rsidP="005B07E6">
      <w:pPr>
        <w:pStyle w:val="ListNumber"/>
      </w:pPr>
      <w:r>
        <w:t xml:space="preserve">The Bill </w:t>
      </w:r>
      <w:r w:rsidR="005B07E6">
        <w:t xml:space="preserve">would weaken the </w:t>
      </w:r>
      <w:r w:rsidR="0042329C">
        <w:t xml:space="preserve">use immunity </w:t>
      </w:r>
      <w:r w:rsidR="005B07E6">
        <w:t>by allowing the information to be used:</w:t>
      </w:r>
    </w:p>
    <w:p w14:paraId="751D5D84" w14:textId="77777777" w:rsidR="005B07E6" w:rsidRDefault="005B07E6" w:rsidP="005B07E6">
      <w:pPr>
        <w:pStyle w:val="ListNumber"/>
        <w:numPr>
          <w:ilvl w:val="0"/>
          <w:numId w:val="39"/>
        </w:numPr>
      </w:pPr>
      <w:r>
        <w:t>in civil proceedings for a control order</w:t>
      </w:r>
    </w:p>
    <w:p w14:paraId="02998DF0" w14:textId="2CBF99EB" w:rsidR="005B07E6" w:rsidRDefault="005B07E6" w:rsidP="005B07E6">
      <w:pPr>
        <w:pStyle w:val="ListNumber"/>
        <w:numPr>
          <w:ilvl w:val="0"/>
          <w:numId w:val="39"/>
        </w:numPr>
      </w:pPr>
      <w:r>
        <w:t>in sentencing for an</w:t>
      </w:r>
      <w:r w:rsidR="00CE1494">
        <w:t xml:space="preserve">y </w:t>
      </w:r>
      <w:r>
        <w:t xml:space="preserve">offence against a provision in </w:t>
      </w:r>
      <w:proofErr w:type="spellStart"/>
      <w:r>
        <w:t>Divs</w:t>
      </w:r>
      <w:proofErr w:type="spellEnd"/>
      <w:r>
        <w:t xml:space="preserve"> 104 or 105A.</w:t>
      </w:r>
      <w:r w:rsidR="001403A2">
        <w:rPr>
          <w:rStyle w:val="EndnoteReference"/>
        </w:rPr>
        <w:endnoteReference w:id="102"/>
      </w:r>
    </w:p>
    <w:p w14:paraId="57E6E2C3" w14:textId="3FACFA1E" w:rsidR="005B07E6" w:rsidRDefault="005B07E6" w:rsidP="005B07E6">
      <w:pPr>
        <w:pStyle w:val="ListNumber"/>
      </w:pPr>
      <w:r>
        <w:t xml:space="preserve">To permit this material to be used in a control order proceeding is to allow it to be used in a proceeding for which the expert report was not prepared.  A Court in a control order proceeding is not required to assess whether the respondent poses an unacceptable risk to the community.  This is one of the reasons why the Commission says that the control order regime should be repealed when an appropriate </w:t>
      </w:r>
      <w:r w:rsidR="007D7668">
        <w:t>ESO</w:t>
      </w:r>
      <w:r>
        <w:t xml:space="preserve"> regime is enacted.  However, if the current control order regime is permitted to operate alongside an </w:t>
      </w:r>
      <w:r w:rsidR="008C02B3">
        <w:t>ESO</w:t>
      </w:r>
      <w:r>
        <w:t xml:space="preserve"> regime, the Commission considers that the use immunity over material related to the compulsory expert assessment in </w:t>
      </w:r>
      <w:proofErr w:type="spellStart"/>
      <w:r>
        <w:t>Div</w:t>
      </w:r>
      <w:proofErr w:type="spellEnd"/>
      <w:r>
        <w:t xml:space="preserve"> 105A should </w:t>
      </w:r>
      <w:r w:rsidR="000D5D33">
        <w:t xml:space="preserve">continue to </w:t>
      </w:r>
      <w:r>
        <w:t xml:space="preserve">extend to control order proceedings. </w:t>
      </w:r>
    </w:p>
    <w:p w14:paraId="4F9643FC" w14:textId="7843DDF5" w:rsidR="005B07E6" w:rsidRDefault="005B07E6" w:rsidP="005B07E6">
      <w:pPr>
        <w:pStyle w:val="ListNumber"/>
      </w:pPr>
      <w:r>
        <w:t>In terms of criminal proceedings, the amendment would weaken the current protection for individuals by allowing the answers given to an expert in a compulsory assessment, or the fact of a person’s participation (or non-participation) in a compulsory assessment</w:t>
      </w:r>
      <w:r w:rsidR="00DF48A6">
        <w:t>,</w:t>
      </w:r>
      <w:r>
        <w:t xml:space="preserve"> to be used in sentencing for unrelated criminal conduct, namely, the offences of:</w:t>
      </w:r>
    </w:p>
    <w:p w14:paraId="52BAEFAA" w14:textId="77777777" w:rsidR="005B07E6" w:rsidRDefault="005B07E6" w:rsidP="005B07E6">
      <w:pPr>
        <w:pStyle w:val="ListNumber"/>
        <w:numPr>
          <w:ilvl w:val="0"/>
          <w:numId w:val="39"/>
        </w:numPr>
      </w:pPr>
      <w:r>
        <w:t>using fingerprints or photographs of a person subject to a control order for a purpose other than ensuring compliance with the control order (this appears to be focused on conduct by a person other than the person subject to the control order)</w:t>
      </w:r>
      <w:r>
        <w:rPr>
          <w:rStyle w:val="EndnoteReference"/>
        </w:rPr>
        <w:endnoteReference w:id="103"/>
      </w:r>
    </w:p>
    <w:p w14:paraId="688933C8" w14:textId="52482EED" w:rsidR="005B07E6" w:rsidRDefault="005B07E6" w:rsidP="005B07E6">
      <w:pPr>
        <w:pStyle w:val="ListNumber"/>
        <w:numPr>
          <w:ilvl w:val="0"/>
          <w:numId w:val="39"/>
        </w:numPr>
      </w:pPr>
      <w:r>
        <w:t>contravening a control order (noting that the compulsory assessment</w:t>
      </w:r>
      <w:r w:rsidR="006945F8">
        <w:t xml:space="preserve"> under </w:t>
      </w:r>
      <w:proofErr w:type="spellStart"/>
      <w:r w:rsidR="006945F8">
        <w:t>Div</w:t>
      </w:r>
      <w:proofErr w:type="spellEnd"/>
      <w:r w:rsidR="006945F8">
        <w:t xml:space="preserve"> 105A</w:t>
      </w:r>
      <w:r>
        <w:t xml:space="preserve"> is not undertaken for the purpose of determining whether a control order </w:t>
      </w:r>
      <w:r w:rsidR="00D529C2">
        <w:t>should be</w:t>
      </w:r>
      <w:r>
        <w:t xml:space="preserve"> granted)</w:t>
      </w:r>
      <w:r>
        <w:rPr>
          <w:rStyle w:val="EndnoteReference"/>
        </w:rPr>
        <w:endnoteReference w:id="104"/>
      </w:r>
    </w:p>
    <w:p w14:paraId="7294767D" w14:textId="77777777" w:rsidR="005B07E6" w:rsidRDefault="005B07E6" w:rsidP="005B07E6">
      <w:pPr>
        <w:pStyle w:val="ListNumber"/>
        <w:numPr>
          <w:ilvl w:val="0"/>
          <w:numId w:val="39"/>
        </w:numPr>
      </w:pPr>
      <w:r>
        <w:t>interference with, or disruption or loss of, a function of a tracking device required to be worn by any person subject to a control order (this includes offences committed by the person wearing the tracking device or by another person)</w:t>
      </w:r>
      <w:r>
        <w:rPr>
          <w:rStyle w:val="EndnoteReference"/>
        </w:rPr>
        <w:endnoteReference w:id="105"/>
      </w:r>
    </w:p>
    <w:p w14:paraId="44929CC2" w14:textId="77777777" w:rsidR="005B07E6" w:rsidRDefault="005B07E6" w:rsidP="005B07E6">
      <w:pPr>
        <w:pStyle w:val="ListNumber"/>
        <w:numPr>
          <w:ilvl w:val="0"/>
          <w:numId w:val="39"/>
        </w:numPr>
      </w:pPr>
      <w:r>
        <w:lastRenderedPageBreak/>
        <w:t>using fingerprints or photographs of a person subject to an ESO for a purpose other than ensuring compliance with the ESO (this appears to be focused on conduct by a ‘specified person’ rather than the person subject to the ESO)</w:t>
      </w:r>
      <w:r>
        <w:rPr>
          <w:rStyle w:val="EndnoteReference"/>
        </w:rPr>
        <w:endnoteReference w:id="106"/>
      </w:r>
    </w:p>
    <w:p w14:paraId="4794A85A" w14:textId="7943A57B" w:rsidR="005B07E6" w:rsidRDefault="005B07E6" w:rsidP="005B07E6">
      <w:pPr>
        <w:pStyle w:val="ListNumber"/>
        <w:numPr>
          <w:ilvl w:val="0"/>
          <w:numId w:val="39"/>
        </w:numPr>
      </w:pPr>
      <w:r>
        <w:t>contravening an ESO (noting that the compulsory assessment would precede any breach of the ESO</w:t>
      </w:r>
      <w:r w:rsidR="004D7EE1">
        <w:t xml:space="preserve"> and may have nothing to do with the circumstances of the breach</w:t>
      </w:r>
      <w:r>
        <w:t>)</w:t>
      </w:r>
      <w:r>
        <w:rPr>
          <w:rStyle w:val="EndnoteReference"/>
        </w:rPr>
        <w:endnoteReference w:id="107"/>
      </w:r>
    </w:p>
    <w:p w14:paraId="2D0B516C" w14:textId="23DF26CA" w:rsidR="005B07E6" w:rsidRDefault="005B07E6" w:rsidP="005B07E6">
      <w:pPr>
        <w:pStyle w:val="ListNumber"/>
        <w:numPr>
          <w:ilvl w:val="0"/>
          <w:numId w:val="39"/>
        </w:numPr>
      </w:pPr>
      <w:r>
        <w:t>contravening a direction given by a ‘specified authority’ under proposed s 105A.7C (again, noting that the compulsory assessment would precede any breach of the ESO</w:t>
      </w:r>
      <w:r w:rsidR="00162CC4">
        <w:t xml:space="preserve"> and may have nothing to do with the circumstances of the breach</w:t>
      </w:r>
      <w:r>
        <w:t>)</w:t>
      </w:r>
      <w:r>
        <w:rPr>
          <w:rStyle w:val="EndnoteReference"/>
        </w:rPr>
        <w:endnoteReference w:id="108"/>
      </w:r>
    </w:p>
    <w:p w14:paraId="263F7613" w14:textId="77777777" w:rsidR="005B07E6" w:rsidRDefault="005B07E6" w:rsidP="005B07E6">
      <w:pPr>
        <w:pStyle w:val="ListNumber"/>
        <w:numPr>
          <w:ilvl w:val="0"/>
          <w:numId w:val="39"/>
        </w:numPr>
      </w:pPr>
      <w:r>
        <w:t>interference with, or disruption or loss of, a function of a tracking device required to be worn by any person subject to an ESO (this includes offences committed by the person wearing the tracking device or by another person).</w:t>
      </w:r>
      <w:r>
        <w:rPr>
          <w:rStyle w:val="EndnoteReference"/>
        </w:rPr>
        <w:endnoteReference w:id="109"/>
      </w:r>
    </w:p>
    <w:p w14:paraId="6BA18892" w14:textId="7C641145" w:rsidR="005B07E6" w:rsidRDefault="005B07E6" w:rsidP="005B07E6">
      <w:pPr>
        <w:pStyle w:val="ListNumber"/>
      </w:pPr>
      <w:r>
        <w:t>The current protection in s 105A.6(5A) was listed</w:t>
      </w:r>
      <w:r w:rsidR="002F10AD">
        <w:t xml:space="preserve"> by the Australian Government</w:t>
      </w:r>
      <w:r>
        <w:t xml:space="preserve"> as one of the ‘important safeguards’ in </w:t>
      </w:r>
      <w:r w:rsidR="000461C1">
        <w:t xml:space="preserve">its </w:t>
      </w:r>
      <w:r>
        <w:t xml:space="preserve">Statement of Compatibility with Human Rights when the CDO </w:t>
      </w:r>
      <w:r w:rsidR="0056308C">
        <w:t>regime</w:t>
      </w:r>
      <w:r>
        <w:t xml:space="preserve"> was first introduced.</w:t>
      </w:r>
      <w:r>
        <w:rPr>
          <w:rStyle w:val="EndnoteReference"/>
        </w:rPr>
        <w:endnoteReference w:id="110"/>
      </w:r>
      <w:r>
        <w:t xml:space="preserve">  The Commission is concerned that this important protection for individual rights is now being eroded once the </w:t>
      </w:r>
      <w:r w:rsidR="0056308C">
        <w:t xml:space="preserve">regime </w:t>
      </w:r>
      <w:r>
        <w:t>is in place and before it has been used.</w:t>
      </w:r>
    </w:p>
    <w:p w14:paraId="2F0148CB" w14:textId="4BE7C858" w:rsidR="005B07E6" w:rsidRDefault="005B07E6" w:rsidP="005B07E6">
      <w:pPr>
        <w:pStyle w:val="ListNumber"/>
      </w:pPr>
      <w:r>
        <w:t>The appropriate use of the report by the court</w:t>
      </w:r>
      <w:r w:rsidR="00C87342">
        <w:t xml:space="preserve"> </w:t>
      </w:r>
      <w:r>
        <w:t>appointed expert is solely for the purpose of the Court considering whether to make a CDO or an ESO.  This use is sufficiently covered by proposed s 105A.6(9)</w:t>
      </w:r>
      <w:r w:rsidR="004824AA">
        <w:t xml:space="preserve"> which provides, for the avoidance of doubt</w:t>
      </w:r>
      <w:r w:rsidR="000A5403">
        <w:t>:</w:t>
      </w:r>
    </w:p>
    <w:p w14:paraId="53AD23CE" w14:textId="21F2EE5F" w:rsidR="000A5403" w:rsidRPr="00121772" w:rsidRDefault="000A5403" w:rsidP="00121772">
      <w:pPr>
        <w:pStyle w:val="ListNumber"/>
        <w:numPr>
          <w:ilvl w:val="0"/>
          <w:numId w:val="0"/>
        </w:numPr>
        <w:ind w:left="1440"/>
        <w:rPr>
          <w:sz w:val="22"/>
          <w:szCs w:val="22"/>
        </w:rPr>
      </w:pPr>
      <w:r w:rsidRPr="00121772">
        <w:rPr>
          <w:sz w:val="22"/>
          <w:szCs w:val="22"/>
        </w:rPr>
        <w:t xml:space="preserve">An assessment of an offender conducted under paragraph (4)(a), and the report of the assessment, may be taken into account </w:t>
      </w:r>
      <w:r w:rsidR="00121772" w:rsidRPr="00121772">
        <w:rPr>
          <w:sz w:val="22"/>
          <w:szCs w:val="22"/>
        </w:rPr>
        <w:t>in proceedings to make or vary any post-sentence order or interim post-sentence order, or to review any post-sentence order, in relation to the offender.</w:t>
      </w:r>
    </w:p>
    <w:p w14:paraId="5F52620B" w14:textId="5A68FC93" w:rsidR="005B07E6" w:rsidRPr="00340C67" w:rsidRDefault="005B07E6" w:rsidP="005B07E6">
      <w:pPr>
        <w:pStyle w:val="ListNumber"/>
        <w:keepNext/>
        <w:numPr>
          <w:ilvl w:val="0"/>
          <w:numId w:val="0"/>
        </w:numPr>
        <w:ind w:left="1094"/>
        <w:rPr>
          <w:b/>
          <w:bCs/>
        </w:rPr>
      </w:pPr>
      <w:r w:rsidRPr="00340C67">
        <w:rPr>
          <w:b/>
          <w:bCs/>
        </w:rPr>
        <w:t xml:space="preserve">Recommendation </w:t>
      </w:r>
      <w:r w:rsidR="0021501E">
        <w:rPr>
          <w:b/>
          <w:bCs/>
        </w:rPr>
        <w:t>14</w:t>
      </w:r>
    </w:p>
    <w:p w14:paraId="76883914" w14:textId="7B470AF5" w:rsidR="005B07E6" w:rsidRDefault="005B07E6" w:rsidP="005B07E6">
      <w:pPr>
        <w:pStyle w:val="ListNumber"/>
        <w:numPr>
          <w:ilvl w:val="0"/>
          <w:numId w:val="0"/>
        </w:numPr>
        <w:ind w:left="1094"/>
      </w:pPr>
      <w:r>
        <w:t>The Commission recommends that proposed s 105A.6(5A)</w:t>
      </w:r>
      <w:r w:rsidR="0021501E">
        <w:t xml:space="preserve"> of the Criminal Code</w:t>
      </w:r>
      <w:r>
        <w:t>, which would weaken the use immunity provided to individuals required to attend an assessment with a court appointed expert, be removed from the Bill.</w:t>
      </w:r>
    </w:p>
    <w:p w14:paraId="6302A27C" w14:textId="0B6D01DA" w:rsidR="005B07E6" w:rsidRDefault="005B07E6" w:rsidP="005B07E6">
      <w:pPr>
        <w:pStyle w:val="ListNumber"/>
      </w:pPr>
      <w:r>
        <w:t xml:space="preserve">The same issues arise in relation to </w:t>
      </w:r>
      <w:r w:rsidR="00195C1F">
        <w:t xml:space="preserve">the </w:t>
      </w:r>
      <w:r w:rsidR="00810A01">
        <w:t xml:space="preserve">proposed </w:t>
      </w:r>
      <w:r w:rsidR="00195C1F">
        <w:t xml:space="preserve">mandatory assessments by an expert chosen by the Minister, discussed in the previous section.  </w:t>
      </w:r>
      <w:r>
        <w:t>A</w:t>
      </w:r>
      <w:r w:rsidR="00195C1F">
        <w:t xml:space="preserve"> similarly weakened use immunity </w:t>
      </w:r>
      <w:r>
        <w:t xml:space="preserve">is contained in proposed s 105A.18D(5).  For the reasons set out above, the Commission submits that </w:t>
      </w:r>
      <w:r w:rsidR="00DD152B">
        <w:t xml:space="preserve">if </w:t>
      </w:r>
      <w:r>
        <w:t xml:space="preserve">this </w:t>
      </w:r>
      <w:r w:rsidR="00DD152B">
        <w:t xml:space="preserve">parallel </w:t>
      </w:r>
      <w:r w:rsidR="00A84122">
        <w:t xml:space="preserve">mandatory assessment provision is retained, it should be subject to a use immunity in the same terms as </w:t>
      </w:r>
      <w:r w:rsidR="00AB544B">
        <w:t>is curr</w:t>
      </w:r>
      <w:r w:rsidR="000757E6">
        <w:t>e</w:t>
      </w:r>
      <w:r w:rsidR="00AB544B">
        <w:t>ntly</w:t>
      </w:r>
      <w:r w:rsidR="00A84122">
        <w:t xml:space="preserve"> cont</w:t>
      </w:r>
      <w:r w:rsidR="00CA1FE2">
        <w:t xml:space="preserve">ained in the Criminal Code. </w:t>
      </w:r>
    </w:p>
    <w:p w14:paraId="77205060" w14:textId="1AA97EA9" w:rsidR="005B07E6" w:rsidRPr="00D71EE7" w:rsidRDefault="005B07E6" w:rsidP="005B07E6">
      <w:pPr>
        <w:pStyle w:val="ListNumber"/>
        <w:keepNext/>
        <w:numPr>
          <w:ilvl w:val="0"/>
          <w:numId w:val="0"/>
        </w:numPr>
        <w:ind w:left="1094"/>
        <w:rPr>
          <w:b/>
          <w:bCs/>
        </w:rPr>
      </w:pPr>
      <w:r w:rsidRPr="00D71EE7">
        <w:rPr>
          <w:b/>
          <w:bCs/>
        </w:rPr>
        <w:t xml:space="preserve">Recommendation </w:t>
      </w:r>
      <w:r w:rsidR="0021501E">
        <w:rPr>
          <w:b/>
          <w:bCs/>
        </w:rPr>
        <w:t>15</w:t>
      </w:r>
    </w:p>
    <w:p w14:paraId="2DB87135" w14:textId="46BFEE96" w:rsidR="005B07E6" w:rsidRDefault="005B07E6" w:rsidP="005B07E6">
      <w:pPr>
        <w:pStyle w:val="ListNumber"/>
        <w:numPr>
          <w:ilvl w:val="0"/>
          <w:numId w:val="0"/>
        </w:numPr>
        <w:ind w:left="1094"/>
      </w:pPr>
      <w:r>
        <w:t xml:space="preserve">The Commission recommends that </w:t>
      </w:r>
      <w:r w:rsidR="00CA1FE2">
        <w:t xml:space="preserve">if </w:t>
      </w:r>
      <w:r>
        <w:t>s 105A.18D</w:t>
      </w:r>
      <w:r w:rsidR="00CA1FE2">
        <w:t xml:space="preserve"> </w:t>
      </w:r>
      <w:r w:rsidR="0021501E">
        <w:t>of the Criminal Code</w:t>
      </w:r>
      <w:r w:rsidR="002C1917">
        <w:t xml:space="preserve">, dealing with compulsory </w:t>
      </w:r>
      <w:r w:rsidR="006F1640">
        <w:t xml:space="preserve">attendance at an </w:t>
      </w:r>
      <w:r w:rsidR="002C1917">
        <w:t>assessment by a</w:t>
      </w:r>
      <w:r w:rsidR="006F1640">
        <w:t>n</w:t>
      </w:r>
      <w:r w:rsidR="002C1917">
        <w:t xml:space="preserve"> </w:t>
      </w:r>
      <w:r w:rsidR="004B5321">
        <w:t xml:space="preserve">expert chosen by the AFP </w:t>
      </w:r>
      <w:r w:rsidR="004B5321">
        <w:lastRenderedPageBreak/>
        <w:t>Minister,</w:t>
      </w:r>
      <w:r w:rsidR="0021501E">
        <w:t xml:space="preserve"> </w:t>
      </w:r>
      <w:r w:rsidR="00CA1FE2">
        <w:t xml:space="preserve">is retained in the Bill, </w:t>
      </w:r>
      <w:r w:rsidR="007040D5">
        <w:t xml:space="preserve">then </w:t>
      </w:r>
      <w:r w:rsidR="00CA1FE2">
        <w:t xml:space="preserve">sub-section </w:t>
      </w:r>
      <w:r>
        <w:t>(5), dealing with the use immunity provided to individuals required to attend an assessment, be removed from the Bill and replaced with a use immunity in the same terms as the current s 105A.6(5A).</w:t>
      </w:r>
    </w:p>
    <w:p w14:paraId="7EBC8C69" w14:textId="77777777" w:rsidR="001C32D8" w:rsidRDefault="001C32D8" w:rsidP="001C32D8">
      <w:pPr>
        <w:pStyle w:val="Heading2"/>
      </w:pPr>
      <w:bookmarkStart w:id="33" w:name="_Toc54876166"/>
      <w:r>
        <w:t>Variation of interim supervision orders</w:t>
      </w:r>
      <w:bookmarkEnd w:id="33"/>
    </w:p>
    <w:p w14:paraId="22639979" w14:textId="25D08294" w:rsidR="001C32D8" w:rsidRDefault="001C32D8" w:rsidP="001C32D8">
      <w:pPr>
        <w:pStyle w:val="ListNumber"/>
      </w:pPr>
      <w:r>
        <w:t>Under the control order regime, once an interim control order is made, it can be varied by the Court before the confirmation hearing if there is consent between the AFP and the person subject to the control order.</w:t>
      </w:r>
      <w:r>
        <w:rPr>
          <w:rStyle w:val="EndnoteReference"/>
        </w:rPr>
        <w:endnoteReference w:id="111"/>
      </w:r>
      <w:r>
        <w:t xml:space="preserve">  However, it cannot be varied to </w:t>
      </w:r>
      <w:r w:rsidRPr="00985E1F">
        <w:rPr>
          <w:i/>
          <w:iCs/>
        </w:rPr>
        <w:t>add</w:t>
      </w:r>
      <w:r>
        <w:t xml:space="preserve"> any obligations, prohibitions or restrictions.</w:t>
      </w:r>
      <w:r>
        <w:rPr>
          <w:rStyle w:val="EndnoteReference"/>
        </w:rPr>
        <w:endnoteReference w:id="112"/>
      </w:r>
      <w:r>
        <w:t xml:space="preserve">  This provision for variations followed recommendations of both the third INSLM in 2017 and the PJCIS in 2018.  The rationale for this provision was that there may be a delay between an interim control order being made and a confirmation hearing and it was reasonable to </w:t>
      </w:r>
      <w:r w:rsidR="00DF48A6">
        <w:t>provide</w:t>
      </w:r>
      <w:r>
        <w:t xml:space="preserve"> for </w:t>
      </w:r>
      <w:r w:rsidR="00DF48A6">
        <w:t xml:space="preserve">a process to </w:t>
      </w:r>
      <w:r>
        <w:t>remov</w:t>
      </w:r>
      <w:r w:rsidR="00DF48A6">
        <w:t>e</w:t>
      </w:r>
      <w:r>
        <w:t xml:space="preserve"> conditions that were no longer appropriate.</w:t>
      </w:r>
      <w:r>
        <w:rPr>
          <w:rStyle w:val="EndnoteReference"/>
        </w:rPr>
        <w:endnoteReference w:id="113"/>
      </w:r>
    </w:p>
    <w:p w14:paraId="62037E36" w14:textId="77777777" w:rsidR="001C32D8" w:rsidRDefault="001C32D8" w:rsidP="001C32D8">
      <w:pPr>
        <w:pStyle w:val="ListNumber"/>
      </w:pPr>
      <w:r>
        <w:t>Similarly, at a confirmation hearing, the Court may confirm and vary the order by removing one or more conditions, but it may not add new conditions.</w:t>
      </w:r>
      <w:r>
        <w:rPr>
          <w:rStyle w:val="EndnoteReference"/>
        </w:rPr>
        <w:endnoteReference w:id="114"/>
      </w:r>
      <w:r>
        <w:t xml:space="preserve">  Once a confirmed control order is in force, the AFP Minister may apply to the Court to vary the order, including by adding conditions.</w:t>
      </w:r>
      <w:r>
        <w:rPr>
          <w:rStyle w:val="EndnoteReference"/>
        </w:rPr>
        <w:endnoteReference w:id="115"/>
      </w:r>
      <w:r>
        <w:t xml:space="preserve">  In those circumstances, the new conditions must be justified on the same basis as the original conditions.</w:t>
      </w:r>
    </w:p>
    <w:p w14:paraId="3B0DD3DB" w14:textId="77777777" w:rsidR="001C32D8" w:rsidRDefault="001C32D8" w:rsidP="001C32D8">
      <w:pPr>
        <w:pStyle w:val="ListNumber"/>
      </w:pPr>
      <w:r>
        <w:t>No changes are proposed in the Bill to these aspects of the control order regime.  However, a different approach is proposed in relation to ESOs and ISOs.</w:t>
      </w:r>
    </w:p>
    <w:p w14:paraId="1C85442A" w14:textId="77777777" w:rsidR="001C32D8" w:rsidRDefault="001C32D8" w:rsidP="001C32D8">
      <w:pPr>
        <w:pStyle w:val="ListNumber"/>
      </w:pPr>
      <w:r>
        <w:t>The Bill makes provision for a Court to make an ISO if it is satisfied that:</w:t>
      </w:r>
    </w:p>
    <w:p w14:paraId="3F94BD4C" w14:textId="77777777" w:rsidR="001C32D8" w:rsidRDefault="001C32D8" w:rsidP="001C32D8">
      <w:pPr>
        <w:pStyle w:val="ListNumber"/>
        <w:numPr>
          <w:ilvl w:val="0"/>
          <w:numId w:val="39"/>
        </w:numPr>
      </w:pPr>
      <w:r>
        <w:t>an offender will be released from custody or no longer subject to a relevant order before the application for a CDO or ESO can be determined, and</w:t>
      </w:r>
    </w:p>
    <w:p w14:paraId="482EF5BC" w14:textId="77777777" w:rsidR="001C32D8" w:rsidRDefault="001C32D8" w:rsidP="001C32D8">
      <w:pPr>
        <w:pStyle w:val="ListNumber"/>
        <w:numPr>
          <w:ilvl w:val="0"/>
          <w:numId w:val="39"/>
        </w:numPr>
      </w:pPr>
      <w:r>
        <w:t>there are reasonable grounds for considering that an ESO will be made in relation to the person.</w:t>
      </w:r>
      <w:r>
        <w:rPr>
          <w:rStyle w:val="EndnoteReference"/>
        </w:rPr>
        <w:endnoteReference w:id="116"/>
      </w:r>
    </w:p>
    <w:p w14:paraId="4C960111" w14:textId="640F3860" w:rsidR="001C32D8" w:rsidRDefault="001C32D8" w:rsidP="001C32D8">
      <w:pPr>
        <w:pStyle w:val="ListNumber"/>
      </w:pPr>
      <w:r w:rsidRPr="00572F78">
        <w:t>U</w:t>
      </w:r>
      <w:r>
        <w:t xml:space="preserve">nlike the case for interim control orders, the AFP Minister may apply to the Court to vary an ISO without the consent of the person who is </w:t>
      </w:r>
      <w:r w:rsidR="00DF48A6">
        <w:t xml:space="preserve">the </w:t>
      </w:r>
      <w:r>
        <w:t xml:space="preserve">subject </w:t>
      </w:r>
      <w:r w:rsidR="00DF48A6">
        <w:t xml:space="preserve">of </w:t>
      </w:r>
      <w:r>
        <w:t xml:space="preserve">the order, and it may be varied to </w:t>
      </w:r>
      <w:r w:rsidRPr="000520B7">
        <w:rPr>
          <w:i/>
          <w:iCs/>
        </w:rPr>
        <w:t>add</w:t>
      </w:r>
      <w:r>
        <w:t xml:space="preserve"> conditions to the ISO before the Court hears the application for a CDO or ESO.</w:t>
      </w:r>
      <w:r>
        <w:rPr>
          <w:rStyle w:val="EndnoteReference"/>
        </w:rPr>
        <w:endnoteReference w:id="117"/>
      </w:r>
      <w:r>
        <w:t xml:space="preserve">  </w:t>
      </w:r>
    </w:p>
    <w:p w14:paraId="31B3C5DD" w14:textId="77777777" w:rsidR="001C32D8" w:rsidRDefault="001C32D8" w:rsidP="001C32D8">
      <w:pPr>
        <w:pStyle w:val="ListNumber"/>
      </w:pPr>
      <w:r>
        <w:t xml:space="preserve">As with many of the other provisions of this Bill, this reduces the protections for a person subject to an ESO when compared with the existing control order regime. </w:t>
      </w:r>
    </w:p>
    <w:p w14:paraId="58BA7D36" w14:textId="7EF228FD" w:rsidR="001C32D8" w:rsidRPr="00C218CF" w:rsidRDefault="001C32D8" w:rsidP="001C32D8">
      <w:pPr>
        <w:pStyle w:val="ListNumber"/>
        <w:keepNext/>
        <w:numPr>
          <w:ilvl w:val="0"/>
          <w:numId w:val="0"/>
        </w:numPr>
        <w:ind w:left="1094"/>
        <w:rPr>
          <w:b/>
          <w:bCs/>
        </w:rPr>
      </w:pPr>
      <w:r w:rsidRPr="00C218CF">
        <w:rPr>
          <w:b/>
          <w:bCs/>
        </w:rPr>
        <w:t xml:space="preserve">Recommendation </w:t>
      </w:r>
      <w:r w:rsidR="0077211B">
        <w:rPr>
          <w:b/>
          <w:bCs/>
        </w:rPr>
        <w:t>16</w:t>
      </w:r>
    </w:p>
    <w:p w14:paraId="056256DD" w14:textId="77777777" w:rsidR="001C32D8" w:rsidRDefault="001C32D8" w:rsidP="001C32D8">
      <w:pPr>
        <w:pStyle w:val="ListNumber"/>
        <w:numPr>
          <w:ilvl w:val="0"/>
          <w:numId w:val="0"/>
        </w:numPr>
        <w:ind w:left="1094"/>
      </w:pPr>
      <w:r>
        <w:t xml:space="preserve">The Commission recommends that the Bill be amended to remove the ability of the AFP Minister to apply for a variation of an interim supervision order to </w:t>
      </w:r>
      <w:r w:rsidRPr="00A258F5">
        <w:rPr>
          <w:u w:val="single"/>
        </w:rPr>
        <w:t>add</w:t>
      </w:r>
      <w:r>
        <w:t xml:space="preserve"> conditions prior to the hearing of an application for a continuing detention order or an extended supervision order.</w:t>
      </w:r>
    </w:p>
    <w:p w14:paraId="67E9CF6E" w14:textId="77777777" w:rsidR="004E4A24" w:rsidRPr="000753CB" w:rsidRDefault="004E4A24" w:rsidP="004E4A24">
      <w:pPr>
        <w:pStyle w:val="Heading2"/>
      </w:pPr>
      <w:bookmarkStart w:id="34" w:name="_Ref54096498"/>
      <w:bookmarkStart w:id="35" w:name="_Toc54876167"/>
      <w:r w:rsidRPr="000753CB">
        <w:lastRenderedPageBreak/>
        <w:t>Penalties</w:t>
      </w:r>
      <w:bookmarkEnd w:id="34"/>
      <w:bookmarkEnd w:id="35"/>
    </w:p>
    <w:p w14:paraId="11BECF64" w14:textId="1DF637FF" w:rsidR="00EB0A71" w:rsidRDefault="00A8587D" w:rsidP="00405CCB">
      <w:pPr>
        <w:pStyle w:val="ListNumber"/>
      </w:pPr>
      <w:r>
        <w:t xml:space="preserve">The Bill </w:t>
      </w:r>
      <w:r w:rsidR="00BB222A">
        <w:t xml:space="preserve">proposes to introduce an offence of contravening an ESO, and an offence </w:t>
      </w:r>
      <w:r w:rsidR="00A00627">
        <w:t xml:space="preserve">of interfering with a monitoring device that a person is required to wear </w:t>
      </w:r>
      <w:r w:rsidR="00EB0A71">
        <w:t>pursuant to an ESO.</w:t>
      </w:r>
      <w:r w:rsidR="00EB0A71">
        <w:rPr>
          <w:rStyle w:val="EndnoteReference"/>
        </w:rPr>
        <w:endnoteReference w:id="118"/>
      </w:r>
      <w:r w:rsidR="00EB0A71">
        <w:t xml:space="preserve">  The maximum penalty for each offence is imprisonment for </w:t>
      </w:r>
      <w:r w:rsidR="00C96A09">
        <w:t>five</w:t>
      </w:r>
      <w:r w:rsidR="00EB0A71">
        <w:t xml:space="preserve"> years.</w:t>
      </w:r>
      <w:r w:rsidR="0064690D">
        <w:t xml:space="preserve">  </w:t>
      </w:r>
      <w:r w:rsidR="00EB0A71">
        <w:t xml:space="preserve">The offences </w:t>
      </w:r>
      <w:r w:rsidR="00E27D14">
        <w:t xml:space="preserve">are substantially the same as </w:t>
      </w:r>
      <w:r w:rsidR="00EB0A71">
        <w:t xml:space="preserve">the current offences in relation to </w:t>
      </w:r>
      <w:r w:rsidR="00613EFF">
        <w:t>control orders.</w:t>
      </w:r>
      <w:r w:rsidR="00E27D14">
        <w:rPr>
          <w:rStyle w:val="EndnoteReference"/>
        </w:rPr>
        <w:endnoteReference w:id="119"/>
      </w:r>
    </w:p>
    <w:p w14:paraId="66DAB5DD" w14:textId="2F4A7E9A" w:rsidR="00461EA9" w:rsidRDefault="00461EA9" w:rsidP="004E4A24">
      <w:pPr>
        <w:pStyle w:val="ListNumber"/>
      </w:pPr>
      <w:r>
        <w:t>The Commission is concerned that the structure of these offences</w:t>
      </w:r>
      <w:r w:rsidR="00EE2E9A">
        <w:t>, the penalties available, and the way in which breaches have been enforced in practice</w:t>
      </w:r>
      <w:r w:rsidR="007751FC">
        <w:t xml:space="preserve"> are more severe that those relating to offences for breach of </w:t>
      </w:r>
      <w:r w:rsidR="00E5684C">
        <w:t>parole</w:t>
      </w:r>
      <w:r w:rsidR="007751FC">
        <w:t xml:space="preserve"> conditions.</w:t>
      </w:r>
      <w:r w:rsidR="00C75CBD">
        <w:t xml:space="preserve">  It is important to make amendments to these provisions </w:t>
      </w:r>
      <w:proofErr w:type="gramStart"/>
      <w:r w:rsidR="00C75CBD">
        <w:t>in order to</w:t>
      </w:r>
      <w:proofErr w:type="gramEnd"/>
      <w:r w:rsidR="00C75CBD">
        <w:t xml:space="preserve"> prevent disproportionate outcomes.</w:t>
      </w:r>
    </w:p>
    <w:p w14:paraId="20EDE43D" w14:textId="7BE7E2F1" w:rsidR="00C75CBD" w:rsidRDefault="00FF52C5" w:rsidP="004E4A24">
      <w:pPr>
        <w:pStyle w:val="ListNumber"/>
      </w:pPr>
      <w:r>
        <w:t xml:space="preserve">Two people have been </w:t>
      </w:r>
      <w:r w:rsidR="00267340">
        <w:t>prosecuted for a breach of a control order</w:t>
      </w:r>
      <w:r>
        <w:t xml:space="preserve">: Mr MO and Mr </w:t>
      </w:r>
      <w:r w:rsidR="00F05266">
        <w:t xml:space="preserve">Ahmad </w:t>
      </w:r>
      <w:proofErr w:type="spellStart"/>
      <w:r w:rsidR="00F05266">
        <w:t>Saiyer</w:t>
      </w:r>
      <w:proofErr w:type="spellEnd"/>
      <w:r w:rsidR="00F05266">
        <w:t xml:space="preserve"> </w:t>
      </w:r>
      <w:proofErr w:type="spellStart"/>
      <w:r w:rsidR="00F05266">
        <w:t>Naizmand</w:t>
      </w:r>
      <w:proofErr w:type="spellEnd"/>
      <w:r w:rsidR="00267340">
        <w:t xml:space="preserve">.  </w:t>
      </w:r>
      <w:r w:rsidR="00EF33A8">
        <w:t>A third</w:t>
      </w:r>
      <w:r w:rsidR="009B0F67">
        <w:t xml:space="preserve"> person</w:t>
      </w:r>
      <w:r w:rsidR="00AD7103">
        <w:t xml:space="preserve">, Ms </w:t>
      </w:r>
      <w:proofErr w:type="spellStart"/>
      <w:r w:rsidR="00AD7103">
        <w:t>Alo</w:t>
      </w:r>
      <w:proofErr w:type="spellEnd"/>
      <w:r w:rsidR="00AD7103">
        <w:t xml:space="preserve">-Bridget </w:t>
      </w:r>
      <w:proofErr w:type="spellStart"/>
      <w:r w:rsidR="00AD7103">
        <w:t>Namoa</w:t>
      </w:r>
      <w:proofErr w:type="spellEnd"/>
      <w:r w:rsidR="00AD7103">
        <w:t xml:space="preserve">, was arrested </w:t>
      </w:r>
      <w:r w:rsidR="00FE0968">
        <w:t>and charged in July 2020 for contravening a control order and has been remanded in custody.</w:t>
      </w:r>
      <w:r w:rsidR="000904E7">
        <w:rPr>
          <w:rStyle w:val="EndnoteReference"/>
        </w:rPr>
        <w:endnoteReference w:id="120"/>
      </w:r>
      <w:r w:rsidR="00FE0968">
        <w:t xml:space="preserve">  </w:t>
      </w:r>
      <w:r w:rsidR="00AD7103">
        <w:t xml:space="preserve">The cases of Mr MO and Mr </w:t>
      </w:r>
      <w:proofErr w:type="spellStart"/>
      <w:r w:rsidR="00AD7103">
        <w:t>Naizmand</w:t>
      </w:r>
      <w:proofErr w:type="spellEnd"/>
      <w:r w:rsidR="00AD7103">
        <w:t xml:space="preserve"> </w:t>
      </w:r>
      <w:r w:rsidR="00267340">
        <w:t xml:space="preserve">were described in </w:t>
      </w:r>
      <w:r>
        <w:t xml:space="preserve">case studies 2 and 3 </w:t>
      </w:r>
      <w:r w:rsidR="00F05266">
        <w:t xml:space="preserve">in the Commission’s </w:t>
      </w:r>
      <w:r w:rsidR="00E41BBE">
        <w:t>recent submission to the PJCIS Review of AFP Powers</w:t>
      </w:r>
      <w:r w:rsidR="00F05266">
        <w:t>.</w:t>
      </w:r>
      <w:r w:rsidR="00D139D0">
        <w:rPr>
          <w:rStyle w:val="EndnoteReference"/>
        </w:rPr>
        <w:endnoteReference w:id="121"/>
      </w:r>
      <w:r w:rsidR="00467983">
        <w:t xml:space="preserve">  In summary:</w:t>
      </w:r>
    </w:p>
    <w:p w14:paraId="47BC3E04" w14:textId="377DCA0D" w:rsidR="00467983" w:rsidRDefault="00467983" w:rsidP="00467983">
      <w:pPr>
        <w:pStyle w:val="ListNumber"/>
        <w:numPr>
          <w:ilvl w:val="0"/>
          <w:numId w:val="39"/>
        </w:numPr>
      </w:pPr>
      <w:r>
        <w:t xml:space="preserve">Mr MO was </w:t>
      </w:r>
      <w:r w:rsidR="00FE4533">
        <w:t xml:space="preserve">prosecuted for using a public telephone on two occasions, and using an unapproved mobile </w:t>
      </w:r>
      <w:r w:rsidR="00792DDE">
        <w:t>phone on one occasion</w:t>
      </w:r>
      <w:r w:rsidR="007E238C">
        <w:t>, contrary to the requirements of the control order</w:t>
      </w:r>
      <w:r w:rsidR="001F611C">
        <w:t xml:space="preserve"> ma</w:t>
      </w:r>
      <w:r w:rsidR="00B303F2">
        <w:t>d</w:t>
      </w:r>
      <w:r w:rsidR="001F611C">
        <w:t>e in relation to him</w:t>
      </w:r>
      <w:r w:rsidR="00792DDE">
        <w:t xml:space="preserve">.  It was common ground that the content of the phone calls was ‘trivial’ and did not relate to any criminal activity.  He </w:t>
      </w:r>
      <w:r w:rsidR="007E238C">
        <w:t>pleaded guilty and was sentenced to two years imprisonment.</w:t>
      </w:r>
      <w:r w:rsidR="007E238C">
        <w:rPr>
          <w:rStyle w:val="EndnoteReference"/>
        </w:rPr>
        <w:endnoteReference w:id="122"/>
      </w:r>
    </w:p>
    <w:p w14:paraId="36562B84" w14:textId="36F2AA98" w:rsidR="001F611C" w:rsidRDefault="001F611C" w:rsidP="00467983">
      <w:pPr>
        <w:pStyle w:val="ListNumber"/>
        <w:numPr>
          <w:ilvl w:val="0"/>
          <w:numId w:val="39"/>
        </w:numPr>
      </w:pPr>
      <w:r>
        <w:t xml:space="preserve">Mr </w:t>
      </w:r>
      <w:proofErr w:type="spellStart"/>
      <w:r>
        <w:t>Naizmand</w:t>
      </w:r>
      <w:proofErr w:type="spellEnd"/>
      <w:r>
        <w:t xml:space="preserve"> was prosecuted for </w:t>
      </w:r>
      <w:r w:rsidR="0076132A">
        <w:t xml:space="preserve">watching </w:t>
      </w:r>
      <w:r w:rsidR="00FA4024">
        <w:t xml:space="preserve">on YouTube </w:t>
      </w:r>
      <w:r w:rsidR="00FC0AAE">
        <w:t xml:space="preserve">three </w:t>
      </w:r>
      <w:r w:rsidR="00546660">
        <w:t xml:space="preserve">short </w:t>
      </w:r>
      <w:r w:rsidR="00FC0AAE">
        <w:t xml:space="preserve">videos that contained extremist material.  </w:t>
      </w:r>
      <w:r w:rsidR="00A336C2">
        <w:t xml:space="preserve">At the time he was 22 years old. </w:t>
      </w:r>
      <w:r w:rsidR="008A3C1B">
        <w:t xml:space="preserve"> </w:t>
      </w:r>
      <w:r w:rsidR="00FC0AAE">
        <w:t xml:space="preserve">The videos were publicly available, and he was permitted to have a phone and use the internet, but the terms of his control order prohibited him from </w:t>
      </w:r>
      <w:r w:rsidR="00546660">
        <w:t>watching material of this nature.  Two of the videos he watched twice.  As a result, he was charged with five counts of breaching the control order made</w:t>
      </w:r>
      <w:r w:rsidR="00B303F2">
        <w:t xml:space="preserve"> in relation to him and sentenced to four years of imprisonment in the highest security prison in New South Wales.</w:t>
      </w:r>
      <w:r w:rsidR="00EF61A0">
        <w:rPr>
          <w:rStyle w:val="EndnoteReference"/>
        </w:rPr>
        <w:endnoteReference w:id="123"/>
      </w:r>
    </w:p>
    <w:p w14:paraId="464C7833" w14:textId="26D76C2E" w:rsidR="00E6590B" w:rsidRDefault="00C5477E" w:rsidP="008D7DD7">
      <w:pPr>
        <w:pStyle w:val="ListNumber"/>
      </w:pPr>
      <w:r>
        <w:t xml:space="preserve">These are severe penalties and arguably disproportionate to </w:t>
      </w:r>
      <w:r w:rsidR="004F31A5">
        <w:t xml:space="preserve">the seriousness of the breach.  </w:t>
      </w:r>
      <w:r w:rsidR="00CA6CAD">
        <w:t xml:space="preserve">There is a real risk in cases like </w:t>
      </w:r>
      <w:r w:rsidR="00962B6B">
        <w:t xml:space="preserve">these </w:t>
      </w:r>
      <w:r w:rsidR="0076188B">
        <w:t xml:space="preserve">of </w:t>
      </w:r>
      <w:r w:rsidR="00CA489E">
        <w:t xml:space="preserve">a blanket approach </w:t>
      </w:r>
      <w:r w:rsidR="0076188B">
        <w:t xml:space="preserve">being </w:t>
      </w:r>
      <w:r w:rsidR="00CA489E">
        <w:t xml:space="preserve">taken that treats </w:t>
      </w:r>
      <w:r w:rsidR="0076188B">
        <w:t xml:space="preserve">all conduct </w:t>
      </w:r>
      <w:r w:rsidR="00742350">
        <w:t xml:space="preserve">constituting a violation of a control order as intrinsically serious by reason of </w:t>
      </w:r>
      <w:r w:rsidR="00F5007F">
        <w:t xml:space="preserve">the fact that </w:t>
      </w:r>
      <w:r w:rsidR="00116EDF">
        <w:t xml:space="preserve">it is a breach of a control order, and </w:t>
      </w:r>
      <w:r w:rsidR="00E36D10">
        <w:t xml:space="preserve">that </w:t>
      </w:r>
      <w:r w:rsidR="00515137">
        <w:t xml:space="preserve">one of the purposes of </w:t>
      </w:r>
      <w:r w:rsidR="00116EDF">
        <w:t xml:space="preserve">control orders </w:t>
      </w:r>
      <w:r w:rsidR="00515137">
        <w:t>is to protect the public from a terrorist act.</w:t>
      </w:r>
      <w:r w:rsidR="003A5B00">
        <w:rPr>
          <w:rStyle w:val="EndnoteReference"/>
        </w:rPr>
        <w:endnoteReference w:id="124"/>
      </w:r>
      <w:r w:rsidR="00515137">
        <w:t xml:space="preserve">  </w:t>
      </w:r>
      <w:r w:rsidR="00C3797A">
        <w:t xml:space="preserve">This involves a substantial leap in logic </w:t>
      </w:r>
      <w:r w:rsidR="00405DFC">
        <w:t xml:space="preserve">which draws an equivalence between a failure to comply with control order conditions and an act of terrorism.  </w:t>
      </w:r>
    </w:p>
    <w:p w14:paraId="04658C46" w14:textId="7CB07BFF" w:rsidR="008D7DD7" w:rsidRDefault="00405DFC" w:rsidP="008D7DD7">
      <w:pPr>
        <w:pStyle w:val="ListNumber"/>
      </w:pPr>
      <w:r>
        <w:t xml:space="preserve">By way of example, Mr </w:t>
      </w:r>
      <w:proofErr w:type="spellStart"/>
      <w:r>
        <w:t>Naizmand</w:t>
      </w:r>
      <w:proofErr w:type="spellEnd"/>
      <w:r>
        <w:t xml:space="preserve">, who has never been convicted of any substantive terrorism offence, spent </w:t>
      </w:r>
      <w:r w:rsidR="00905643">
        <w:t xml:space="preserve">either the same period or </w:t>
      </w:r>
      <w:r>
        <w:t xml:space="preserve">more time in </w:t>
      </w:r>
      <w:r>
        <w:lastRenderedPageBreak/>
        <w:t xml:space="preserve">prison for the breach of his control order than </w:t>
      </w:r>
      <w:r w:rsidR="007C35F3">
        <w:t>seven</w:t>
      </w:r>
      <w:r w:rsidR="00905643">
        <w:t xml:space="preserve"> other terrorist offenders released from prison </w:t>
      </w:r>
      <w:r w:rsidR="00135342">
        <w:t xml:space="preserve">over the past </w:t>
      </w:r>
      <w:r w:rsidR="00905643">
        <w:t>year</w:t>
      </w:r>
      <w:r w:rsidR="007C35F3">
        <w:t xml:space="preserve"> (including Ms </w:t>
      </w:r>
      <w:r w:rsidR="00F92632">
        <w:t xml:space="preserve">Abdirahman-Khalif who has recently been re-detained to serve the </w:t>
      </w:r>
      <w:r w:rsidR="00E6590B">
        <w:t xml:space="preserve">last six months of </w:t>
      </w:r>
      <w:r w:rsidR="00F92632">
        <w:t>her three year sentence after her acquittal was overturned by the High Court)</w:t>
      </w:r>
      <w:r w:rsidR="00905643">
        <w:t xml:space="preserve">.  Those offenders </w:t>
      </w:r>
      <w:r w:rsidR="008D7DD7">
        <w:t>are:</w:t>
      </w:r>
    </w:p>
    <w:tbl>
      <w:tblPr>
        <w:tblStyle w:val="TableGrid"/>
        <w:tblW w:w="0" w:type="auto"/>
        <w:tblInd w:w="1094" w:type="dxa"/>
        <w:tblLook w:val="04A0" w:firstRow="1" w:lastRow="0" w:firstColumn="1" w:lastColumn="0" w:noHBand="0" w:noVBand="1"/>
      </w:tblPr>
      <w:tblGrid>
        <w:gridCol w:w="1878"/>
        <w:gridCol w:w="3392"/>
        <w:gridCol w:w="2696"/>
      </w:tblGrid>
      <w:tr w:rsidR="00FB7E79" w:rsidRPr="00FB7E79" w14:paraId="32791E17" w14:textId="77777777" w:rsidTr="007040D5">
        <w:trPr>
          <w:cantSplit/>
          <w:tblHeader/>
        </w:trPr>
        <w:tc>
          <w:tcPr>
            <w:tcW w:w="1878" w:type="dxa"/>
            <w:shd w:val="clear" w:color="auto" w:fill="DEEAF6" w:themeFill="accent1" w:themeFillTint="33"/>
          </w:tcPr>
          <w:p w14:paraId="5C4C1E8D" w14:textId="6130CB57" w:rsidR="00D13E42" w:rsidRPr="00FB7E79" w:rsidRDefault="00D13E42" w:rsidP="007F437D">
            <w:pPr>
              <w:pStyle w:val="ListNumber"/>
              <w:keepNext/>
              <w:numPr>
                <w:ilvl w:val="0"/>
                <w:numId w:val="0"/>
              </w:numPr>
              <w:rPr>
                <w:b/>
                <w:bCs/>
              </w:rPr>
            </w:pPr>
            <w:r w:rsidRPr="00FB7E79">
              <w:rPr>
                <w:b/>
                <w:bCs/>
              </w:rPr>
              <w:t>Offender</w:t>
            </w:r>
          </w:p>
        </w:tc>
        <w:tc>
          <w:tcPr>
            <w:tcW w:w="3392" w:type="dxa"/>
            <w:shd w:val="clear" w:color="auto" w:fill="DEEAF6" w:themeFill="accent1" w:themeFillTint="33"/>
          </w:tcPr>
          <w:p w14:paraId="6F3CDBD0" w14:textId="411FCD1C" w:rsidR="00D13E42" w:rsidRPr="00FB7E79" w:rsidRDefault="00D13E42" w:rsidP="007F437D">
            <w:pPr>
              <w:pStyle w:val="ListNumber"/>
              <w:keepNext/>
              <w:numPr>
                <w:ilvl w:val="0"/>
                <w:numId w:val="0"/>
              </w:numPr>
              <w:rPr>
                <w:b/>
                <w:bCs/>
              </w:rPr>
            </w:pPr>
            <w:r w:rsidRPr="00FB7E79">
              <w:rPr>
                <w:b/>
                <w:bCs/>
              </w:rPr>
              <w:t>Offence</w:t>
            </w:r>
          </w:p>
        </w:tc>
        <w:tc>
          <w:tcPr>
            <w:tcW w:w="2696" w:type="dxa"/>
            <w:shd w:val="clear" w:color="auto" w:fill="DEEAF6" w:themeFill="accent1" w:themeFillTint="33"/>
          </w:tcPr>
          <w:p w14:paraId="0CC9BD8A" w14:textId="7FCA7F8F" w:rsidR="00D13E42" w:rsidRPr="00FB7E79" w:rsidRDefault="00D13E42" w:rsidP="007F437D">
            <w:pPr>
              <w:pStyle w:val="ListNumber"/>
              <w:keepNext/>
              <w:numPr>
                <w:ilvl w:val="0"/>
                <w:numId w:val="0"/>
              </w:numPr>
              <w:rPr>
                <w:b/>
                <w:bCs/>
              </w:rPr>
            </w:pPr>
            <w:r w:rsidRPr="00FB7E79">
              <w:rPr>
                <w:b/>
                <w:bCs/>
              </w:rPr>
              <w:t>Term of imprisonment</w:t>
            </w:r>
          </w:p>
        </w:tc>
      </w:tr>
      <w:tr w:rsidR="00F92632" w14:paraId="15BF7802" w14:textId="77777777" w:rsidTr="00F05510">
        <w:tc>
          <w:tcPr>
            <w:tcW w:w="1878" w:type="dxa"/>
          </w:tcPr>
          <w:p w14:paraId="062B3D5F" w14:textId="7EF2DC90" w:rsidR="00F92632" w:rsidRDefault="00F92632" w:rsidP="008D7DD7">
            <w:pPr>
              <w:pStyle w:val="ListNumber"/>
              <w:numPr>
                <w:ilvl w:val="0"/>
                <w:numId w:val="0"/>
              </w:numPr>
            </w:pPr>
            <w:r>
              <w:t>Ms Zainab Abdirahman-Khalif</w:t>
            </w:r>
          </w:p>
        </w:tc>
        <w:tc>
          <w:tcPr>
            <w:tcW w:w="3392" w:type="dxa"/>
          </w:tcPr>
          <w:p w14:paraId="43DE1AB6" w14:textId="0EB58D6E" w:rsidR="00F92632" w:rsidRDefault="00F92632" w:rsidP="008D7DD7">
            <w:pPr>
              <w:pStyle w:val="ListNumber"/>
              <w:numPr>
                <w:ilvl w:val="0"/>
                <w:numId w:val="0"/>
              </w:numPr>
            </w:pPr>
            <w:r>
              <w:t>Taking steps to become a member of a terrorist organisation</w:t>
            </w:r>
          </w:p>
        </w:tc>
        <w:tc>
          <w:tcPr>
            <w:tcW w:w="2696" w:type="dxa"/>
          </w:tcPr>
          <w:p w14:paraId="3AB3909C" w14:textId="3D73DEB5" w:rsidR="00F92632" w:rsidRDefault="00F92632" w:rsidP="008D7DD7">
            <w:pPr>
              <w:pStyle w:val="ListNumber"/>
              <w:numPr>
                <w:ilvl w:val="0"/>
                <w:numId w:val="0"/>
              </w:numPr>
            </w:pPr>
            <w:r>
              <w:t>3 years</w:t>
            </w:r>
          </w:p>
        </w:tc>
      </w:tr>
      <w:tr w:rsidR="00D13E42" w14:paraId="02491EC6" w14:textId="77777777" w:rsidTr="00F05510">
        <w:tc>
          <w:tcPr>
            <w:tcW w:w="1878" w:type="dxa"/>
          </w:tcPr>
          <w:p w14:paraId="37DB2716" w14:textId="1AA0F0A8" w:rsidR="00D13E42" w:rsidRDefault="00FB7E79" w:rsidP="008D7DD7">
            <w:pPr>
              <w:pStyle w:val="ListNumber"/>
              <w:numPr>
                <w:ilvl w:val="0"/>
                <w:numId w:val="0"/>
              </w:numPr>
            </w:pPr>
            <w:r>
              <w:t xml:space="preserve">Ms </w:t>
            </w:r>
            <w:proofErr w:type="spellStart"/>
            <w:r>
              <w:t>Al</w:t>
            </w:r>
            <w:r w:rsidR="00006CFC">
              <w:t>o</w:t>
            </w:r>
            <w:proofErr w:type="spellEnd"/>
            <w:r w:rsidR="00006CFC">
              <w:t xml:space="preserve">-Bridget </w:t>
            </w:r>
            <w:proofErr w:type="spellStart"/>
            <w:r w:rsidR="00006CFC">
              <w:t>Namoa</w:t>
            </w:r>
            <w:proofErr w:type="spellEnd"/>
          </w:p>
        </w:tc>
        <w:tc>
          <w:tcPr>
            <w:tcW w:w="3392" w:type="dxa"/>
          </w:tcPr>
          <w:p w14:paraId="6D775699" w14:textId="30B5A7D6" w:rsidR="00D13E42" w:rsidRDefault="00006CFC" w:rsidP="008D7DD7">
            <w:pPr>
              <w:pStyle w:val="ListNumber"/>
              <w:numPr>
                <w:ilvl w:val="0"/>
                <w:numId w:val="0"/>
              </w:numPr>
            </w:pPr>
            <w:r>
              <w:t>Conspir</w:t>
            </w:r>
            <w:r w:rsidR="001F23C4">
              <w:t>ing</w:t>
            </w:r>
            <w:r>
              <w:t xml:space="preserve"> to do an act in preparation for a terrorist act</w:t>
            </w:r>
          </w:p>
        </w:tc>
        <w:tc>
          <w:tcPr>
            <w:tcW w:w="2696" w:type="dxa"/>
          </w:tcPr>
          <w:p w14:paraId="16422318" w14:textId="2FD03E8C" w:rsidR="00D13E42" w:rsidRDefault="00D72946" w:rsidP="008D7DD7">
            <w:pPr>
              <w:pStyle w:val="ListNumber"/>
              <w:numPr>
                <w:ilvl w:val="0"/>
                <w:numId w:val="0"/>
              </w:numPr>
            </w:pPr>
            <w:r>
              <w:t>3 years and 9 months</w:t>
            </w:r>
          </w:p>
        </w:tc>
      </w:tr>
      <w:tr w:rsidR="00CC47C4" w14:paraId="473BD818" w14:textId="77777777" w:rsidTr="00F05510">
        <w:tc>
          <w:tcPr>
            <w:tcW w:w="1878" w:type="dxa"/>
          </w:tcPr>
          <w:p w14:paraId="67A50D28" w14:textId="365270D1" w:rsidR="00CC47C4" w:rsidRDefault="00CC47C4" w:rsidP="008D7DD7">
            <w:pPr>
              <w:pStyle w:val="ListNumber"/>
              <w:numPr>
                <w:ilvl w:val="0"/>
                <w:numId w:val="0"/>
              </w:numPr>
            </w:pPr>
            <w:r>
              <w:t>Mr Murat Kaya</w:t>
            </w:r>
          </w:p>
        </w:tc>
        <w:tc>
          <w:tcPr>
            <w:tcW w:w="3392" w:type="dxa"/>
          </w:tcPr>
          <w:p w14:paraId="41F6992A" w14:textId="4007995B" w:rsidR="00CC47C4" w:rsidRDefault="002B1481"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2C5EADBC" w14:textId="783839E2" w:rsidR="00CC47C4" w:rsidRDefault="002B1481" w:rsidP="008D7DD7">
            <w:pPr>
              <w:pStyle w:val="ListNumber"/>
              <w:numPr>
                <w:ilvl w:val="0"/>
                <w:numId w:val="0"/>
              </w:numPr>
            </w:pPr>
            <w:r>
              <w:t>3 years and 8 months</w:t>
            </w:r>
          </w:p>
        </w:tc>
      </w:tr>
      <w:tr w:rsidR="002B1481" w14:paraId="29999E1D" w14:textId="77777777" w:rsidTr="00F05510">
        <w:tc>
          <w:tcPr>
            <w:tcW w:w="1878" w:type="dxa"/>
          </w:tcPr>
          <w:p w14:paraId="3E60218C" w14:textId="4AF9793E" w:rsidR="002B1481" w:rsidRDefault="002B1481" w:rsidP="008D7DD7">
            <w:pPr>
              <w:pStyle w:val="ListNumber"/>
              <w:numPr>
                <w:ilvl w:val="0"/>
                <w:numId w:val="0"/>
              </w:numPr>
            </w:pPr>
            <w:r>
              <w:t xml:space="preserve">Mr </w:t>
            </w:r>
            <w:proofErr w:type="spellStart"/>
            <w:r>
              <w:t>Shayden</w:t>
            </w:r>
            <w:proofErr w:type="spellEnd"/>
            <w:r>
              <w:t xml:space="preserve"> </w:t>
            </w:r>
            <w:r w:rsidR="00B20FDF">
              <w:t xml:space="preserve">Jamil </w:t>
            </w:r>
            <w:r>
              <w:t>Thorne</w:t>
            </w:r>
          </w:p>
        </w:tc>
        <w:tc>
          <w:tcPr>
            <w:tcW w:w="3392" w:type="dxa"/>
          </w:tcPr>
          <w:p w14:paraId="08F3C4E4" w14:textId="6B113700" w:rsidR="002B1481" w:rsidRDefault="00B20FDF"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0AD507D1" w14:textId="4BBE2E11" w:rsidR="002B1481" w:rsidRDefault="00B20FDF" w:rsidP="008D7DD7">
            <w:pPr>
              <w:pStyle w:val="ListNumber"/>
              <w:numPr>
                <w:ilvl w:val="0"/>
                <w:numId w:val="0"/>
              </w:numPr>
            </w:pPr>
            <w:r>
              <w:t>3 years and 10 months</w:t>
            </w:r>
          </w:p>
        </w:tc>
      </w:tr>
      <w:tr w:rsidR="00D72946" w14:paraId="68215594" w14:textId="77777777" w:rsidTr="00F05510">
        <w:tc>
          <w:tcPr>
            <w:tcW w:w="1878" w:type="dxa"/>
          </w:tcPr>
          <w:p w14:paraId="39139B88" w14:textId="0BA8230C" w:rsidR="00D72946" w:rsidRDefault="007F437D" w:rsidP="008D7DD7">
            <w:pPr>
              <w:pStyle w:val="ListNumber"/>
              <w:numPr>
                <w:ilvl w:val="0"/>
                <w:numId w:val="0"/>
              </w:numPr>
            </w:pPr>
            <w:r>
              <w:t xml:space="preserve">Mr </w:t>
            </w:r>
            <w:r w:rsidR="00D72946">
              <w:t xml:space="preserve">Paul </w:t>
            </w:r>
            <w:proofErr w:type="spellStart"/>
            <w:r w:rsidR="00D72946">
              <w:t>Dacre</w:t>
            </w:r>
            <w:proofErr w:type="spellEnd"/>
          </w:p>
        </w:tc>
        <w:tc>
          <w:tcPr>
            <w:tcW w:w="3392" w:type="dxa"/>
          </w:tcPr>
          <w:p w14:paraId="40427843" w14:textId="29D063F4" w:rsidR="00D72946" w:rsidRDefault="00D72946" w:rsidP="008D7DD7">
            <w:pPr>
              <w:pStyle w:val="ListNumber"/>
              <w:numPr>
                <w:ilvl w:val="0"/>
                <w:numId w:val="0"/>
              </w:numPr>
            </w:pPr>
            <w:r>
              <w:t xml:space="preserve">Preparation for incursion into </w:t>
            </w:r>
            <w:r w:rsidR="00F05510">
              <w:t xml:space="preserve">a </w:t>
            </w:r>
            <w:r>
              <w:t xml:space="preserve">foreign country for </w:t>
            </w:r>
            <w:r w:rsidR="007F437D">
              <w:t>the purpose of engaging in hostile activities</w:t>
            </w:r>
          </w:p>
        </w:tc>
        <w:tc>
          <w:tcPr>
            <w:tcW w:w="2696" w:type="dxa"/>
          </w:tcPr>
          <w:p w14:paraId="510C8399" w14:textId="4A85700D" w:rsidR="00D72946" w:rsidRDefault="007F437D" w:rsidP="008D7DD7">
            <w:pPr>
              <w:pStyle w:val="ListNumber"/>
              <w:numPr>
                <w:ilvl w:val="0"/>
                <w:numId w:val="0"/>
              </w:numPr>
            </w:pPr>
            <w:r>
              <w:t>4 years</w:t>
            </w:r>
          </w:p>
        </w:tc>
      </w:tr>
      <w:tr w:rsidR="007F437D" w14:paraId="20BE724D" w14:textId="77777777" w:rsidTr="00F05510">
        <w:tc>
          <w:tcPr>
            <w:tcW w:w="1878" w:type="dxa"/>
          </w:tcPr>
          <w:p w14:paraId="32616F9D" w14:textId="570A325D" w:rsidR="007F437D" w:rsidRDefault="00B20FDF" w:rsidP="008D7DD7">
            <w:pPr>
              <w:pStyle w:val="ListNumber"/>
              <w:numPr>
                <w:ilvl w:val="0"/>
                <w:numId w:val="0"/>
              </w:numPr>
            </w:pPr>
            <w:r>
              <w:t>Mr Kadir Kaya</w:t>
            </w:r>
          </w:p>
        </w:tc>
        <w:tc>
          <w:tcPr>
            <w:tcW w:w="3392" w:type="dxa"/>
          </w:tcPr>
          <w:p w14:paraId="5F039C32" w14:textId="58DD4763" w:rsidR="007F437D" w:rsidRDefault="00B20FDF"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288C12EA" w14:textId="739C1A10" w:rsidR="007F437D" w:rsidRDefault="00E4140F" w:rsidP="008D7DD7">
            <w:pPr>
              <w:pStyle w:val="ListNumber"/>
              <w:numPr>
                <w:ilvl w:val="0"/>
                <w:numId w:val="0"/>
              </w:numPr>
            </w:pPr>
            <w:r>
              <w:t>4 years</w:t>
            </w:r>
          </w:p>
        </w:tc>
      </w:tr>
      <w:tr w:rsidR="007616D6" w14:paraId="2333F71B" w14:textId="77777777" w:rsidTr="00F05510">
        <w:tc>
          <w:tcPr>
            <w:tcW w:w="1878" w:type="dxa"/>
          </w:tcPr>
          <w:p w14:paraId="6A406CA5" w14:textId="153E9C60" w:rsidR="007616D6" w:rsidRDefault="007616D6" w:rsidP="008D7DD7">
            <w:pPr>
              <w:pStyle w:val="ListNumber"/>
              <w:numPr>
                <w:ilvl w:val="0"/>
                <w:numId w:val="0"/>
              </w:numPr>
            </w:pPr>
            <w:r>
              <w:t xml:space="preserve">Mr Antonino </w:t>
            </w:r>
            <w:proofErr w:type="spellStart"/>
            <w:r>
              <w:t>Granata</w:t>
            </w:r>
            <w:proofErr w:type="spellEnd"/>
          </w:p>
        </w:tc>
        <w:tc>
          <w:tcPr>
            <w:tcW w:w="3392" w:type="dxa"/>
          </w:tcPr>
          <w:p w14:paraId="4494E177" w14:textId="2BC9691B" w:rsidR="007616D6" w:rsidRDefault="007616D6" w:rsidP="008D7DD7">
            <w:pPr>
              <w:pStyle w:val="ListNumber"/>
              <w:numPr>
                <w:ilvl w:val="0"/>
                <w:numId w:val="0"/>
              </w:numPr>
            </w:pPr>
            <w:r>
              <w:t xml:space="preserve">Preparation for incursion into </w:t>
            </w:r>
            <w:r w:rsidR="00F05510">
              <w:t xml:space="preserve">a </w:t>
            </w:r>
            <w:r>
              <w:t>foreign country for the purpose of engaging in hostile activities</w:t>
            </w:r>
          </w:p>
        </w:tc>
        <w:tc>
          <w:tcPr>
            <w:tcW w:w="2696" w:type="dxa"/>
          </w:tcPr>
          <w:p w14:paraId="1E9A5ECF" w14:textId="1653BD3A" w:rsidR="007616D6" w:rsidRDefault="007616D6" w:rsidP="008D7DD7">
            <w:pPr>
              <w:pStyle w:val="ListNumber"/>
              <w:numPr>
                <w:ilvl w:val="0"/>
                <w:numId w:val="0"/>
              </w:numPr>
            </w:pPr>
            <w:r>
              <w:t>4 years</w:t>
            </w:r>
          </w:p>
        </w:tc>
      </w:tr>
    </w:tbl>
    <w:p w14:paraId="75DDEF18" w14:textId="7E623033" w:rsidR="001A55E2" w:rsidRDefault="001A55E2" w:rsidP="004E4A24">
      <w:pPr>
        <w:pStyle w:val="ListNumber"/>
      </w:pPr>
      <w:r>
        <w:t xml:space="preserve">As noted above, Ms </w:t>
      </w:r>
      <w:proofErr w:type="spellStart"/>
      <w:r>
        <w:t>Alo</w:t>
      </w:r>
      <w:proofErr w:type="spellEnd"/>
      <w:r>
        <w:t xml:space="preserve">-Bridget </w:t>
      </w:r>
      <w:proofErr w:type="spellStart"/>
      <w:r w:rsidR="006A779D">
        <w:t>Namoa</w:t>
      </w:r>
      <w:proofErr w:type="spellEnd"/>
      <w:r w:rsidR="006A779D">
        <w:t xml:space="preserve"> was released from imprisonment and had a control order imposed on her.  She has since been charged with 12 counts of </w:t>
      </w:r>
      <w:r w:rsidR="008F739D">
        <w:t>breaching that control order.</w:t>
      </w:r>
      <w:r w:rsidR="004C1D80">
        <w:rPr>
          <w:rStyle w:val="EndnoteReference"/>
        </w:rPr>
        <w:endnoteReference w:id="125"/>
      </w:r>
      <w:r w:rsidR="008F739D">
        <w:t xml:space="preserve">  </w:t>
      </w:r>
      <w:r w:rsidR="004C1D80">
        <w:t>Th</w:t>
      </w:r>
      <w:r w:rsidR="00992F96">
        <w:t>ose offences reportedly include allowing someone else to use her phone</w:t>
      </w:r>
      <w:r w:rsidR="009618EB">
        <w:t>, using a phone other than the one permitted by the AFP, and asking someone to contact another person on her behalf</w:t>
      </w:r>
      <w:r w:rsidR="004C1D80">
        <w:t>.</w:t>
      </w:r>
      <w:r w:rsidR="002C2BE6">
        <w:rPr>
          <w:rStyle w:val="EndnoteReference"/>
        </w:rPr>
        <w:endnoteReference w:id="126"/>
      </w:r>
      <w:r w:rsidR="004C1D80">
        <w:t xml:space="preserve">  </w:t>
      </w:r>
      <w:r w:rsidR="00300FE5">
        <w:t xml:space="preserve">The AFP said that </w:t>
      </w:r>
      <w:r w:rsidR="00AC74EE">
        <w:t>no specific or impending threat to the community had been identified in relation to the alleged misuse of her phone.</w:t>
      </w:r>
      <w:r w:rsidR="00AC74EE">
        <w:rPr>
          <w:rStyle w:val="EndnoteReference"/>
        </w:rPr>
        <w:endnoteReference w:id="127"/>
      </w:r>
      <w:r w:rsidR="00AC74EE">
        <w:t xml:space="preserve">  </w:t>
      </w:r>
      <w:r w:rsidR="008F739D">
        <w:t xml:space="preserve">Each count is punishable by a maximum of </w:t>
      </w:r>
      <w:r w:rsidR="00B117EF">
        <w:t>five</w:t>
      </w:r>
      <w:r w:rsidR="008F739D">
        <w:t xml:space="preserve"> years imprisonment.  It seems entirely possible that</w:t>
      </w:r>
      <w:r w:rsidR="00990341">
        <w:t xml:space="preserve">, if convicted, </w:t>
      </w:r>
      <w:r w:rsidR="008F739D">
        <w:t xml:space="preserve">she could be </w:t>
      </w:r>
      <w:r w:rsidR="00990341">
        <w:t>imprisoned for the breach of the control order for longer than her substantive offence.</w:t>
      </w:r>
    </w:p>
    <w:p w14:paraId="2B24ED45" w14:textId="7796F911" w:rsidR="00FA598F" w:rsidRDefault="00FA598F" w:rsidP="004E4A24">
      <w:pPr>
        <w:pStyle w:val="ListNumber"/>
      </w:pPr>
      <w:r>
        <w:t xml:space="preserve">Experience in New South Wales shows that </w:t>
      </w:r>
      <w:r w:rsidR="0058442E">
        <w:t xml:space="preserve">breaches of ESO </w:t>
      </w:r>
      <w:r w:rsidR="00390E16">
        <w:t xml:space="preserve">conditions imposed under </w:t>
      </w:r>
      <w:r w:rsidR="00E26B06">
        <w:t xml:space="preserve">the two State </w:t>
      </w:r>
      <w:r w:rsidR="0058442E">
        <w:t>regime</w:t>
      </w:r>
      <w:r w:rsidR="00E26B06">
        <w:t>s</w:t>
      </w:r>
      <w:r w:rsidR="0058442E">
        <w:t xml:space="preserve"> </w:t>
      </w:r>
      <w:r w:rsidR="00390E16">
        <w:t>are also punished severely.</w:t>
      </w:r>
    </w:p>
    <w:p w14:paraId="2C8EAB1B" w14:textId="77173E61" w:rsidR="00B937A9" w:rsidRDefault="00210A50" w:rsidP="004E4A24">
      <w:pPr>
        <w:pStyle w:val="ListNumber"/>
      </w:pPr>
      <w:r>
        <w:lastRenderedPageBreak/>
        <w:t xml:space="preserve">The High Risk Offender Unit within </w:t>
      </w:r>
      <w:r w:rsidR="009C43CD">
        <w:t>Legal Aid N</w:t>
      </w:r>
      <w:r>
        <w:t>SW is a specialist team that represents offenders subject to applications fo</w:t>
      </w:r>
      <w:r w:rsidR="001D69B6">
        <w:t xml:space="preserve">r CDOs and ESOs under the </w:t>
      </w:r>
      <w:r w:rsidR="001D69B6" w:rsidRPr="001D69B6">
        <w:rPr>
          <w:i/>
          <w:iCs/>
        </w:rPr>
        <w:t>Crimes (High Risk Offenders) Act 2006</w:t>
      </w:r>
      <w:r w:rsidR="001D69B6">
        <w:t xml:space="preserve"> (NSW) and the </w:t>
      </w:r>
      <w:r w:rsidR="001D69B6" w:rsidRPr="001D69B6">
        <w:rPr>
          <w:i/>
          <w:iCs/>
        </w:rPr>
        <w:t>Terrorism (High Risk Offenders) Act 2017</w:t>
      </w:r>
      <w:r w:rsidR="001D69B6">
        <w:t xml:space="preserve"> (NSW).  In its submission to the PJCIS in relation to its Review of AFP Powers, Legal Aid NSW </w:t>
      </w:r>
      <w:r w:rsidR="00F122D7">
        <w:t xml:space="preserve">described its experience of penalties imposed under these </w:t>
      </w:r>
      <w:r w:rsidR="00390E16">
        <w:t xml:space="preserve">regimes </w:t>
      </w:r>
      <w:r w:rsidR="00F122D7">
        <w:t>in New South Wales</w:t>
      </w:r>
      <w:r w:rsidR="002A24C3">
        <w:t>:</w:t>
      </w:r>
    </w:p>
    <w:p w14:paraId="77D11F74" w14:textId="66EED3F5" w:rsidR="002A24C3" w:rsidRPr="00812718" w:rsidRDefault="002A24C3" w:rsidP="00812718">
      <w:pPr>
        <w:pStyle w:val="ListNumber"/>
        <w:numPr>
          <w:ilvl w:val="0"/>
          <w:numId w:val="0"/>
        </w:numPr>
        <w:ind w:left="1440"/>
        <w:rPr>
          <w:sz w:val="22"/>
          <w:szCs w:val="22"/>
        </w:rPr>
      </w:pPr>
      <w:r w:rsidRPr="00812718">
        <w:rPr>
          <w:sz w:val="22"/>
          <w:szCs w:val="22"/>
        </w:rPr>
        <w:t xml:space="preserve">ESOs carry heavy penalties for breach, notwithstanding the conduct that gives rise to the breach would in normal circumstances be lawful.  In our experience, a </w:t>
      </w:r>
      <w:proofErr w:type="gramStart"/>
      <w:r w:rsidRPr="00812718">
        <w:rPr>
          <w:sz w:val="22"/>
          <w:szCs w:val="22"/>
        </w:rPr>
        <w:t>zero tolerance</w:t>
      </w:r>
      <w:proofErr w:type="gramEnd"/>
      <w:r w:rsidRPr="00812718">
        <w:rPr>
          <w:sz w:val="22"/>
          <w:szCs w:val="22"/>
        </w:rPr>
        <w:t xml:space="preserve"> approach is taken by supervising agencies to even relatively minor or technical breaches of ESOs which are dealt with by criminal punishment, namely, incarceration</w:t>
      </w:r>
      <w:r w:rsidR="006516EF" w:rsidRPr="00812718">
        <w:rPr>
          <w:sz w:val="22"/>
          <w:szCs w:val="22"/>
        </w:rPr>
        <w:t>.  This is in stark contrast to the approach taken to parole orders, where warnings</w:t>
      </w:r>
      <w:r w:rsidR="00735C9D" w:rsidRPr="00812718">
        <w:rPr>
          <w:sz w:val="22"/>
          <w:szCs w:val="22"/>
        </w:rPr>
        <w:t xml:space="preserve"> are routinely utilised as an alternative management strategy for less serious breaches.  For example, we are aware of </w:t>
      </w:r>
      <w:r w:rsidR="003D237A" w:rsidRPr="00812718">
        <w:rPr>
          <w:sz w:val="22"/>
          <w:szCs w:val="22"/>
        </w:rPr>
        <w:t>offenders under ESOs imposed under the [</w:t>
      </w:r>
      <w:r w:rsidR="003D237A" w:rsidRPr="00812718">
        <w:rPr>
          <w:i/>
          <w:iCs/>
          <w:sz w:val="22"/>
          <w:szCs w:val="22"/>
        </w:rPr>
        <w:t xml:space="preserve">Terrorism (High Risk Offenders) Act </w:t>
      </w:r>
      <w:r w:rsidR="00707EF8" w:rsidRPr="00812718">
        <w:rPr>
          <w:i/>
          <w:iCs/>
          <w:sz w:val="22"/>
          <w:szCs w:val="22"/>
        </w:rPr>
        <w:t>2017</w:t>
      </w:r>
      <w:r w:rsidR="00707EF8" w:rsidRPr="00812718">
        <w:rPr>
          <w:sz w:val="22"/>
          <w:szCs w:val="22"/>
        </w:rPr>
        <w:t xml:space="preserve"> (NSW)] being charged and/or incarcerated, for shaving their beard, deviating from a movement schedule, drinking alcohol and sending/receiving messages from a dating app.</w:t>
      </w:r>
      <w:r w:rsidR="00812718">
        <w:rPr>
          <w:rStyle w:val="EndnoteReference"/>
          <w:szCs w:val="22"/>
        </w:rPr>
        <w:endnoteReference w:id="128"/>
      </w:r>
    </w:p>
    <w:p w14:paraId="302AF537" w14:textId="328AD119" w:rsidR="00C20B1C" w:rsidRDefault="00C20B1C" w:rsidP="004E4A24">
      <w:pPr>
        <w:pStyle w:val="ListNumber"/>
      </w:pPr>
      <w:r>
        <w:t xml:space="preserve">The comparison with parole is apt.  </w:t>
      </w:r>
      <w:r w:rsidR="00777BF2">
        <w:t xml:space="preserve">Parole </w:t>
      </w:r>
      <w:r w:rsidR="00DA4BFA">
        <w:t xml:space="preserve">is a system that allows a person who has been convicted of an offence to be released before the end of their sentence, subject to conditions </w:t>
      </w:r>
      <w:r w:rsidR="000D305D">
        <w:t xml:space="preserve">imposed for the protection of the community.  </w:t>
      </w:r>
      <w:r w:rsidR="00C40FA5">
        <w:t xml:space="preserve">Parole is </w:t>
      </w:r>
      <w:r w:rsidR="002E7EB7">
        <w:t xml:space="preserve">generally </w:t>
      </w:r>
      <w:r w:rsidR="00C40FA5">
        <w:t xml:space="preserve">available in relation to all </w:t>
      </w:r>
      <w:r w:rsidR="00B56D36">
        <w:t>sentences</w:t>
      </w:r>
      <w:r w:rsidR="00E13E83">
        <w:t>,</w:t>
      </w:r>
      <w:r w:rsidR="002B2048">
        <w:t xml:space="preserve"> regardless of the degree of seriousness</w:t>
      </w:r>
      <w:r w:rsidR="00B56D36">
        <w:t xml:space="preserve"> of the offence</w:t>
      </w:r>
      <w:r w:rsidR="00E13E83">
        <w:t xml:space="preserve"> (other than very short sentences</w:t>
      </w:r>
      <w:r w:rsidR="00FA4024">
        <w:t>—</w:t>
      </w:r>
      <w:proofErr w:type="spellStart"/>
      <w:r w:rsidR="00E13E83">
        <w:t>eg</w:t>
      </w:r>
      <w:proofErr w:type="spellEnd"/>
      <w:r w:rsidR="00FA4024">
        <w:t>,</w:t>
      </w:r>
      <w:r w:rsidR="00E13E83">
        <w:t xml:space="preserve"> less than six months</w:t>
      </w:r>
      <w:r w:rsidR="00FA4024">
        <w:t>—</w:t>
      </w:r>
      <w:r w:rsidR="00E13E83">
        <w:t>and sentences of life imprisonment without parole)</w:t>
      </w:r>
      <w:r w:rsidR="002B2048">
        <w:t xml:space="preserve">.  </w:t>
      </w:r>
    </w:p>
    <w:p w14:paraId="3F5DA66D" w14:textId="0E1AAA11" w:rsidR="002E3490" w:rsidRDefault="002E3490" w:rsidP="004E4A24">
      <w:pPr>
        <w:pStyle w:val="ListNumber"/>
      </w:pPr>
      <w:r>
        <w:t xml:space="preserve">In New South Wales, </w:t>
      </w:r>
      <w:r w:rsidR="00797A78">
        <w:t xml:space="preserve">community corrections officers are given discretion about how to deal with breaches of parole conditions.  This allows the response to be tailored to the seriousness </w:t>
      </w:r>
      <w:r w:rsidR="008A1338">
        <w:t>of the breach.  If a community corrections officer is satisfied that an offender has failed to comply with the offender’s obligations under a parole order, the officer may:</w:t>
      </w:r>
    </w:p>
    <w:p w14:paraId="2FFAFF41" w14:textId="6E8B6DF2" w:rsidR="008A1338" w:rsidRDefault="008A1338" w:rsidP="008A1338">
      <w:pPr>
        <w:pStyle w:val="ListNumber"/>
        <w:numPr>
          <w:ilvl w:val="0"/>
          <w:numId w:val="39"/>
        </w:numPr>
      </w:pPr>
      <w:r>
        <w:t>record the breach and take no action</w:t>
      </w:r>
    </w:p>
    <w:p w14:paraId="23150F7E" w14:textId="47A01604" w:rsidR="008A1338" w:rsidRDefault="008A1338" w:rsidP="008A1338">
      <w:pPr>
        <w:pStyle w:val="ListNumber"/>
        <w:numPr>
          <w:ilvl w:val="0"/>
          <w:numId w:val="39"/>
        </w:numPr>
      </w:pPr>
      <w:r>
        <w:t>give an informal warning to the offender</w:t>
      </w:r>
    </w:p>
    <w:p w14:paraId="63797C4E" w14:textId="0A0A8418" w:rsidR="008A1338" w:rsidRDefault="008A1338" w:rsidP="008A1338">
      <w:pPr>
        <w:pStyle w:val="ListNumber"/>
        <w:numPr>
          <w:ilvl w:val="0"/>
          <w:numId w:val="39"/>
        </w:numPr>
      </w:pPr>
      <w:r>
        <w:t>give</w:t>
      </w:r>
      <w:r w:rsidR="005F332B">
        <w:t xml:space="preserve"> the offender a formal warning that further breaches will result in referral to the Parole Authority</w:t>
      </w:r>
    </w:p>
    <w:p w14:paraId="507A4D62" w14:textId="63A31361" w:rsidR="005F332B" w:rsidRDefault="005F332B" w:rsidP="008A1338">
      <w:pPr>
        <w:pStyle w:val="ListNumber"/>
        <w:numPr>
          <w:ilvl w:val="0"/>
          <w:numId w:val="39"/>
        </w:numPr>
      </w:pPr>
      <w:r>
        <w:t>give a reasonable direction to the offender relating to the kind of behaviour by the offender that caused the breach</w:t>
      </w:r>
    </w:p>
    <w:p w14:paraId="022B619C" w14:textId="3819BC37" w:rsidR="005F332B" w:rsidRDefault="005F332B" w:rsidP="008A1338">
      <w:pPr>
        <w:pStyle w:val="ListNumber"/>
        <w:numPr>
          <w:ilvl w:val="0"/>
          <w:numId w:val="39"/>
        </w:numPr>
      </w:pPr>
      <w:r>
        <w:t xml:space="preserve">impose a curfew on the offender of up to 12 hours in any </w:t>
      </w:r>
      <w:proofErr w:type="gramStart"/>
      <w:r>
        <w:t>24 hour</w:t>
      </w:r>
      <w:proofErr w:type="gramEnd"/>
      <w:r>
        <w:t xml:space="preserve"> period</w:t>
      </w:r>
    </w:p>
    <w:p w14:paraId="4E56513D" w14:textId="1DDA6BB0" w:rsidR="00C80EAC" w:rsidRDefault="0032038F" w:rsidP="008A1338">
      <w:pPr>
        <w:pStyle w:val="ListNumber"/>
        <w:numPr>
          <w:ilvl w:val="0"/>
          <w:numId w:val="39"/>
        </w:numPr>
      </w:pPr>
      <w:r>
        <w:t xml:space="preserve">in the event of a serious breach, refer the breach to the Parole Authority </w:t>
      </w:r>
      <w:r w:rsidR="00581677">
        <w:t>and make a recommendation as to the action the Parole Authority may take in respect of the offender.</w:t>
      </w:r>
      <w:r w:rsidR="00581677">
        <w:rPr>
          <w:rStyle w:val="EndnoteReference"/>
        </w:rPr>
        <w:endnoteReference w:id="129"/>
      </w:r>
    </w:p>
    <w:p w14:paraId="21C59A71" w14:textId="3FFF926A" w:rsidR="009714E4" w:rsidRDefault="00581677" w:rsidP="004E4A24">
      <w:pPr>
        <w:pStyle w:val="ListNumber"/>
      </w:pPr>
      <w:r>
        <w:t>Th</w:t>
      </w:r>
      <w:r w:rsidR="00AE0E0F">
        <w:t xml:space="preserve">is legislative framework </w:t>
      </w:r>
      <w:r w:rsidR="00BD4FC0">
        <w:t xml:space="preserve">was introduced in 2018 and </w:t>
      </w:r>
      <w:r w:rsidR="009714E4">
        <w:t xml:space="preserve">is supported by a policy </w:t>
      </w:r>
      <w:r w:rsidR="00573869">
        <w:t>developed by Corrective Services NSW that sets out the circumstances in which a breach will trigger a report to the Parole Authority.</w:t>
      </w:r>
    </w:p>
    <w:p w14:paraId="2594DE16" w14:textId="3D04F03C" w:rsidR="00AE0E0F" w:rsidRDefault="0091694F" w:rsidP="004E4A24">
      <w:pPr>
        <w:pStyle w:val="ListNumber"/>
      </w:pPr>
      <w:r>
        <w:lastRenderedPageBreak/>
        <w:t xml:space="preserve">The </w:t>
      </w:r>
      <w:r w:rsidR="00BD4FC0">
        <w:t xml:space="preserve">new </w:t>
      </w:r>
      <w:r>
        <w:t xml:space="preserve">framework </w:t>
      </w:r>
      <w:r w:rsidR="00AE0E0F">
        <w:t xml:space="preserve">responded to </w:t>
      </w:r>
      <w:r w:rsidR="003D053E">
        <w:t xml:space="preserve">a 2015 report of the New South Wales Law Reform Commission </w:t>
      </w:r>
      <w:r w:rsidR="00EA3059">
        <w:t xml:space="preserve">(NSW LRC) </w:t>
      </w:r>
      <w:r w:rsidR="003D053E">
        <w:t>on Parole</w:t>
      </w:r>
      <w:r w:rsidR="00FA4024">
        <w:t xml:space="preserve">, which </w:t>
      </w:r>
      <w:r w:rsidR="003D053E">
        <w:t xml:space="preserve">recommended a </w:t>
      </w:r>
      <w:r w:rsidR="007D0E83">
        <w:t xml:space="preserve">system of graduated sanctions for </w:t>
      </w:r>
      <w:r>
        <w:t xml:space="preserve">breaches of parole, which </w:t>
      </w:r>
      <w:r w:rsidR="00852D2A">
        <w:t>should be applied in a way that ensures a ‘proportionate, swift and certain response’.</w:t>
      </w:r>
      <w:r w:rsidR="00852D2A">
        <w:rPr>
          <w:rStyle w:val="EndnoteReference"/>
        </w:rPr>
        <w:endnoteReference w:id="130"/>
      </w:r>
      <w:r w:rsidR="00EA3059">
        <w:t xml:space="preserve">  The NSW LRC described </w:t>
      </w:r>
      <w:r w:rsidR="00CA735C">
        <w:t>the goals of a breach and revocation system in the following way:</w:t>
      </w:r>
    </w:p>
    <w:p w14:paraId="064EAA67" w14:textId="2CDD4842" w:rsidR="00E436BB" w:rsidRPr="003D7BCB" w:rsidRDefault="00E436BB" w:rsidP="003D7BCB">
      <w:pPr>
        <w:pStyle w:val="ListNumber"/>
        <w:numPr>
          <w:ilvl w:val="0"/>
          <w:numId w:val="0"/>
        </w:numPr>
        <w:ind w:left="1440"/>
        <w:rPr>
          <w:sz w:val="22"/>
          <w:szCs w:val="22"/>
        </w:rPr>
      </w:pPr>
      <w:r w:rsidRPr="003D7BCB">
        <w:rPr>
          <w:sz w:val="22"/>
          <w:szCs w:val="22"/>
        </w:rPr>
        <w:t>The goals of managing risk and ensuring compliance are closely linked in a breach</w:t>
      </w:r>
      <w:r w:rsidR="003D7BCB" w:rsidRPr="003D7BCB">
        <w:rPr>
          <w:sz w:val="22"/>
          <w:szCs w:val="22"/>
        </w:rPr>
        <w:t xml:space="preserve"> </w:t>
      </w:r>
      <w:r w:rsidRPr="003D7BCB">
        <w:rPr>
          <w:sz w:val="22"/>
          <w:szCs w:val="22"/>
        </w:rPr>
        <w:t>and revocation system. The system is strongest if responses to breaches serve</w:t>
      </w:r>
      <w:r w:rsidR="003D7BCB" w:rsidRPr="003D7BCB">
        <w:rPr>
          <w:sz w:val="22"/>
          <w:szCs w:val="22"/>
        </w:rPr>
        <w:t xml:space="preserve"> </w:t>
      </w:r>
      <w:r w:rsidRPr="003D7BCB">
        <w:rPr>
          <w:sz w:val="22"/>
          <w:szCs w:val="22"/>
        </w:rPr>
        <w:t>both purposes simultaneously.</w:t>
      </w:r>
    </w:p>
    <w:p w14:paraId="2178EB3B" w14:textId="14C1A21D" w:rsidR="00E436BB" w:rsidRPr="003D7BCB" w:rsidRDefault="00E436BB" w:rsidP="003D7BCB">
      <w:pPr>
        <w:pStyle w:val="ListNumber"/>
        <w:numPr>
          <w:ilvl w:val="0"/>
          <w:numId w:val="0"/>
        </w:numPr>
        <w:ind w:left="1440"/>
        <w:rPr>
          <w:sz w:val="22"/>
          <w:szCs w:val="22"/>
        </w:rPr>
      </w:pPr>
      <w:r w:rsidRPr="003D7BCB">
        <w:rPr>
          <w:sz w:val="22"/>
          <w:szCs w:val="22"/>
        </w:rPr>
        <w:t xml:space="preserve">A breach and revocation system should allow Community Corrections and </w:t>
      </w:r>
      <w:r w:rsidR="00641613">
        <w:rPr>
          <w:sz w:val="22"/>
          <w:szCs w:val="22"/>
        </w:rPr>
        <w:t xml:space="preserve">SPA </w:t>
      </w:r>
      <w:r w:rsidR="00514218">
        <w:rPr>
          <w:sz w:val="22"/>
          <w:szCs w:val="22"/>
        </w:rPr>
        <w:t>[the State Parole Authority]</w:t>
      </w:r>
      <w:r w:rsidRPr="003D7BCB">
        <w:rPr>
          <w:sz w:val="22"/>
          <w:szCs w:val="22"/>
        </w:rPr>
        <w:t xml:space="preserve"> to</w:t>
      </w:r>
      <w:r w:rsidR="003D7BCB" w:rsidRPr="003D7BCB">
        <w:rPr>
          <w:sz w:val="22"/>
          <w:szCs w:val="22"/>
        </w:rPr>
        <w:t xml:space="preserve"> </w:t>
      </w:r>
      <w:r w:rsidRPr="003D7BCB">
        <w:rPr>
          <w:sz w:val="22"/>
          <w:szCs w:val="22"/>
        </w:rPr>
        <w:t>be responsive and flexible in dealing with breaches. Breaches should attract clear</w:t>
      </w:r>
      <w:r w:rsidR="003D7BCB" w:rsidRPr="003D7BCB">
        <w:rPr>
          <w:sz w:val="22"/>
          <w:szCs w:val="22"/>
        </w:rPr>
        <w:t xml:space="preserve"> </w:t>
      </w:r>
      <w:r w:rsidRPr="003D7BCB">
        <w:rPr>
          <w:sz w:val="22"/>
          <w:szCs w:val="22"/>
        </w:rPr>
        <w:t>and proportionate consequences so that the practice of attaching conditions to</w:t>
      </w:r>
      <w:r w:rsidR="003D7BCB" w:rsidRPr="003D7BCB">
        <w:rPr>
          <w:sz w:val="22"/>
          <w:szCs w:val="22"/>
        </w:rPr>
        <w:t xml:space="preserve"> </w:t>
      </w:r>
      <w:r w:rsidRPr="003D7BCB">
        <w:rPr>
          <w:sz w:val="22"/>
          <w:szCs w:val="22"/>
        </w:rPr>
        <w:t>parole remains meaningful. It should be clear to stakeholders in the system what is</w:t>
      </w:r>
      <w:r w:rsidR="003D7BCB" w:rsidRPr="003D7BCB">
        <w:rPr>
          <w:sz w:val="22"/>
          <w:szCs w:val="22"/>
        </w:rPr>
        <w:t xml:space="preserve"> </w:t>
      </w:r>
      <w:r w:rsidRPr="003D7BCB">
        <w:rPr>
          <w:sz w:val="22"/>
          <w:szCs w:val="22"/>
        </w:rPr>
        <w:t>expected for a parolee to complete parole successfully.</w:t>
      </w:r>
    </w:p>
    <w:p w14:paraId="2D7884E9" w14:textId="77777777" w:rsidR="00F76DB4" w:rsidRDefault="00E436BB" w:rsidP="003D7BCB">
      <w:pPr>
        <w:pStyle w:val="ListNumber"/>
        <w:numPr>
          <w:ilvl w:val="0"/>
          <w:numId w:val="0"/>
        </w:numPr>
        <w:ind w:left="1440"/>
        <w:rPr>
          <w:sz w:val="22"/>
          <w:szCs w:val="22"/>
        </w:rPr>
      </w:pPr>
      <w:r w:rsidRPr="003D7BCB">
        <w:rPr>
          <w:sz w:val="22"/>
          <w:szCs w:val="22"/>
        </w:rPr>
        <w:t>The best way to manage the risk and behaviour of offenders on parole is to impose</w:t>
      </w:r>
      <w:r w:rsidR="003D7BCB" w:rsidRPr="003D7BCB">
        <w:rPr>
          <w:sz w:val="22"/>
          <w:szCs w:val="22"/>
        </w:rPr>
        <w:t xml:space="preserve"> </w:t>
      </w:r>
      <w:r w:rsidRPr="003D7BCB">
        <w:rPr>
          <w:sz w:val="22"/>
          <w:szCs w:val="22"/>
        </w:rPr>
        <w:t>a proportionate sanction as soon as possible after a breach. A recent review of 20</w:t>
      </w:r>
      <w:r w:rsidR="003D7BCB" w:rsidRPr="003D7BCB">
        <w:rPr>
          <w:sz w:val="22"/>
          <w:szCs w:val="22"/>
        </w:rPr>
        <w:t xml:space="preserve"> </w:t>
      </w:r>
      <w:r w:rsidRPr="003D7BCB">
        <w:rPr>
          <w:sz w:val="22"/>
          <w:szCs w:val="22"/>
        </w:rPr>
        <w:t>studies of case management programs for substance abusing offenders in the US</w:t>
      </w:r>
      <w:r w:rsidR="003D7BCB" w:rsidRPr="003D7BCB">
        <w:rPr>
          <w:sz w:val="22"/>
          <w:szCs w:val="22"/>
        </w:rPr>
        <w:t xml:space="preserve"> </w:t>
      </w:r>
      <w:r w:rsidRPr="003D7BCB">
        <w:rPr>
          <w:sz w:val="22"/>
          <w:szCs w:val="22"/>
        </w:rPr>
        <w:t>concluded that case management has a greater effect when coupled with sanctions</w:t>
      </w:r>
      <w:r w:rsidR="003D7BCB" w:rsidRPr="003D7BCB">
        <w:rPr>
          <w:sz w:val="22"/>
          <w:szCs w:val="22"/>
        </w:rPr>
        <w:t xml:space="preserve"> </w:t>
      </w:r>
      <w:r w:rsidRPr="003D7BCB">
        <w:rPr>
          <w:sz w:val="22"/>
          <w:szCs w:val="22"/>
        </w:rPr>
        <w:t>that are swift and certain, and that swiftness and certainty of punishment has a</w:t>
      </w:r>
      <w:r w:rsidR="003D7BCB" w:rsidRPr="003D7BCB">
        <w:rPr>
          <w:sz w:val="22"/>
          <w:szCs w:val="22"/>
        </w:rPr>
        <w:t xml:space="preserve"> </w:t>
      </w:r>
      <w:r w:rsidRPr="003D7BCB">
        <w:rPr>
          <w:sz w:val="22"/>
          <w:szCs w:val="22"/>
        </w:rPr>
        <w:t>larger deterrent effect than severity</w:t>
      </w:r>
      <w:r w:rsidR="003D7BCB" w:rsidRPr="003D7BCB">
        <w:rPr>
          <w:sz w:val="22"/>
          <w:szCs w:val="22"/>
        </w:rPr>
        <w:t>.</w:t>
      </w:r>
      <w:r w:rsidR="00F76DB4">
        <w:rPr>
          <w:sz w:val="22"/>
          <w:szCs w:val="22"/>
        </w:rPr>
        <w:t xml:space="preserve"> …</w:t>
      </w:r>
    </w:p>
    <w:p w14:paraId="0AF2C92A" w14:textId="1562179C" w:rsidR="00CA735C" w:rsidRPr="003D7BCB" w:rsidRDefault="00F76DB4" w:rsidP="00F76DB4">
      <w:pPr>
        <w:pStyle w:val="ListNumber"/>
        <w:numPr>
          <w:ilvl w:val="0"/>
          <w:numId w:val="0"/>
        </w:numPr>
        <w:ind w:left="1440"/>
        <w:rPr>
          <w:sz w:val="22"/>
          <w:szCs w:val="22"/>
        </w:rPr>
      </w:pPr>
      <w:r w:rsidRPr="00F76DB4">
        <w:rPr>
          <w:sz w:val="22"/>
          <w:szCs w:val="22"/>
        </w:rPr>
        <w:t xml:space="preserve">In a system aimed at providing proportionate, </w:t>
      </w:r>
      <w:proofErr w:type="gramStart"/>
      <w:r w:rsidRPr="00F76DB4">
        <w:rPr>
          <w:sz w:val="22"/>
          <w:szCs w:val="22"/>
        </w:rPr>
        <w:t>swift</w:t>
      </w:r>
      <w:proofErr w:type="gramEnd"/>
      <w:r w:rsidRPr="00F76DB4">
        <w:rPr>
          <w:sz w:val="22"/>
          <w:szCs w:val="22"/>
        </w:rPr>
        <w:t xml:space="preserve"> and certain sanctions,</w:t>
      </w:r>
      <w:r>
        <w:rPr>
          <w:sz w:val="22"/>
          <w:szCs w:val="22"/>
        </w:rPr>
        <w:t xml:space="preserve"> </w:t>
      </w:r>
      <w:r w:rsidRPr="00F76DB4">
        <w:rPr>
          <w:sz w:val="22"/>
          <w:szCs w:val="22"/>
        </w:rPr>
        <w:t>Community Corrections should perform a function over and above reporting</w:t>
      </w:r>
      <w:r>
        <w:rPr>
          <w:sz w:val="22"/>
          <w:szCs w:val="22"/>
        </w:rPr>
        <w:t xml:space="preserve"> </w:t>
      </w:r>
      <w:r w:rsidRPr="00F76DB4">
        <w:rPr>
          <w:sz w:val="22"/>
          <w:szCs w:val="22"/>
        </w:rPr>
        <w:t>breaches to SPA and SPA does not need to receive notification of all breaches. In</w:t>
      </w:r>
      <w:r>
        <w:rPr>
          <w:sz w:val="22"/>
          <w:szCs w:val="22"/>
        </w:rPr>
        <w:t xml:space="preserve"> </w:t>
      </w:r>
      <w:r w:rsidRPr="00F76DB4">
        <w:rPr>
          <w:sz w:val="22"/>
          <w:szCs w:val="22"/>
        </w:rPr>
        <w:t xml:space="preserve">our view, </w:t>
      </w:r>
      <w:proofErr w:type="gramStart"/>
      <w:r w:rsidRPr="00F76DB4">
        <w:rPr>
          <w:sz w:val="22"/>
          <w:szCs w:val="22"/>
        </w:rPr>
        <w:t>in order for</w:t>
      </w:r>
      <w:proofErr w:type="gramEnd"/>
      <w:r w:rsidRPr="00F76DB4">
        <w:rPr>
          <w:sz w:val="22"/>
          <w:szCs w:val="22"/>
        </w:rPr>
        <w:t xml:space="preserve"> Community Corrections to carry out professional and effective</w:t>
      </w:r>
      <w:r>
        <w:rPr>
          <w:sz w:val="22"/>
          <w:szCs w:val="22"/>
        </w:rPr>
        <w:t xml:space="preserve"> </w:t>
      </w:r>
      <w:r w:rsidRPr="00F76DB4">
        <w:rPr>
          <w:sz w:val="22"/>
          <w:szCs w:val="22"/>
        </w:rPr>
        <w:t>case management it must have the discretion to respond to minor, non-reoffending</w:t>
      </w:r>
      <w:r>
        <w:rPr>
          <w:sz w:val="22"/>
          <w:szCs w:val="22"/>
        </w:rPr>
        <w:t xml:space="preserve"> </w:t>
      </w:r>
      <w:r w:rsidRPr="00F76DB4">
        <w:rPr>
          <w:sz w:val="22"/>
          <w:szCs w:val="22"/>
        </w:rPr>
        <w:t>breaches of parole.</w:t>
      </w:r>
      <w:r w:rsidR="003D7BCB">
        <w:rPr>
          <w:rStyle w:val="EndnoteReference"/>
        </w:rPr>
        <w:endnoteReference w:id="131"/>
      </w:r>
    </w:p>
    <w:p w14:paraId="501FB295" w14:textId="7E019206" w:rsidR="006C7F69" w:rsidRDefault="0021484D" w:rsidP="004E4A24">
      <w:pPr>
        <w:pStyle w:val="ListNumber"/>
      </w:pPr>
      <w:r>
        <w:t xml:space="preserve">The Commission considers that </w:t>
      </w:r>
      <w:r w:rsidR="0026408C">
        <w:t xml:space="preserve">officers responsible for monitoring compliance with control orders and ESOs should be given equivalent discretions to allow them to respond appropriately to </w:t>
      </w:r>
      <w:r w:rsidR="008423B5">
        <w:t xml:space="preserve">different kinds of breaches.  </w:t>
      </w:r>
      <w:r w:rsidR="009F7E30">
        <w:t xml:space="preserve">While the Bill permits </w:t>
      </w:r>
      <w:r w:rsidR="00756FFD">
        <w:t xml:space="preserve">a Court to specify certain conditions </w:t>
      </w:r>
      <w:r w:rsidR="001E7B33">
        <w:t xml:space="preserve">in an ESO </w:t>
      </w:r>
      <w:r w:rsidR="00BE4714">
        <w:t>from which an offender may apply for a temporary exemption,</w:t>
      </w:r>
      <w:r w:rsidR="006C7F69">
        <w:rPr>
          <w:rStyle w:val="EndnoteReference"/>
        </w:rPr>
        <w:endnoteReference w:id="132"/>
      </w:r>
      <w:r w:rsidR="00BE4714">
        <w:t xml:space="preserve"> this is not sufficient to deal with the issues identified above because</w:t>
      </w:r>
      <w:r w:rsidR="006C7F69">
        <w:t>:</w:t>
      </w:r>
    </w:p>
    <w:p w14:paraId="3509B947" w14:textId="50CA029F" w:rsidR="00651422" w:rsidRDefault="00BE4714" w:rsidP="006C7F69">
      <w:pPr>
        <w:pStyle w:val="ListNumber"/>
        <w:numPr>
          <w:ilvl w:val="0"/>
          <w:numId w:val="39"/>
        </w:numPr>
      </w:pPr>
      <w:r>
        <w:t xml:space="preserve">some conditions may not be </w:t>
      </w:r>
      <w:r w:rsidR="006C7F69">
        <w:t xml:space="preserve">made </w:t>
      </w:r>
      <w:r>
        <w:t xml:space="preserve">subject to </w:t>
      </w:r>
      <w:r w:rsidR="006C7F69">
        <w:t xml:space="preserve">exemptions, and </w:t>
      </w:r>
    </w:p>
    <w:p w14:paraId="70D3607B" w14:textId="27F45CB2" w:rsidR="006C7F69" w:rsidRDefault="008854FB" w:rsidP="006C7F69">
      <w:pPr>
        <w:pStyle w:val="ListNumber"/>
        <w:numPr>
          <w:ilvl w:val="0"/>
          <w:numId w:val="39"/>
        </w:numPr>
      </w:pPr>
      <w:r>
        <w:t xml:space="preserve">the temporary exemption regime is only effective if an exemption is applied for in advance—it does not give officers flexibility to deal with </w:t>
      </w:r>
      <w:r w:rsidR="002050AE">
        <w:t>minor breaches after they have occurred.</w:t>
      </w:r>
    </w:p>
    <w:p w14:paraId="5D59DD84" w14:textId="140593F4" w:rsidR="00471EF2" w:rsidRDefault="008423B5" w:rsidP="004E4A24">
      <w:pPr>
        <w:pStyle w:val="ListNumber"/>
      </w:pPr>
      <w:r>
        <w:t xml:space="preserve">Further, there should be changes to the substantive offence provisions themselves to </w:t>
      </w:r>
      <w:r w:rsidR="0081327A">
        <w:t xml:space="preserve">insert a defence of reasonable excuse.  This would ensure that offenders are not prosecuted for trivial breaches for which a reasonable excuse was available.  </w:t>
      </w:r>
    </w:p>
    <w:p w14:paraId="40EA9B22" w14:textId="2821D115" w:rsidR="00DE22E4" w:rsidRDefault="0081327A" w:rsidP="004E4A24">
      <w:pPr>
        <w:pStyle w:val="ListNumber"/>
      </w:pPr>
      <w:r>
        <w:t xml:space="preserve">Finally, the Commission considers that the </w:t>
      </w:r>
      <w:r w:rsidR="00E46689">
        <w:t xml:space="preserve">maximum penalty for breaches of conditions should be reduced to three years.  </w:t>
      </w:r>
      <w:r w:rsidR="000C7D99">
        <w:t xml:space="preserve">This is the maximum duration of any </w:t>
      </w:r>
      <w:r w:rsidR="00FA4024">
        <w:t xml:space="preserve">single </w:t>
      </w:r>
      <w:r w:rsidR="000C7D99">
        <w:t>CDO or ESO</w:t>
      </w:r>
      <w:r w:rsidR="00FA4024">
        <w:t>,</w:t>
      </w:r>
      <w:r w:rsidR="000C7D99">
        <w:t xml:space="preserve"> and </w:t>
      </w:r>
      <w:r w:rsidR="00FA4024">
        <w:t xml:space="preserve">it </w:t>
      </w:r>
      <w:r w:rsidR="00471AB4">
        <w:t xml:space="preserve">aligns better with </w:t>
      </w:r>
      <w:r w:rsidR="005B067B">
        <w:t xml:space="preserve">the nature of the </w:t>
      </w:r>
      <w:proofErr w:type="gramStart"/>
      <w:r w:rsidR="005B067B">
        <w:t xml:space="preserve">regime as a </w:t>
      </w:r>
      <w:r w:rsidR="005B067B">
        <w:lastRenderedPageBreak/>
        <w:t>whole</w:t>
      </w:r>
      <w:proofErr w:type="gramEnd"/>
      <w:r w:rsidR="00FA5987">
        <w:t>.  In order for an ESO to have been made</w:t>
      </w:r>
      <w:r w:rsidR="005B067B">
        <w:t xml:space="preserve">, a Court </w:t>
      </w:r>
      <w:r w:rsidR="00FA5987">
        <w:t xml:space="preserve">must </w:t>
      </w:r>
      <w:r w:rsidR="005B067B">
        <w:t>ha</w:t>
      </w:r>
      <w:r w:rsidR="00FA5987">
        <w:t>ve</w:t>
      </w:r>
      <w:r w:rsidR="005B067B">
        <w:t xml:space="preserve"> already determined that </w:t>
      </w:r>
      <w:r w:rsidR="00FA5987">
        <w:t xml:space="preserve">it is not appropriate for the </w:t>
      </w:r>
      <w:r w:rsidR="005B067B">
        <w:t xml:space="preserve">person </w:t>
      </w:r>
      <w:r w:rsidR="00FA5987">
        <w:t xml:space="preserve">to </w:t>
      </w:r>
      <w:r w:rsidR="005B067B">
        <w:t>be subject to continuing detention for three years</w:t>
      </w:r>
      <w:r w:rsidR="00471EF2">
        <w:t xml:space="preserve"> and that the degree of risk they pose to the community </w:t>
      </w:r>
      <w:r w:rsidR="000808BC">
        <w:t>instead justifies release into the community subject to conditions</w:t>
      </w:r>
      <w:r w:rsidR="005B067B">
        <w:t xml:space="preserve">.  </w:t>
      </w:r>
      <w:r w:rsidR="0069443E">
        <w:t>It would be a strange result if breach of those conditions then resulted in a longer period of imprisonment</w:t>
      </w:r>
      <w:r w:rsidR="00D47EB1">
        <w:t>, particularly because the breach of conditions typically involves conduct that is not of itself unlawful.</w:t>
      </w:r>
      <w:r w:rsidR="0069443E">
        <w:t xml:space="preserve">  Of course, if a person subject to an ESO engages in criminal conduct, </w:t>
      </w:r>
      <w:r w:rsidR="00AA7657">
        <w:t xml:space="preserve">they should be prosecuted and subjected to the </w:t>
      </w:r>
      <w:r w:rsidR="00DA3AD1">
        <w:t xml:space="preserve">penalty the </w:t>
      </w:r>
      <w:r w:rsidR="00025994">
        <w:t>C</w:t>
      </w:r>
      <w:r w:rsidR="00DA3AD1">
        <w:t xml:space="preserve">ourt considers appropriate </w:t>
      </w:r>
      <w:r w:rsidR="00DE22E4">
        <w:t xml:space="preserve">to that criminal conduct. </w:t>
      </w:r>
    </w:p>
    <w:p w14:paraId="61113EE5" w14:textId="5F790611" w:rsidR="00AE0E0F" w:rsidRDefault="00474231" w:rsidP="004E4A24">
      <w:pPr>
        <w:pStyle w:val="ListNumber"/>
      </w:pPr>
      <w:r>
        <w:t xml:space="preserve">A maximum penalty of three years imprisonment </w:t>
      </w:r>
      <w:r w:rsidR="00DE22E4">
        <w:t xml:space="preserve">for breach of an ESO </w:t>
      </w:r>
      <w:r>
        <w:t xml:space="preserve">would also align this regime with </w:t>
      </w:r>
      <w:r w:rsidR="00E46689">
        <w:t xml:space="preserve">the </w:t>
      </w:r>
      <w:r w:rsidR="00A01656">
        <w:t xml:space="preserve">penalty that applies to a failure to appear </w:t>
      </w:r>
      <w:r w:rsidR="002171B3">
        <w:t>in accordance with a bail acknowledgment.</w:t>
      </w:r>
      <w:r w:rsidR="00705A49">
        <w:rPr>
          <w:rStyle w:val="EndnoteReference"/>
        </w:rPr>
        <w:endnoteReference w:id="133"/>
      </w:r>
      <w:r w:rsidR="002171B3">
        <w:t xml:space="preserve"> </w:t>
      </w:r>
    </w:p>
    <w:p w14:paraId="6E2AEF00" w14:textId="641F9201" w:rsidR="00601585" w:rsidRPr="00705A49" w:rsidRDefault="00705A49" w:rsidP="00B65D6E">
      <w:pPr>
        <w:pStyle w:val="ListNumber"/>
        <w:keepNext/>
        <w:numPr>
          <w:ilvl w:val="0"/>
          <w:numId w:val="0"/>
        </w:numPr>
        <w:ind w:left="1094"/>
        <w:rPr>
          <w:b/>
          <w:bCs/>
        </w:rPr>
      </w:pPr>
      <w:r w:rsidRPr="00705A49">
        <w:rPr>
          <w:b/>
          <w:bCs/>
        </w:rPr>
        <w:t xml:space="preserve">Recommendation </w:t>
      </w:r>
      <w:r w:rsidR="0045663D">
        <w:rPr>
          <w:b/>
          <w:bCs/>
        </w:rPr>
        <w:t>17</w:t>
      </w:r>
    </w:p>
    <w:p w14:paraId="07096251" w14:textId="3DA7859B" w:rsidR="00705A49" w:rsidRDefault="00705A49" w:rsidP="00B65D6E">
      <w:pPr>
        <w:pStyle w:val="ListNumber"/>
        <w:numPr>
          <w:ilvl w:val="0"/>
          <w:numId w:val="0"/>
        </w:numPr>
        <w:ind w:left="1094"/>
      </w:pPr>
      <w:r>
        <w:t xml:space="preserve">The Commission recommends that </w:t>
      </w:r>
      <w:r w:rsidR="000B76FB">
        <w:t xml:space="preserve">the agency responsible </w:t>
      </w:r>
      <w:r w:rsidR="00D25BE6">
        <w:t>for monitoring compliance with control orders and ESOs should be given discretion to allow them to respond appropriately to different kinds of breaches</w:t>
      </w:r>
      <w:r w:rsidR="00B65D6E">
        <w:t>, including by warning the offender, or deciding not to take action, in relation to minor breaches.</w:t>
      </w:r>
    </w:p>
    <w:p w14:paraId="5CAFA745" w14:textId="07F5D1DD" w:rsidR="00584241" w:rsidRDefault="00584241" w:rsidP="00B65D6E">
      <w:pPr>
        <w:pStyle w:val="ListNumber"/>
        <w:keepNext/>
        <w:numPr>
          <w:ilvl w:val="0"/>
          <w:numId w:val="0"/>
        </w:numPr>
        <w:ind w:left="1094"/>
        <w:rPr>
          <w:b/>
          <w:bCs/>
        </w:rPr>
      </w:pPr>
      <w:r>
        <w:rPr>
          <w:b/>
          <w:bCs/>
        </w:rPr>
        <w:t xml:space="preserve">Recommendation </w:t>
      </w:r>
      <w:r w:rsidR="0045663D">
        <w:rPr>
          <w:b/>
          <w:bCs/>
        </w:rPr>
        <w:t>18</w:t>
      </w:r>
    </w:p>
    <w:p w14:paraId="01285311" w14:textId="36103EFF" w:rsidR="00584241" w:rsidRDefault="00584241" w:rsidP="00584241">
      <w:pPr>
        <w:pStyle w:val="ListNumber"/>
        <w:numPr>
          <w:ilvl w:val="0"/>
          <w:numId w:val="0"/>
        </w:numPr>
        <w:ind w:left="1094"/>
      </w:pPr>
      <w:r>
        <w:t xml:space="preserve">The Commission recommends that </w:t>
      </w:r>
      <w:r w:rsidR="000B76FB">
        <w:t xml:space="preserve">the agency responsible for monitoring compliance with control orders and ESOs should publish </w:t>
      </w:r>
      <w:r w:rsidR="00C93F07">
        <w:t xml:space="preserve">a policy providing guidance as to how it will exercise the discretion referred to in Recommendation </w:t>
      </w:r>
      <w:r w:rsidR="00555C5E">
        <w:t>17</w:t>
      </w:r>
      <w:r w:rsidR="00C93F07">
        <w:t>.</w:t>
      </w:r>
    </w:p>
    <w:p w14:paraId="29F55126" w14:textId="00EC689C" w:rsidR="00B65D6E" w:rsidRPr="00B65D6E" w:rsidRDefault="00B65D6E" w:rsidP="00B65D6E">
      <w:pPr>
        <w:pStyle w:val="ListNumber"/>
        <w:keepNext/>
        <w:numPr>
          <w:ilvl w:val="0"/>
          <w:numId w:val="0"/>
        </w:numPr>
        <w:ind w:left="1094"/>
        <w:rPr>
          <w:b/>
          <w:bCs/>
        </w:rPr>
      </w:pPr>
      <w:r w:rsidRPr="00B65D6E">
        <w:rPr>
          <w:b/>
          <w:bCs/>
        </w:rPr>
        <w:t xml:space="preserve">Recommendation </w:t>
      </w:r>
      <w:r w:rsidR="00BB56A4">
        <w:rPr>
          <w:b/>
          <w:bCs/>
        </w:rPr>
        <w:t>19</w:t>
      </w:r>
    </w:p>
    <w:p w14:paraId="59157FB3" w14:textId="2AE1BCD2" w:rsidR="00B65D6E" w:rsidRDefault="00B65D6E" w:rsidP="00B65D6E">
      <w:pPr>
        <w:pStyle w:val="ListNumber"/>
        <w:numPr>
          <w:ilvl w:val="0"/>
          <w:numId w:val="0"/>
        </w:numPr>
        <w:ind w:left="1094"/>
        <w:rPr>
          <w:lang w:val="en-US"/>
        </w:rPr>
      </w:pPr>
      <w:r>
        <w:t xml:space="preserve">The Commission recommends that </w:t>
      </w:r>
      <w:r w:rsidR="008E7226">
        <w:t xml:space="preserve">the offences </w:t>
      </w:r>
      <w:r w:rsidR="00523140">
        <w:t>of contravening a control order (</w:t>
      </w:r>
      <w:r w:rsidR="00523140">
        <w:rPr>
          <w:lang w:val="en-US"/>
        </w:rPr>
        <w:t>s 104.27</w:t>
      </w:r>
      <w:r w:rsidR="00F40396">
        <w:rPr>
          <w:lang w:val="en-US"/>
        </w:rPr>
        <w:t xml:space="preserve"> of the </w:t>
      </w:r>
      <w:r w:rsidR="00F40396" w:rsidRPr="00BB56A4">
        <w:rPr>
          <w:lang w:val="en-US"/>
        </w:rPr>
        <w:t>Criminal</w:t>
      </w:r>
      <w:r w:rsidR="00BB56A4" w:rsidRPr="00BB56A4">
        <w:rPr>
          <w:lang w:val="en-US"/>
        </w:rPr>
        <w:t xml:space="preserve"> Code</w:t>
      </w:r>
      <w:r w:rsidR="004F678C">
        <w:rPr>
          <w:lang w:val="en-US"/>
        </w:rPr>
        <w:t xml:space="preserve">), </w:t>
      </w:r>
      <w:r w:rsidR="004F678C">
        <w:t>contravening an ESO</w:t>
      </w:r>
      <w:r w:rsidR="00F40396">
        <w:t xml:space="preserve"> (proposed s</w:t>
      </w:r>
      <w:r w:rsidR="00F40396">
        <w:rPr>
          <w:lang w:val="en-US"/>
        </w:rPr>
        <w:t> 105A.18A)</w:t>
      </w:r>
      <w:r w:rsidR="004F678C">
        <w:t>, and interfering with a monitoring device that a person is required to wear pursuant to a control order or an ESO</w:t>
      </w:r>
      <w:r w:rsidR="00523140">
        <w:rPr>
          <w:lang w:val="en-US"/>
        </w:rPr>
        <w:t xml:space="preserve"> </w:t>
      </w:r>
      <w:r w:rsidR="004F678C">
        <w:rPr>
          <w:lang w:val="en-US"/>
        </w:rPr>
        <w:t>(proposed ss </w:t>
      </w:r>
      <w:r w:rsidR="00523140">
        <w:rPr>
          <w:lang w:val="en-US"/>
        </w:rPr>
        <w:t>104.27A</w:t>
      </w:r>
      <w:r w:rsidR="00F40396">
        <w:rPr>
          <w:lang w:val="en-US"/>
        </w:rPr>
        <w:t xml:space="preserve"> and 105A.18B) </w:t>
      </w:r>
      <w:r w:rsidR="00844446">
        <w:rPr>
          <w:lang w:val="en-US"/>
        </w:rPr>
        <w:t xml:space="preserve">be subject to a </w:t>
      </w:r>
      <w:proofErr w:type="spellStart"/>
      <w:r w:rsidR="00844446">
        <w:rPr>
          <w:lang w:val="en-US"/>
        </w:rPr>
        <w:t>defence</w:t>
      </w:r>
      <w:proofErr w:type="spellEnd"/>
      <w:r w:rsidR="00844446">
        <w:rPr>
          <w:lang w:val="en-US"/>
        </w:rPr>
        <w:t xml:space="preserve"> of reasonable excuse.</w:t>
      </w:r>
    </w:p>
    <w:p w14:paraId="7FA11964" w14:textId="4F0294DC" w:rsidR="00844446" w:rsidRPr="00844446" w:rsidRDefault="00844446" w:rsidP="00ED2066">
      <w:pPr>
        <w:pStyle w:val="ListNumber"/>
        <w:keepNext/>
        <w:numPr>
          <w:ilvl w:val="0"/>
          <w:numId w:val="0"/>
        </w:numPr>
        <w:ind w:left="1094"/>
        <w:rPr>
          <w:b/>
          <w:bCs/>
          <w:lang w:val="en-US"/>
        </w:rPr>
      </w:pPr>
      <w:r w:rsidRPr="00844446">
        <w:rPr>
          <w:b/>
          <w:bCs/>
          <w:lang w:val="en-US"/>
        </w:rPr>
        <w:t xml:space="preserve">Recommendation </w:t>
      </w:r>
      <w:r w:rsidR="00BB56A4">
        <w:rPr>
          <w:b/>
          <w:bCs/>
          <w:lang w:val="en-US"/>
        </w:rPr>
        <w:t>20</w:t>
      </w:r>
    </w:p>
    <w:p w14:paraId="60E13228" w14:textId="3193144B" w:rsidR="00844446" w:rsidRDefault="00844446" w:rsidP="00B65D6E">
      <w:pPr>
        <w:pStyle w:val="ListNumber"/>
        <w:numPr>
          <w:ilvl w:val="0"/>
          <w:numId w:val="0"/>
        </w:numPr>
        <w:ind w:left="1094"/>
      </w:pPr>
      <w:r>
        <w:t>The Commission recommends that the maximum penalty for the offences of contravening a control order (</w:t>
      </w:r>
      <w:r>
        <w:rPr>
          <w:lang w:val="en-US"/>
        </w:rPr>
        <w:t xml:space="preserve">s 104.27 of the </w:t>
      </w:r>
      <w:r w:rsidRPr="00330E6C">
        <w:rPr>
          <w:lang w:val="en-US"/>
        </w:rPr>
        <w:t>Criminal Code</w:t>
      </w:r>
      <w:r>
        <w:rPr>
          <w:lang w:val="en-US"/>
        </w:rPr>
        <w:t xml:space="preserve">), </w:t>
      </w:r>
      <w:r>
        <w:t>contravening an ESO (proposed s</w:t>
      </w:r>
      <w:r>
        <w:rPr>
          <w:lang w:val="en-US"/>
        </w:rPr>
        <w:t> 105A.18A)</w:t>
      </w:r>
      <w:r>
        <w:t>, and interfering with a monitoring device that a person is required to wear pursuant to a control order or an ESO</w:t>
      </w:r>
      <w:r>
        <w:rPr>
          <w:lang w:val="en-US"/>
        </w:rPr>
        <w:t xml:space="preserve"> (proposed ss 104.27A and 105A.18B)</w:t>
      </w:r>
      <w:r w:rsidR="00ED2066">
        <w:rPr>
          <w:lang w:val="en-US"/>
        </w:rPr>
        <w:t xml:space="preserve"> be three years imprisonment.</w:t>
      </w:r>
    </w:p>
    <w:p w14:paraId="0A3EEC64" w14:textId="10CAB76F" w:rsidR="00065C57" w:rsidRPr="00137B00" w:rsidRDefault="00DC02CC" w:rsidP="009B3DC3">
      <w:pPr>
        <w:pStyle w:val="Heading1"/>
      </w:pPr>
      <w:bookmarkStart w:id="36" w:name="_Toc54876168"/>
      <w:r w:rsidRPr="00137B00">
        <w:lastRenderedPageBreak/>
        <w:t>Liability to multiple different regimes</w:t>
      </w:r>
      <w:bookmarkEnd w:id="36"/>
    </w:p>
    <w:p w14:paraId="7358A414" w14:textId="1C8798BE" w:rsidR="00383EE7" w:rsidRDefault="00177832" w:rsidP="00ED0092">
      <w:pPr>
        <w:pStyle w:val="ListNumber"/>
        <w:keepNext/>
      </w:pPr>
      <w:r>
        <w:t xml:space="preserve">If the Bill were passed in its present form it would result in </w:t>
      </w:r>
      <w:r w:rsidR="009D3657">
        <w:t xml:space="preserve">multiple overlapping </w:t>
      </w:r>
      <w:r w:rsidR="009E6273">
        <w:t xml:space="preserve">regimes </w:t>
      </w:r>
      <w:r w:rsidR="009D3657">
        <w:t xml:space="preserve">of </w:t>
      </w:r>
      <w:r w:rsidR="00FA4024">
        <w:t>PSOs</w:t>
      </w:r>
      <w:r w:rsidR="009D3657">
        <w:t xml:space="preserve">. </w:t>
      </w:r>
      <w:r w:rsidR="009E6273">
        <w:t xml:space="preserve"> </w:t>
      </w:r>
      <w:r w:rsidR="00383EE7">
        <w:t xml:space="preserve">For example, there is the potential for an offender in New South Wales to be subject to up to four </w:t>
      </w:r>
      <w:r w:rsidR="00B52029">
        <w:t>PSO</w:t>
      </w:r>
      <w:r w:rsidR="00383EE7">
        <w:t xml:space="preserve"> </w:t>
      </w:r>
      <w:r w:rsidR="00680BF6">
        <w:t xml:space="preserve">regimes </w:t>
      </w:r>
      <w:r w:rsidR="00383EE7">
        <w:t xml:space="preserve">under: </w:t>
      </w:r>
    </w:p>
    <w:p w14:paraId="2A9B79B2" w14:textId="2A1EBEBA" w:rsidR="00383EE7" w:rsidRDefault="00383EE7" w:rsidP="00383EE7">
      <w:pPr>
        <w:pStyle w:val="ListNumber"/>
        <w:numPr>
          <w:ilvl w:val="0"/>
          <w:numId w:val="39"/>
        </w:numPr>
      </w:pPr>
      <w:r>
        <w:t xml:space="preserve">the </w:t>
      </w:r>
      <w:r w:rsidRPr="005C52CF">
        <w:rPr>
          <w:i/>
          <w:iCs/>
        </w:rPr>
        <w:t>Terrorism (High Risk Offenders) Act 2017</w:t>
      </w:r>
      <w:r>
        <w:t xml:space="preserve"> (NSW)</w:t>
      </w:r>
      <w:r w:rsidR="0036713A">
        <w:rPr>
          <w:rStyle w:val="EndnoteReference"/>
        </w:rPr>
        <w:endnoteReference w:id="134"/>
      </w:r>
      <w:r w:rsidR="00B76C7D">
        <w:t xml:space="preserve"> </w:t>
      </w:r>
    </w:p>
    <w:p w14:paraId="29986C5F" w14:textId="77777777" w:rsidR="00383EE7" w:rsidRDefault="00383EE7" w:rsidP="00383EE7">
      <w:pPr>
        <w:pStyle w:val="ListNumber"/>
        <w:numPr>
          <w:ilvl w:val="0"/>
          <w:numId w:val="39"/>
        </w:numPr>
      </w:pPr>
      <w:r>
        <w:t xml:space="preserve">the </w:t>
      </w:r>
      <w:r w:rsidRPr="00A52FD9">
        <w:rPr>
          <w:i/>
        </w:rPr>
        <w:t>Crimes (High Risk Offenders) Act 2006</w:t>
      </w:r>
      <w:r>
        <w:t xml:space="preserve"> (NSW)</w:t>
      </w:r>
    </w:p>
    <w:p w14:paraId="57822FA8" w14:textId="77777777" w:rsidR="00383EE7" w:rsidRDefault="00383EE7" w:rsidP="00383EE7">
      <w:pPr>
        <w:pStyle w:val="ListNumber"/>
        <w:numPr>
          <w:ilvl w:val="0"/>
          <w:numId w:val="39"/>
        </w:numPr>
      </w:pPr>
      <w:r>
        <w:t xml:space="preserve">the control order provisions in </w:t>
      </w:r>
      <w:proofErr w:type="spellStart"/>
      <w:r>
        <w:t>Div</w:t>
      </w:r>
      <w:proofErr w:type="spellEnd"/>
      <w:r>
        <w:t xml:space="preserve"> 104 of the Criminal Code</w:t>
      </w:r>
    </w:p>
    <w:p w14:paraId="386B343F" w14:textId="77777777" w:rsidR="00383EE7" w:rsidRDefault="00383EE7" w:rsidP="00383EE7">
      <w:pPr>
        <w:pStyle w:val="ListNumber"/>
        <w:numPr>
          <w:ilvl w:val="0"/>
          <w:numId w:val="39"/>
        </w:numPr>
      </w:pPr>
      <w:r>
        <w:t>the proposed ESO provisions in the Bill.</w:t>
      </w:r>
    </w:p>
    <w:p w14:paraId="03C0242A" w14:textId="78EE875B" w:rsidR="00383EE7" w:rsidRDefault="00383EE7" w:rsidP="00383EE7">
      <w:pPr>
        <w:pStyle w:val="ListNumber"/>
      </w:pPr>
      <w:r>
        <w:t xml:space="preserve">This overregulation of the same space reinforces the Commission’s recommendations 1 to 3.  If an ESO regime is to be introduced, it should be </w:t>
      </w:r>
      <w:r w:rsidRPr="000D1427">
        <w:rPr>
          <w:i/>
          <w:iCs/>
        </w:rPr>
        <w:t>instead</w:t>
      </w:r>
      <w:r>
        <w:t xml:space="preserve"> of the current control order regime or, at the very least, the control order regime should be amended so that it does</w:t>
      </w:r>
      <w:r w:rsidR="00476FD4">
        <w:t xml:space="preserve"> </w:t>
      </w:r>
      <w:r>
        <w:t>n</w:t>
      </w:r>
      <w:r w:rsidR="00476FD4">
        <w:t>o</w:t>
      </w:r>
      <w:r>
        <w:t xml:space="preserve">t apply in the post-sentence context. </w:t>
      </w:r>
    </w:p>
    <w:p w14:paraId="507E018C" w14:textId="48F598BB" w:rsidR="00D4461F" w:rsidRDefault="0052555A" w:rsidP="007458EE">
      <w:pPr>
        <w:pStyle w:val="ListNumber"/>
      </w:pPr>
      <w:r>
        <w:t>Instead, t</w:t>
      </w:r>
      <w:r w:rsidR="00D4461F">
        <w:t xml:space="preserve">he Bill anticipates that a control order could be </w:t>
      </w:r>
      <w:r w:rsidR="00D4461F" w:rsidRPr="008909B4">
        <w:rPr>
          <w:i/>
          <w:iCs/>
        </w:rPr>
        <w:t>sought</w:t>
      </w:r>
      <w:r w:rsidR="00D4461F">
        <w:t xml:space="preserve"> while a person is</w:t>
      </w:r>
      <w:r>
        <w:t xml:space="preserve"> in custody or</w:t>
      </w:r>
      <w:r w:rsidR="00D4461F">
        <w:t xml:space="preserve"> subject to a CDO or ESO</w:t>
      </w:r>
      <w:r>
        <w:t>.  The control order would not</w:t>
      </w:r>
      <w:r w:rsidR="007458EE">
        <w:t xml:space="preserve"> begin to be </w:t>
      </w:r>
      <w:r w:rsidR="007458EE" w:rsidRPr="00894036">
        <w:rPr>
          <w:i/>
          <w:iCs/>
        </w:rPr>
        <w:t>in force</w:t>
      </w:r>
      <w:r w:rsidR="007458EE">
        <w:t xml:space="preserve"> at that time.</w:t>
      </w:r>
      <w:r w:rsidR="00FD40C9">
        <w:rPr>
          <w:rStyle w:val="EndnoteReference"/>
        </w:rPr>
        <w:endnoteReference w:id="135"/>
      </w:r>
      <w:r w:rsidR="007458EE">
        <w:t xml:space="preserve">  This would mean that the person </w:t>
      </w:r>
      <w:r w:rsidR="00040DA8">
        <w:t xml:space="preserve">would </w:t>
      </w:r>
      <w:r w:rsidR="007458EE">
        <w:t xml:space="preserve">not simultaneously be subject to two sets of Commonwealth </w:t>
      </w:r>
      <w:r w:rsidR="006B59C8">
        <w:t xml:space="preserve">post-sentence </w:t>
      </w:r>
      <w:r w:rsidR="007458EE">
        <w:t xml:space="preserve">obligations.  The control order would </w:t>
      </w:r>
      <w:r w:rsidR="00940F89">
        <w:t xml:space="preserve">only </w:t>
      </w:r>
      <w:r w:rsidR="00D4461F">
        <w:t xml:space="preserve">begin to be in force after the </w:t>
      </w:r>
      <w:r w:rsidR="007458EE">
        <w:t>person was both rele</w:t>
      </w:r>
      <w:r w:rsidR="00894036">
        <w:t xml:space="preserve">ased from custody and no longer subject to a </w:t>
      </w:r>
      <w:r w:rsidR="00D4461F">
        <w:t>CDO or ESO.</w:t>
      </w:r>
    </w:p>
    <w:p w14:paraId="10F112C1" w14:textId="50B631E0" w:rsidR="000253CE" w:rsidRDefault="000253CE" w:rsidP="007458EE">
      <w:pPr>
        <w:pStyle w:val="ListNumber"/>
      </w:pPr>
      <w:r>
        <w:t xml:space="preserve">The 12 month maximum duration of a control order commences from when the order is made (not from when it begins to be in force), meaning that </w:t>
      </w:r>
      <w:r w:rsidR="00012EC3">
        <w:t xml:space="preserve">if the control order is made while the person is subject to </w:t>
      </w:r>
      <w:r w:rsidR="00FD0603">
        <w:t xml:space="preserve">an </w:t>
      </w:r>
      <w:r w:rsidR="00012EC3">
        <w:t xml:space="preserve">ESO, </w:t>
      </w:r>
      <w:r>
        <w:t>the time will start running while the ESO is still in force</w:t>
      </w:r>
      <w:r w:rsidR="00FD0603">
        <w:t xml:space="preserve">, and </w:t>
      </w:r>
      <w:r w:rsidR="000C7DD7">
        <w:t xml:space="preserve">the control order would only be in force for </w:t>
      </w:r>
      <w:r w:rsidR="00FD0603">
        <w:t xml:space="preserve">the </w:t>
      </w:r>
      <w:r w:rsidR="000C7DD7">
        <w:t>remainder of the 12 month period after the expiry of the ESO.</w:t>
      </w:r>
      <w:r>
        <w:rPr>
          <w:rStyle w:val="EndnoteReference"/>
        </w:rPr>
        <w:endnoteReference w:id="136"/>
      </w:r>
    </w:p>
    <w:p w14:paraId="300FA23B" w14:textId="565E1B9F" w:rsidR="00040DA8" w:rsidRDefault="00040DA8" w:rsidP="00405CCB">
      <w:pPr>
        <w:pStyle w:val="ListNumber"/>
      </w:pPr>
      <w:r>
        <w:t xml:space="preserve">If a person </w:t>
      </w:r>
      <w:r w:rsidR="00130B0D">
        <w:t>is subject to a control order and is subsequently detained in custody, the control order continues to be in force</w:t>
      </w:r>
      <w:r w:rsidR="000A32C1">
        <w:t xml:space="preserve"> (even though it is difficult to see how the person could continue to comply with certain conditions such as curfew or reporting requirements</w:t>
      </w:r>
      <w:r w:rsidR="005C4B63">
        <w:t xml:space="preserve"> while in custo</w:t>
      </w:r>
      <w:r w:rsidR="00253A9E">
        <w:t>dy</w:t>
      </w:r>
      <w:r w:rsidR="000A32C1">
        <w:t>)</w:t>
      </w:r>
      <w:r w:rsidR="00256905">
        <w:t>.</w:t>
      </w:r>
      <w:r w:rsidR="00256905">
        <w:rPr>
          <w:rStyle w:val="EndnoteReference"/>
        </w:rPr>
        <w:endnoteReference w:id="137"/>
      </w:r>
    </w:p>
    <w:p w14:paraId="4303E37F" w14:textId="55567212" w:rsidR="008D6BC0" w:rsidRDefault="006D1582" w:rsidP="008D6BC0">
      <w:pPr>
        <w:pStyle w:val="ListNumber"/>
      </w:pPr>
      <w:r>
        <w:t>T</w:t>
      </w:r>
      <w:r w:rsidR="00513673">
        <w:t xml:space="preserve">he provisions </w:t>
      </w:r>
      <w:r w:rsidR="007241C3">
        <w:t xml:space="preserve">identified above </w:t>
      </w:r>
      <w:r w:rsidR="00513673">
        <w:t>prevent the conditions of a control order and an ESO operating at the same time</w:t>
      </w:r>
      <w:r w:rsidR="00551ADA">
        <w:t>.  However</w:t>
      </w:r>
      <w:r w:rsidR="00513673">
        <w:t xml:space="preserve">, </w:t>
      </w:r>
      <w:r w:rsidR="00551ADA">
        <w:t xml:space="preserve">leaving to one side </w:t>
      </w:r>
      <w:r w:rsidR="004145B5">
        <w:t xml:space="preserve">a Court’s </w:t>
      </w:r>
      <w:r w:rsidR="00AC426A">
        <w:t>inherent</w:t>
      </w:r>
      <w:r w:rsidR="004145B5">
        <w:t xml:space="preserve"> power to protect against an abuse of process, </w:t>
      </w:r>
      <w:r w:rsidR="00513673">
        <w:t>t</w:t>
      </w:r>
      <w:r w:rsidR="009C2C6E">
        <w:t xml:space="preserve">here does not appear to be any </w:t>
      </w:r>
      <w:r w:rsidR="0034103D">
        <w:t xml:space="preserve">statutory </w:t>
      </w:r>
      <w:r w:rsidR="009C2C6E">
        <w:t xml:space="preserve">provision that would prevent the concurrent operation of </w:t>
      </w:r>
      <w:r w:rsidR="00003AE8">
        <w:t xml:space="preserve">either </w:t>
      </w:r>
      <w:r w:rsidR="009C2C6E">
        <w:t xml:space="preserve">the ESO regime </w:t>
      </w:r>
      <w:r w:rsidR="00003AE8">
        <w:t xml:space="preserve">or the control order regime </w:t>
      </w:r>
      <w:r w:rsidR="008869A6">
        <w:t xml:space="preserve">on the one hand, </w:t>
      </w:r>
      <w:r w:rsidR="009C2C6E">
        <w:t xml:space="preserve">and the two </w:t>
      </w:r>
      <w:r w:rsidR="00003AE8">
        <w:t xml:space="preserve">post-sentence </w:t>
      </w:r>
      <w:r w:rsidR="009C2C6E">
        <w:t>regimes in force in New South Wales</w:t>
      </w:r>
      <w:r w:rsidR="008869A6">
        <w:t xml:space="preserve"> on the other</w:t>
      </w:r>
      <w:r w:rsidR="009C2C6E">
        <w:t>.</w:t>
      </w:r>
    </w:p>
    <w:p w14:paraId="25638BA3" w14:textId="0EFCA5CE" w:rsidR="008D6BC0" w:rsidRDefault="008D6BC0" w:rsidP="008D6BC0">
      <w:pPr>
        <w:pStyle w:val="ListNumber"/>
      </w:pPr>
      <w:r>
        <w:t xml:space="preserve">By contrast, </w:t>
      </w:r>
      <w:r w:rsidR="005A4FF8">
        <w:t xml:space="preserve">when it comes to criminal law, there are </w:t>
      </w:r>
      <w:r w:rsidR="007A7AFE">
        <w:t xml:space="preserve">both </w:t>
      </w:r>
      <w:r w:rsidR="005A4FF8">
        <w:t xml:space="preserve">common law rules that protect against double </w:t>
      </w:r>
      <w:r w:rsidR="001530FC">
        <w:t xml:space="preserve">prosecution (that is, being tried for two </w:t>
      </w:r>
      <w:r w:rsidR="00485BE9">
        <w:t xml:space="preserve">different </w:t>
      </w:r>
      <w:r w:rsidR="001530FC">
        <w:t>offences in respect of the same set of facts)</w:t>
      </w:r>
      <w:r w:rsidR="007A7AFE">
        <w:rPr>
          <w:rStyle w:val="EndnoteReference"/>
        </w:rPr>
        <w:endnoteReference w:id="138"/>
      </w:r>
      <w:r w:rsidR="007A7AFE">
        <w:t xml:space="preserve"> and statutory provisions that prevent </w:t>
      </w:r>
      <w:r w:rsidR="00441AEB">
        <w:t xml:space="preserve">a person being </w:t>
      </w:r>
      <w:r w:rsidR="00355705">
        <w:t xml:space="preserve">punished for </w:t>
      </w:r>
      <w:r w:rsidR="005675AD">
        <w:t xml:space="preserve">both </w:t>
      </w:r>
      <w:r w:rsidR="00355705">
        <w:t xml:space="preserve">State and Commonwealth </w:t>
      </w:r>
      <w:r w:rsidR="008C0EE0">
        <w:t xml:space="preserve">terrorism </w:t>
      </w:r>
      <w:r w:rsidR="00355705">
        <w:t>offences</w:t>
      </w:r>
      <w:r w:rsidR="005675AD">
        <w:t xml:space="preserve"> dealing with the same </w:t>
      </w:r>
      <w:r w:rsidR="00864DFC">
        <w:t>subject matter</w:t>
      </w:r>
      <w:r w:rsidR="00355705">
        <w:t>.</w:t>
      </w:r>
      <w:r w:rsidR="007A7AFE">
        <w:rPr>
          <w:rStyle w:val="EndnoteReference"/>
        </w:rPr>
        <w:endnoteReference w:id="139"/>
      </w:r>
    </w:p>
    <w:p w14:paraId="2BC00CE1" w14:textId="4A1AF186" w:rsidR="00CF259B" w:rsidRPr="00CF259B" w:rsidRDefault="00CF259B" w:rsidP="00CF259B">
      <w:pPr>
        <w:pStyle w:val="ListNumber"/>
        <w:keepNext/>
        <w:numPr>
          <w:ilvl w:val="0"/>
          <w:numId w:val="0"/>
        </w:numPr>
        <w:ind w:left="1094"/>
        <w:rPr>
          <w:b/>
          <w:bCs/>
        </w:rPr>
      </w:pPr>
      <w:r w:rsidRPr="00CF259B">
        <w:rPr>
          <w:b/>
          <w:bCs/>
        </w:rPr>
        <w:lastRenderedPageBreak/>
        <w:t xml:space="preserve">Recommendation </w:t>
      </w:r>
      <w:r w:rsidR="00143F1B">
        <w:rPr>
          <w:b/>
          <w:bCs/>
        </w:rPr>
        <w:t>21</w:t>
      </w:r>
    </w:p>
    <w:p w14:paraId="526218C4" w14:textId="590B01E9" w:rsidR="009C2C6E" w:rsidRDefault="00CF259B" w:rsidP="00CF259B">
      <w:pPr>
        <w:pStyle w:val="ListNumber"/>
        <w:numPr>
          <w:ilvl w:val="0"/>
          <w:numId w:val="0"/>
        </w:numPr>
        <w:ind w:left="1094"/>
      </w:pPr>
      <w:r>
        <w:t xml:space="preserve">The Commission recommends that </w:t>
      </w:r>
      <w:r w:rsidR="00E92F83">
        <w:t xml:space="preserve">the </w:t>
      </w:r>
      <w:r w:rsidR="00286D81">
        <w:t xml:space="preserve">PJCIS </w:t>
      </w:r>
      <w:r w:rsidR="00E92F83">
        <w:t xml:space="preserve">seek advice from </w:t>
      </w:r>
      <w:r w:rsidR="00286D81">
        <w:t xml:space="preserve">the Attorney-General’s Department </w:t>
      </w:r>
      <w:r w:rsidR="00E92F83">
        <w:t>about how to ensure</w:t>
      </w:r>
      <w:r w:rsidR="00BF3299">
        <w:t xml:space="preserve">, whether by amendment to the Bill or negotiation through COAG, that a person </w:t>
      </w:r>
      <w:r w:rsidR="00286D81">
        <w:t xml:space="preserve">cannot be made subject to </w:t>
      </w:r>
      <w:r w:rsidR="00040ED4">
        <w:t xml:space="preserve">both </w:t>
      </w:r>
      <w:r w:rsidR="00AB13D6">
        <w:t xml:space="preserve">the Commonwealth PSO regime </w:t>
      </w:r>
      <w:r w:rsidR="00040ED4">
        <w:t xml:space="preserve">and </w:t>
      </w:r>
      <w:r w:rsidR="00AB13D6">
        <w:t>a State or Territory PSO regime in relation to the same underlying conduct.</w:t>
      </w:r>
    </w:p>
    <w:p w14:paraId="4453F609" w14:textId="25025B6D" w:rsidR="00A17AFC" w:rsidRDefault="00777B77" w:rsidP="00A17AFC">
      <w:pPr>
        <w:pStyle w:val="Heading1"/>
      </w:pPr>
      <w:bookmarkStart w:id="37" w:name="_Toc54876169"/>
      <w:r>
        <w:t>Proposed a</w:t>
      </w:r>
      <w:r w:rsidR="00A17AFC">
        <w:t>mendment</w:t>
      </w:r>
      <w:r>
        <w:t>s</w:t>
      </w:r>
      <w:r w:rsidR="00A17AFC">
        <w:t xml:space="preserve"> to control order regime</w:t>
      </w:r>
      <w:bookmarkEnd w:id="37"/>
    </w:p>
    <w:p w14:paraId="2985D7C7" w14:textId="6094CCC9" w:rsidR="00A17AFC" w:rsidRDefault="00A17AFC" w:rsidP="00180151">
      <w:pPr>
        <w:pStyle w:val="ListNumber"/>
      </w:pPr>
      <w:r>
        <w:t xml:space="preserve">As noted above, the primary position of the Commission is that the control order regime should be repealed and replaced with </w:t>
      </w:r>
      <w:r w:rsidR="00EB5095">
        <w:t>the ESO regime recommended by the third INSLM.</w:t>
      </w:r>
    </w:p>
    <w:p w14:paraId="68A7288B" w14:textId="1B9603AD" w:rsidR="00A17AFC" w:rsidRDefault="00EB5095" w:rsidP="00180151">
      <w:pPr>
        <w:pStyle w:val="ListNumber"/>
      </w:pPr>
      <w:r>
        <w:t xml:space="preserve">However, if the control order regime is retained, the PJCIS should consider the proposed amendments to </w:t>
      </w:r>
      <w:proofErr w:type="spellStart"/>
      <w:r>
        <w:t>Div</w:t>
      </w:r>
      <w:proofErr w:type="spellEnd"/>
      <w:r>
        <w:t xml:space="preserve"> 104 in the Bill.  The Commission is concerned about </w:t>
      </w:r>
      <w:r w:rsidR="001572E8">
        <w:t xml:space="preserve">the proposed repeal of </w:t>
      </w:r>
      <w:r w:rsidR="00267C45">
        <w:t>two</w:t>
      </w:r>
      <w:r w:rsidR="001572E8">
        <w:t xml:space="preserve"> existing provisions </w:t>
      </w:r>
      <w:r w:rsidR="00326FF2">
        <w:t xml:space="preserve">in </w:t>
      </w:r>
      <w:proofErr w:type="spellStart"/>
      <w:r w:rsidR="00326FF2">
        <w:t>Div</w:t>
      </w:r>
      <w:proofErr w:type="spellEnd"/>
      <w:r w:rsidR="00326FF2">
        <w:t xml:space="preserve"> 104 that </w:t>
      </w:r>
      <w:r w:rsidR="00B7345E">
        <w:t>are there for the avoidance of doubt and that provide a benefit to respondents to control order proceedin</w:t>
      </w:r>
      <w:r w:rsidR="0056501B">
        <w:t>gs.</w:t>
      </w:r>
    </w:p>
    <w:p w14:paraId="73B34365" w14:textId="255A0161" w:rsidR="00EB5095" w:rsidRDefault="00EF3814" w:rsidP="00180151">
      <w:pPr>
        <w:pStyle w:val="ListNumber"/>
      </w:pPr>
      <w:r>
        <w:t>T</w:t>
      </w:r>
      <w:r w:rsidR="0056501B">
        <w:t xml:space="preserve">he Bill proposes to repeal </w:t>
      </w:r>
      <w:r w:rsidR="00E71206">
        <w:t>s</w:t>
      </w:r>
      <w:r w:rsidR="0056501B">
        <w:t>s 104.4(3)</w:t>
      </w:r>
      <w:r w:rsidR="00E71206">
        <w:t xml:space="preserve"> and </w:t>
      </w:r>
      <w:r w:rsidR="00C348D4">
        <w:t>104.24(3)</w:t>
      </w:r>
      <w:r>
        <w:t xml:space="preserve"> of the Criminal Code</w:t>
      </w:r>
      <w:r w:rsidR="00B30C22">
        <w:t xml:space="preserve">.  These sections </w:t>
      </w:r>
      <w:r w:rsidR="0010208E">
        <w:t xml:space="preserve">provide a prompt to </w:t>
      </w:r>
      <w:r w:rsidR="00B30C22">
        <w:t xml:space="preserve">a Court hearing an application for </w:t>
      </w:r>
      <w:r w:rsidR="00684294">
        <w:t xml:space="preserve">an interim control order (which may be </w:t>
      </w:r>
      <w:r w:rsidR="00684294" w:rsidRPr="00684294">
        <w:rPr>
          <w:i/>
          <w:iCs/>
        </w:rPr>
        <w:t xml:space="preserve">ex </w:t>
      </w:r>
      <w:proofErr w:type="spellStart"/>
      <w:r w:rsidR="00684294" w:rsidRPr="00684294">
        <w:rPr>
          <w:i/>
          <w:iCs/>
        </w:rPr>
        <w:t>parte</w:t>
      </w:r>
      <w:proofErr w:type="spellEnd"/>
      <w:r w:rsidR="00684294">
        <w:t>)</w:t>
      </w:r>
      <w:r w:rsidR="00111159">
        <w:t>,</w:t>
      </w:r>
      <w:r w:rsidR="00D4691C">
        <w:t xml:space="preserve"> or for a variation of a control order, that the Court </w:t>
      </w:r>
      <w:r w:rsidR="008466A7">
        <w:t>need not include in the order an obligation, prohibition or restriction that was sought by the AFP i</w:t>
      </w:r>
      <w:r w:rsidR="00F71B4E">
        <w:t>f</w:t>
      </w:r>
      <w:r w:rsidR="008466A7">
        <w:t xml:space="preserve"> the Court is not satisfied that </w:t>
      </w:r>
      <w:r w:rsidR="00C565DC">
        <w:t>it is necessary or proportionate.</w:t>
      </w:r>
    </w:p>
    <w:p w14:paraId="01EC24DB" w14:textId="5932C5AB" w:rsidR="00C565DC" w:rsidRDefault="00F71B4E" w:rsidP="00180151">
      <w:pPr>
        <w:pStyle w:val="ListNumber"/>
      </w:pPr>
      <w:r>
        <w:t xml:space="preserve">The </w:t>
      </w:r>
      <w:r w:rsidR="00A30487">
        <w:t xml:space="preserve">Explanatory Memorandum </w:t>
      </w:r>
      <w:r>
        <w:t xml:space="preserve">says that these provisions are </w:t>
      </w:r>
      <w:r w:rsidR="00A30487">
        <w:t xml:space="preserve">being repealed because they are </w:t>
      </w:r>
      <w:r>
        <w:t>not necessary</w:t>
      </w:r>
      <w:r w:rsidR="00A30487">
        <w:t>.</w:t>
      </w:r>
      <w:r w:rsidR="000C6A1C">
        <w:rPr>
          <w:rStyle w:val="EndnoteReference"/>
        </w:rPr>
        <w:endnoteReference w:id="140"/>
      </w:r>
      <w:r w:rsidR="00C33756">
        <w:t xml:space="preserve">  However, there are other </w:t>
      </w:r>
      <w:r w:rsidR="00A21AE2">
        <w:t xml:space="preserve">provisions </w:t>
      </w:r>
      <w:r w:rsidR="00366BEA">
        <w:t xml:space="preserve">in </w:t>
      </w:r>
      <w:proofErr w:type="spellStart"/>
      <w:r w:rsidR="00366BEA">
        <w:t>Div</w:t>
      </w:r>
      <w:proofErr w:type="spellEnd"/>
      <w:r w:rsidR="00366BEA">
        <w:t xml:space="preserve"> 104 </w:t>
      </w:r>
      <w:r w:rsidR="00A90D45">
        <w:t>that are included for the avoidance of doubt</w:t>
      </w:r>
      <w:r w:rsidR="00EB73EE">
        <w:t xml:space="preserve">, </w:t>
      </w:r>
      <w:r w:rsidR="007F4C19">
        <w:t xml:space="preserve">most </w:t>
      </w:r>
      <w:r w:rsidR="004E4C9E">
        <w:t xml:space="preserve">of </w:t>
      </w:r>
      <w:r w:rsidR="00EB73EE">
        <w:t>which are not of benefit to a respondent,</w:t>
      </w:r>
      <w:r w:rsidR="00A90D45">
        <w:t xml:space="preserve"> </w:t>
      </w:r>
      <w:r w:rsidR="00EA5E7A">
        <w:t xml:space="preserve">which </w:t>
      </w:r>
      <w:r w:rsidR="00A90D45">
        <w:t>the Bill does not propose to repeal (</w:t>
      </w:r>
      <w:proofErr w:type="spellStart"/>
      <w:r w:rsidR="00A90D45">
        <w:t>eg</w:t>
      </w:r>
      <w:proofErr w:type="spellEnd"/>
      <w:r w:rsidR="00DC261E">
        <w:t>, ss </w:t>
      </w:r>
      <w:r w:rsidR="00C120A5">
        <w:t>104.2(3A), 104.2(5)</w:t>
      </w:r>
      <w:r w:rsidR="004E4C9E">
        <w:t>, 104.5(1C)</w:t>
      </w:r>
      <w:r w:rsidR="009951A5">
        <w:t>, 104.5(2AA), 104.5(2A)</w:t>
      </w:r>
      <w:r w:rsidR="00010B84">
        <w:t>, 104.12A(3)</w:t>
      </w:r>
      <w:r w:rsidR="00E96036">
        <w:t xml:space="preserve">, 104.14(3A), </w:t>
      </w:r>
      <w:r w:rsidR="00366BEA">
        <w:t>104.23(3A)</w:t>
      </w:r>
      <w:r w:rsidR="007F4C19">
        <w:t xml:space="preserve">).  </w:t>
      </w:r>
      <w:r w:rsidR="00B1447A">
        <w:t>Further, there are other provisions contained in the Bill which are strictly not necessary</w:t>
      </w:r>
      <w:r w:rsidR="00FE0952">
        <w:t xml:space="preserve"> and yet are proposed for enactment.  The clearest example is the list of potential conditions for an ESO which</w:t>
      </w:r>
      <w:r w:rsidR="00546E00">
        <w:t>,</w:t>
      </w:r>
      <w:r w:rsidR="00FE0952">
        <w:t xml:space="preserve"> </w:t>
      </w:r>
      <w:r w:rsidR="00546E00">
        <w:t xml:space="preserve">strictly speaking, are only </w:t>
      </w:r>
      <w:r w:rsidR="00BB4AE4">
        <w:t xml:space="preserve">examples </w:t>
      </w:r>
      <w:r w:rsidR="00546E00">
        <w:t xml:space="preserve">and are unnecessary </w:t>
      </w:r>
      <w:r w:rsidR="00BB4AE4">
        <w:t xml:space="preserve">to list </w:t>
      </w:r>
      <w:r w:rsidR="00546E00">
        <w:t xml:space="preserve">in light of </w:t>
      </w:r>
      <w:r w:rsidR="00095D62">
        <w:t xml:space="preserve">the ability of a Court to make </w:t>
      </w:r>
      <w:r w:rsidR="00095D62" w:rsidRPr="0071723A">
        <w:rPr>
          <w:i/>
          <w:iCs/>
        </w:rPr>
        <w:t>any</w:t>
      </w:r>
      <w:r w:rsidR="00095D62">
        <w:t xml:space="preserve"> condition </w:t>
      </w:r>
      <w:r w:rsidR="0071723A">
        <w:t>provided it meets the test set out in proposed s 105A.7B(1)</w:t>
      </w:r>
      <w:r w:rsidR="00BB4AE4">
        <w:t>.</w:t>
      </w:r>
    </w:p>
    <w:p w14:paraId="491CDEBA" w14:textId="7AAF41D3" w:rsidR="00394054" w:rsidRPr="00394054" w:rsidRDefault="00394054" w:rsidP="00394054">
      <w:pPr>
        <w:pStyle w:val="ListNumber"/>
        <w:keepNext/>
        <w:numPr>
          <w:ilvl w:val="0"/>
          <w:numId w:val="0"/>
        </w:numPr>
        <w:ind w:left="1094"/>
        <w:rPr>
          <w:b/>
          <w:bCs/>
        </w:rPr>
      </w:pPr>
      <w:r w:rsidRPr="00394054">
        <w:rPr>
          <w:b/>
          <w:bCs/>
        </w:rPr>
        <w:t xml:space="preserve">Recommendation </w:t>
      </w:r>
      <w:r w:rsidR="008D1E80">
        <w:rPr>
          <w:b/>
          <w:bCs/>
        </w:rPr>
        <w:t>22</w:t>
      </w:r>
    </w:p>
    <w:p w14:paraId="6EBCE842" w14:textId="53337390" w:rsidR="00394054" w:rsidRDefault="00394054" w:rsidP="00846E73">
      <w:pPr>
        <w:pStyle w:val="ListNumber"/>
        <w:numPr>
          <w:ilvl w:val="0"/>
          <w:numId w:val="0"/>
        </w:numPr>
        <w:ind w:left="1094"/>
      </w:pPr>
      <w:r>
        <w:t>The Commission recommends that ss 104.4(3) and 104.24(3) of the Criminal Code</w:t>
      </w:r>
      <w:r w:rsidR="00846E73">
        <w:t xml:space="preserve">, which provide that </w:t>
      </w:r>
      <w:r>
        <w:t xml:space="preserve">the Court need not include in </w:t>
      </w:r>
      <w:r w:rsidR="00846E73">
        <w:t xml:space="preserve">a control order </w:t>
      </w:r>
      <w:r>
        <w:t>an obligation, prohibition or restriction that was sought by the AFP if the Court is not satisfied that that it is necessary or proportionate</w:t>
      </w:r>
      <w:r w:rsidR="00846E73">
        <w:t xml:space="preserve">, not be repealed. </w:t>
      </w:r>
    </w:p>
    <w:p w14:paraId="187ADBE9" w14:textId="02610B29" w:rsidR="00C52B84" w:rsidRDefault="00C52B84" w:rsidP="00C52B84">
      <w:pPr>
        <w:pStyle w:val="Heading1"/>
      </w:pPr>
      <w:bookmarkStart w:id="38" w:name="_Ref54177494"/>
      <w:bookmarkStart w:id="39" w:name="_Toc54876170"/>
      <w:r>
        <w:lastRenderedPageBreak/>
        <w:t>New monitoring powers</w:t>
      </w:r>
      <w:bookmarkEnd w:id="38"/>
      <w:bookmarkEnd w:id="39"/>
    </w:p>
    <w:p w14:paraId="55524F4A" w14:textId="5F921EF4" w:rsidR="00634C7B" w:rsidRDefault="00634C7B" w:rsidP="00C52B84">
      <w:pPr>
        <w:pStyle w:val="ListNumber"/>
      </w:pPr>
      <w:r>
        <w:t xml:space="preserve">The Bill proposes to make amendments to </w:t>
      </w:r>
      <w:r w:rsidR="006753E5">
        <w:t xml:space="preserve">permit warrants to be issued under the </w:t>
      </w:r>
      <w:r w:rsidRPr="00215556">
        <w:rPr>
          <w:i/>
          <w:iCs/>
        </w:rPr>
        <w:t>Crimes Act 1914</w:t>
      </w:r>
      <w:r>
        <w:t xml:space="preserve"> (</w:t>
      </w:r>
      <w:proofErr w:type="spellStart"/>
      <w:r>
        <w:t>Cth</w:t>
      </w:r>
      <w:proofErr w:type="spellEnd"/>
      <w:r>
        <w:t>)</w:t>
      </w:r>
      <w:r w:rsidR="006753E5">
        <w:t xml:space="preserve">, the </w:t>
      </w:r>
      <w:r w:rsidR="006753E5" w:rsidRPr="00215556">
        <w:rPr>
          <w:i/>
          <w:iCs/>
        </w:rPr>
        <w:t xml:space="preserve">Telecommunications (Interception and Access) Act </w:t>
      </w:r>
      <w:r w:rsidR="00215556" w:rsidRPr="00215556">
        <w:rPr>
          <w:i/>
          <w:iCs/>
        </w:rPr>
        <w:t>1979</w:t>
      </w:r>
      <w:r w:rsidR="00215556">
        <w:t xml:space="preserve"> (</w:t>
      </w:r>
      <w:proofErr w:type="spellStart"/>
      <w:r w:rsidR="00215556">
        <w:t>Cth</w:t>
      </w:r>
      <w:proofErr w:type="spellEnd"/>
      <w:r w:rsidR="00215556">
        <w:t xml:space="preserve">) </w:t>
      </w:r>
      <w:r w:rsidR="001B12BE">
        <w:t xml:space="preserve">(TIA Act) </w:t>
      </w:r>
      <w:r w:rsidR="00215556">
        <w:t xml:space="preserve">and the </w:t>
      </w:r>
      <w:r w:rsidR="00215556" w:rsidRPr="00215556">
        <w:rPr>
          <w:i/>
          <w:iCs/>
        </w:rPr>
        <w:t>Surveillance Devices Act 2004</w:t>
      </w:r>
      <w:r w:rsidR="00215556">
        <w:t xml:space="preserve"> (</w:t>
      </w:r>
      <w:proofErr w:type="spellStart"/>
      <w:r w:rsidR="00215556">
        <w:t>Cth</w:t>
      </w:r>
      <w:proofErr w:type="spellEnd"/>
      <w:r w:rsidR="00215556">
        <w:t xml:space="preserve">) </w:t>
      </w:r>
      <w:r w:rsidR="00D35848">
        <w:t xml:space="preserve">(SD Act) </w:t>
      </w:r>
      <w:r w:rsidR="00215556">
        <w:t xml:space="preserve">for the purpose of monitoring compliance with </w:t>
      </w:r>
      <w:r w:rsidR="001B12BE">
        <w:t>ESOs.</w:t>
      </w:r>
    </w:p>
    <w:p w14:paraId="3C533AAF" w14:textId="286E191F" w:rsidR="00C52B84" w:rsidRDefault="00C52B84" w:rsidP="00C52B84">
      <w:pPr>
        <w:pStyle w:val="ListNumber"/>
      </w:pPr>
      <w:r>
        <w:t>The existing warrant regime</w:t>
      </w:r>
      <w:r w:rsidR="00EA5E7A">
        <w:t xml:space="preserve">, which </w:t>
      </w:r>
      <w:r>
        <w:t>applies to control orders</w:t>
      </w:r>
      <w:r w:rsidR="00EA5E7A">
        <w:t>,</w:t>
      </w:r>
      <w:r>
        <w:t xml:space="preserve"> would be extended to ESOs.  This would allow police and other relevant authorities to obtain:</w:t>
      </w:r>
    </w:p>
    <w:p w14:paraId="5FFF1886" w14:textId="77777777" w:rsidR="00C52B84" w:rsidRDefault="00C52B84" w:rsidP="00C52B84">
      <w:pPr>
        <w:pStyle w:val="ListNumber"/>
        <w:numPr>
          <w:ilvl w:val="0"/>
          <w:numId w:val="39"/>
        </w:numPr>
      </w:pPr>
      <w:r>
        <w:t>a ‘monitoring warrant’ to enter and search premises owned or occupied by the relevant person</w:t>
      </w:r>
      <w:r>
        <w:rPr>
          <w:rStyle w:val="EndnoteReference"/>
        </w:rPr>
        <w:endnoteReference w:id="141"/>
      </w:r>
    </w:p>
    <w:p w14:paraId="585CBB6C" w14:textId="77777777" w:rsidR="00C52B84" w:rsidRDefault="00C52B84" w:rsidP="00C52B84">
      <w:pPr>
        <w:pStyle w:val="ListNumber"/>
        <w:numPr>
          <w:ilvl w:val="0"/>
          <w:numId w:val="39"/>
        </w:numPr>
      </w:pPr>
      <w:r>
        <w:t>a ‘monitoring warrant’ to conduct a frisk search of the person or a search of a recently used conveyance</w:t>
      </w:r>
      <w:r>
        <w:rPr>
          <w:rStyle w:val="EndnoteReference"/>
        </w:rPr>
        <w:endnoteReference w:id="142"/>
      </w:r>
    </w:p>
    <w:p w14:paraId="788F09E7" w14:textId="77777777" w:rsidR="00C52B84" w:rsidRDefault="00C52B84" w:rsidP="00C52B84">
      <w:pPr>
        <w:pStyle w:val="ListNumber"/>
        <w:numPr>
          <w:ilvl w:val="0"/>
          <w:numId w:val="39"/>
        </w:numPr>
      </w:pPr>
      <w:r>
        <w:t>a ‘Part 5.3 warrant’ to intercept communications made by the person over a telecommunications service</w:t>
      </w:r>
      <w:r>
        <w:rPr>
          <w:rStyle w:val="EndnoteReference"/>
        </w:rPr>
        <w:endnoteReference w:id="143"/>
      </w:r>
    </w:p>
    <w:p w14:paraId="227BE3CC" w14:textId="14E466BF" w:rsidR="00C52B84" w:rsidRDefault="00C52B84" w:rsidP="00C52B84">
      <w:pPr>
        <w:pStyle w:val="ListNumber"/>
        <w:numPr>
          <w:ilvl w:val="0"/>
          <w:numId w:val="39"/>
        </w:numPr>
      </w:pPr>
      <w:r>
        <w:t xml:space="preserve">a ‘Part 5.3 warrant’ for the installation and use of surveillance </w:t>
      </w:r>
      <w:r w:rsidRPr="00E71105">
        <w:t>devices</w:t>
      </w:r>
      <w:r w:rsidR="00FE7069">
        <w:t xml:space="preserve"> or </w:t>
      </w:r>
      <w:r w:rsidR="00EE27D4">
        <w:t xml:space="preserve">for </w:t>
      </w:r>
      <w:r w:rsidR="00FE7069">
        <w:t>access to computers</w:t>
      </w:r>
      <w:r w:rsidR="00713ADA" w:rsidRPr="00E71105">
        <w:rPr>
          <w:rStyle w:val="EndnoteReference"/>
        </w:rPr>
        <w:endnoteReference w:id="144"/>
      </w:r>
    </w:p>
    <w:p w14:paraId="05DECCC6" w14:textId="745F2CCB" w:rsidR="00C52B84" w:rsidRDefault="00C52B84" w:rsidP="00C52B84">
      <w:pPr>
        <w:pStyle w:val="ListNumber"/>
        <w:numPr>
          <w:ilvl w:val="0"/>
          <w:numId w:val="39"/>
        </w:numPr>
      </w:pPr>
      <w:r>
        <w:t xml:space="preserve">a tracking device authorisation, where one of the conditions of the ESO is that the person wear a tracking </w:t>
      </w:r>
      <w:r w:rsidRPr="009502A4">
        <w:t>device</w:t>
      </w:r>
      <w:r>
        <w:t>.</w:t>
      </w:r>
      <w:r w:rsidR="000935C9">
        <w:rPr>
          <w:rStyle w:val="EndnoteReference"/>
        </w:rPr>
        <w:endnoteReference w:id="145"/>
      </w:r>
    </w:p>
    <w:p w14:paraId="2861F569" w14:textId="04784E82" w:rsidR="001652BA" w:rsidRDefault="00C52B84" w:rsidP="00405CCB">
      <w:pPr>
        <w:pStyle w:val="ListNumber"/>
      </w:pPr>
      <w:r>
        <w:t xml:space="preserve">Each of these warrants </w:t>
      </w:r>
      <w:r w:rsidR="009709FD">
        <w:t xml:space="preserve">and authorisations </w:t>
      </w:r>
      <w:r>
        <w:t>may be obtained for a range of purposes including determining whether the ESO is being complied with.</w:t>
      </w:r>
      <w:r w:rsidR="00C33FE4">
        <w:t xml:space="preserve">  </w:t>
      </w:r>
    </w:p>
    <w:p w14:paraId="1044B509" w14:textId="7B207CD5" w:rsidR="00C52B84" w:rsidRDefault="00C33FE4" w:rsidP="00405CCB">
      <w:pPr>
        <w:pStyle w:val="ListNumber"/>
      </w:pPr>
      <w:r>
        <w:t>T</w:t>
      </w:r>
      <w:r w:rsidR="00C52B84">
        <w:t>hese kinds of warrants were considered briefly in the Commission’s previous submission to the PJCIS in relation to its Review of AFP Powers.</w:t>
      </w:r>
      <w:r w:rsidR="00C52B84">
        <w:rPr>
          <w:rStyle w:val="EndnoteReference"/>
        </w:rPr>
        <w:endnoteReference w:id="146"/>
      </w:r>
      <w:r w:rsidR="00C52B84">
        <w:t xml:space="preserve">  </w:t>
      </w:r>
    </w:p>
    <w:p w14:paraId="01BFB2C7" w14:textId="4D5A7ACA" w:rsidR="001652BA" w:rsidRDefault="001652BA" w:rsidP="00C52B84">
      <w:pPr>
        <w:pStyle w:val="ListNumber"/>
      </w:pPr>
      <w:r>
        <w:t xml:space="preserve">The Parliamentary Joint Committee on Human Rights noted that </w:t>
      </w:r>
      <w:r w:rsidR="00C11169">
        <w:t xml:space="preserve">it has not </w:t>
      </w:r>
      <w:r w:rsidR="00806F9C">
        <w:t xml:space="preserve">conducted a foundational human rights compatibility assessment </w:t>
      </w:r>
      <w:r w:rsidR="005E2B0A">
        <w:t xml:space="preserve">in relation to the </w:t>
      </w:r>
      <w:r w:rsidR="00C11169">
        <w:t>monitoring and surveillance powers in each of the three Acts identified above</w:t>
      </w:r>
      <w:r w:rsidR="005E2B0A">
        <w:t xml:space="preserve"> because they were all passed prior to the </w:t>
      </w:r>
      <w:r w:rsidR="005E2B0A" w:rsidRPr="005E2B0A">
        <w:rPr>
          <w:i/>
          <w:iCs/>
        </w:rPr>
        <w:t>Human Rights (Parliamentary Scrutiny) Act 2011</w:t>
      </w:r>
      <w:r w:rsidR="005E2B0A">
        <w:t xml:space="preserve"> (</w:t>
      </w:r>
      <w:proofErr w:type="spellStart"/>
      <w:r w:rsidR="005E2B0A">
        <w:t>Cth</w:t>
      </w:r>
      <w:proofErr w:type="spellEnd"/>
      <w:r w:rsidR="005E2B0A">
        <w:t>).</w:t>
      </w:r>
      <w:r w:rsidR="00CB5AED">
        <w:rPr>
          <w:rStyle w:val="EndnoteReference"/>
        </w:rPr>
        <w:endnoteReference w:id="147"/>
      </w:r>
      <w:r w:rsidR="005E2B0A">
        <w:t xml:space="preserve">  </w:t>
      </w:r>
      <w:r w:rsidR="00A74457">
        <w:t xml:space="preserve">It noted that </w:t>
      </w:r>
      <w:r w:rsidR="00435724">
        <w:t xml:space="preserve">it was </w:t>
      </w:r>
      <w:r w:rsidR="00A74457">
        <w:t xml:space="preserve">therefore difficult to assess </w:t>
      </w:r>
      <w:r w:rsidR="00435724">
        <w:t xml:space="preserve">whether the application of this regime to ESOs was consistent with human rights.  </w:t>
      </w:r>
      <w:r w:rsidR="005E2B0A">
        <w:t xml:space="preserve">In this submission, the Commission does not </w:t>
      </w:r>
      <w:r w:rsidR="00A74457">
        <w:t xml:space="preserve">intend to </w:t>
      </w:r>
      <w:r w:rsidR="00634EF6">
        <w:t xml:space="preserve">comprehensively </w:t>
      </w:r>
      <w:r w:rsidR="00435724">
        <w:t xml:space="preserve">analyse whether the existing warrant system is consistent with human rights, including the right to privacy.  Instead, the Commission makes two </w:t>
      </w:r>
      <w:r w:rsidR="00C626A1">
        <w:t>points.</w:t>
      </w:r>
    </w:p>
    <w:p w14:paraId="36E1C654" w14:textId="02154083" w:rsidR="00C52B84" w:rsidRDefault="00C626A1" w:rsidP="00C52B84">
      <w:pPr>
        <w:pStyle w:val="ListNumber"/>
      </w:pPr>
      <w:r w:rsidRPr="00991F31">
        <w:rPr>
          <w:b/>
          <w:bCs/>
        </w:rPr>
        <w:t>First</w:t>
      </w:r>
      <w:r>
        <w:t>, t</w:t>
      </w:r>
      <w:r w:rsidR="00C52B84">
        <w:t xml:space="preserve">he extension of these warrants to ESOs needs to be taken into account when considering the proposal in the Bill that conditions could be imposed on an ESO requiring an offender to give consent to various matters including entry by police into their home.  </w:t>
      </w:r>
      <w:r>
        <w:t xml:space="preserve">If warrants can be obtained, there is </w:t>
      </w:r>
      <w:r w:rsidR="00493A25">
        <w:t xml:space="preserve">far </w:t>
      </w:r>
      <w:r>
        <w:t xml:space="preserve">less justification for imposing conditions in ESOs that require people to consent to actions that could be achieved </w:t>
      </w:r>
      <w:r w:rsidR="001A47D6">
        <w:t xml:space="preserve">either through genuine consent or </w:t>
      </w:r>
      <w:r>
        <w:t xml:space="preserve">pursuant to a warrant.  </w:t>
      </w:r>
      <w:r w:rsidR="00C52B84">
        <w:t xml:space="preserve">These issues are considered in more detail in section </w:t>
      </w:r>
      <w:r w:rsidR="00C52B84">
        <w:fldChar w:fldCharType="begin"/>
      </w:r>
      <w:r w:rsidR="00C52B84">
        <w:instrText xml:space="preserve"> REF _Ref54103909 \w \h </w:instrText>
      </w:r>
      <w:r w:rsidR="00C52B84">
        <w:fldChar w:fldCharType="separate"/>
      </w:r>
      <w:r w:rsidR="004E2F67">
        <w:t>7.3(f)</w:t>
      </w:r>
      <w:r w:rsidR="00C52B84">
        <w:fldChar w:fldCharType="end"/>
      </w:r>
      <w:r w:rsidR="00C52B84">
        <w:t xml:space="preserve"> </w:t>
      </w:r>
      <w:r w:rsidR="00E34FF2">
        <w:t>above</w:t>
      </w:r>
      <w:r w:rsidR="00C52B84">
        <w:t>.</w:t>
      </w:r>
      <w:r w:rsidR="0012742F">
        <w:t xml:space="preserve">  The </w:t>
      </w:r>
      <w:r w:rsidR="00217EE6">
        <w:t xml:space="preserve">extraordinary nature of authorisation of warrantless entry to premises was </w:t>
      </w:r>
      <w:r w:rsidR="00217EE6">
        <w:lastRenderedPageBreak/>
        <w:t xml:space="preserve">discussed </w:t>
      </w:r>
      <w:r w:rsidR="000C1B22">
        <w:t>in more detail in the Commission’s submission to the PJCIS Review of AFP Powers.</w:t>
      </w:r>
      <w:r w:rsidR="00C00577">
        <w:rPr>
          <w:rStyle w:val="EndnoteReference"/>
        </w:rPr>
        <w:endnoteReference w:id="148"/>
      </w:r>
    </w:p>
    <w:p w14:paraId="0D07CADC" w14:textId="562E2207" w:rsidR="0026374A" w:rsidRDefault="000C1B22" w:rsidP="00C52B84">
      <w:pPr>
        <w:pStyle w:val="ListNumber"/>
      </w:pPr>
      <w:r w:rsidRPr="00991F31">
        <w:rPr>
          <w:b/>
          <w:bCs/>
        </w:rPr>
        <w:t>Secondly</w:t>
      </w:r>
      <w:r>
        <w:t xml:space="preserve">, </w:t>
      </w:r>
      <w:r w:rsidR="00333C71">
        <w:t xml:space="preserve">in addition to </w:t>
      </w:r>
      <w:r w:rsidR="00E34FF2">
        <w:t>t</w:t>
      </w:r>
      <w:r w:rsidR="00C52B84">
        <w:t>he Bill extend</w:t>
      </w:r>
      <w:r w:rsidR="00333C71">
        <w:t>ing</w:t>
      </w:r>
      <w:r w:rsidR="00C52B84">
        <w:t xml:space="preserve"> the use of telecommunications interception</w:t>
      </w:r>
      <w:r w:rsidR="00550EC5">
        <w:t>,</w:t>
      </w:r>
      <w:r w:rsidR="00C52B84">
        <w:t xml:space="preserve"> </w:t>
      </w:r>
      <w:r w:rsidR="00817200">
        <w:t xml:space="preserve">surveillance devices </w:t>
      </w:r>
      <w:r w:rsidR="00550EC5">
        <w:t xml:space="preserve">and computer access </w:t>
      </w:r>
      <w:r w:rsidR="00B02375">
        <w:t xml:space="preserve">warrants </w:t>
      </w:r>
      <w:r w:rsidR="00333C71">
        <w:t xml:space="preserve">to </w:t>
      </w:r>
      <w:r w:rsidR="00C52B84" w:rsidRPr="002742C1">
        <w:rPr>
          <w:i/>
          <w:iCs/>
        </w:rPr>
        <w:t>monitor compliance</w:t>
      </w:r>
      <w:r w:rsidR="00C52B84">
        <w:t xml:space="preserve"> with a control order or </w:t>
      </w:r>
      <w:r w:rsidR="00D9382B">
        <w:t xml:space="preserve">an </w:t>
      </w:r>
      <w:r w:rsidR="00C52B84">
        <w:t xml:space="preserve">ESO while the offender is in the community, </w:t>
      </w:r>
      <w:r w:rsidR="00333C71">
        <w:t xml:space="preserve">the Bill would also create </w:t>
      </w:r>
      <w:r w:rsidR="00A842B4">
        <w:t xml:space="preserve">a </w:t>
      </w:r>
      <w:r w:rsidR="00333C71">
        <w:t xml:space="preserve">new class of warrants.  The new class of warrants would </w:t>
      </w:r>
      <w:r w:rsidR="00C52B84">
        <w:t xml:space="preserve">allow </w:t>
      </w:r>
      <w:r w:rsidR="008B4BE0">
        <w:t xml:space="preserve">the AFP </w:t>
      </w:r>
      <w:r w:rsidR="00C52B84">
        <w:t xml:space="preserve">to </w:t>
      </w:r>
      <w:r w:rsidR="008B4BE0">
        <w:t>obtain information in relation to a person in custody</w:t>
      </w:r>
      <w:r w:rsidR="007C5583">
        <w:t>,</w:t>
      </w:r>
      <w:r w:rsidR="008B4BE0">
        <w:t xml:space="preserve"> who </w:t>
      </w:r>
      <w:r w:rsidR="002D33CA">
        <w:t xml:space="preserve">had committed an offence that meant they </w:t>
      </w:r>
      <w:r w:rsidR="00182433">
        <w:t xml:space="preserve">could qualify for a Commonwealth post-sentence order, </w:t>
      </w:r>
      <w:r w:rsidR="008B4BE0">
        <w:t xml:space="preserve">for the purpose of </w:t>
      </w:r>
      <w:r w:rsidR="00C52B84">
        <w:t>determin</w:t>
      </w:r>
      <w:r w:rsidR="008B4BE0">
        <w:t>ing</w:t>
      </w:r>
      <w:r w:rsidR="00C52B84">
        <w:t xml:space="preserve"> </w:t>
      </w:r>
      <w:r w:rsidR="00C52B84" w:rsidRPr="006521C2">
        <w:rPr>
          <w:i/>
          <w:iCs/>
        </w:rPr>
        <w:t>whether to apply</w:t>
      </w:r>
      <w:r w:rsidR="00C52B84">
        <w:t xml:space="preserve"> for a </w:t>
      </w:r>
      <w:r w:rsidR="00182433">
        <w:t xml:space="preserve">such an </w:t>
      </w:r>
      <w:r w:rsidR="00C52B84">
        <w:t>order.</w:t>
      </w:r>
      <w:r w:rsidR="00C52B84">
        <w:rPr>
          <w:rStyle w:val="EndnoteReference"/>
        </w:rPr>
        <w:endnoteReference w:id="149"/>
      </w:r>
      <w:r w:rsidR="00C52B84">
        <w:t xml:space="preserve">  </w:t>
      </w:r>
    </w:p>
    <w:p w14:paraId="217B22FC" w14:textId="312079A8" w:rsidR="0063363E" w:rsidRDefault="00646B8E" w:rsidP="00C52B84">
      <w:pPr>
        <w:pStyle w:val="ListNumber"/>
      </w:pPr>
      <w:r>
        <w:t xml:space="preserve">Before assessing the nature of this new class of warrants, it is important to appreciate that </w:t>
      </w:r>
      <w:r w:rsidR="00B20D7C">
        <w:t xml:space="preserve">law enforcement agencies already have extensive </w:t>
      </w:r>
      <w:r w:rsidR="00774196">
        <w:t xml:space="preserve">investigatory </w:t>
      </w:r>
      <w:r w:rsidR="00B20D7C">
        <w:t xml:space="preserve">powers </w:t>
      </w:r>
      <w:r w:rsidR="0008114C">
        <w:t>which include</w:t>
      </w:r>
      <w:r w:rsidR="0063363E">
        <w:t>:</w:t>
      </w:r>
    </w:p>
    <w:p w14:paraId="1D1F1EA9" w14:textId="142BB62B" w:rsidR="00167601" w:rsidRDefault="00167601" w:rsidP="0063363E">
      <w:pPr>
        <w:pStyle w:val="ListNumber"/>
        <w:numPr>
          <w:ilvl w:val="0"/>
          <w:numId w:val="39"/>
        </w:numPr>
      </w:pPr>
      <w:r>
        <w:t xml:space="preserve">in the case of ASIO, </w:t>
      </w:r>
      <w:r w:rsidR="0008114C">
        <w:t xml:space="preserve">obtaining </w:t>
      </w:r>
      <w:r>
        <w:t xml:space="preserve">telecommunications interception warrants if </w:t>
      </w:r>
      <w:r w:rsidR="002B3E29">
        <w:t xml:space="preserve">the Director-General of Security </w:t>
      </w:r>
      <w:r w:rsidR="00750F7F">
        <w:t>reasonably suspect</w:t>
      </w:r>
      <w:r w:rsidR="002B3E29">
        <w:t>s</w:t>
      </w:r>
      <w:r w:rsidR="00750F7F">
        <w:t xml:space="preserve"> that </w:t>
      </w:r>
      <w:r w:rsidR="00DC73E4">
        <w:t>a person is likely to engage in activities in the future that would be prejudicial to security</w:t>
      </w:r>
      <w:r w:rsidR="007D5ACC">
        <w:t>.</w:t>
      </w:r>
      <w:r w:rsidR="00A249E2">
        <w:rPr>
          <w:rStyle w:val="EndnoteReference"/>
        </w:rPr>
        <w:endnoteReference w:id="150"/>
      </w:r>
      <w:r w:rsidR="007D5ACC">
        <w:t xml:space="preserve">  Acts prejudicial to security include politically motivated violence.</w:t>
      </w:r>
      <w:r w:rsidR="002821D5">
        <w:rPr>
          <w:rStyle w:val="EndnoteReference"/>
        </w:rPr>
        <w:endnoteReference w:id="151"/>
      </w:r>
    </w:p>
    <w:p w14:paraId="05030A2D" w14:textId="4A5FBE5C" w:rsidR="00BC5DF9" w:rsidRDefault="00DC73E4" w:rsidP="0063363E">
      <w:pPr>
        <w:pStyle w:val="ListNumber"/>
        <w:numPr>
          <w:ilvl w:val="0"/>
          <w:numId w:val="39"/>
        </w:numPr>
      </w:pPr>
      <w:r>
        <w:t xml:space="preserve">in the case of </w:t>
      </w:r>
      <w:r w:rsidR="00A249E2">
        <w:t>certain other law enforcement agencies,</w:t>
      </w:r>
      <w:r w:rsidR="00B20D7C">
        <w:t xml:space="preserve"> </w:t>
      </w:r>
      <w:r w:rsidR="00BB2091">
        <w:t xml:space="preserve">obtaining </w:t>
      </w:r>
      <w:r w:rsidR="00B20D7C">
        <w:t>surveillance device</w:t>
      </w:r>
      <w:r w:rsidR="000F663F">
        <w:t>s</w:t>
      </w:r>
      <w:r w:rsidR="00B20D7C">
        <w:t xml:space="preserve"> and computer access</w:t>
      </w:r>
      <w:r w:rsidR="007769AF">
        <w:t xml:space="preserve"> warrants if they have reasonable grounds to suspect that a</w:t>
      </w:r>
      <w:r w:rsidR="00C17932">
        <w:t xml:space="preserve"> relevant</w:t>
      </w:r>
      <w:r w:rsidR="007769AF">
        <w:t xml:space="preserve"> offence </w:t>
      </w:r>
      <w:r w:rsidR="00C17932">
        <w:t>is likely to be committed</w:t>
      </w:r>
      <w:r w:rsidR="00EC5062">
        <w:t xml:space="preserve"> in the future</w:t>
      </w:r>
      <w:r w:rsidR="00C17932">
        <w:t>.</w:t>
      </w:r>
      <w:r w:rsidR="00217748">
        <w:rPr>
          <w:rStyle w:val="EndnoteReference"/>
        </w:rPr>
        <w:endnoteReference w:id="152"/>
      </w:r>
      <w:r w:rsidR="00EC5062">
        <w:t xml:space="preserve">  </w:t>
      </w:r>
      <w:r w:rsidR="00494CA2">
        <w:t xml:space="preserve">A </w:t>
      </w:r>
      <w:r w:rsidR="00B15A5B">
        <w:t>serious Part 5.3 offence is a relevant offence.</w:t>
      </w:r>
      <w:r w:rsidR="00B15A5B">
        <w:rPr>
          <w:rStyle w:val="EndnoteReference"/>
        </w:rPr>
        <w:endnoteReference w:id="153"/>
      </w:r>
    </w:p>
    <w:p w14:paraId="725ABEFA" w14:textId="07F13CA5" w:rsidR="0026374A" w:rsidRDefault="00C95931" w:rsidP="00C52B84">
      <w:pPr>
        <w:pStyle w:val="ListNumber"/>
      </w:pPr>
      <w:r>
        <w:t xml:space="preserve">The Bill </w:t>
      </w:r>
      <w:r w:rsidR="00F34EB1">
        <w:t xml:space="preserve">would </w:t>
      </w:r>
      <w:r>
        <w:t>create a new class of warrants that can be obtained in relation to a person in custody who has been convicted of a</w:t>
      </w:r>
      <w:r w:rsidR="009A2272">
        <w:t xml:space="preserve">n offence that would mean that the PSO regime could apply to them.  The purpose of these warrants </w:t>
      </w:r>
      <w:r w:rsidR="00417C9E">
        <w:t xml:space="preserve">is not to </w:t>
      </w:r>
      <w:r w:rsidR="0063507B">
        <w:t xml:space="preserve">obtain evidence </w:t>
      </w:r>
      <w:r w:rsidR="006C082A">
        <w:t xml:space="preserve">for the purpose of investigating and preventing </w:t>
      </w:r>
      <w:r w:rsidR="00684A02">
        <w:t xml:space="preserve">acts of terrorism </w:t>
      </w:r>
      <w:r w:rsidR="00FB5FF9">
        <w:t xml:space="preserve">that </w:t>
      </w:r>
      <w:r w:rsidR="00684A02">
        <w:t xml:space="preserve">are </w:t>
      </w:r>
      <w:r w:rsidR="00417C9E">
        <w:t xml:space="preserve">reasonably suspected of </w:t>
      </w:r>
      <w:r w:rsidR="00684A02">
        <w:t>happen</w:t>
      </w:r>
      <w:r w:rsidR="00417C9E">
        <w:t>ing</w:t>
      </w:r>
      <w:r w:rsidR="00684A02">
        <w:t xml:space="preserve"> in the future</w:t>
      </w:r>
      <w:r w:rsidR="0063507B">
        <w:t xml:space="preserve"> </w:t>
      </w:r>
      <w:r w:rsidR="00417C9E">
        <w:t>– such powers already exist.  Instead, the purp</w:t>
      </w:r>
      <w:r w:rsidR="006F1A69">
        <w:t>ose of these warrants appears to be to fish for evidence</w:t>
      </w:r>
      <w:r w:rsidR="004E6231">
        <w:t xml:space="preserve"> that could support an application for a PSO</w:t>
      </w:r>
      <w:r w:rsidR="006F1A69">
        <w:t>, on a much lower standard</w:t>
      </w:r>
      <w:r w:rsidR="009E63E3">
        <w:t xml:space="preserve"> tha</w:t>
      </w:r>
      <w:r w:rsidR="002171BE">
        <w:t>n</w:t>
      </w:r>
      <w:r w:rsidR="009E63E3">
        <w:t xml:space="preserve"> applies for either </w:t>
      </w:r>
      <w:r w:rsidR="004E6231">
        <w:t xml:space="preserve">monitoring warrants or warrants for the investigation </w:t>
      </w:r>
      <w:r w:rsidR="002171BE">
        <w:t>of a terrorism offence</w:t>
      </w:r>
      <w:r w:rsidR="006F1A69">
        <w:t xml:space="preserve">. </w:t>
      </w:r>
    </w:p>
    <w:p w14:paraId="0E8256DD" w14:textId="66270C8C" w:rsidR="00C52B84" w:rsidRDefault="009F40FA" w:rsidP="00C52B84">
      <w:pPr>
        <w:pStyle w:val="ListNumber"/>
      </w:pPr>
      <w:r>
        <w:t>T</w:t>
      </w:r>
      <w:r w:rsidR="00C52B84">
        <w:t xml:space="preserve">he threshold for obtaining a warrant </w:t>
      </w:r>
      <w:r>
        <w:t xml:space="preserve">in relation to a person in custody </w:t>
      </w:r>
      <w:r w:rsidR="00C52B84">
        <w:t>would be reduced in a variety of ways</w:t>
      </w:r>
      <w:r w:rsidR="006F4440">
        <w:t xml:space="preserve"> when compared with the monitoring warrants that currently apply in relation to control orders: </w:t>
      </w:r>
    </w:p>
    <w:p w14:paraId="394B27AA" w14:textId="1E4773A5" w:rsidR="00C52B84" w:rsidRDefault="00C52B84" w:rsidP="00C52B84">
      <w:pPr>
        <w:pStyle w:val="ListNumber"/>
        <w:numPr>
          <w:ilvl w:val="0"/>
          <w:numId w:val="39"/>
        </w:numPr>
      </w:pPr>
      <w:r>
        <w:t xml:space="preserve">First, it would be sufficient that there are ‘reasonable grounds to suspect that there is an </w:t>
      </w:r>
      <w:r w:rsidRPr="00B87EB5">
        <w:rPr>
          <w:i/>
          <w:iCs/>
        </w:rPr>
        <w:t>appreciable risk</w:t>
      </w:r>
      <w:r>
        <w:t xml:space="preserve"> of the person committing a serious Part 5.3 offence’.</w:t>
      </w:r>
      <w:r>
        <w:rPr>
          <w:rStyle w:val="EndnoteReference"/>
        </w:rPr>
        <w:endnoteReference w:id="154"/>
      </w:r>
      <w:r>
        <w:t xml:space="preserve">  The </w:t>
      </w:r>
      <w:r w:rsidR="00F34EB1">
        <w:t xml:space="preserve">threshold </w:t>
      </w:r>
      <w:r>
        <w:t>of an ‘appreciable risk’ is not one that is used anywhere else in either the Criminal Code</w:t>
      </w:r>
      <w:r w:rsidR="00822BB3">
        <w:t>,</w:t>
      </w:r>
      <w:r>
        <w:t xml:space="preserve"> the TIA Act</w:t>
      </w:r>
      <w:r w:rsidR="00822BB3">
        <w:t xml:space="preserve"> or the SD Act</w:t>
      </w:r>
      <w:r>
        <w:t xml:space="preserve">.  </w:t>
      </w:r>
      <w:r w:rsidR="00A92F35">
        <w:t xml:space="preserve">It is lower than the </w:t>
      </w:r>
      <w:r w:rsidR="00F34EB1">
        <w:t xml:space="preserve">threshold </w:t>
      </w:r>
      <w:r w:rsidR="00A92F35">
        <w:t xml:space="preserve">required when agencies are </w:t>
      </w:r>
      <w:proofErr w:type="gramStart"/>
      <w:r w:rsidR="00A92F35">
        <w:t>actually investigating</w:t>
      </w:r>
      <w:proofErr w:type="gramEnd"/>
      <w:r w:rsidR="00A92F35">
        <w:t xml:space="preserve"> potential future wrongdoing</w:t>
      </w:r>
      <w:r w:rsidR="00041406">
        <w:t xml:space="preserve"> (</w:t>
      </w:r>
      <w:r w:rsidR="006A2AFA">
        <w:t xml:space="preserve">where the relevant </w:t>
      </w:r>
      <w:r w:rsidR="00F34EB1">
        <w:t xml:space="preserve">test </w:t>
      </w:r>
      <w:r w:rsidR="006A2AFA">
        <w:t xml:space="preserve">is </w:t>
      </w:r>
      <w:r w:rsidR="0079750F">
        <w:t xml:space="preserve">a </w:t>
      </w:r>
      <w:r w:rsidR="00FF6263">
        <w:t>reasonable suspicion that a relevant offence is likely to be committed)</w:t>
      </w:r>
      <w:r w:rsidR="00A92F35">
        <w:t xml:space="preserve">.  </w:t>
      </w:r>
      <w:r w:rsidR="00290EB6">
        <w:t xml:space="preserve">It </w:t>
      </w:r>
      <w:r>
        <w:t xml:space="preserve">appears to be a very low bar to clear, particularly bearing in mind that in order for a PSO to be </w:t>
      </w:r>
      <w:r>
        <w:lastRenderedPageBreak/>
        <w:t xml:space="preserve">made, the Court must be satisfied that there is an ‘unacceptable risk’ of the person committing such an offence.  </w:t>
      </w:r>
    </w:p>
    <w:p w14:paraId="133D7443" w14:textId="77777777" w:rsidR="00C52B84" w:rsidRDefault="00C52B84" w:rsidP="00C52B84">
      <w:pPr>
        <w:pStyle w:val="ListNumber"/>
        <w:numPr>
          <w:ilvl w:val="0"/>
          <w:numId w:val="39"/>
        </w:numPr>
      </w:pPr>
      <w:r>
        <w:t>Secondly, unlike the case with monitoring warrants, it would be sufficient that the information likely to be obtained would be ‘likely to assist’ (rather than ‘likely to substantially assist’) in determining whether to apply for a PSO.</w:t>
      </w:r>
      <w:r>
        <w:rPr>
          <w:rStyle w:val="EndnoteReference"/>
        </w:rPr>
        <w:endnoteReference w:id="155"/>
      </w:r>
      <w:r>
        <w:t xml:space="preserve"> </w:t>
      </w:r>
    </w:p>
    <w:p w14:paraId="37A1D71A" w14:textId="4AA44796" w:rsidR="00C52B84" w:rsidRDefault="00C52B84" w:rsidP="00C52B84">
      <w:pPr>
        <w:pStyle w:val="ListNumber"/>
        <w:numPr>
          <w:ilvl w:val="0"/>
          <w:numId w:val="39"/>
        </w:numPr>
      </w:pPr>
      <w:r>
        <w:t xml:space="preserve">Thirdly, unlike the case with monitoring warrants, there would be no requirement </w:t>
      </w:r>
      <w:r w:rsidR="00EA5995">
        <w:t xml:space="preserve">to consider whether </w:t>
      </w:r>
      <w:r>
        <w:t xml:space="preserve">the use of the warrant in relation to a person in </w:t>
      </w:r>
      <w:r w:rsidR="006253E5">
        <w:t>custody</w:t>
      </w:r>
      <w:r>
        <w:t xml:space="preserve"> </w:t>
      </w:r>
      <w:r w:rsidR="00EA5995">
        <w:t xml:space="preserve">is </w:t>
      </w:r>
      <w:r>
        <w:t xml:space="preserve">the means of obtaining evidence that is likely to have the least interference with </w:t>
      </w:r>
      <w:r w:rsidR="00EA5995">
        <w:t>any</w:t>
      </w:r>
      <w:r>
        <w:t xml:space="preserve"> person’s privacy.</w:t>
      </w:r>
      <w:r w:rsidRPr="00793C0C">
        <w:rPr>
          <w:rStyle w:val="EndnoteReference"/>
        </w:rPr>
        <w:endnoteReference w:id="156"/>
      </w:r>
      <w:r>
        <w:t xml:space="preserve">  That is, it would be permissible to resort to monitoring a person’s phone calls</w:t>
      </w:r>
      <w:r w:rsidR="00B80E1D">
        <w:t xml:space="preserve"> or placing </w:t>
      </w:r>
      <w:r w:rsidR="00845240">
        <w:t xml:space="preserve">surveillance devices in their </w:t>
      </w:r>
      <w:r w:rsidR="00F34EB1">
        <w:t xml:space="preserve">prison </w:t>
      </w:r>
      <w:r w:rsidR="00845240">
        <w:t>cell</w:t>
      </w:r>
      <w:r>
        <w:t>, even if relevant evidence could be obtained in a way that did not interfere so significantly with the person’s privacy.  There are obvious concerns about a lack of proportionality in such a provision.  If evidence can be obtained in a way that involves less interference with a person’s human rights, this option should be taken.</w:t>
      </w:r>
    </w:p>
    <w:p w14:paraId="56C5D317" w14:textId="3950F0FF" w:rsidR="00C52B84" w:rsidRDefault="00C52B84" w:rsidP="00C52B84">
      <w:pPr>
        <w:pStyle w:val="ListNumber"/>
      </w:pPr>
      <w:r>
        <w:t xml:space="preserve">The argument put forward in the Explanatory Memorandum in favour of the lower threshold for obtaining warrants in relation to people in detention is counterintuitive.  The suggestion is that a </w:t>
      </w:r>
      <w:r w:rsidRPr="00641561">
        <w:rPr>
          <w:i/>
          <w:iCs/>
        </w:rPr>
        <w:t>lower</w:t>
      </w:r>
      <w:r>
        <w:t xml:space="preserve"> threshold should apply when seeking a warrant in relation to a terrorist offender in custody where there has not yet been any assessment that the person poses a risk to the community warranting the making of an ESO, in comparison to the threshold that applies when seeking a warrant in relation to a terrorist offender who is subject to an ESO because they have </w:t>
      </w:r>
      <w:r w:rsidR="00DE2746">
        <w:t xml:space="preserve">already </w:t>
      </w:r>
      <w:r>
        <w:t>been found to pose an unacceptable risk.</w:t>
      </w:r>
      <w:r w:rsidRPr="0035423C">
        <w:rPr>
          <w:rStyle w:val="EndnoteReference"/>
        </w:rPr>
        <w:endnoteReference w:id="157"/>
      </w:r>
    </w:p>
    <w:p w14:paraId="10C7F97B" w14:textId="4186E1B9" w:rsidR="00DA3441" w:rsidRDefault="00372991" w:rsidP="00C52B84">
      <w:pPr>
        <w:pStyle w:val="ListNumber"/>
      </w:pPr>
      <w:r>
        <w:t>T</w:t>
      </w:r>
      <w:r w:rsidR="00A54B72">
        <w:t>he impact of the lower threshold for obtaining a warrant in relation to a person in custody is compounded by the fact</w:t>
      </w:r>
      <w:r w:rsidR="00605717">
        <w:t xml:space="preserve"> that</w:t>
      </w:r>
      <w:r w:rsidR="00FC78BC">
        <w:t xml:space="preserve">, unlike </w:t>
      </w:r>
      <w:r w:rsidR="00605717">
        <w:t xml:space="preserve">the case with </w:t>
      </w:r>
      <w:r w:rsidR="00E36B80">
        <w:t xml:space="preserve">monitoring </w:t>
      </w:r>
      <w:r w:rsidR="00FC78BC">
        <w:t>warrants</w:t>
      </w:r>
      <w:r w:rsidR="00E36B80">
        <w:t>,</w:t>
      </w:r>
      <w:r w:rsidR="00FB5C61">
        <w:rPr>
          <w:rStyle w:val="EndnoteReference"/>
        </w:rPr>
        <w:endnoteReference w:id="158"/>
      </w:r>
      <w:r w:rsidR="00FC78BC">
        <w:t xml:space="preserve"> </w:t>
      </w:r>
      <w:r w:rsidR="00790FC6">
        <w:t xml:space="preserve">no amendment is proposed to require law enforcement to </w:t>
      </w:r>
      <w:r w:rsidR="00730ECA">
        <w:t xml:space="preserve">revoke </w:t>
      </w:r>
      <w:r w:rsidR="00D86112">
        <w:t xml:space="preserve">a </w:t>
      </w:r>
      <w:r w:rsidR="00790FC6">
        <w:t xml:space="preserve">surveillance device </w:t>
      </w:r>
      <w:r w:rsidR="00D86112">
        <w:t xml:space="preserve">warrant </w:t>
      </w:r>
      <w:r w:rsidR="00E80BC6">
        <w:t xml:space="preserve">or computer access warrant </w:t>
      </w:r>
      <w:r w:rsidR="00790FC6">
        <w:t xml:space="preserve">once the purpose for obtaining the </w:t>
      </w:r>
      <w:r w:rsidR="004F5B12">
        <w:t>information</w:t>
      </w:r>
      <w:r w:rsidR="00790FC6">
        <w:t xml:space="preserve"> </w:t>
      </w:r>
      <w:r w:rsidR="003E688B">
        <w:t xml:space="preserve">or data </w:t>
      </w:r>
      <w:r w:rsidR="00790FC6">
        <w:t xml:space="preserve">has been served.  The rationale </w:t>
      </w:r>
      <w:r w:rsidR="004F5B12">
        <w:t xml:space="preserve">for this </w:t>
      </w:r>
      <w:r w:rsidR="00790FC6">
        <w:t xml:space="preserve">given in the Explanatory Memorandum is </w:t>
      </w:r>
      <w:r w:rsidR="003C3153">
        <w:t>‘to ensure relevant information can continue to be gathered prior to the determination of the application’ for a P</w:t>
      </w:r>
      <w:r w:rsidR="00834F2E">
        <w:t>S</w:t>
      </w:r>
      <w:r w:rsidR="003C3153">
        <w:t>O.</w:t>
      </w:r>
      <w:r w:rsidR="003C3153">
        <w:rPr>
          <w:rStyle w:val="EndnoteReference"/>
        </w:rPr>
        <w:endnoteReference w:id="159"/>
      </w:r>
      <w:r w:rsidR="004B7280">
        <w:t xml:space="preserve">  This reinforces the view that these warrants amount to a fishing exercise.  </w:t>
      </w:r>
      <w:r w:rsidR="00332B32">
        <w:t xml:space="preserve">Once granted, there is no event that would require </w:t>
      </w:r>
      <w:r w:rsidR="00022C07">
        <w:t>these warrants</w:t>
      </w:r>
      <w:r w:rsidR="00332B32">
        <w:t xml:space="preserve"> to be revoked while a person is still in custody.  They </w:t>
      </w:r>
      <w:r w:rsidR="00D902DB">
        <w:t xml:space="preserve">would </w:t>
      </w:r>
      <w:r w:rsidR="00332B32">
        <w:t xml:space="preserve">continue </w:t>
      </w:r>
      <w:r w:rsidR="00D902DB">
        <w:t>in force</w:t>
      </w:r>
      <w:r w:rsidR="00CE19B4">
        <w:t xml:space="preserve"> regardless of whether or not any information was obtained that would support an application for a PSO</w:t>
      </w:r>
      <w:r w:rsidR="00FA163B">
        <w:t xml:space="preserve">, </w:t>
      </w:r>
      <w:r w:rsidR="00C604C0">
        <w:t>and</w:t>
      </w:r>
      <w:r w:rsidR="00FA163B">
        <w:t xml:space="preserve"> even in circumstances where </w:t>
      </w:r>
      <w:r w:rsidR="0064793B">
        <w:t xml:space="preserve">there were no reasonable grounds for suspecting that the person would </w:t>
      </w:r>
      <w:r w:rsidR="00C604C0">
        <w:t>commit a serious Part 5.3 offence in the future</w:t>
      </w:r>
      <w:r w:rsidR="00CE19B4">
        <w:t>.</w:t>
      </w:r>
    </w:p>
    <w:p w14:paraId="6E8E5810" w14:textId="1B5A63C9" w:rsidR="006E0A9C" w:rsidRDefault="006E0A9C" w:rsidP="00C52B84">
      <w:pPr>
        <w:pStyle w:val="ListNumber"/>
      </w:pPr>
      <w:r>
        <w:t xml:space="preserve">The Commission considers that </w:t>
      </w:r>
      <w:r w:rsidR="00D17A8F">
        <w:t xml:space="preserve">speculatively building a case for a PSO is not a sufficient basis for </w:t>
      </w:r>
      <w:r w:rsidR="004840F7">
        <w:t>a new class of warrants.</w:t>
      </w:r>
    </w:p>
    <w:p w14:paraId="59C07EE6" w14:textId="71C3F63F" w:rsidR="00C44AF5" w:rsidRPr="00C44AF5" w:rsidRDefault="00C44AF5" w:rsidP="00C44AF5">
      <w:pPr>
        <w:pStyle w:val="ListNumber"/>
        <w:keepNext/>
        <w:numPr>
          <w:ilvl w:val="0"/>
          <w:numId w:val="0"/>
        </w:numPr>
        <w:ind w:left="1094"/>
        <w:rPr>
          <w:b/>
          <w:bCs/>
        </w:rPr>
      </w:pPr>
      <w:r w:rsidRPr="00C44AF5">
        <w:rPr>
          <w:b/>
          <w:bCs/>
        </w:rPr>
        <w:t xml:space="preserve">Recommendation </w:t>
      </w:r>
      <w:r w:rsidR="002C48E0">
        <w:rPr>
          <w:b/>
          <w:bCs/>
        </w:rPr>
        <w:t>23</w:t>
      </w:r>
    </w:p>
    <w:p w14:paraId="2B1EE2F1" w14:textId="0BADB75E" w:rsidR="00C44AF5" w:rsidRDefault="00C44AF5" w:rsidP="00C44AF5">
      <w:pPr>
        <w:pStyle w:val="ListNumber"/>
        <w:numPr>
          <w:ilvl w:val="0"/>
          <w:numId w:val="0"/>
        </w:numPr>
        <w:ind w:left="1094"/>
      </w:pPr>
      <w:r>
        <w:t xml:space="preserve">The Commission recommends that </w:t>
      </w:r>
      <w:r w:rsidR="00E200AF">
        <w:t xml:space="preserve">the </w:t>
      </w:r>
      <w:r w:rsidR="00FC0C62">
        <w:t xml:space="preserve">provisions in the Bill to amend the </w:t>
      </w:r>
      <w:r w:rsidR="00FC0C62" w:rsidRPr="00F57B5E">
        <w:rPr>
          <w:i/>
          <w:iCs/>
        </w:rPr>
        <w:t>Telecommunications (Interception and Access) Act 1979</w:t>
      </w:r>
      <w:r w:rsidR="00FC0C62">
        <w:t xml:space="preserve"> (</w:t>
      </w:r>
      <w:proofErr w:type="spellStart"/>
      <w:r w:rsidR="00FC0C62">
        <w:t>Cth</w:t>
      </w:r>
      <w:proofErr w:type="spellEnd"/>
      <w:r w:rsidR="00FC0C62">
        <w:t xml:space="preserve">) and the </w:t>
      </w:r>
      <w:r w:rsidR="00FC0C62" w:rsidRPr="00F57B5E">
        <w:rPr>
          <w:i/>
          <w:iCs/>
        </w:rPr>
        <w:t xml:space="preserve">Surveillance </w:t>
      </w:r>
      <w:r w:rsidR="00FC0C62" w:rsidRPr="00F57B5E">
        <w:rPr>
          <w:i/>
          <w:iCs/>
        </w:rPr>
        <w:lastRenderedPageBreak/>
        <w:t>Devices Act 2004</w:t>
      </w:r>
      <w:r w:rsidR="00FC0C62">
        <w:t xml:space="preserve"> (</w:t>
      </w:r>
      <w:proofErr w:type="spellStart"/>
      <w:r w:rsidR="00FC0C62">
        <w:t>Cth</w:t>
      </w:r>
      <w:proofErr w:type="spellEnd"/>
      <w:r w:rsidR="00FC0C62">
        <w:t xml:space="preserve">) to create a new class of warrants </w:t>
      </w:r>
      <w:r w:rsidR="00F57B5E">
        <w:t>for post-sentence order applications be removed.</w:t>
      </w:r>
    </w:p>
    <w:p w14:paraId="7E40009A" w14:textId="31882AAE" w:rsidR="00C52B84" w:rsidRPr="00A447A6" w:rsidRDefault="00C52B84" w:rsidP="00C52B84">
      <w:pPr>
        <w:pStyle w:val="ListNumber"/>
        <w:keepNext/>
        <w:numPr>
          <w:ilvl w:val="0"/>
          <w:numId w:val="0"/>
        </w:numPr>
        <w:ind w:left="1094"/>
        <w:rPr>
          <w:b/>
          <w:bCs/>
        </w:rPr>
      </w:pPr>
      <w:r w:rsidRPr="00A447A6">
        <w:rPr>
          <w:b/>
          <w:bCs/>
        </w:rPr>
        <w:t xml:space="preserve">Recommendation </w:t>
      </w:r>
      <w:r w:rsidR="002C48E0">
        <w:rPr>
          <w:b/>
          <w:bCs/>
        </w:rPr>
        <w:t>24</w:t>
      </w:r>
    </w:p>
    <w:p w14:paraId="78641FAF" w14:textId="6C29E813" w:rsidR="00C52B84" w:rsidRDefault="00F57B5E" w:rsidP="00C52B84">
      <w:pPr>
        <w:pStyle w:val="ListNumber"/>
        <w:numPr>
          <w:ilvl w:val="0"/>
          <w:numId w:val="0"/>
        </w:numPr>
        <w:ind w:left="1094"/>
      </w:pPr>
      <w:r>
        <w:t xml:space="preserve">If Recommendation </w:t>
      </w:r>
      <w:r w:rsidR="002C48E0">
        <w:t>23</w:t>
      </w:r>
      <w:r>
        <w:t xml:space="preserve"> is not accepted, t</w:t>
      </w:r>
      <w:r w:rsidR="00C52B84">
        <w:t xml:space="preserve">he Commission recommends that </w:t>
      </w:r>
      <w:r w:rsidR="008514A1">
        <w:t>the provision</w:t>
      </w:r>
      <w:r w:rsidR="00D92CAB">
        <w:t>s</w:t>
      </w:r>
      <w:r w:rsidR="00172617">
        <w:t xml:space="preserve"> </w:t>
      </w:r>
      <w:r w:rsidR="0062522C">
        <w:t xml:space="preserve">proposed </w:t>
      </w:r>
      <w:r w:rsidR="00172617">
        <w:t xml:space="preserve">to be inserted into </w:t>
      </w:r>
      <w:r w:rsidR="00D92CAB">
        <w:t>s</w:t>
      </w:r>
      <w:r w:rsidR="00093AB6">
        <w:t>s</w:t>
      </w:r>
      <w:r w:rsidR="00D92CAB">
        <w:t xml:space="preserve"> 46 and 46(A) of the </w:t>
      </w:r>
      <w:r w:rsidR="00D92CAB" w:rsidRPr="00D92CAB">
        <w:rPr>
          <w:i/>
          <w:iCs/>
        </w:rPr>
        <w:t>Telecommunications (Interception and Access) Act 1979</w:t>
      </w:r>
      <w:r w:rsidR="00D92CAB">
        <w:t xml:space="preserve"> (</w:t>
      </w:r>
      <w:proofErr w:type="spellStart"/>
      <w:r w:rsidR="00D92CAB">
        <w:t>Cth</w:t>
      </w:r>
      <w:proofErr w:type="spellEnd"/>
      <w:r w:rsidR="00D92CAB">
        <w:t>)</w:t>
      </w:r>
      <w:r w:rsidR="008303C3">
        <w:t>,</w:t>
      </w:r>
      <w:r w:rsidR="00D92CAB">
        <w:t xml:space="preserve"> </w:t>
      </w:r>
      <w:r w:rsidR="00172617">
        <w:t>dealing with warrants sought for post-sentence order applications</w:t>
      </w:r>
      <w:r w:rsidR="008303C3">
        <w:t>,</w:t>
      </w:r>
      <w:r w:rsidR="00172617">
        <w:t xml:space="preserve"> </w:t>
      </w:r>
      <w:r w:rsidR="00D92CAB">
        <w:t xml:space="preserve">be amended </w:t>
      </w:r>
      <w:r w:rsidR="00952A44">
        <w:t xml:space="preserve">to require </w:t>
      </w:r>
      <w:r w:rsidR="00F8376F">
        <w:t>the issuing authority to be satisfied that</w:t>
      </w:r>
      <w:r w:rsidR="0096125D">
        <w:t xml:space="preserve">: </w:t>
      </w:r>
    </w:p>
    <w:p w14:paraId="51FC325F" w14:textId="637C77F2" w:rsidR="0096125D" w:rsidRDefault="0096125D" w:rsidP="005D4F8D">
      <w:pPr>
        <w:pStyle w:val="ListNumber"/>
        <w:numPr>
          <w:ilvl w:val="0"/>
          <w:numId w:val="0"/>
        </w:numPr>
        <w:ind w:left="1440" w:hanging="346"/>
      </w:pPr>
      <w:r>
        <w:t>(a)</w:t>
      </w:r>
      <w:r>
        <w:tab/>
      </w:r>
      <w:r w:rsidR="00F8376F">
        <w:t xml:space="preserve">there are reasonable grounds to suspect that there is </w:t>
      </w:r>
      <w:r w:rsidR="005D4F8D">
        <w:t xml:space="preserve">an </w:t>
      </w:r>
      <w:r w:rsidR="005D4F8D" w:rsidRPr="005D4F8D">
        <w:rPr>
          <w:u w:val="single"/>
        </w:rPr>
        <w:t>unacceptable</w:t>
      </w:r>
      <w:r w:rsidR="005D4F8D">
        <w:t xml:space="preserve"> risk of the person committing a serious Part 5.3 offence</w:t>
      </w:r>
      <w:r w:rsidR="00084AD9">
        <w:t xml:space="preserve"> (see proposed ss </w:t>
      </w:r>
      <w:r w:rsidR="00E70158">
        <w:t>46(7)(f) and 46A(2</w:t>
      </w:r>
      <w:proofErr w:type="gramStart"/>
      <w:r w:rsidR="00E70158">
        <w:t>C)(</w:t>
      </w:r>
      <w:proofErr w:type="gramEnd"/>
      <w:r w:rsidR="00E70158">
        <w:t>f))</w:t>
      </w:r>
      <w:r w:rsidR="00D17E1C">
        <w:t>; and</w:t>
      </w:r>
    </w:p>
    <w:p w14:paraId="03C90B48" w14:textId="39125C0D" w:rsidR="005D4F8D" w:rsidRDefault="005D4F8D" w:rsidP="00262E10">
      <w:pPr>
        <w:pStyle w:val="ListNumber"/>
        <w:numPr>
          <w:ilvl w:val="0"/>
          <w:numId w:val="0"/>
        </w:numPr>
        <w:ind w:left="1440" w:hanging="346"/>
      </w:pPr>
      <w:r>
        <w:t>(b)</w:t>
      </w:r>
      <w:r>
        <w:tab/>
      </w:r>
      <w:r w:rsidR="00262E10">
        <w:t xml:space="preserve">information that would be likely to be obtained </w:t>
      </w:r>
      <w:r w:rsidR="00F83C5E">
        <w:t xml:space="preserve">would be likely to </w:t>
      </w:r>
      <w:r w:rsidR="00F83C5E" w:rsidRPr="008C6802">
        <w:rPr>
          <w:u w:val="single"/>
        </w:rPr>
        <w:t>substantially</w:t>
      </w:r>
      <w:r w:rsidR="00F83C5E">
        <w:t xml:space="preserve"> assist </w:t>
      </w:r>
      <w:r w:rsidR="008C6802">
        <w:t>in determining whether to apply for the post-sentence order (see proposed ss 46(7)(h) and 46A(2</w:t>
      </w:r>
      <w:proofErr w:type="gramStart"/>
      <w:r w:rsidR="008C6802">
        <w:t>C)(</w:t>
      </w:r>
      <w:proofErr w:type="gramEnd"/>
      <w:r w:rsidR="008C6802">
        <w:t>h))</w:t>
      </w:r>
    </w:p>
    <w:p w14:paraId="10623019" w14:textId="7B5011CB" w:rsidR="00D17E1C" w:rsidRDefault="00D17E1C" w:rsidP="00262E10">
      <w:pPr>
        <w:pStyle w:val="ListNumber"/>
        <w:numPr>
          <w:ilvl w:val="0"/>
          <w:numId w:val="0"/>
        </w:numPr>
        <w:ind w:left="1440" w:hanging="346"/>
      </w:pPr>
      <w:r>
        <w:t xml:space="preserve">and that the issuing authority </w:t>
      </w:r>
      <w:r w:rsidR="00337ADD">
        <w:t>must have regard to:</w:t>
      </w:r>
    </w:p>
    <w:p w14:paraId="42F0EAF9" w14:textId="56542C7F" w:rsidR="008C6802" w:rsidRDefault="00DD308A" w:rsidP="00262E10">
      <w:pPr>
        <w:pStyle w:val="ListNumber"/>
        <w:numPr>
          <w:ilvl w:val="0"/>
          <w:numId w:val="0"/>
        </w:numPr>
        <w:ind w:left="1440" w:hanging="346"/>
      </w:pPr>
      <w:r>
        <w:t>(c)</w:t>
      </w:r>
      <w:r>
        <w:tab/>
      </w:r>
      <w:r w:rsidR="00337ADD">
        <w:t>whether intercepting communications under the warrant</w:t>
      </w:r>
      <w:r w:rsidR="00843991">
        <w:t xml:space="preserve"> would be the method that is likely to have the least interference with any person’s privacy</w:t>
      </w:r>
      <w:r w:rsidR="00D3736C">
        <w:t xml:space="preserve"> (</w:t>
      </w:r>
      <w:r w:rsidR="003C6B1A">
        <w:t>see proposed ss 46(8) and 46A(2</w:t>
      </w:r>
      <w:r w:rsidR="00B81577">
        <w:t>D</w:t>
      </w:r>
      <w:r w:rsidR="003C6B1A">
        <w:t>)</w:t>
      </w:r>
      <w:r w:rsidR="00B81577">
        <w:t>)</w:t>
      </w:r>
      <w:r w:rsidR="00843991">
        <w:t>.</w:t>
      </w:r>
    </w:p>
    <w:p w14:paraId="74978767" w14:textId="7E972C7E" w:rsidR="002D1F41" w:rsidRPr="00A447A6" w:rsidRDefault="002D1F41" w:rsidP="002D1F41">
      <w:pPr>
        <w:pStyle w:val="ListNumber"/>
        <w:keepNext/>
        <w:numPr>
          <w:ilvl w:val="0"/>
          <w:numId w:val="0"/>
        </w:numPr>
        <w:ind w:left="1094"/>
        <w:rPr>
          <w:b/>
          <w:bCs/>
        </w:rPr>
      </w:pPr>
      <w:r w:rsidRPr="00A447A6">
        <w:rPr>
          <w:b/>
          <w:bCs/>
        </w:rPr>
        <w:t xml:space="preserve">Recommendation </w:t>
      </w:r>
      <w:r w:rsidR="001C1A8D">
        <w:rPr>
          <w:b/>
          <w:bCs/>
        </w:rPr>
        <w:t>25</w:t>
      </w:r>
    </w:p>
    <w:p w14:paraId="7432627E" w14:textId="35C570BF" w:rsidR="002D1F41" w:rsidRDefault="00F57B5E" w:rsidP="002D1F41">
      <w:pPr>
        <w:pStyle w:val="ListNumber"/>
        <w:numPr>
          <w:ilvl w:val="0"/>
          <w:numId w:val="0"/>
        </w:numPr>
        <w:ind w:left="1094"/>
      </w:pPr>
      <w:r>
        <w:t xml:space="preserve">If Recommendation </w:t>
      </w:r>
      <w:r w:rsidR="001C1A8D">
        <w:t>23</w:t>
      </w:r>
      <w:r>
        <w:t xml:space="preserve"> is not accepted, t</w:t>
      </w:r>
      <w:r w:rsidR="002D1F41">
        <w:t xml:space="preserve">he Commission recommends that the provisions proposed to be inserted into </w:t>
      </w:r>
      <w:r w:rsidR="000B7317">
        <w:t>s</w:t>
      </w:r>
      <w:r w:rsidR="002D1F41">
        <w:t>s </w:t>
      </w:r>
      <w:r w:rsidR="00C9735D">
        <w:t>14</w:t>
      </w:r>
      <w:r w:rsidR="000B7317">
        <w:t xml:space="preserve"> and 27A</w:t>
      </w:r>
      <w:r w:rsidR="002D1F41">
        <w:t xml:space="preserve"> of the </w:t>
      </w:r>
      <w:r w:rsidR="00C9735D" w:rsidRPr="00C9735D">
        <w:rPr>
          <w:i/>
          <w:iCs/>
        </w:rPr>
        <w:t>Surveillance Devices</w:t>
      </w:r>
      <w:r w:rsidR="00C9735D">
        <w:t xml:space="preserve"> </w:t>
      </w:r>
      <w:r w:rsidR="002D1F41" w:rsidRPr="00D92CAB">
        <w:rPr>
          <w:i/>
          <w:iCs/>
        </w:rPr>
        <w:t xml:space="preserve">Act </w:t>
      </w:r>
      <w:r w:rsidR="00C9735D">
        <w:rPr>
          <w:i/>
          <w:iCs/>
        </w:rPr>
        <w:t xml:space="preserve">2004 </w:t>
      </w:r>
      <w:r w:rsidR="002D1F41">
        <w:t>(</w:t>
      </w:r>
      <w:proofErr w:type="spellStart"/>
      <w:r w:rsidR="002D1F41">
        <w:t>Cth</w:t>
      </w:r>
      <w:proofErr w:type="spellEnd"/>
      <w:r w:rsidR="002D1F41">
        <w:t>)</w:t>
      </w:r>
      <w:r w:rsidR="00991E13">
        <w:t>,</w:t>
      </w:r>
      <w:r w:rsidR="002D1F41">
        <w:t xml:space="preserve"> dealing with warrants sought for post-sentence order applications</w:t>
      </w:r>
      <w:r w:rsidR="00991E13">
        <w:t>,</w:t>
      </w:r>
      <w:r w:rsidR="002D1F41">
        <w:t xml:space="preserve"> be amended to require the </w:t>
      </w:r>
      <w:r w:rsidR="007628D8">
        <w:t xml:space="preserve">law enforcement officer applying for the warrant </w:t>
      </w:r>
      <w:r w:rsidR="002D1F41">
        <w:t xml:space="preserve">to be satisfied that: </w:t>
      </w:r>
    </w:p>
    <w:p w14:paraId="4BF96127" w14:textId="60809C1D" w:rsidR="002D1F41" w:rsidRDefault="002D1F41" w:rsidP="002D1F41">
      <w:pPr>
        <w:pStyle w:val="ListNumber"/>
        <w:numPr>
          <w:ilvl w:val="0"/>
          <w:numId w:val="0"/>
        </w:numPr>
        <w:ind w:left="1440" w:hanging="346"/>
      </w:pPr>
      <w:r>
        <w:t>(a)</w:t>
      </w:r>
      <w:r>
        <w:tab/>
        <w:t xml:space="preserve">there are reasonable grounds to suspect that there is an </w:t>
      </w:r>
      <w:r w:rsidRPr="005D4F8D">
        <w:rPr>
          <w:u w:val="single"/>
        </w:rPr>
        <w:t>unacceptable</w:t>
      </w:r>
      <w:r>
        <w:t xml:space="preserve"> risk of the person committing a serious Part 5.3 offence (see proposed ss </w:t>
      </w:r>
      <w:r w:rsidR="00102FF8">
        <w:t>14(</w:t>
      </w:r>
      <w:r w:rsidR="00D63BA2">
        <w:t>3</w:t>
      </w:r>
      <w:proofErr w:type="gramStart"/>
      <w:r w:rsidR="00D63BA2">
        <w:t>BA)(</w:t>
      </w:r>
      <w:proofErr w:type="gramEnd"/>
      <w:r w:rsidR="00D63BA2">
        <w:t>c)</w:t>
      </w:r>
      <w:r w:rsidR="0053545D">
        <w:t xml:space="preserve"> and 27A(5A)(c)</w:t>
      </w:r>
      <w:r>
        <w:t>); and</w:t>
      </w:r>
    </w:p>
    <w:p w14:paraId="3910E5DE" w14:textId="5A6B0A6C" w:rsidR="002D1F41" w:rsidRDefault="002D1F41" w:rsidP="002D1F41">
      <w:pPr>
        <w:pStyle w:val="ListNumber"/>
        <w:numPr>
          <w:ilvl w:val="0"/>
          <w:numId w:val="0"/>
        </w:numPr>
        <w:ind w:left="1440" w:hanging="346"/>
      </w:pPr>
      <w:r>
        <w:t>(b)</w:t>
      </w:r>
      <w:r>
        <w:tab/>
      </w:r>
      <w:r w:rsidR="00723F7F">
        <w:t xml:space="preserve">the use of a surveillance device </w:t>
      </w:r>
      <w:r w:rsidR="00E81DE9">
        <w:t xml:space="preserve">or access to the data </w:t>
      </w:r>
      <w:r>
        <w:t xml:space="preserve">would be likely to </w:t>
      </w:r>
      <w:r w:rsidRPr="008C6802">
        <w:rPr>
          <w:u w:val="single"/>
        </w:rPr>
        <w:t>substantially</w:t>
      </w:r>
      <w:r>
        <w:t xml:space="preserve"> assist in determining whether to apply for the post-sentence order (see proposed ss </w:t>
      </w:r>
      <w:r w:rsidR="00052430">
        <w:t>14(3BA)(e)</w:t>
      </w:r>
      <w:r w:rsidR="0053545D">
        <w:t xml:space="preserve"> and </w:t>
      </w:r>
      <w:r w:rsidR="00B619AC">
        <w:t>27A(5A)(e)</w:t>
      </w:r>
      <w:r>
        <w:t>)</w:t>
      </w:r>
    </w:p>
    <w:p w14:paraId="584F412D" w14:textId="3EA7F5A9" w:rsidR="002D1F41" w:rsidRPr="00EC3F83" w:rsidRDefault="00455E7B" w:rsidP="00455E7B">
      <w:pPr>
        <w:pStyle w:val="ListNumber"/>
        <w:numPr>
          <w:ilvl w:val="0"/>
          <w:numId w:val="0"/>
        </w:numPr>
        <w:ind w:left="1094"/>
      </w:pPr>
      <w:r>
        <w:t>a</w:t>
      </w:r>
      <w:r w:rsidR="002D1F41" w:rsidRPr="00EC3F83">
        <w:t>nd</w:t>
      </w:r>
      <w:r w:rsidR="009C2607">
        <w:t xml:space="preserve">, in addition to the matters </w:t>
      </w:r>
      <w:r>
        <w:t>in subsection 16(2)</w:t>
      </w:r>
      <w:r w:rsidR="009047E9">
        <w:t xml:space="preserve"> </w:t>
      </w:r>
      <w:r w:rsidR="00DF2BA4">
        <w:t>or 27</w:t>
      </w:r>
      <w:proofErr w:type="gramStart"/>
      <w:r w:rsidR="00DF2BA4">
        <w:t>C(</w:t>
      </w:r>
      <w:proofErr w:type="gramEnd"/>
      <w:r w:rsidR="00DF2BA4">
        <w:t>2)</w:t>
      </w:r>
      <w:r>
        <w:t>,</w:t>
      </w:r>
      <w:r w:rsidR="002D1F41" w:rsidRPr="00EC3F83">
        <w:t xml:space="preserve"> the issuing authority must have regard to:</w:t>
      </w:r>
    </w:p>
    <w:p w14:paraId="738438C8" w14:textId="31AA4993" w:rsidR="002D1F41" w:rsidRDefault="002D1F41" w:rsidP="002D1F41">
      <w:pPr>
        <w:pStyle w:val="ListNumber"/>
        <w:numPr>
          <w:ilvl w:val="0"/>
          <w:numId w:val="0"/>
        </w:numPr>
        <w:ind w:left="1440" w:hanging="346"/>
      </w:pPr>
      <w:r w:rsidRPr="00EC3F83">
        <w:t>(c)</w:t>
      </w:r>
      <w:r w:rsidRPr="00EC3F83">
        <w:tab/>
        <w:t xml:space="preserve">whether </w:t>
      </w:r>
      <w:r w:rsidR="005A20D9">
        <w:t xml:space="preserve">the use of the surveillance device </w:t>
      </w:r>
      <w:r w:rsidR="00CB61F3">
        <w:t xml:space="preserve">or access to the data </w:t>
      </w:r>
      <w:r w:rsidR="005A20D9">
        <w:t xml:space="preserve">in accordance with the warrant </w:t>
      </w:r>
      <w:r w:rsidR="001A27F8">
        <w:t xml:space="preserve">would be the means of obtaining the evidence or information sought to be obtained, that is likely to have the </w:t>
      </w:r>
      <w:r w:rsidRPr="00EC3F83">
        <w:t>least interference with any person’s privacy.</w:t>
      </w:r>
    </w:p>
    <w:p w14:paraId="342073A3" w14:textId="79B33600" w:rsidR="00C52B84" w:rsidRDefault="00C52B84" w:rsidP="00C52B84">
      <w:pPr>
        <w:pStyle w:val="ListNumber"/>
      </w:pPr>
      <w:r>
        <w:t xml:space="preserve">The Bill would </w:t>
      </w:r>
      <w:r w:rsidR="000421EE">
        <w:t xml:space="preserve">also </w:t>
      </w:r>
      <w:r>
        <w:t xml:space="preserve">extend the use of </w:t>
      </w:r>
      <w:r w:rsidR="00EB26CB">
        <w:t>information</w:t>
      </w:r>
      <w:r w:rsidR="007B1602">
        <w:t xml:space="preserve"> obtained pursuant to a </w:t>
      </w:r>
      <w:r>
        <w:t>telecommunications interception warrant</w:t>
      </w:r>
      <w:r w:rsidR="0025076B">
        <w:t>,</w:t>
      </w:r>
      <w:r>
        <w:t xml:space="preserve"> </w:t>
      </w:r>
      <w:r w:rsidR="007137A8">
        <w:t xml:space="preserve">a surveillance devices warrant </w:t>
      </w:r>
      <w:r w:rsidR="0025076B">
        <w:t xml:space="preserve">or a computer access warrant </w:t>
      </w:r>
      <w:r>
        <w:t xml:space="preserve">to </w:t>
      </w:r>
      <w:r w:rsidR="005B784C">
        <w:t xml:space="preserve">allow lawfully </w:t>
      </w:r>
      <w:r w:rsidR="0027544D">
        <w:t xml:space="preserve">acquired </w:t>
      </w:r>
      <w:r w:rsidR="00DA09A8">
        <w:t xml:space="preserve">information to be used, not </w:t>
      </w:r>
      <w:r w:rsidR="00DA09A8">
        <w:lastRenderedPageBreak/>
        <w:t xml:space="preserve">only </w:t>
      </w:r>
      <w:r w:rsidR="00D16013">
        <w:t xml:space="preserve">for purposes </w:t>
      </w:r>
      <w:r w:rsidR="008D46D0">
        <w:t xml:space="preserve">connected with </w:t>
      </w:r>
      <w:r w:rsidR="00DA09A8">
        <w:t xml:space="preserve">control orders or </w:t>
      </w:r>
      <w:r w:rsidR="007A0A32">
        <w:t>Commonwealth P</w:t>
      </w:r>
      <w:r w:rsidR="00DA09A8">
        <w:t xml:space="preserve">SOs, but also </w:t>
      </w:r>
      <w:r w:rsidR="008D46D0">
        <w:t xml:space="preserve">for purposes, including </w:t>
      </w:r>
      <w:r w:rsidR="00EB26CB">
        <w:t xml:space="preserve">in </w:t>
      </w:r>
      <w:r w:rsidR="008D46D0">
        <w:t xml:space="preserve">legal </w:t>
      </w:r>
      <w:r w:rsidR="00DA09A8">
        <w:t>proceedings</w:t>
      </w:r>
      <w:r w:rsidR="008D46D0">
        <w:t>, connecte</w:t>
      </w:r>
      <w:r w:rsidR="00110225">
        <w:t xml:space="preserve">d with </w:t>
      </w:r>
      <w:r w:rsidR="00DA09A8">
        <w:t xml:space="preserve">State and Territory </w:t>
      </w:r>
      <w:r w:rsidR="007A0A32">
        <w:t>CDOs and ESOs.</w:t>
      </w:r>
      <w:r w:rsidR="00110225" w:rsidRPr="00CB33CC">
        <w:rPr>
          <w:rStyle w:val="EndnoteReference"/>
        </w:rPr>
        <w:endnoteReference w:id="160"/>
      </w:r>
      <w:r w:rsidR="007A0A32">
        <w:t xml:space="preserve"> </w:t>
      </w:r>
    </w:p>
    <w:p w14:paraId="5C00FFD1" w14:textId="38DC563B" w:rsidR="00C52B84" w:rsidRDefault="00C52B84" w:rsidP="00C52B84">
      <w:pPr>
        <w:pStyle w:val="Heading1"/>
      </w:pPr>
      <w:bookmarkStart w:id="40" w:name="_Toc54876171"/>
      <w:r>
        <w:t>Use of special advocates</w:t>
      </w:r>
      <w:bookmarkEnd w:id="40"/>
    </w:p>
    <w:p w14:paraId="5AC5F006" w14:textId="75E9E2EA" w:rsidR="000C2FFC" w:rsidRDefault="00221614" w:rsidP="000C2FFC">
      <w:pPr>
        <w:pStyle w:val="ListNumber"/>
      </w:pPr>
      <w:r>
        <w:t xml:space="preserve">The Bill </w:t>
      </w:r>
      <w:r w:rsidR="0023234C">
        <w:t>would</w:t>
      </w:r>
      <w:r w:rsidR="006C4445">
        <w:t xml:space="preserve"> extend the </w:t>
      </w:r>
      <w:r w:rsidR="00875273">
        <w:t xml:space="preserve">regime under the </w:t>
      </w:r>
      <w:r w:rsidR="00875273" w:rsidRPr="000C2FFC">
        <w:rPr>
          <w:i/>
          <w:iCs/>
        </w:rPr>
        <w:t>National Security Information (Criminal and Civil Proceedings) Act 2004</w:t>
      </w:r>
      <w:r w:rsidR="00FD59C7">
        <w:t xml:space="preserve"> (</w:t>
      </w:r>
      <w:proofErr w:type="spellStart"/>
      <w:r w:rsidR="00FD59C7">
        <w:t>Cth</w:t>
      </w:r>
      <w:proofErr w:type="spellEnd"/>
      <w:r w:rsidR="00FD59C7">
        <w:t>) (NSI Act)</w:t>
      </w:r>
      <w:r w:rsidR="00104F8C">
        <w:t>, which</w:t>
      </w:r>
      <w:r w:rsidR="00FD59C7">
        <w:t xml:space="preserve"> applies to control orders</w:t>
      </w:r>
      <w:r w:rsidR="00104F8C">
        <w:t>,</w:t>
      </w:r>
      <w:r w:rsidR="00FD59C7">
        <w:t xml:space="preserve"> to also apply to ESOs.  The regime permits orders to be made </w:t>
      </w:r>
      <w:r w:rsidR="00D05C72">
        <w:t xml:space="preserve">under s 38J of the NSI Act </w:t>
      </w:r>
      <w:r w:rsidR="00FD59C7">
        <w:t xml:space="preserve">that </w:t>
      </w:r>
      <w:r w:rsidR="003A6E2A">
        <w:t>allow the Court hearing a control order proceeding to consider national security information that is withheld from the respondent.</w:t>
      </w:r>
      <w:r w:rsidR="000C2FFC">
        <w:t xml:space="preserve">  These provisions of the Bill substantially implement a recommendation of the third INSLM.</w:t>
      </w:r>
      <w:r w:rsidR="000C2FFC">
        <w:rPr>
          <w:rStyle w:val="EndnoteReference"/>
        </w:rPr>
        <w:endnoteReference w:id="161"/>
      </w:r>
    </w:p>
    <w:p w14:paraId="400AA09B" w14:textId="28E003A2" w:rsidR="001F5A04" w:rsidRDefault="009476A9" w:rsidP="001F5A04">
      <w:pPr>
        <w:pStyle w:val="ListNumber"/>
      </w:pPr>
      <w:r>
        <w:t>Appropriately, t</w:t>
      </w:r>
      <w:r w:rsidR="001F5A04">
        <w:t>he Bill does not extend this regime to applications for CDOs on the basis that the potential outcome of a CDO proceeding—ongoing detention—is much more severe</w:t>
      </w:r>
      <w:r w:rsidR="002551B8">
        <w:t xml:space="preserve"> and is more analogous to a criminal </w:t>
      </w:r>
      <w:r w:rsidR="00AC7AB2">
        <w:t>sanction</w:t>
      </w:r>
      <w:r w:rsidR="001F5A04">
        <w:t>, and the withholding of relevant information from a respondent</w:t>
      </w:r>
      <w:r w:rsidR="006E0A6B">
        <w:t xml:space="preserve"> in those circumstances</w:t>
      </w:r>
      <w:r w:rsidR="001F5A04">
        <w:t xml:space="preserve"> could not be justified.</w:t>
      </w:r>
      <w:r w:rsidR="00E839CF">
        <w:rPr>
          <w:rStyle w:val="EndnoteReference"/>
        </w:rPr>
        <w:endnoteReference w:id="162"/>
      </w:r>
    </w:p>
    <w:p w14:paraId="2200DC99" w14:textId="09A0D999" w:rsidR="00FB4DC4" w:rsidRDefault="00FB4DC4" w:rsidP="00FB4DC4">
      <w:pPr>
        <w:pStyle w:val="ListNumber"/>
      </w:pPr>
      <w:r>
        <w:t xml:space="preserve">The ability to withhold information from a respondent </w:t>
      </w:r>
      <w:proofErr w:type="gramStart"/>
      <w:r>
        <w:t>and also</w:t>
      </w:r>
      <w:proofErr w:type="gramEnd"/>
      <w:r>
        <w:t xml:space="preserve"> rely on that same information in </w:t>
      </w:r>
      <w:r w:rsidR="003F6DE0">
        <w:t>civil</w:t>
      </w:r>
      <w:r>
        <w:t xml:space="preserve"> proceedings against the respondent engages the right to a fair hearing protected by article 14 of the ICCPR.  The right to a fair hearing includes the right to ‘equality of arms’, namely, that there be a fair balance between the opportunities afforded to each party in the proceeding to present their case.  The right to a fair hearing also requires that hearings be conducted in public to the extent possible and without resort to secret evidence.</w:t>
      </w:r>
    </w:p>
    <w:p w14:paraId="5AAB40EF" w14:textId="2C286529" w:rsidR="0067680B" w:rsidRDefault="00D05C72" w:rsidP="00C52B84">
      <w:pPr>
        <w:pStyle w:val="ListNumber"/>
      </w:pPr>
      <w:r>
        <w:t xml:space="preserve">In determining whether to make an order under s 38J, the Court must be satisfied that </w:t>
      </w:r>
      <w:r w:rsidR="0036658D">
        <w:t xml:space="preserve">the respondent has been given sufficient information about the allegations on which the control order request was based to enable effective instructions to be given </w:t>
      </w:r>
      <w:r w:rsidR="00E6503B">
        <w:t>in relation to those allegations.</w:t>
      </w:r>
      <w:r w:rsidR="00C36571">
        <w:t xml:space="preserve">  This requirement is based on </w:t>
      </w:r>
      <w:r w:rsidR="007C4C5A">
        <w:t>minimum standards set in proceedings of this nature by the European Court of Human Rights and the House of Lords.</w:t>
      </w:r>
      <w:r w:rsidR="00E92B94">
        <w:rPr>
          <w:rStyle w:val="EndnoteReference"/>
        </w:rPr>
        <w:endnoteReference w:id="163"/>
      </w:r>
    </w:p>
    <w:p w14:paraId="56872204" w14:textId="77777777" w:rsidR="00166408" w:rsidRDefault="00F31652" w:rsidP="00C52B84">
      <w:pPr>
        <w:pStyle w:val="ListNumber"/>
      </w:pPr>
      <w:r>
        <w:t>T</w:t>
      </w:r>
      <w:r w:rsidR="00C03CC1">
        <w:t xml:space="preserve">he NSI Act provides for </w:t>
      </w:r>
      <w:r w:rsidR="008A2AC1">
        <w:t xml:space="preserve">a </w:t>
      </w:r>
      <w:r w:rsidR="00C03CC1">
        <w:t>special advocat</w:t>
      </w:r>
      <w:r w:rsidR="008A2AC1">
        <w:t xml:space="preserve">e to be appointed in relation to a control order proceeding.  The role of the special advocate is </w:t>
      </w:r>
      <w:r w:rsidR="00C444AE">
        <w:t>to represent the interests of the respondent in</w:t>
      </w:r>
      <w:r w:rsidR="00166408">
        <w:t>:</w:t>
      </w:r>
    </w:p>
    <w:p w14:paraId="2182E1C5" w14:textId="7DE51F61" w:rsidR="00166408" w:rsidRDefault="00166408" w:rsidP="00166408">
      <w:pPr>
        <w:pStyle w:val="ListNumber"/>
        <w:numPr>
          <w:ilvl w:val="0"/>
          <w:numId w:val="39"/>
        </w:numPr>
      </w:pPr>
      <w:r>
        <w:t xml:space="preserve">the proceeding in which </w:t>
      </w:r>
      <w:r w:rsidR="00E943A4">
        <w:t>the Court is considering making an order under s 38J</w:t>
      </w:r>
      <w:r w:rsidR="002C4D1C">
        <w:t>; and</w:t>
      </w:r>
    </w:p>
    <w:p w14:paraId="1275580F" w14:textId="2B962850" w:rsidR="003A6E2A" w:rsidRDefault="00C444AE" w:rsidP="00166408">
      <w:pPr>
        <w:pStyle w:val="ListNumber"/>
        <w:numPr>
          <w:ilvl w:val="0"/>
          <w:numId w:val="39"/>
        </w:numPr>
      </w:pPr>
      <w:r>
        <w:t xml:space="preserve">the </w:t>
      </w:r>
      <w:r w:rsidR="00F73AB8">
        <w:t xml:space="preserve">parts of the substantive </w:t>
      </w:r>
      <w:r>
        <w:t xml:space="preserve">control order proceeding in which the </w:t>
      </w:r>
      <w:r w:rsidR="00F73AB8">
        <w:t xml:space="preserve">national security information is being considered and the </w:t>
      </w:r>
      <w:r>
        <w:t>respondent is excluded.</w:t>
      </w:r>
    </w:p>
    <w:p w14:paraId="69B38EE2" w14:textId="061184A2" w:rsidR="004D5348" w:rsidRDefault="004D5348" w:rsidP="00C52B84">
      <w:pPr>
        <w:pStyle w:val="ListNumber"/>
      </w:pPr>
      <w:r>
        <w:t>The special advocate can do this by making submissions</w:t>
      </w:r>
      <w:r w:rsidR="001E3FD2">
        <w:t xml:space="preserve"> to the Court</w:t>
      </w:r>
      <w:r w:rsidR="00F002DA">
        <w:t>, adducing evidence and cross examining witnesses</w:t>
      </w:r>
      <w:r w:rsidR="001E3FD2">
        <w:t xml:space="preserve"> during parts of the hearing when the respondent is not entitled to be present</w:t>
      </w:r>
      <w:r w:rsidR="00F002DA">
        <w:t>.</w:t>
      </w:r>
      <w:r w:rsidR="00A87FF0">
        <w:rPr>
          <w:rStyle w:val="EndnoteReference"/>
        </w:rPr>
        <w:endnoteReference w:id="164"/>
      </w:r>
      <w:r w:rsidR="00F002DA">
        <w:t xml:space="preserve">  </w:t>
      </w:r>
      <w:r w:rsidR="00A37BC5">
        <w:t xml:space="preserve">The special advocate is not the lawyer </w:t>
      </w:r>
      <w:r w:rsidR="00A37BC5">
        <w:lastRenderedPageBreak/>
        <w:t xml:space="preserve">for the respondent, but is required to </w:t>
      </w:r>
      <w:r w:rsidR="00A87FF0">
        <w:t>represent the respondent’s interests where the respondent cannot do so themselves.</w:t>
      </w:r>
      <w:r w:rsidR="00C82271">
        <w:rPr>
          <w:rStyle w:val="EndnoteReference"/>
        </w:rPr>
        <w:endnoteReference w:id="165"/>
      </w:r>
    </w:p>
    <w:p w14:paraId="7264D2FC" w14:textId="42D7BE7D" w:rsidR="00700643" w:rsidRDefault="00D10347" w:rsidP="00C52B84">
      <w:pPr>
        <w:pStyle w:val="ListNumber"/>
      </w:pPr>
      <w:r>
        <w:t xml:space="preserve">When the control order regime was first introduced in 2005, the Commission called for a special advocate regime </w:t>
      </w:r>
      <w:r w:rsidR="00972B2A">
        <w:t xml:space="preserve">to be used in circumstances where </w:t>
      </w:r>
      <w:r w:rsidR="00C0394C">
        <w:t>security sensitive information was to be relied on</w:t>
      </w:r>
      <w:r w:rsidR="00EC6D51">
        <w:t xml:space="preserve"> as part of a control order application</w:t>
      </w:r>
      <w:r w:rsidR="00C0394C">
        <w:t xml:space="preserve"> and it </w:t>
      </w:r>
      <w:r w:rsidR="00F86BC1">
        <w:t xml:space="preserve">was </w:t>
      </w:r>
      <w:r w:rsidR="009F3756">
        <w:t>necessary that this information not be shared with the respondent.</w:t>
      </w:r>
      <w:r w:rsidR="009D6ECC">
        <w:rPr>
          <w:rStyle w:val="EndnoteReference"/>
        </w:rPr>
        <w:endnoteReference w:id="166"/>
      </w:r>
      <w:r w:rsidR="009F3756">
        <w:t xml:space="preserve"> </w:t>
      </w:r>
    </w:p>
    <w:p w14:paraId="4F58EC38" w14:textId="73ED7033" w:rsidR="00265A58" w:rsidRDefault="00AD2BDC" w:rsidP="00C52B84">
      <w:pPr>
        <w:pStyle w:val="ListNumber"/>
      </w:pPr>
      <w:r>
        <w:t xml:space="preserve">Following similar recommendations by </w:t>
      </w:r>
      <w:r w:rsidR="00FB6912">
        <w:t>the COAG Review Committee</w:t>
      </w:r>
      <w:r w:rsidR="00B145BC">
        <w:t>,</w:t>
      </w:r>
      <w:r w:rsidR="00FB6912">
        <w:rPr>
          <w:rStyle w:val="EndnoteReference"/>
        </w:rPr>
        <w:endnoteReference w:id="167"/>
      </w:r>
      <w:r w:rsidR="00FB6912">
        <w:t xml:space="preserve"> </w:t>
      </w:r>
      <w:r w:rsidR="00B145BC">
        <w:t>the PJCIS</w:t>
      </w:r>
      <w:r w:rsidR="00EB7D94">
        <w:rPr>
          <w:rStyle w:val="EndnoteReference"/>
        </w:rPr>
        <w:endnoteReference w:id="168"/>
      </w:r>
      <w:r w:rsidR="00B145BC">
        <w:t xml:space="preserve"> </w:t>
      </w:r>
      <w:r w:rsidR="00FB6912">
        <w:t>and the</w:t>
      </w:r>
      <w:r w:rsidR="00E73CD3">
        <w:t xml:space="preserve"> second</w:t>
      </w:r>
      <w:r w:rsidR="00FB6912">
        <w:t xml:space="preserve"> INSLM,</w:t>
      </w:r>
      <w:r w:rsidR="00E73CD3">
        <w:rPr>
          <w:rStyle w:val="EndnoteReference"/>
        </w:rPr>
        <w:endnoteReference w:id="169"/>
      </w:r>
      <w:r w:rsidR="00FB6912">
        <w:t xml:space="preserve"> a</w:t>
      </w:r>
      <w:r w:rsidR="00265A58">
        <w:t xml:space="preserve"> special advocate regime for control order proceedings was eventually introduced in 2016.</w:t>
      </w:r>
      <w:r w:rsidR="00265A58">
        <w:rPr>
          <w:rStyle w:val="EndnoteReference"/>
        </w:rPr>
        <w:endnoteReference w:id="170"/>
      </w:r>
    </w:p>
    <w:p w14:paraId="0DB48E20" w14:textId="147D25E1" w:rsidR="00700643" w:rsidRDefault="00E754BB" w:rsidP="00C52B84">
      <w:pPr>
        <w:pStyle w:val="ListNumber"/>
      </w:pPr>
      <w:r>
        <w:t>T</w:t>
      </w:r>
      <w:r w:rsidR="00265A58">
        <w:t xml:space="preserve">he special advocate procedure provides greater fairness </w:t>
      </w:r>
      <w:r w:rsidR="0093358E">
        <w:t xml:space="preserve">to respondents in proceedings </w:t>
      </w:r>
      <w:r w:rsidR="00265A58">
        <w:t xml:space="preserve">where claims </w:t>
      </w:r>
      <w:r w:rsidR="00A02820">
        <w:t xml:space="preserve">have been made by the State that relevant evidence </w:t>
      </w:r>
      <w:r w:rsidR="00E50C7E">
        <w:t>should be withheld from a respondent on</w:t>
      </w:r>
      <w:r w:rsidR="00A02820">
        <w:t xml:space="preserve"> national security </w:t>
      </w:r>
      <w:r w:rsidR="00E50C7E">
        <w:t>grounds</w:t>
      </w:r>
      <w:r>
        <w:t>.  However</w:t>
      </w:r>
      <w:r w:rsidR="00A02820">
        <w:t xml:space="preserve">, </w:t>
      </w:r>
      <w:r w:rsidR="00027181">
        <w:t>there</w:t>
      </w:r>
      <w:r w:rsidR="00B83526">
        <w:t xml:space="preserve"> are still aspects of this </w:t>
      </w:r>
      <w:r w:rsidR="0081727F">
        <w:t>regime</w:t>
      </w:r>
      <w:r w:rsidR="00B83526">
        <w:t xml:space="preserve"> that </w:t>
      </w:r>
      <w:r w:rsidR="005A6FA2">
        <w:t xml:space="preserve">need to be kept under review in relation to their compliance with </w:t>
      </w:r>
      <w:r w:rsidR="00027181">
        <w:t>human rights.</w:t>
      </w:r>
    </w:p>
    <w:p w14:paraId="0051DB35" w14:textId="4BB68983" w:rsidR="00027181" w:rsidRDefault="00E74937" w:rsidP="00C52B84">
      <w:pPr>
        <w:pStyle w:val="ListNumber"/>
      </w:pPr>
      <w:r>
        <w:t xml:space="preserve">One of the key </w:t>
      </w:r>
      <w:r w:rsidR="000B3196">
        <w:t xml:space="preserve">limitations of the special advocate regime is that once the </w:t>
      </w:r>
      <w:r w:rsidR="00F2673E">
        <w:t xml:space="preserve">national security information has been disclosed to </w:t>
      </w:r>
      <w:r w:rsidR="00B153CD">
        <w:t xml:space="preserve">the </w:t>
      </w:r>
      <w:r w:rsidR="000B3196">
        <w:t>special advocate</w:t>
      </w:r>
      <w:r w:rsidR="00B153CD">
        <w:t xml:space="preserve">, there are </w:t>
      </w:r>
      <w:r w:rsidR="00230006">
        <w:t>restrictions on the ability of the special advocate to take instructions from the respondent.</w:t>
      </w:r>
      <w:r w:rsidR="00DD3A0D">
        <w:t xml:space="preserve">  The NSI Act provides for communication in writing between the special advocate and the </w:t>
      </w:r>
      <w:r w:rsidR="005358BB">
        <w:t>respondent in a way that is monitored and approved by the Court.</w:t>
      </w:r>
      <w:r w:rsidR="00DE6614">
        <w:rPr>
          <w:rStyle w:val="EndnoteReference"/>
        </w:rPr>
        <w:endnoteReference w:id="171"/>
      </w:r>
    </w:p>
    <w:p w14:paraId="25B591A5" w14:textId="07E84255" w:rsidR="005A6FA2" w:rsidRDefault="005A6FA2" w:rsidP="00405CCB">
      <w:pPr>
        <w:pStyle w:val="ListNumber"/>
      </w:pPr>
      <w:r>
        <w:t xml:space="preserve">It appears that there has been little, if any, </w:t>
      </w:r>
      <w:r w:rsidR="00F84B68">
        <w:t>need to resort to the</w:t>
      </w:r>
      <w:r w:rsidR="00A15D9B">
        <w:t xml:space="preserve">se procedures in the control order proceedings heard </w:t>
      </w:r>
      <w:r w:rsidR="005018C7">
        <w:t xml:space="preserve">to date.  The </w:t>
      </w:r>
      <w:r w:rsidR="005D3F16">
        <w:t xml:space="preserve">AFP </w:t>
      </w:r>
      <w:r w:rsidR="005018C7">
        <w:t xml:space="preserve">gave evidence to the second INSLM in </w:t>
      </w:r>
      <w:r w:rsidR="00177508">
        <w:t xml:space="preserve">December </w:t>
      </w:r>
      <w:r w:rsidR="005018C7">
        <w:t>201</w:t>
      </w:r>
      <w:r w:rsidR="00177508">
        <w:t xml:space="preserve">5 (prior to the introduction of special advocates) </w:t>
      </w:r>
      <w:r w:rsidR="005018C7">
        <w:t xml:space="preserve">that </w:t>
      </w:r>
      <w:r w:rsidR="00177508">
        <w:t xml:space="preserve">in the previous four control order proceedings </w:t>
      </w:r>
      <w:r w:rsidR="003C3C4E">
        <w:t xml:space="preserve">no information had been withheld </w:t>
      </w:r>
      <w:r w:rsidR="00124A2F">
        <w:t xml:space="preserve">from a respondent, and no </w:t>
      </w:r>
      <w:r w:rsidR="005D3F16">
        <w:t>proposal for an application for a control order ha</w:t>
      </w:r>
      <w:r w:rsidR="009D1B59">
        <w:t>d</w:t>
      </w:r>
      <w:r w:rsidR="005D3F16">
        <w:t xml:space="preserve"> been abandoned by the AFP because of the prospect of the need to deal with sensitive information.</w:t>
      </w:r>
      <w:r w:rsidR="0037055C">
        <w:rPr>
          <w:rStyle w:val="EndnoteReference"/>
        </w:rPr>
        <w:endnoteReference w:id="172"/>
      </w:r>
    </w:p>
    <w:p w14:paraId="526089C6" w14:textId="186CEB6B" w:rsidR="00EE2F7E" w:rsidRDefault="00A73094" w:rsidP="00405CCB">
      <w:pPr>
        <w:pStyle w:val="ListNumber"/>
      </w:pPr>
      <w:r>
        <w:t xml:space="preserve">There was no question about the </w:t>
      </w:r>
      <w:r w:rsidR="00682B54">
        <w:t xml:space="preserve">withholding of information </w:t>
      </w:r>
      <w:r w:rsidR="00A36EF4">
        <w:t xml:space="preserve">in </w:t>
      </w:r>
      <w:r w:rsidR="0037055C" w:rsidRPr="0037055C">
        <w:rPr>
          <w:i/>
          <w:iCs/>
        </w:rPr>
        <w:t xml:space="preserve">Thomas v </w:t>
      </w:r>
      <w:proofErr w:type="spellStart"/>
      <w:r w:rsidR="0037055C" w:rsidRPr="0037055C">
        <w:rPr>
          <w:i/>
          <w:iCs/>
        </w:rPr>
        <w:t>Mobray</w:t>
      </w:r>
      <w:proofErr w:type="spellEnd"/>
      <w:r w:rsidR="0037055C">
        <w:t xml:space="preserve"> (2007) 233 CLR 307, which involved a challenge to the </w:t>
      </w:r>
      <w:r w:rsidR="0064506F">
        <w:t>constitutional validity of control order proceedings brought by Mr Jack Thomas, the first person to have a control order made against them</w:t>
      </w:r>
      <w:r w:rsidR="0037055C">
        <w:t>.</w:t>
      </w:r>
      <w:r w:rsidR="00B47BC0">
        <w:rPr>
          <w:rStyle w:val="EndnoteReference"/>
        </w:rPr>
        <w:endnoteReference w:id="173"/>
      </w:r>
    </w:p>
    <w:p w14:paraId="2590337A" w14:textId="383779A3" w:rsidR="004B0FA0" w:rsidRDefault="00880471" w:rsidP="00405CCB">
      <w:pPr>
        <w:pStyle w:val="ListNumber"/>
      </w:pPr>
      <w:proofErr w:type="gramStart"/>
      <w:r>
        <w:t>On the basis of</w:t>
      </w:r>
      <w:proofErr w:type="gramEnd"/>
      <w:r>
        <w:t xml:space="preserve"> searches conducted by the Commission, it does not appear that it has been necessary for special advocates to be appointed in the 10 control order cases </w:t>
      </w:r>
      <w:r w:rsidR="00A632D4">
        <w:t xml:space="preserve">since their introduction. </w:t>
      </w:r>
      <w:r w:rsidR="003468AF">
        <w:t xml:space="preserve"> Many of those cases have been resolved through consent orders.</w:t>
      </w:r>
    </w:p>
    <w:p w14:paraId="08ECB685" w14:textId="7CFD506E" w:rsidR="00A632D4" w:rsidRDefault="00A632D4" w:rsidP="00405CCB">
      <w:pPr>
        <w:pStyle w:val="ListNumber"/>
      </w:pPr>
      <w:r>
        <w:t xml:space="preserve">The Commission will continue to monitor this area </w:t>
      </w:r>
      <w:r w:rsidR="003A32A2">
        <w:t xml:space="preserve">to assess whether experience with special advocates </w:t>
      </w:r>
      <w:r w:rsidR="00677680">
        <w:t>suggests that any procedural amendments are required.</w:t>
      </w:r>
    </w:p>
    <w:p w14:paraId="0899AA1C" w14:textId="77777777" w:rsidR="00A7615D" w:rsidRDefault="00A7615D" w:rsidP="000705F2">
      <w:pPr>
        <w:pStyle w:val="ListNumber"/>
        <w:numPr>
          <w:ilvl w:val="0"/>
          <w:numId w:val="0"/>
        </w:numPr>
      </w:pPr>
    </w:p>
    <w:p w14:paraId="0A1FB104" w14:textId="77777777" w:rsidR="00A7615D" w:rsidRDefault="00A7615D" w:rsidP="000705F2">
      <w:pPr>
        <w:pStyle w:val="ListNumber"/>
        <w:numPr>
          <w:ilvl w:val="0"/>
          <w:numId w:val="0"/>
        </w:numPr>
      </w:pPr>
    </w:p>
    <w:p w14:paraId="1A082AEA" w14:textId="77777777" w:rsidR="00E5430C" w:rsidRDefault="00E5430C" w:rsidP="000705F2">
      <w:pPr>
        <w:pStyle w:val="ListNumber"/>
        <w:numPr>
          <w:ilvl w:val="0"/>
          <w:numId w:val="0"/>
        </w:numPr>
        <w:sectPr w:rsidR="00E5430C"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pPr>
    </w:p>
    <w:p w14:paraId="51FA4FAB" w14:textId="63A62486" w:rsidR="00A7615D" w:rsidRDefault="00A7615D" w:rsidP="000705F2">
      <w:pPr>
        <w:pStyle w:val="ListNumber"/>
        <w:numPr>
          <w:ilvl w:val="0"/>
          <w:numId w:val="0"/>
        </w:numPr>
      </w:pPr>
    </w:p>
    <w:p w14:paraId="77D416D2" w14:textId="3D116E01" w:rsidR="00E5430C" w:rsidRPr="005111AD" w:rsidRDefault="00DB7A24" w:rsidP="0085063A">
      <w:pPr>
        <w:pStyle w:val="Heading1"/>
        <w:numPr>
          <w:ilvl w:val="0"/>
          <w:numId w:val="0"/>
        </w:numPr>
        <w:ind w:left="851" w:hanging="851"/>
        <w:jc w:val="center"/>
      </w:pPr>
      <w:bookmarkStart w:id="43" w:name="_Toc54876172"/>
      <w:r w:rsidRPr="005111AD">
        <w:t xml:space="preserve">Appendix A: </w:t>
      </w:r>
      <w:r w:rsidR="000D726B">
        <w:t xml:space="preserve"> </w:t>
      </w:r>
      <w:r w:rsidRPr="005111AD">
        <w:t>Timing of control orders</w:t>
      </w:r>
      <w:bookmarkEnd w:id="43"/>
    </w:p>
    <w:p w14:paraId="7503E06F" w14:textId="26C3EEFE" w:rsidR="00DB7A24" w:rsidRDefault="009A60B6" w:rsidP="000705F2">
      <w:pPr>
        <w:pStyle w:val="ListNumber"/>
        <w:numPr>
          <w:ilvl w:val="0"/>
          <w:numId w:val="0"/>
        </w:numPr>
      </w:pPr>
      <w:r>
        <w:t>This table sets out the d</w:t>
      </w:r>
      <w:r w:rsidR="006D6735">
        <w:t>etails of interim control orders obtained in relation to convicted terrorist offenders, including when the application was made, when the interim control order was made, and when the person was released from imprisonment.</w:t>
      </w:r>
      <w:r w:rsidR="00CD1E66">
        <w:t xml:space="preserve">  The highlighted cells show offenders who were released from detention prior to </w:t>
      </w:r>
      <w:r w:rsidR="008A6134">
        <w:t>an interim control order being made.</w:t>
      </w:r>
    </w:p>
    <w:tbl>
      <w:tblPr>
        <w:tblStyle w:val="TableGrid"/>
        <w:tblW w:w="0" w:type="auto"/>
        <w:tblLook w:val="04A0" w:firstRow="1" w:lastRow="0" w:firstColumn="1" w:lastColumn="0" w:noHBand="0" w:noVBand="1"/>
      </w:tblPr>
      <w:tblGrid>
        <w:gridCol w:w="663"/>
        <w:gridCol w:w="2245"/>
        <w:gridCol w:w="1907"/>
        <w:gridCol w:w="2126"/>
        <w:gridCol w:w="1701"/>
        <w:gridCol w:w="4614"/>
      </w:tblGrid>
      <w:tr w:rsidR="00D4158B" w:rsidRPr="00CA244F" w14:paraId="18A566F2" w14:textId="77777777" w:rsidTr="00D4158B">
        <w:trPr>
          <w:cantSplit/>
          <w:tblHeader/>
        </w:trPr>
        <w:tc>
          <w:tcPr>
            <w:tcW w:w="663" w:type="dxa"/>
            <w:shd w:val="clear" w:color="auto" w:fill="DEEAF6" w:themeFill="accent1" w:themeFillTint="33"/>
          </w:tcPr>
          <w:p w14:paraId="100CF98B" w14:textId="7DEFC61E" w:rsidR="00CA244F" w:rsidRPr="00CA244F" w:rsidRDefault="00CA244F" w:rsidP="000705F2">
            <w:pPr>
              <w:pStyle w:val="ListNumber"/>
              <w:numPr>
                <w:ilvl w:val="0"/>
                <w:numId w:val="0"/>
              </w:numPr>
              <w:rPr>
                <w:b/>
                <w:bCs/>
              </w:rPr>
            </w:pPr>
            <w:r w:rsidRPr="00CA244F">
              <w:rPr>
                <w:b/>
                <w:bCs/>
              </w:rPr>
              <w:t>No</w:t>
            </w:r>
          </w:p>
        </w:tc>
        <w:tc>
          <w:tcPr>
            <w:tcW w:w="2245" w:type="dxa"/>
            <w:shd w:val="clear" w:color="auto" w:fill="DEEAF6" w:themeFill="accent1" w:themeFillTint="33"/>
          </w:tcPr>
          <w:p w14:paraId="5CCE054A" w14:textId="7AF2F6DE" w:rsidR="00CA244F" w:rsidRPr="00CA244F" w:rsidRDefault="00CA244F" w:rsidP="000705F2">
            <w:pPr>
              <w:pStyle w:val="ListNumber"/>
              <w:numPr>
                <w:ilvl w:val="0"/>
                <w:numId w:val="0"/>
              </w:numPr>
              <w:rPr>
                <w:b/>
                <w:bCs/>
              </w:rPr>
            </w:pPr>
            <w:r w:rsidRPr="00CA244F">
              <w:rPr>
                <w:b/>
                <w:bCs/>
              </w:rPr>
              <w:t>Name</w:t>
            </w:r>
          </w:p>
        </w:tc>
        <w:tc>
          <w:tcPr>
            <w:tcW w:w="1907" w:type="dxa"/>
            <w:shd w:val="clear" w:color="auto" w:fill="DEEAF6" w:themeFill="accent1" w:themeFillTint="33"/>
          </w:tcPr>
          <w:p w14:paraId="66ADBFC6" w14:textId="114943DC" w:rsidR="00CA244F" w:rsidRPr="00CA244F" w:rsidRDefault="00CA244F" w:rsidP="000705F2">
            <w:pPr>
              <w:pStyle w:val="ListNumber"/>
              <w:numPr>
                <w:ilvl w:val="0"/>
                <w:numId w:val="0"/>
              </w:numPr>
              <w:rPr>
                <w:b/>
                <w:bCs/>
              </w:rPr>
            </w:pPr>
            <w:r w:rsidRPr="00CA244F">
              <w:rPr>
                <w:b/>
                <w:bCs/>
              </w:rPr>
              <w:t>Application</w:t>
            </w:r>
          </w:p>
        </w:tc>
        <w:tc>
          <w:tcPr>
            <w:tcW w:w="2126" w:type="dxa"/>
            <w:shd w:val="clear" w:color="auto" w:fill="DEEAF6" w:themeFill="accent1" w:themeFillTint="33"/>
          </w:tcPr>
          <w:p w14:paraId="32A2EB3E" w14:textId="740B0E64" w:rsidR="00CA244F" w:rsidRPr="00CA244F" w:rsidRDefault="00CA244F" w:rsidP="000705F2">
            <w:pPr>
              <w:pStyle w:val="ListNumber"/>
              <w:numPr>
                <w:ilvl w:val="0"/>
                <w:numId w:val="0"/>
              </w:numPr>
              <w:rPr>
                <w:b/>
                <w:bCs/>
              </w:rPr>
            </w:pPr>
            <w:r w:rsidRPr="00CA244F">
              <w:rPr>
                <w:b/>
                <w:bCs/>
              </w:rPr>
              <w:t>Interim control order</w:t>
            </w:r>
            <w:r w:rsidR="00862993">
              <w:rPr>
                <w:b/>
                <w:bCs/>
              </w:rPr>
              <w:t xml:space="preserve"> made</w:t>
            </w:r>
          </w:p>
        </w:tc>
        <w:tc>
          <w:tcPr>
            <w:tcW w:w="1701" w:type="dxa"/>
            <w:shd w:val="clear" w:color="auto" w:fill="DEEAF6" w:themeFill="accent1" w:themeFillTint="33"/>
          </w:tcPr>
          <w:p w14:paraId="36A7023A" w14:textId="25630C92" w:rsidR="00CA244F" w:rsidRPr="00CA244F" w:rsidRDefault="00CA244F" w:rsidP="000705F2">
            <w:pPr>
              <w:pStyle w:val="ListNumber"/>
              <w:numPr>
                <w:ilvl w:val="0"/>
                <w:numId w:val="0"/>
              </w:numPr>
              <w:rPr>
                <w:b/>
                <w:bCs/>
              </w:rPr>
            </w:pPr>
            <w:r w:rsidRPr="00CA244F">
              <w:rPr>
                <w:b/>
                <w:bCs/>
              </w:rPr>
              <w:t>Release</w:t>
            </w:r>
          </w:p>
        </w:tc>
        <w:tc>
          <w:tcPr>
            <w:tcW w:w="4614" w:type="dxa"/>
            <w:shd w:val="clear" w:color="auto" w:fill="DEEAF6" w:themeFill="accent1" w:themeFillTint="33"/>
          </w:tcPr>
          <w:p w14:paraId="2F277AF9" w14:textId="406AF9B1" w:rsidR="00CA244F" w:rsidRPr="00CA244F" w:rsidRDefault="00862993" w:rsidP="000705F2">
            <w:pPr>
              <w:pStyle w:val="ListNumber"/>
              <w:numPr>
                <w:ilvl w:val="0"/>
                <w:numId w:val="0"/>
              </w:numPr>
              <w:rPr>
                <w:b/>
                <w:bCs/>
              </w:rPr>
            </w:pPr>
            <w:r>
              <w:rPr>
                <w:b/>
                <w:bCs/>
              </w:rPr>
              <w:t>Judgment (interim control order)</w:t>
            </w:r>
          </w:p>
        </w:tc>
      </w:tr>
      <w:tr w:rsidR="00CA244F" w14:paraId="2661BF64" w14:textId="77777777" w:rsidTr="00914DE7">
        <w:tc>
          <w:tcPr>
            <w:tcW w:w="663" w:type="dxa"/>
          </w:tcPr>
          <w:p w14:paraId="1C6B0624" w14:textId="77777777" w:rsidR="00CA244F" w:rsidRDefault="00CA244F" w:rsidP="00AF3614">
            <w:pPr>
              <w:pStyle w:val="ListNumber"/>
              <w:numPr>
                <w:ilvl w:val="0"/>
                <w:numId w:val="40"/>
              </w:numPr>
              <w:ind w:left="113" w:firstLine="0"/>
            </w:pPr>
          </w:p>
        </w:tc>
        <w:tc>
          <w:tcPr>
            <w:tcW w:w="2245" w:type="dxa"/>
          </w:tcPr>
          <w:p w14:paraId="50D75DB5" w14:textId="5B9F0570" w:rsidR="00CA244F" w:rsidRDefault="009A60B6" w:rsidP="000705F2">
            <w:pPr>
              <w:pStyle w:val="ListNumber"/>
              <w:numPr>
                <w:ilvl w:val="0"/>
                <w:numId w:val="0"/>
              </w:numPr>
            </w:pPr>
            <w:r>
              <w:t>Mr EB</w:t>
            </w:r>
          </w:p>
        </w:tc>
        <w:tc>
          <w:tcPr>
            <w:tcW w:w="1907" w:type="dxa"/>
          </w:tcPr>
          <w:p w14:paraId="7132BF4B" w14:textId="09F76601" w:rsidR="00CA244F" w:rsidRDefault="006D6735" w:rsidP="000705F2">
            <w:pPr>
              <w:pStyle w:val="ListNumber"/>
              <w:numPr>
                <w:ilvl w:val="0"/>
                <w:numId w:val="0"/>
              </w:numPr>
            </w:pPr>
            <w:r>
              <w:t>13/12/2018</w:t>
            </w:r>
          </w:p>
        </w:tc>
        <w:tc>
          <w:tcPr>
            <w:tcW w:w="2126" w:type="dxa"/>
          </w:tcPr>
          <w:p w14:paraId="42E19895" w14:textId="369B8E2E" w:rsidR="00CA244F" w:rsidRDefault="00A301DB" w:rsidP="000705F2">
            <w:pPr>
              <w:pStyle w:val="ListNumber"/>
              <w:numPr>
                <w:ilvl w:val="0"/>
                <w:numId w:val="0"/>
              </w:numPr>
            </w:pPr>
            <w:r>
              <w:t>30/01/2019</w:t>
            </w:r>
          </w:p>
        </w:tc>
        <w:tc>
          <w:tcPr>
            <w:tcW w:w="1701" w:type="dxa"/>
          </w:tcPr>
          <w:p w14:paraId="58C78FEE" w14:textId="7D399916" w:rsidR="00CA244F" w:rsidRDefault="00A301DB" w:rsidP="000705F2">
            <w:pPr>
              <w:pStyle w:val="ListNumber"/>
              <w:numPr>
                <w:ilvl w:val="0"/>
                <w:numId w:val="0"/>
              </w:numPr>
            </w:pPr>
            <w:r>
              <w:t>2/02/</w:t>
            </w:r>
            <w:r w:rsidR="00914DE7">
              <w:t>2019</w:t>
            </w:r>
          </w:p>
        </w:tc>
        <w:tc>
          <w:tcPr>
            <w:tcW w:w="4614" w:type="dxa"/>
          </w:tcPr>
          <w:p w14:paraId="63A75B2D" w14:textId="71DECCB5" w:rsidR="00CA244F" w:rsidRDefault="00914DE7" w:rsidP="000705F2">
            <w:pPr>
              <w:pStyle w:val="ListNumber"/>
              <w:numPr>
                <w:ilvl w:val="0"/>
                <w:numId w:val="0"/>
              </w:numPr>
            </w:pPr>
            <w:r w:rsidRPr="00A41B05">
              <w:rPr>
                <w:i/>
                <w:iCs/>
              </w:rPr>
              <w:t>McCartney v EB</w:t>
            </w:r>
            <w:r w:rsidRPr="00A41B05">
              <w:t xml:space="preserve"> [2019] FCA 183</w:t>
            </w:r>
          </w:p>
        </w:tc>
      </w:tr>
      <w:tr w:rsidR="00CA244F" w14:paraId="2A51CDD3" w14:textId="77777777" w:rsidTr="00914DE7">
        <w:tc>
          <w:tcPr>
            <w:tcW w:w="663" w:type="dxa"/>
          </w:tcPr>
          <w:p w14:paraId="0EF82457" w14:textId="77777777" w:rsidR="00CA244F" w:rsidRDefault="00CA244F" w:rsidP="00AF3614">
            <w:pPr>
              <w:pStyle w:val="ListNumber"/>
              <w:numPr>
                <w:ilvl w:val="0"/>
                <w:numId w:val="40"/>
              </w:numPr>
              <w:ind w:left="113" w:firstLine="0"/>
            </w:pPr>
          </w:p>
        </w:tc>
        <w:tc>
          <w:tcPr>
            <w:tcW w:w="2245" w:type="dxa"/>
          </w:tcPr>
          <w:p w14:paraId="6096DC3E" w14:textId="5CE0B80F" w:rsidR="00CA244F" w:rsidRDefault="009A60B6" w:rsidP="000705F2">
            <w:pPr>
              <w:pStyle w:val="ListNumber"/>
              <w:numPr>
                <w:ilvl w:val="0"/>
                <w:numId w:val="0"/>
              </w:numPr>
            </w:pPr>
            <w:r>
              <w:t xml:space="preserve">Ms </w:t>
            </w:r>
            <w:proofErr w:type="spellStart"/>
            <w:r>
              <w:t>Alo</w:t>
            </w:r>
            <w:proofErr w:type="spellEnd"/>
            <w:r>
              <w:t xml:space="preserve">-Bridget </w:t>
            </w:r>
            <w:proofErr w:type="spellStart"/>
            <w:r>
              <w:t>Namoa</w:t>
            </w:r>
            <w:proofErr w:type="spellEnd"/>
          </w:p>
        </w:tc>
        <w:tc>
          <w:tcPr>
            <w:tcW w:w="1907" w:type="dxa"/>
          </w:tcPr>
          <w:p w14:paraId="168C3109" w14:textId="183B20D3" w:rsidR="00CA244F" w:rsidRDefault="000167C2" w:rsidP="000705F2">
            <w:pPr>
              <w:pStyle w:val="ListNumber"/>
              <w:numPr>
                <w:ilvl w:val="0"/>
                <w:numId w:val="0"/>
              </w:numPr>
            </w:pPr>
            <w:r>
              <w:t>6/12/2019</w:t>
            </w:r>
          </w:p>
        </w:tc>
        <w:tc>
          <w:tcPr>
            <w:tcW w:w="2126" w:type="dxa"/>
          </w:tcPr>
          <w:p w14:paraId="1B41D913" w14:textId="7D0E3963" w:rsidR="00CA244F" w:rsidRDefault="000167C2" w:rsidP="000705F2">
            <w:pPr>
              <w:pStyle w:val="ListNumber"/>
              <w:numPr>
                <w:ilvl w:val="0"/>
                <w:numId w:val="0"/>
              </w:numPr>
            </w:pPr>
            <w:r>
              <w:t>19/12/2019</w:t>
            </w:r>
          </w:p>
        </w:tc>
        <w:tc>
          <w:tcPr>
            <w:tcW w:w="1701" w:type="dxa"/>
          </w:tcPr>
          <w:p w14:paraId="66ED2D4D" w14:textId="2142E345" w:rsidR="00CA244F" w:rsidRDefault="000167C2" w:rsidP="000705F2">
            <w:pPr>
              <w:pStyle w:val="ListNumber"/>
              <w:numPr>
                <w:ilvl w:val="0"/>
                <w:numId w:val="0"/>
              </w:numPr>
            </w:pPr>
            <w:r>
              <w:t>22/12/2019</w:t>
            </w:r>
          </w:p>
        </w:tc>
        <w:tc>
          <w:tcPr>
            <w:tcW w:w="4614" w:type="dxa"/>
          </w:tcPr>
          <w:p w14:paraId="48316739" w14:textId="241946C8" w:rsidR="00CA244F" w:rsidRDefault="00914DE7" w:rsidP="000705F2">
            <w:pPr>
              <w:pStyle w:val="ListNumber"/>
              <w:numPr>
                <w:ilvl w:val="0"/>
                <w:numId w:val="0"/>
              </w:numPr>
            </w:pPr>
            <w:r w:rsidRPr="009B2A80">
              <w:rPr>
                <w:i/>
                <w:iCs/>
              </w:rPr>
              <w:t xml:space="preserve">Booth v </w:t>
            </w:r>
            <w:proofErr w:type="spellStart"/>
            <w:r w:rsidRPr="009B2A80">
              <w:rPr>
                <w:i/>
                <w:iCs/>
              </w:rPr>
              <w:t>Namoa</w:t>
            </w:r>
            <w:proofErr w:type="spellEnd"/>
            <w:r w:rsidRPr="009B2A80">
              <w:t xml:space="preserve"> [2019] FCA 2213</w:t>
            </w:r>
          </w:p>
        </w:tc>
      </w:tr>
      <w:tr w:rsidR="00CA244F" w14:paraId="1B50C95E" w14:textId="77777777" w:rsidTr="00914DE7">
        <w:tc>
          <w:tcPr>
            <w:tcW w:w="663" w:type="dxa"/>
          </w:tcPr>
          <w:p w14:paraId="1F51E282" w14:textId="77777777" w:rsidR="00CA244F" w:rsidRDefault="00CA244F" w:rsidP="00AF3614">
            <w:pPr>
              <w:pStyle w:val="ListNumber"/>
              <w:numPr>
                <w:ilvl w:val="0"/>
                <w:numId w:val="40"/>
              </w:numPr>
              <w:ind w:left="113" w:firstLine="0"/>
            </w:pPr>
          </w:p>
        </w:tc>
        <w:tc>
          <w:tcPr>
            <w:tcW w:w="2245" w:type="dxa"/>
          </w:tcPr>
          <w:p w14:paraId="236B5A50" w14:textId="36435DB1" w:rsidR="00CA244F" w:rsidRDefault="000167C2" w:rsidP="000705F2">
            <w:pPr>
              <w:pStyle w:val="ListNumber"/>
              <w:numPr>
                <w:ilvl w:val="0"/>
                <w:numId w:val="0"/>
              </w:numPr>
            </w:pPr>
            <w:r>
              <w:t>Mr Murat Kaya</w:t>
            </w:r>
          </w:p>
        </w:tc>
        <w:tc>
          <w:tcPr>
            <w:tcW w:w="1907" w:type="dxa"/>
          </w:tcPr>
          <w:p w14:paraId="687474AB" w14:textId="11848EAD" w:rsidR="00CA244F" w:rsidRDefault="003C3201" w:rsidP="000705F2">
            <w:pPr>
              <w:pStyle w:val="ListNumber"/>
              <w:numPr>
                <w:ilvl w:val="0"/>
                <w:numId w:val="0"/>
              </w:numPr>
            </w:pPr>
            <w:r>
              <w:t>19/12/2019</w:t>
            </w:r>
          </w:p>
        </w:tc>
        <w:tc>
          <w:tcPr>
            <w:tcW w:w="2126" w:type="dxa"/>
          </w:tcPr>
          <w:p w14:paraId="56ACBA82" w14:textId="2AFDA127" w:rsidR="00CA244F" w:rsidRDefault="008C0B85" w:rsidP="000705F2">
            <w:pPr>
              <w:pStyle w:val="ListNumber"/>
              <w:numPr>
                <w:ilvl w:val="0"/>
                <w:numId w:val="0"/>
              </w:numPr>
            </w:pPr>
            <w:r>
              <w:t>22/01/</w:t>
            </w:r>
            <w:r w:rsidR="00510771">
              <w:t>2020</w:t>
            </w:r>
          </w:p>
        </w:tc>
        <w:tc>
          <w:tcPr>
            <w:tcW w:w="1701" w:type="dxa"/>
          </w:tcPr>
          <w:p w14:paraId="48051F89" w14:textId="03BE57DF" w:rsidR="00CA244F" w:rsidRDefault="005B6AC4" w:rsidP="000705F2">
            <w:pPr>
              <w:pStyle w:val="ListNumber"/>
              <w:numPr>
                <w:ilvl w:val="0"/>
                <w:numId w:val="0"/>
              </w:numPr>
            </w:pPr>
            <w:r>
              <w:t>23/01/2020</w:t>
            </w:r>
          </w:p>
        </w:tc>
        <w:tc>
          <w:tcPr>
            <w:tcW w:w="4614" w:type="dxa"/>
          </w:tcPr>
          <w:p w14:paraId="3B7BE6C4" w14:textId="3F7D56AD" w:rsidR="00CA244F" w:rsidRDefault="00510771" w:rsidP="000705F2">
            <w:pPr>
              <w:pStyle w:val="ListNumber"/>
              <w:numPr>
                <w:ilvl w:val="0"/>
                <w:numId w:val="0"/>
              </w:numPr>
            </w:pPr>
            <w:r w:rsidRPr="00510771">
              <w:rPr>
                <w:i/>
                <w:iCs/>
              </w:rPr>
              <w:t>Booth v Kaya</w:t>
            </w:r>
            <w:r w:rsidRPr="00510771">
              <w:t xml:space="preserve"> [2020] FCA 25</w:t>
            </w:r>
          </w:p>
        </w:tc>
      </w:tr>
      <w:tr w:rsidR="000167C2" w14:paraId="4043EBDA" w14:textId="77777777" w:rsidTr="00914DE7">
        <w:tc>
          <w:tcPr>
            <w:tcW w:w="663" w:type="dxa"/>
          </w:tcPr>
          <w:p w14:paraId="3979A44B" w14:textId="2B89BA8C" w:rsidR="000167C2" w:rsidRDefault="000167C2" w:rsidP="00AF3614">
            <w:pPr>
              <w:pStyle w:val="ListNumber"/>
              <w:numPr>
                <w:ilvl w:val="0"/>
                <w:numId w:val="40"/>
              </w:numPr>
              <w:ind w:left="113" w:firstLine="0"/>
            </w:pPr>
          </w:p>
        </w:tc>
        <w:tc>
          <w:tcPr>
            <w:tcW w:w="2245" w:type="dxa"/>
          </w:tcPr>
          <w:p w14:paraId="0AA0AF82" w14:textId="44EF6FF7" w:rsidR="000167C2" w:rsidRDefault="000167C2" w:rsidP="000705F2">
            <w:pPr>
              <w:pStyle w:val="ListNumber"/>
              <w:numPr>
                <w:ilvl w:val="0"/>
                <w:numId w:val="0"/>
              </w:numPr>
            </w:pPr>
            <w:r>
              <w:t xml:space="preserve">Mr Ahmad </w:t>
            </w:r>
            <w:proofErr w:type="spellStart"/>
            <w:r>
              <w:t>Saiyer</w:t>
            </w:r>
            <w:proofErr w:type="spellEnd"/>
            <w:r>
              <w:t xml:space="preserve"> </w:t>
            </w:r>
            <w:proofErr w:type="spellStart"/>
            <w:r>
              <w:t>Naizmand</w:t>
            </w:r>
            <w:proofErr w:type="spellEnd"/>
          </w:p>
        </w:tc>
        <w:tc>
          <w:tcPr>
            <w:tcW w:w="1907" w:type="dxa"/>
          </w:tcPr>
          <w:p w14:paraId="5179D508" w14:textId="5F9121F4" w:rsidR="000167C2" w:rsidRDefault="00D57606" w:rsidP="000705F2">
            <w:pPr>
              <w:pStyle w:val="ListNumber"/>
              <w:numPr>
                <w:ilvl w:val="0"/>
                <w:numId w:val="0"/>
              </w:numPr>
            </w:pPr>
            <w:r>
              <w:t>20/02/2020</w:t>
            </w:r>
          </w:p>
        </w:tc>
        <w:tc>
          <w:tcPr>
            <w:tcW w:w="2126" w:type="dxa"/>
          </w:tcPr>
          <w:p w14:paraId="49EE86B2" w14:textId="145981AF" w:rsidR="000167C2" w:rsidRDefault="00FF6622" w:rsidP="000705F2">
            <w:pPr>
              <w:pStyle w:val="ListNumber"/>
              <w:numPr>
                <w:ilvl w:val="0"/>
                <w:numId w:val="0"/>
              </w:numPr>
            </w:pPr>
            <w:r>
              <w:t>27/02/2020</w:t>
            </w:r>
          </w:p>
        </w:tc>
        <w:tc>
          <w:tcPr>
            <w:tcW w:w="1701" w:type="dxa"/>
          </w:tcPr>
          <w:p w14:paraId="5EB23EFE" w14:textId="3D5A89AD" w:rsidR="000167C2" w:rsidRDefault="00C97F70" w:rsidP="000705F2">
            <w:pPr>
              <w:pStyle w:val="ListNumber"/>
              <w:numPr>
                <w:ilvl w:val="0"/>
                <w:numId w:val="0"/>
              </w:numPr>
            </w:pPr>
            <w:r>
              <w:t>28/02/2020</w:t>
            </w:r>
          </w:p>
        </w:tc>
        <w:tc>
          <w:tcPr>
            <w:tcW w:w="4614" w:type="dxa"/>
          </w:tcPr>
          <w:p w14:paraId="7727786D" w14:textId="2FC0E9EB" w:rsidR="000167C2" w:rsidRDefault="00A16777" w:rsidP="000705F2">
            <w:pPr>
              <w:pStyle w:val="ListNumber"/>
              <w:numPr>
                <w:ilvl w:val="0"/>
                <w:numId w:val="0"/>
              </w:numPr>
            </w:pPr>
            <w:r w:rsidRPr="00A16777">
              <w:rPr>
                <w:i/>
                <w:iCs/>
              </w:rPr>
              <w:t xml:space="preserve">Booth v </w:t>
            </w:r>
            <w:proofErr w:type="spellStart"/>
            <w:r w:rsidRPr="00A16777">
              <w:rPr>
                <w:i/>
                <w:iCs/>
              </w:rPr>
              <w:t>Naizmand</w:t>
            </w:r>
            <w:proofErr w:type="spellEnd"/>
            <w:r w:rsidRPr="00A16777">
              <w:t xml:space="preserve"> [2020] FCA 244</w:t>
            </w:r>
          </w:p>
        </w:tc>
      </w:tr>
      <w:tr w:rsidR="008B2049" w14:paraId="717A3742" w14:textId="77777777" w:rsidTr="00914DE7">
        <w:tc>
          <w:tcPr>
            <w:tcW w:w="663" w:type="dxa"/>
          </w:tcPr>
          <w:p w14:paraId="3ADE9A3D" w14:textId="77777777" w:rsidR="008B2049" w:rsidRDefault="008B2049" w:rsidP="00AF3614">
            <w:pPr>
              <w:pStyle w:val="ListNumber"/>
              <w:numPr>
                <w:ilvl w:val="0"/>
                <w:numId w:val="40"/>
              </w:numPr>
              <w:ind w:left="113" w:firstLine="0"/>
            </w:pPr>
          </w:p>
        </w:tc>
        <w:tc>
          <w:tcPr>
            <w:tcW w:w="2245" w:type="dxa"/>
          </w:tcPr>
          <w:p w14:paraId="08CFD960" w14:textId="481A57A0" w:rsidR="008B2049" w:rsidRDefault="008B2049" w:rsidP="000705F2">
            <w:pPr>
              <w:pStyle w:val="ListNumber"/>
              <w:numPr>
                <w:ilvl w:val="0"/>
                <w:numId w:val="0"/>
              </w:numPr>
            </w:pPr>
            <w:r>
              <w:t xml:space="preserve">Mr </w:t>
            </w:r>
            <w:proofErr w:type="spellStart"/>
            <w:r>
              <w:t>Shayden</w:t>
            </w:r>
            <w:proofErr w:type="spellEnd"/>
            <w:r>
              <w:t xml:space="preserve"> Jamil Thorne</w:t>
            </w:r>
          </w:p>
        </w:tc>
        <w:tc>
          <w:tcPr>
            <w:tcW w:w="1907" w:type="dxa"/>
          </w:tcPr>
          <w:p w14:paraId="28D2E8BB" w14:textId="7F8EFB44" w:rsidR="008B2049" w:rsidRDefault="00837242" w:rsidP="000705F2">
            <w:pPr>
              <w:pStyle w:val="ListNumber"/>
              <w:numPr>
                <w:ilvl w:val="0"/>
                <w:numId w:val="0"/>
              </w:numPr>
            </w:pPr>
            <w:r>
              <w:t>27/02/2020</w:t>
            </w:r>
          </w:p>
        </w:tc>
        <w:tc>
          <w:tcPr>
            <w:tcW w:w="2126" w:type="dxa"/>
          </w:tcPr>
          <w:p w14:paraId="3E3711E5" w14:textId="1B3758DE" w:rsidR="008B2049" w:rsidRDefault="000C042C" w:rsidP="000705F2">
            <w:pPr>
              <w:pStyle w:val="ListNumber"/>
              <w:numPr>
                <w:ilvl w:val="0"/>
                <w:numId w:val="0"/>
              </w:numPr>
            </w:pPr>
            <w:r>
              <w:t>6/03/2020</w:t>
            </w:r>
          </w:p>
        </w:tc>
        <w:tc>
          <w:tcPr>
            <w:tcW w:w="1701" w:type="dxa"/>
          </w:tcPr>
          <w:p w14:paraId="61B64E5D" w14:textId="1A6B235E" w:rsidR="008B2049" w:rsidRDefault="00543EA7" w:rsidP="000705F2">
            <w:pPr>
              <w:pStyle w:val="ListNumber"/>
              <w:numPr>
                <w:ilvl w:val="0"/>
                <w:numId w:val="0"/>
              </w:numPr>
            </w:pPr>
            <w:r>
              <w:t>7/03/2020</w:t>
            </w:r>
          </w:p>
        </w:tc>
        <w:tc>
          <w:tcPr>
            <w:tcW w:w="4614" w:type="dxa"/>
          </w:tcPr>
          <w:p w14:paraId="29E92D43" w14:textId="3892EB09" w:rsidR="008B2049" w:rsidRDefault="00543EA7" w:rsidP="000705F2">
            <w:pPr>
              <w:pStyle w:val="ListNumber"/>
              <w:numPr>
                <w:ilvl w:val="0"/>
                <w:numId w:val="0"/>
              </w:numPr>
            </w:pPr>
            <w:r w:rsidRPr="00543EA7">
              <w:rPr>
                <w:i/>
                <w:iCs/>
              </w:rPr>
              <w:t>Booth v Thorne</w:t>
            </w:r>
            <w:r w:rsidRPr="00543EA7">
              <w:t xml:space="preserve"> [2020] FCA 445</w:t>
            </w:r>
          </w:p>
        </w:tc>
      </w:tr>
      <w:tr w:rsidR="008B2049" w14:paraId="7179DB65" w14:textId="77777777" w:rsidTr="00757A7F">
        <w:tc>
          <w:tcPr>
            <w:tcW w:w="663" w:type="dxa"/>
          </w:tcPr>
          <w:p w14:paraId="5A61896C" w14:textId="77777777" w:rsidR="008B2049" w:rsidRDefault="008B2049" w:rsidP="00AF3614">
            <w:pPr>
              <w:pStyle w:val="ListNumber"/>
              <w:numPr>
                <w:ilvl w:val="0"/>
                <w:numId w:val="40"/>
              </w:numPr>
              <w:ind w:left="113" w:firstLine="0"/>
            </w:pPr>
          </w:p>
        </w:tc>
        <w:tc>
          <w:tcPr>
            <w:tcW w:w="2245" w:type="dxa"/>
          </w:tcPr>
          <w:p w14:paraId="6AE1E320" w14:textId="7CBFA341" w:rsidR="008B2049" w:rsidRDefault="008B2049" w:rsidP="000705F2">
            <w:pPr>
              <w:pStyle w:val="ListNumber"/>
              <w:numPr>
                <w:ilvl w:val="0"/>
                <w:numId w:val="0"/>
              </w:numPr>
            </w:pPr>
            <w:r>
              <w:t xml:space="preserve">Mr Paul James </w:t>
            </w:r>
            <w:proofErr w:type="spellStart"/>
            <w:r>
              <w:t>Dacre</w:t>
            </w:r>
            <w:proofErr w:type="spellEnd"/>
          </w:p>
        </w:tc>
        <w:tc>
          <w:tcPr>
            <w:tcW w:w="1907" w:type="dxa"/>
          </w:tcPr>
          <w:p w14:paraId="76D33C3B" w14:textId="7A2001B9" w:rsidR="008B2049" w:rsidRDefault="001356C9" w:rsidP="000705F2">
            <w:pPr>
              <w:pStyle w:val="ListNumber"/>
              <w:numPr>
                <w:ilvl w:val="0"/>
                <w:numId w:val="0"/>
              </w:numPr>
            </w:pPr>
            <w:r>
              <w:t>6/05/</w:t>
            </w:r>
            <w:r w:rsidR="000F0BB0">
              <w:t>2020</w:t>
            </w:r>
          </w:p>
        </w:tc>
        <w:tc>
          <w:tcPr>
            <w:tcW w:w="2126" w:type="dxa"/>
          </w:tcPr>
          <w:p w14:paraId="20BA9C25" w14:textId="186EC9C1" w:rsidR="008B2049" w:rsidRDefault="007F56AD" w:rsidP="000705F2">
            <w:pPr>
              <w:pStyle w:val="ListNumber"/>
              <w:numPr>
                <w:ilvl w:val="0"/>
                <w:numId w:val="0"/>
              </w:numPr>
            </w:pPr>
            <w:r>
              <w:t>14/05/2020</w:t>
            </w:r>
          </w:p>
        </w:tc>
        <w:tc>
          <w:tcPr>
            <w:tcW w:w="1701" w:type="dxa"/>
            <w:shd w:val="clear" w:color="auto" w:fill="FFF2CC" w:themeFill="accent4" w:themeFillTint="33"/>
          </w:tcPr>
          <w:p w14:paraId="320502E5" w14:textId="7E322B4A" w:rsidR="008B2049" w:rsidRDefault="009C7E6D" w:rsidP="000705F2">
            <w:pPr>
              <w:pStyle w:val="ListNumber"/>
              <w:numPr>
                <w:ilvl w:val="0"/>
                <w:numId w:val="0"/>
              </w:numPr>
            </w:pPr>
            <w:r>
              <w:t>8/05/2020</w:t>
            </w:r>
          </w:p>
        </w:tc>
        <w:tc>
          <w:tcPr>
            <w:tcW w:w="4614" w:type="dxa"/>
          </w:tcPr>
          <w:p w14:paraId="054CE1AA" w14:textId="76E807B3" w:rsidR="008B2049" w:rsidRDefault="007F56AD" w:rsidP="000705F2">
            <w:pPr>
              <w:pStyle w:val="ListNumber"/>
              <w:numPr>
                <w:ilvl w:val="0"/>
                <w:numId w:val="0"/>
              </w:numPr>
            </w:pPr>
            <w:r w:rsidRPr="007F56AD">
              <w:rPr>
                <w:i/>
                <w:iCs/>
              </w:rPr>
              <w:t xml:space="preserve">Booth v </w:t>
            </w:r>
            <w:proofErr w:type="spellStart"/>
            <w:r w:rsidRPr="007F56AD">
              <w:rPr>
                <w:i/>
                <w:iCs/>
              </w:rPr>
              <w:t>Dacre</w:t>
            </w:r>
            <w:proofErr w:type="spellEnd"/>
            <w:r w:rsidRPr="007F56AD">
              <w:t xml:space="preserve"> [2020] FCA 751</w:t>
            </w:r>
          </w:p>
        </w:tc>
      </w:tr>
      <w:tr w:rsidR="008B2049" w14:paraId="004574D3" w14:textId="77777777" w:rsidTr="00757A7F">
        <w:tc>
          <w:tcPr>
            <w:tcW w:w="663" w:type="dxa"/>
          </w:tcPr>
          <w:p w14:paraId="42AB979D" w14:textId="3F8FE2F6" w:rsidR="008B2049" w:rsidRDefault="008B2049" w:rsidP="00AF3614">
            <w:pPr>
              <w:pStyle w:val="ListNumber"/>
              <w:numPr>
                <w:ilvl w:val="0"/>
                <w:numId w:val="40"/>
              </w:numPr>
              <w:ind w:left="113" w:firstLine="0"/>
            </w:pPr>
          </w:p>
        </w:tc>
        <w:tc>
          <w:tcPr>
            <w:tcW w:w="2245" w:type="dxa"/>
          </w:tcPr>
          <w:p w14:paraId="4BE43C53" w14:textId="49DBF86C" w:rsidR="008B2049" w:rsidRDefault="008B2049" w:rsidP="000705F2">
            <w:pPr>
              <w:pStyle w:val="ListNumber"/>
              <w:numPr>
                <w:ilvl w:val="0"/>
                <w:numId w:val="0"/>
              </w:numPr>
            </w:pPr>
            <w:r>
              <w:t>Mr Kadir Kaya</w:t>
            </w:r>
          </w:p>
        </w:tc>
        <w:tc>
          <w:tcPr>
            <w:tcW w:w="1907" w:type="dxa"/>
          </w:tcPr>
          <w:p w14:paraId="0DEB1146" w14:textId="7FAB2823" w:rsidR="008B2049" w:rsidRDefault="00EB7D64" w:rsidP="000705F2">
            <w:pPr>
              <w:pStyle w:val="ListNumber"/>
              <w:numPr>
                <w:ilvl w:val="0"/>
                <w:numId w:val="0"/>
              </w:numPr>
            </w:pPr>
            <w:r>
              <w:t>6/05/2020</w:t>
            </w:r>
          </w:p>
        </w:tc>
        <w:tc>
          <w:tcPr>
            <w:tcW w:w="2126" w:type="dxa"/>
          </w:tcPr>
          <w:p w14:paraId="0E026B19" w14:textId="0AC5975C" w:rsidR="008B2049" w:rsidRDefault="00C00F3E" w:rsidP="000705F2">
            <w:pPr>
              <w:pStyle w:val="ListNumber"/>
              <w:numPr>
                <w:ilvl w:val="0"/>
                <w:numId w:val="0"/>
              </w:numPr>
            </w:pPr>
            <w:r>
              <w:t>28/05/</w:t>
            </w:r>
            <w:r w:rsidR="00862993">
              <w:t>2020</w:t>
            </w:r>
          </w:p>
        </w:tc>
        <w:tc>
          <w:tcPr>
            <w:tcW w:w="1701" w:type="dxa"/>
            <w:shd w:val="clear" w:color="auto" w:fill="FFF2CC" w:themeFill="accent4" w:themeFillTint="33"/>
          </w:tcPr>
          <w:p w14:paraId="0DD34832" w14:textId="2D03C5DA" w:rsidR="008B2049" w:rsidRDefault="001D6710" w:rsidP="000705F2">
            <w:pPr>
              <w:pStyle w:val="ListNumber"/>
              <w:numPr>
                <w:ilvl w:val="0"/>
                <w:numId w:val="0"/>
              </w:numPr>
            </w:pPr>
            <w:r>
              <w:t>8/05/2020</w:t>
            </w:r>
          </w:p>
        </w:tc>
        <w:tc>
          <w:tcPr>
            <w:tcW w:w="4614" w:type="dxa"/>
          </w:tcPr>
          <w:p w14:paraId="7D855CC9" w14:textId="41AFFC8B" w:rsidR="008B2049" w:rsidRDefault="00C00F3E" w:rsidP="000705F2">
            <w:pPr>
              <w:pStyle w:val="ListNumber"/>
              <w:numPr>
                <w:ilvl w:val="0"/>
                <w:numId w:val="0"/>
              </w:numPr>
            </w:pPr>
            <w:r w:rsidRPr="00C00F3E">
              <w:rPr>
                <w:i/>
                <w:iCs/>
              </w:rPr>
              <w:t>Booth v Kadir Kaya</w:t>
            </w:r>
            <w:r w:rsidRPr="00C00F3E">
              <w:t xml:space="preserve"> [2020] FCA 764</w:t>
            </w:r>
          </w:p>
        </w:tc>
      </w:tr>
      <w:tr w:rsidR="008B2049" w14:paraId="7532F717" w14:textId="77777777" w:rsidTr="00757A7F">
        <w:tc>
          <w:tcPr>
            <w:tcW w:w="663" w:type="dxa"/>
          </w:tcPr>
          <w:p w14:paraId="7F3B14EC" w14:textId="54D9E3BD" w:rsidR="008B2049" w:rsidRDefault="008B2049" w:rsidP="00AF3614">
            <w:pPr>
              <w:pStyle w:val="ListNumber"/>
              <w:numPr>
                <w:ilvl w:val="0"/>
                <w:numId w:val="40"/>
              </w:numPr>
              <w:ind w:left="113" w:firstLine="0"/>
            </w:pPr>
          </w:p>
        </w:tc>
        <w:tc>
          <w:tcPr>
            <w:tcW w:w="2245" w:type="dxa"/>
          </w:tcPr>
          <w:p w14:paraId="189EAF20" w14:textId="26A416B4" w:rsidR="008B2049" w:rsidRDefault="0090787A" w:rsidP="000705F2">
            <w:pPr>
              <w:pStyle w:val="ListNumber"/>
              <w:numPr>
                <w:ilvl w:val="0"/>
                <w:numId w:val="0"/>
              </w:numPr>
            </w:pPr>
            <w:r>
              <w:t xml:space="preserve">Mr Antonio </w:t>
            </w:r>
            <w:proofErr w:type="spellStart"/>
            <w:r w:rsidR="00D278E2">
              <w:t>Al</w:t>
            </w:r>
            <w:r w:rsidR="00B57D3E">
              <w:t>fio</w:t>
            </w:r>
            <w:proofErr w:type="spellEnd"/>
            <w:r w:rsidR="00B57D3E">
              <w:t xml:space="preserve"> </w:t>
            </w:r>
            <w:proofErr w:type="spellStart"/>
            <w:r>
              <w:t>Granata</w:t>
            </w:r>
            <w:proofErr w:type="spellEnd"/>
          </w:p>
        </w:tc>
        <w:tc>
          <w:tcPr>
            <w:tcW w:w="1907" w:type="dxa"/>
          </w:tcPr>
          <w:p w14:paraId="1AB12F2D" w14:textId="17B50198" w:rsidR="008B2049" w:rsidRDefault="00B3443B" w:rsidP="000705F2">
            <w:pPr>
              <w:pStyle w:val="ListNumber"/>
              <w:numPr>
                <w:ilvl w:val="0"/>
                <w:numId w:val="0"/>
              </w:numPr>
            </w:pPr>
            <w:r>
              <w:t>6/05/2020</w:t>
            </w:r>
          </w:p>
        </w:tc>
        <w:tc>
          <w:tcPr>
            <w:tcW w:w="2126" w:type="dxa"/>
          </w:tcPr>
          <w:p w14:paraId="1A6B8EF1" w14:textId="24D88B50" w:rsidR="008B2049" w:rsidRDefault="00676FCB" w:rsidP="000705F2">
            <w:pPr>
              <w:pStyle w:val="ListNumber"/>
              <w:numPr>
                <w:ilvl w:val="0"/>
                <w:numId w:val="0"/>
              </w:numPr>
            </w:pPr>
            <w:r>
              <w:t>29/05/2020</w:t>
            </w:r>
          </w:p>
        </w:tc>
        <w:tc>
          <w:tcPr>
            <w:tcW w:w="1701" w:type="dxa"/>
            <w:shd w:val="clear" w:color="auto" w:fill="FFF2CC" w:themeFill="accent4" w:themeFillTint="33"/>
          </w:tcPr>
          <w:p w14:paraId="2B5772DE" w14:textId="337703FB" w:rsidR="008B2049" w:rsidRDefault="00105F28" w:rsidP="000705F2">
            <w:pPr>
              <w:pStyle w:val="ListNumber"/>
              <w:numPr>
                <w:ilvl w:val="0"/>
                <w:numId w:val="0"/>
              </w:numPr>
            </w:pPr>
            <w:r>
              <w:t>8/05/2020</w:t>
            </w:r>
          </w:p>
        </w:tc>
        <w:tc>
          <w:tcPr>
            <w:tcW w:w="4614" w:type="dxa"/>
          </w:tcPr>
          <w:p w14:paraId="54DE74C8" w14:textId="4E26FEE4" w:rsidR="008B2049" w:rsidRDefault="00676FCB" w:rsidP="000705F2">
            <w:pPr>
              <w:pStyle w:val="ListNumber"/>
              <w:numPr>
                <w:ilvl w:val="0"/>
                <w:numId w:val="0"/>
              </w:numPr>
            </w:pPr>
            <w:r w:rsidRPr="00676FCB">
              <w:rPr>
                <w:i/>
                <w:iCs/>
              </w:rPr>
              <w:t xml:space="preserve">Booth v </w:t>
            </w:r>
            <w:proofErr w:type="spellStart"/>
            <w:r w:rsidRPr="00676FCB">
              <w:rPr>
                <w:i/>
                <w:iCs/>
              </w:rPr>
              <w:t>Granata</w:t>
            </w:r>
            <w:proofErr w:type="spellEnd"/>
            <w:r w:rsidRPr="00676FCB">
              <w:t xml:space="preserve"> [2020] FCA 768</w:t>
            </w:r>
          </w:p>
        </w:tc>
      </w:tr>
      <w:tr w:rsidR="0090787A" w14:paraId="24BD13E9" w14:textId="77777777" w:rsidTr="00914DE7">
        <w:tc>
          <w:tcPr>
            <w:tcW w:w="663" w:type="dxa"/>
          </w:tcPr>
          <w:p w14:paraId="4590D548" w14:textId="77777777" w:rsidR="0090787A" w:rsidRDefault="0090787A" w:rsidP="00AF3614">
            <w:pPr>
              <w:pStyle w:val="ListNumber"/>
              <w:numPr>
                <w:ilvl w:val="0"/>
                <w:numId w:val="40"/>
              </w:numPr>
              <w:ind w:left="113" w:firstLine="0"/>
            </w:pPr>
          </w:p>
        </w:tc>
        <w:tc>
          <w:tcPr>
            <w:tcW w:w="2245" w:type="dxa"/>
          </w:tcPr>
          <w:p w14:paraId="6052F2B6" w14:textId="48816631" w:rsidR="0090787A" w:rsidRDefault="0090787A" w:rsidP="000705F2">
            <w:pPr>
              <w:pStyle w:val="ListNumber"/>
              <w:numPr>
                <w:ilvl w:val="0"/>
                <w:numId w:val="0"/>
              </w:numPr>
            </w:pPr>
            <w:r>
              <w:t xml:space="preserve">Mr Belal </w:t>
            </w:r>
            <w:proofErr w:type="spellStart"/>
            <w:r>
              <w:t>Saadallay</w:t>
            </w:r>
            <w:proofErr w:type="spellEnd"/>
            <w:r>
              <w:t xml:space="preserve"> </w:t>
            </w:r>
            <w:proofErr w:type="spellStart"/>
            <w:r>
              <w:t>Khazaal</w:t>
            </w:r>
            <w:proofErr w:type="spellEnd"/>
          </w:p>
        </w:tc>
        <w:tc>
          <w:tcPr>
            <w:tcW w:w="1907" w:type="dxa"/>
          </w:tcPr>
          <w:p w14:paraId="69361BDD" w14:textId="12093A2E" w:rsidR="0090787A" w:rsidRDefault="00A07A73" w:rsidP="000705F2">
            <w:pPr>
              <w:pStyle w:val="ListNumber"/>
              <w:numPr>
                <w:ilvl w:val="0"/>
                <w:numId w:val="0"/>
              </w:numPr>
            </w:pPr>
            <w:r>
              <w:t>5/08/2020</w:t>
            </w:r>
          </w:p>
        </w:tc>
        <w:tc>
          <w:tcPr>
            <w:tcW w:w="2126" w:type="dxa"/>
          </w:tcPr>
          <w:p w14:paraId="5BD7CEC4" w14:textId="593117A1" w:rsidR="0090787A" w:rsidRDefault="00573FB4" w:rsidP="000705F2">
            <w:pPr>
              <w:pStyle w:val="ListNumber"/>
              <w:numPr>
                <w:ilvl w:val="0"/>
                <w:numId w:val="0"/>
              </w:numPr>
            </w:pPr>
            <w:r>
              <w:t>26/08/2020</w:t>
            </w:r>
          </w:p>
        </w:tc>
        <w:tc>
          <w:tcPr>
            <w:tcW w:w="1701" w:type="dxa"/>
          </w:tcPr>
          <w:p w14:paraId="01241B1C" w14:textId="7B36F2F2" w:rsidR="0090787A" w:rsidRDefault="00B36462" w:rsidP="000705F2">
            <w:pPr>
              <w:pStyle w:val="ListNumber"/>
              <w:numPr>
                <w:ilvl w:val="0"/>
                <w:numId w:val="0"/>
              </w:numPr>
            </w:pPr>
            <w:r>
              <w:t>30/08/2020</w:t>
            </w:r>
          </w:p>
        </w:tc>
        <w:tc>
          <w:tcPr>
            <w:tcW w:w="4614" w:type="dxa"/>
          </w:tcPr>
          <w:p w14:paraId="6130B5D8" w14:textId="7A6DAD13" w:rsidR="0090787A" w:rsidRDefault="00903EE4" w:rsidP="000705F2">
            <w:pPr>
              <w:pStyle w:val="ListNumber"/>
              <w:numPr>
                <w:ilvl w:val="0"/>
                <w:numId w:val="0"/>
              </w:numPr>
            </w:pPr>
            <w:r w:rsidRPr="00903EE4">
              <w:rPr>
                <w:i/>
                <w:iCs/>
              </w:rPr>
              <w:t xml:space="preserve">Booth v </w:t>
            </w:r>
            <w:proofErr w:type="spellStart"/>
            <w:r w:rsidRPr="00903EE4">
              <w:rPr>
                <w:i/>
                <w:iCs/>
              </w:rPr>
              <w:t>Khazaal</w:t>
            </w:r>
            <w:proofErr w:type="spellEnd"/>
            <w:r w:rsidRPr="00903EE4">
              <w:t xml:space="preserve"> [2020] FCA 1241</w:t>
            </w:r>
          </w:p>
        </w:tc>
      </w:tr>
    </w:tbl>
    <w:p w14:paraId="375BC6CA" w14:textId="77777777" w:rsidR="00DB7A24" w:rsidRDefault="00DB7A24" w:rsidP="000705F2">
      <w:pPr>
        <w:pStyle w:val="ListNumber"/>
        <w:numPr>
          <w:ilvl w:val="0"/>
          <w:numId w:val="0"/>
        </w:numPr>
      </w:pPr>
    </w:p>
    <w:p w14:paraId="27EBD0BF" w14:textId="77777777" w:rsidR="00E5430C" w:rsidRDefault="00E5430C" w:rsidP="000705F2">
      <w:pPr>
        <w:pStyle w:val="ListNumber"/>
        <w:numPr>
          <w:ilvl w:val="0"/>
          <w:numId w:val="0"/>
        </w:numPr>
      </w:pPr>
    </w:p>
    <w:p w14:paraId="633E2F36" w14:textId="77777777" w:rsidR="00E5430C" w:rsidRDefault="00E5430C" w:rsidP="000705F2">
      <w:pPr>
        <w:pStyle w:val="ListNumber"/>
        <w:numPr>
          <w:ilvl w:val="0"/>
          <w:numId w:val="0"/>
        </w:numPr>
        <w:sectPr w:rsidR="00E5430C" w:rsidSect="00E5430C">
          <w:headerReference w:type="default" r:id="rId24"/>
          <w:headerReference w:type="first" r:id="rId25"/>
          <w:endnotePr>
            <w:numFmt w:val="decimal"/>
          </w:endnotePr>
          <w:pgSz w:w="16838" w:h="11906" w:orient="landscape" w:code="9"/>
          <w:pgMar w:top="1418" w:right="2438" w:bottom="1418" w:left="1134" w:header="907" w:footer="284" w:gutter="0"/>
          <w:cols w:space="708"/>
          <w:titlePg/>
          <w:docGrid w:linePitch="360"/>
        </w:sectPr>
      </w:pPr>
    </w:p>
    <w:p w14:paraId="102E4627" w14:textId="082E399E" w:rsidR="00A7615D" w:rsidRPr="000D58C2" w:rsidRDefault="000D58C2" w:rsidP="000705F2">
      <w:pPr>
        <w:pStyle w:val="ListNumber"/>
        <w:numPr>
          <w:ilvl w:val="0"/>
          <w:numId w:val="0"/>
        </w:numPr>
        <w:rPr>
          <w:b/>
          <w:bCs/>
          <w:sz w:val="28"/>
          <w:szCs w:val="32"/>
        </w:rPr>
      </w:pPr>
      <w:r w:rsidRPr="000D58C2">
        <w:rPr>
          <w:b/>
          <w:bCs/>
          <w:sz w:val="28"/>
          <w:szCs w:val="32"/>
        </w:rPr>
        <w:lastRenderedPageBreak/>
        <w:t>Endnotes</w:t>
      </w:r>
    </w:p>
    <w:sectPr w:rsidR="00A7615D" w:rsidRPr="000D58C2" w:rsidSect="00E5430C">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A77E" w14:textId="77777777" w:rsidR="005C250D" w:rsidRDefault="005C250D" w:rsidP="00F14C6D">
      <w:r>
        <w:separator/>
      </w:r>
    </w:p>
  </w:endnote>
  <w:endnote w:type="continuationSeparator" w:id="0">
    <w:p w14:paraId="552AAD2C" w14:textId="77777777" w:rsidR="005C250D" w:rsidRDefault="005C250D" w:rsidP="00F14C6D">
      <w:r>
        <w:continuationSeparator/>
      </w:r>
    </w:p>
  </w:endnote>
  <w:endnote w:type="continuationNotice" w:id="1">
    <w:p w14:paraId="494E3A87" w14:textId="77777777" w:rsidR="005C250D" w:rsidRDefault="005C250D">
      <w:pPr>
        <w:spacing w:before="0" w:after="0"/>
      </w:pPr>
    </w:p>
  </w:endnote>
  <w:endnote w:id="2">
    <w:p w14:paraId="5B458375" w14:textId="462E525E" w:rsidR="00F52828" w:rsidRPr="009A48E1" w:rsidRDefault="00F52828" w:rsidP="003808E8">
      <w:pPr>
        <w:pStyle w:val="EndnoteText"/>
        <w:ind w:left="284" w:hanging="284"/>
        <w:rPr>
          <w:lang w:val="en-US"/>
        </w:rPr>
      </w:pPr>
      <w:r>
        <w:rPr>
          <w:rStyle w:val="EndnoteReference"/>
        </w:rPr>
        <w:endnoteRef/>
      </w:r>
      <w:r>
        <w:t xml:space="preserve"> </w:t>
      </w:r>
      <w:r>
        <w:rPr>
          <w:lang w:val="en-US"/>
        </w:rPr>
        <w:tab/>
        <w:t xml:space="preserve">Australian Human Rights Commission, </w:t>
      </w:r>
      <w:r w:rsidRPr="00974954">
        <w:rPr>
          <w:i/>
          <w:iCs/>
          <w:lang w:val="en-US"/>
        </w:rPr>
        <w:t>Criminal Code Amendment (High Risk Terrorist Offenders) Bill 2016 (</w:t>
      </w:r>
      <w:proofErr w:type="spellStart"/>
      <w:r w:rsidRPr="00974954">
        <w:rPr>
          <w:i/>
          <w:iCs/>
          <w:lang w:val="en-US"/>
        </w:rPr>
        <w:t>Cth</w:t>
      </w:r>
      <w:proofErr w:type="spellEnd"/>
      <w:r w:rsidRPr="00974954">
        <w:rPr>
          <w:i/>
          <w:iCs/>
          <w:lang w:val="en-US"/>
        </w:rPr>
        <w:t>)</w:t>
      </w:r>
      <w:r>
        <w:rPr>
          <w:lang w:val="en-US"/>
        </w:rPr>
        <w:t xml:space="preserve">, submission to the PJCIS, </w:t>
      </w:r>
      <w:r w:rsidRPr="0006741A">
        <w:t>12 October 2016</w:t>
      </w:r>
      <w:r>
        <w:t xml:space="preserve">, at </w:t>
      </w:r>
      <w:hyperlink r:id="rId1" w:history="1">
        <w:r w:rsidRPr="003E5E7A">
          <w:rPr>
            <w:rStyle w:val="Hyperlink"/>
          </w:rPr>
          <w:t>https://www.aph.gov.au/DocumentStore.ashx?id=32397a66-a179-4a07-a5fb-ab60b776676f&amp;subId=414693</w:t>
        </w:r>
      </w:hyperlink>
      <w:r>
        <w:t xml:space="preserve">; </w:t>
      </w:r>
      <w:r>
        <w:rPr>
          <w:lang w:val="en-US"/>
        </w:rPr>
        <w:t xml:space="preserve">Australian Human Rights Commission, </w:t>
      </w:r>
      <w:r w:rsidRPr="00907FDE">
        <w:rPr>
          <w:i/>
          <w:iCs/>
          <w:lang w:val="en-US"/>
        </w:rPr>
        <w:t>Review of Australian Federal Police Powers</w:t>
      </w:r>
      <w:r>
        <w:rPr>
          <w:lang w:val="en-US"/>
        </w:rPr>
        <w:t xml:space="preserve">, submission to the PJCIS, 10 September 2020, at </w:t>
      </w:r>
      <w:hyperlink r:id="rId2" w:history="1">
        <w:r w:rsidRPr="009C62F6">
          <w:rPr>
            <w:rStyle w:val="Hyperlink"/>
            <w:lang w:val="en-US"/>
          </w:rPr>
          <w:t>https://www.aph.gov.au/DocumentStore.ashx?id=b2a784cc-435f-4cbd-b5c7-6831eeb05e81&amp;subId=691580</w:t>
        </w:r>
      </w:hyperlink>
      <w:r>
        <w:rPr>
          <w:lang w:val="en-US"/>
        </w:rPr>
        <w:t>.</w:t>
      </w:r>
    </w:p>
  </w:endnote>
  <w:endnote w:id="3">
    <w:p w14:paraId="7BBF9C31" w14:textId="1B7733B2" w:rsidR="00F52828" w:rsidRPr="00721D1B" w:rsidRDefault="00F52828" w:rsidP="00407DE1">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w:t>
      </w:r>
    </w:p>
  </w:endnote>
  <w:endnote w:id="4">
    <w:p w14:paraId="14E30474" w14:textId="16C9907A" w:rsidR="00F52828" w:rsidRPr="00721D1B" w:rsidRDefault="00F52828" w:rsidP="00721D1B">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Appendix A.</w:t>
      </w:r>
    </w:p>
  </w:endnote>
  <w:endnote w:id="5">
    <w:p w14:paraId="2A0B8537" w14:textId="1A3069C3" w:rsidR="00F52828" w:rsidRPr="00C01339" w:rsidRDefault="00F52828" w:rsidP="006A00AF">
      <w:pPr>
        <w:pStyle w:val="EndnoteText"/>
        <w:ind w:left="284" w:hanging="284"/>
        <w:rPr>
          <w:lang w:val="en-US"/>
        </w:rPr>
      </w:pPr>
      <w:r>
        <w:rPr>
          <w:rStyle w:val="EndnoteReference"/>
        </w:rPr>
        <w:endnoteRef/>
      </w:r>
      <w:r>
        <w:t xml:space="preserve"> </w:t>
      </w:r>
      <w:r>
        <w:rPr>
          <w:lang w:val="en-US"/>
        </w:rPr>
        <w:tab/>
      </w:r>
      <w:r w:rsidRPr="006A00AF">
        <w:rPr>
          <w:i/>
          <w:iCs/>
          <w:lang w:val="en-US"/>
        </w:rPr>
        <w:t>The Queen v Abdirahman-Khalif</w:t>
      </w:r>
      <w:r>
        <w:rPr>
          <w:lang w:val="en-US"/>
        </w:rPr>
        <w:t xml:space="preserve"> [2020] HCA 36.</w:t>
      </w:r>
    </w:p>
  </w:endnote>
  <w:endnote w:id="6">
    <w:p w14:paraId="1C0483B0" w14:textId="4D8DE55D" w:rsidR="00F52828" w:rsidRPr="006A00AF" w:rsidRDefault="00F52828" w:rsidP="006A00AF">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case study 5, pp 54-56.</w:t>
      </w:r>
    </w:p>
  </w:endnote>
  <w:endnote w:id="7">
    <w:p w14:paraId="42F99004" w14:textId="7C60733C" w:rsidR="00F52828" w:rsidRPr="00A7337D" w:rsidRDefault="00F52828" w:rsidP="00EC58FF">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[97]-[192].</w:t>
      </w:r>
    </w:p>
  </w:endnote>
  <w:endnote w:id="8">
    <w:p w14:paraId="552C006E" w14:textId="0C7F9FB3" w:rsidR="00F52828" w:rsidRDefault="00F52828" w:rsidP="00CF79FB">
      <w:pPr>
        <w:pStyle w:val="EndnoteText"/>
        <w:ind w:left="284" w:hanging="284"/>
      </w:pPr>
      <w:r>
        <w:rPr>
          <w:rStyle w:val="EndnoteReference"/>
        </w:rPr>
        <w:endnoteRef/>
      </w:r>
      <w:r>
        <w:t xml:space="preserve"> </w:t>
      </w:r>
      <w:r>
        <w:tab/>
        <w:t xml:space="preserve">Letter from Senator the Hon George Brandis QC to Mr Michael </w:t>
      </w:r>
      <w:proofErr w:type="spellStart"/>
      <w:r>
        <w:t>Sukkar</w:t>
      </w:r>
      <w:proofErr w:type="spellEnd"/>
      <w:r>
        <w:t xml:space="preserve"> MP, Chair of the PJCIS dated 13 October 2016, at Appendix C to the PJCIS </w:t>
      </w:r>
      <w:r w:rsidRPr="004A2AEF">
        <w:rPr>
          <w:i/>
          <w:iCs/>
        </w:rPr>
        <w:t>Advisory Report on the Criminal Code Amendment (High Risk Terrorist Offenders) Bill 2016</w:t>
      </w:r>
      <w:r>
        <w:t xml:space="preserve"> (November 2016) at </w:t>
      </w:r>
      <w:hyperlink r:id="rId3" w:history="1">
        <w:r w:rsidRPr="00151D0E">
          <w:rPr>
            <w:rStyle w:val="Hyperlink"/>
          </w:rPr>
          <w:t>https://www.aph.gov.au/Parliamentary_Business/Committees/Joint/Intelligence_and_Security/HRTOBill/Report-PDF</w:t>
        </w:r>
      </w:hyperlink>
      <w:r>
        <w:t>.</w:t>
      </w:r>
    </w:p>
  </w:endnote>
  <w:endnote w:id="9">
    <w:p w14:paraId="04DD9073" w14:textId="0E1CD2C9" w:rsidR="00F52828" w:rsidRDefault="00F52828" w:rsidP="00CF79FB">
      <w:pPr>
        <w:pStyle w:val="EndnoteText"/>
        <w:ind w:left="284" w:hanging="284"/>
      </w:pPr>
      <w:r>
        <w:rPr>
          <w:rStyle w:val="EndnoteReference"/>
        </w:rPr>
        <w:endnoteRef/>
      </w:r>
      <w:r>
        <w:t xml:space="preserve"> </w:t>
      </w:r>
      <w:r>
        <w:tab/>
      </w:r>
      <w:r w:rsidRPr="00AA3035">
        <w:rPr>
          <w:i/>
          <w:iCs/>
        </w:rPr>
        <w:t>Criminal Code</w:t>
      </w:r>
      <w:r>
        <w:t xml:space="preserve"> (</w:t>
      </w:r>
      <w:proofErr w:type="spellStart"/>
      <w:r>
        <w:t>Cth</w:t>
      </w:r>
      <w:proofErr w:type="spellEnd"/>
      <w:r>
        <w:t>), s 105A.7.</w:t>
      </w:r>
    </w:p>
  </w:endnote>
  <w:endnote w:id="10">
    <w:p w14:paraId="1261B6BB" w14:textId="36BCE227" w:rsidR="00F52828" w:rsidRDefault="00F52828" w:rsidP="00CF79FB">
      <w:pPr>
        <w:pStyle w:val="EndnoteText"/>
        <w:ind w:left="284" w:hanging="284"/>
      </w:pPr>
      <w:r>
        <w:rPr>
          <w:rStyle w:val="EndnoteReference"/>
        </w:rPr>
        <w:endnoteRef/>
      </w:r>
      <w:r>
        <w:t xml:space="preserve"> </w:t>
      </w:r>
      <w:r>
        <w:tab/>
      </w:r>
      <w:r w:rsidRPr="00AA3035">
        <w:rPr>
          <w:i/>
          <w:iCs/>
        </w:rPr>
        <w:t>Criminal Code</w:t>
      </w:r>
      <w:r>
        <w:t xml:space="preserve"> (</w:t>
      </w:r>
      <w:proofErr w:type="spellStart"/>
      <w:r>
        <w:t>Cth</w:t>
      </w:r>
      <w:proofErr w:type="spellEnd"/>
      <w:r>
        <w:t>), s 105A.7(1)(c).</w:t>
      </w:r>
    </w:p>
  </w:endnote>
  <w:endnote w:id="11">
    <w:p w14:paraId="60A06FD2" w14:textId="6DDE9C4E" w:rsidR="00F52828" w:rsidRDefault="00F52828" w:rsidP="00CF79FB">
      <w:pPr>
        <w:pStyle w:val="EndnoteText"/>
        <w:ind w:left="284" w:hanging="284"/>
      </w:pPr>
      <w:r>
        <w:rPr>
          <w:rStyle w:val="EndnoteReference"/>
        </w:rPr>
        <w:endnoteRef/>
      </w:r>
      <w:r>
        <w:t xml:space="preserve"> </w:t>
      </w:r>
      <w:r>
        <w:tab/>
      </w:r>
      <w:proofErr w:type="gramStart"/>
      <w:r w:rsidRPr="002D2FA0">
        <w:rPr>
          <w:i/>
          <w:iCs/>
        </w:rPr>
        <w:t>Criminal Code</w:t>
      </w:r>
      <w:r>
        <w:t xml:space="preserve"> (</w:t>
      </w:r>
      <w:proofErr w:type="spellStart"/>
      <w:r>
        <w:t>Cth</w:t>
      </w:r>
      <w:proofErr w:type="spellEnd"/>
      <w:r>
        <w:t>),</w:t>
      </w:r>
      <w:proofErr w:type="gramEnd"/>
      <w:r>
        <w:t xml:space="preserve"> Note 1 to s 105A.7.</w:t>
      </w:r>
    </w:p>
  </w:endnote>
  <w:endnote w:id="12">
    <w:p w14:paraId="6CDAE246" w14:textId="2631D27C" w:rsidR="00F52828" w:rsidRDefault="00F52828" w:rsidP="00CF79FB">
      <w:pPr>
        <w:pStyle w:val="EndnoteText"/>
        <w:ind w:left="284" w:hanging="284"/>
      </w:pPr>
      <w:r>
        <w:rPr>
          <w:rStyle w:val="EndnoteReference"/>
        </w:rPr>
        <w:endnoteRef/>
      </w:r>
      <w:r>
        <w:t xml:space="preserve"> </w:t>
      </w:r>
      <w:r>
        <w:tab/>
      </w:r>
      <w:r w:rsidRPr="00747741">
        <w:rPr>
          <w:i/>
          <w:iCs/>
        </w:rPr>
        <w:t>Criminal Code</w:t>
      </w:r>
      <w:r>
        <w:t xml:space="preserve"> (</w:t>
      </w:r>
      <w:proofErr w:type="spellStart"/>
      <w:r>
        <w:t>Cth</w:t>
      </w:r>
      <w:proofErr w:type="spellEnd"/>
      <w:r>
        <w:t>), ss 100.1 (definition of ‘issuing court’), 104.4, 104.14.</w:t>
      </w:r>
    </w:p>
  </w:endnote>
  <w:endnote w:id="13">
    <w:p w14:paraId="40C2EAF5" w14:textId="7F79A402" w:rsidR="00F52828" w:rsidRDefault="00F52828" w:rsidP="00CF79FB">
      <w:pPr>
        <w:pStyle w:val="EndnoteText"/>
        <w:ind w:left="284" w:hanging="284"/>
      </w:pPr>
      <w:r>
        <w:rPr>
          <w:rStyle w:val="EndnoteReference"/>
        </w:rPr>
        <w:endnoteRef/>
      </w:r>
      <w:r>
        <w:t xml:space="preserve"> </w:t>
      </w:r>
      <w:r>
        <w:tab/>
        <w:t xml:space="preserve">Letter from Senator the Hon George Brandis QC to Mr Michael </w:t>
      </w:r>
      <w:proofErr w:type="spellStart"/>
      <w:r>
        <w:t>Sukkar</w:t>
      </w:r>
      <w:proofErr w:type="spellEnd"/>
      <w:r>
        <w:t xml:space="preserve"> MP, Chair of the PJCIS dated 13 October 2016, at Appendix C to the PJCIS </w:t>
      </w:r>
      <w:r w:rsidRPr="004A2AEF">
        <w:rPr>
          <w:i/>
          <w:iCs/>
        </w:rPr>
        <w:t>Advisory Report on the Criminal Code Amendment (High Risk Terrorist Offenders) Bill 2016</w:t>
      </w:r>
      <w:r>
        <w:t xml:space="preserve"> (November 2016).</w:t>
      </w:r>
    </w:p>
  </w:endnote>
  <w:endnote w:id="14">
    <w:p w14:paraId="37E2EF8F" w14:textId="366712A9" w:rsidR="00F52828" w:rsidRDefault="00F52828" w:rsidP="00CF79FB">
      <w:pPr>
        <w:pStyle w:val="EndnoteText"/>
        <w:ind w:left="284" w:hanging="284"/>
      </w:pPr>
      <w:r>
        <w:rPr>
          <w:rStyle w:val="EndnoteReference"/>
        </w:rPr>
        <w:endnoteRef/>
      </w:r>
      <w:r>
        <w:t xml:space="preserve"> </w:t>
      </w:r>
      <w:r>
        <w:tab/>
        <w:t xml:space="preserve">PJCIS, </w:t>
      </w:r>
      <w:r w:rsidRPr="004A2AEF">
        <w:rPr>
          <w:i/>
          <w:iCs/>
        </w:rPr>
        <w:t>Advisory Report on the Criminal Code Amendment (High Risk Terrorist Offenders) Bill 2016</w:t>
      </w:r>
      <w:r>
        <w:t xml:space="preserve"> (November 2016) at [3.186].</w:t>
      </w:r>
    </w:p>
  </w:endnote>
  <w:endnote w:id="15">
    <w:p w14:paraId="4802639E" w14:textId="5923C282" w:rsidR="00F52828" w:rsidRDefault="00F52828" w:rsidP="00CF79FB">
      <w:pPr>
        <w:pStyle w:val="EndnoteText"/>
        <w:ind w:left="284" w:hanging="284"/>
      </w:pPr>
      <w:r>
        <w:rPr>
          <w:rStyle w:val="EndnoteReference"/>
        </w:rPr>
        <w:endnoteRef/>
      </w:r>
      <w:r>
        <w:t xml:space="preserve"> </w:t>
      </w:r>
      <w:r>
        <w:tab/>
      </w:r>
      <w:r w:rsidRPr="00D80AFB">
        <w:rPr>
          <w:i/>
          <w:iCs/>
        </w:rPr>
        <w:t>Criminal Code</w:t>
      </w:r>
      <w:r>
        <w:t xml:space="preserve"> (</w:t>
      </w:r>
      <w:proofErr w:type="spellStart"/>
      <w:r>
        <w:t>Cth</w:t>
      </w:r>
      <w:proofErr w:type="spellEnd"/>
      <w:r>
        <w:t>), s 104.5(1)(d).</w:t>
      </w:r>
    </w:p>
  </w:endnote>
  <w:endnote w:id="16">
    <w:p w14:paraId="5D8F8A04" w14:textId="4AE24A0C" w:rsidR="00F52828" w:rsidRDefault="00F52828" w:rsidP="00CF79FB">
      <w:pPr>
        <w:pStyle w:val="EndnoteText"/>
        <w:ind w:left="284" w:hanging="284"/>
      </w:pPr>
      <w:r>
        <w:rPr>
          <w:rStyle w:val="EndnoteReference"/>
        </w:rPr>
        <w:endnoteRef/>
      </w:r>
      <w:r>
        <w:t xml:space="preserve"> </w:t>
      </w:r>
      <w:r>
        <w:tab/>
      </w:r>
      <w:r w:rsidRPr="007F56AD">
        <w:rPr>
          <w:i/>
          <w:iCs/>
        </w:rPr>
        <w:t xml:space="preserve">Booth v </w:t>
      </w:r>
      <w:proofErr w:type="spellStart"/>
      <w:r w:rsidRPr="007F56AD">
        <w:rPr>
          <w:i/>
          <w:iCs/>
        </w:rPr>
        <w:t>Dacre</w:t>
      </w:r>
      <w:proofErr w:type="spellEnd"/>
      <w:r w:rsidRPr="007F56AD">
        <w:t xml:space="preserve"> [2020] FCA 751</w:t>
      </w:r>
      <w:r>
        <w:t xml:space="preserve"> at [4]; </w:t>
      </w:r>
      <w:r w:rsidRPr="00CF7BF4">
        <w:rPr>
          <w:i/>
          <w:iCs/>
        </w:rPr>
        <w:t>Booth v Kadir Kaya</w:t>
      </w:r>
      <w:r w:rsidRPr="00CF7BF4">
        <w:t xml:space="preserve"> [2020] FCA 764 at </w:t>
      </w:r>
      <w:r>
        <w:t xml:space="preserve">[6]; </w:t>
      </w:r>
      <w:r w:rsidRPr="00C41C15">
        <w:rPr>
          <w:i/>
          <w:iCs/>
        </w:rPr>
        <w:t xml:space="preserve">Booth v </w:t>
      </w:r>
      <w:proofErr w:type="spellStart"/>
      <w:r w:rsidRPr="00C41C15">
        <w:rPr>
          <w:i/>
          <w:iCs/>
        </w:rPr>
        <w:t>Granata</w:t>
      </w:r>
      <w:proofErr w:type="spellEnd"/>
      <w:r w:rsidRPr="00B91116">
        <w:t xml:space="preserve"> [2020] FCA 768</w:t>
      </w:r>
      <w:r>
        <w:t xml:space="preserve"> at [3].</w:t>
      </w:r>
    </w:p>
  </w:endnote>
  <w:endnote w:id="17">
    <w:p w14:paraId="5C2EF93F" w14:textId="128D6D18" w:rsidR="00F52828" w:rsidRDefault="00F52828" w:rsidP="00CF79FB">
      <w:pPr>
        <w:pStyle w:val="EndnoteText"/>
        <w:ind w:left="284" w:hanging="284"/>
      </w:pPr>
      <w:r>
        <w:rPr>
          <w:rStyle w:val="EndnoteReference"/>
        </w:rPr>
        <w:endnoteRef/>
      </w:r>
      <w:r>
        <w:t xml:space="preserve"> </w:t>
      </w:r>
      <w:r>
        <w:tab/>
        <w:t xml:space="preserve">PJCIS, </w:t>
      </w:r>
      <w:r w:rsidRPr="004A2AEF">
        <w:rPr>
          <w:i/>
          <w:iCs/>
        </w:rPr>
        <w:t>Advisory Report on the Criminal Code Amendment (High Risk Terrorist Offenders) Bill 2016</w:t>
      </w:r>
      <w:r>
        <w:t xml:space="preserve"> (November 2016) at [3.187].</w:t>
      </w:r>
    </w:p>
  </w:endnote>
  <w:endnote w:id="18">
    <w:p w14:paraId="576ABAAC" w14:textId="77777777" w:rsidR="00F52828" w:rsidRPr="00957A26" w:rsidRDefault="00F52828" w:rsidP="00CB5C64">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[9.40]</w:t>
      </w:r>
      <w:proofErr w:type="gramStart"/>
      <w:r>
        <w:rPr>
          <w:lang w:val="en-US"/>
        </w:rPr>
        <w:t>–[</w:t>
      </w:r>
      <w:proofErr w:type="gramEnd"/>
      <w:r>
        <w:rPr>
          <w:lang w:val="en-US"/>
        </w:rPr>
        <w:t>9.42].</w:t>
      </w:r>
    </w:p>
  </w:endnote>
  <w:endnote w:id="19">
    <w:p w14:paraId="51AA51DD" w14:textId="7D8AD948" w:rsidR="00F52828" w:rsidRPr="005A1F30" w:rsidRDefault="00F52828" w:rsidP="002B58FF">
      <w:pPr>
        <w:pStyle w:val="EndnoteText"/>
        <w:ind w:left="288" w:hanging="288"/>
        <w:rPr>
          <w:lang w:val="en-US"/>
        </w:rPr>
      </w:pPr>
      <w:r>
        <w:rPr>
          <w:rStyle w:val="EndnoteReference"/>
        </w:rPr>
        <w:endnoteRef/>
      </w:r>
      <w:r>
        <w:t xml:space="preserve"> </w:t>
      </w:r>
      <w:r>
        <w:rPr>
          <w:lang w:val="en-US"/>
        </w:rPr>
        <w:tab/>
        <w:t xml:space="preserve">PJCIS, </w:t>
      </w:r>
      <w:r w:rsidRPr="004B14A5">
        <w:rPr>
          <w:i/>
          <w:iCs/>
          <w:lang w:val="en-US"/>
        </w:rPr>
        <w:t xml:space="preserve">Review of police stop, search and seizure powers, the control order </w:t>
      </w:r>
      <w:proofErr w:type="gramStart"/>
      <w:r w:rsidRPr="004B14A5">
        <w:rPr>
          <w:i/>
          <w:iCs/>
          <w:lang w:val="en-US"/>
        </w:rPr>
        <w:t>regime</w:t>
      </w:r>
      <w:proofErr w:type="gramEnd"/>
      <w:r w:rsidRPr="004B14A5">
        <w:rPr>
          <w:i/>
          <w:iCs/>
          <w:lang w:val="en-US"/>
        </w:rPr>
        <w:t xml:space="preserve"> and the preventative detention order regime</w:t>
      </w:r>
      <w:r>
        <w:rPr>
          <w:lang w:val="en-US"/>
        </w:rPr>
        <w:t xml:space="preserve"> (February 2018), at [3.140].</w:t>
      </w:r>
    </w:p>
  </w:endnote>
  <w:endnote w:id="20">
    <w:p w14:paraId="0E135DB6" w14:textId="77777777" w:rsidR="00F52828" w:rsidRPr="00CE2CA1" w:rsidRDefault="00F52828" w:rsidP="002B58FF">
      <w:pPr>
        <w:pStyle w:val="EndnoteText"/>
        <w:ind w:left="288" w:hanging="288"/>
        <w:rPr>
          <w:lang w:val="en-US"/>
        </w:rPr>
      </w:pPr>
      <w:r>
        <w:rPr>
          <w:rStyle w:val="EndnoteReference"/>
        </w:rPr>
        <w:endnoteRef/>
      </w:r>
      <w:r>
        <w:t xml:space="preserve"> </w:t>
      </w:r>
      <w:r>
        <w:tab/>
      </w:r>
      <w:r w:rsidRPr="00CE2CA1">
        <w:t xml:space="preserve">Australian </w:t>
      </w:r>
      <w:r w:rsidRPr="00CE2CA1">
        <w:rPr>
          <w:rFonts w:cs="Open Sans"/>
          <w:color w:val="222222"/>
          <w:shd w:val="clear" w:color="auto" w:fill="FFFFFF"/>
        </w:rPr>
        <w:t xml:space="preserve">Government, </w:t>
      </w:r>
      <w:r w:rsidRPr="00CE2CA1">
        <w:rPr>
          <w:rFonts w:cs="Open Sans"/>
          <w:i/>
          <w:iCs/>
          <w:color w:val="222222"/>
          <w:shd w:val="clear" w:color="auto" w:fill="FFFFFF"/>
        </w:rPr>
        <w:t>Response to the Committee’s review of police stop, search and seizure powers, the control order regime and the preventative detention order regime, and to the INSLM Statutory Deadline Reviews</w:t>
      </w:r>
      <w:r w:rsidRPr="00CE2CA1">
        <w:rPr>
          <w:rFonts w:cs="Open Sans"/>
          <w:color w:val="222222"/>
          <w:shd w:val="clear" w:color="auto" w:fill="FFFFFF"/>
        </w:rPr>
        <w:t>, 24 May 2018, pp 3 and 8</w:t>
      </w:r>
      <w:r w:rsidRPr="00CE2CA1">
        <w:rPr>
          <w:lang w:val="en-US"/>
        </w:rPr>
        <w:t>–</w:t>
      </w:r>
      <w:r w:rsidRPr="00CE2CA1">
        <w:rPr>
          <w:rFonts w:cs="Open Sans"/>
          <w:color w:val="222222"/>
          <w:shd w:val="clear" w:color="auto" w:fill="FFFFFF"/>
        </w:rPr>
        <w:t xml:space="preserve">9, at </w:t>
      </w:r>
      <w:hyperlink r:id="rId4" w:history="1">
        <w:r w:rsidRPr="00CE2CA1">
          <w:rPr>
            <w:rStyle w:val="Hyperlink"/>
            <w:rFonts w:cs="Open Sans"/>
            <w:shd w:val="clear" w:color="auto" w:fill="FFFFFF"/>
          </w:rPr>
          <w:t>https://www.aph.gov.au/DocumentStore.ashx?id=ed7b9dc5-07b4-4672-a2e6-1b015c1248dd</w:t>
        </w:r>
      </w:hyperlink>
      <w:r w:rsidRPr="00CE2CA1">
        <w:rPr>
          <w:rFonts w:cs="Open Sans"/>
          <w:color w:val="222222"/>
          <w:shd w:val="clear" w:color="auto" w:fill="FFFFFF"/>
        </w:rPr>
        <w:t xml:space="preserve">. </w:t>
      </w:r>
    </w:p>
  </w:endnote>
  <w:endnote w:id="21">
    <w:p w14:paraId="08F3C126" w14:textId="77777777" w:rsidR="00F52828" w:rsidRDefault="00F52828" w:rsidP="00F31A96">
      <w:pPr>
        <w:pStyle w:val="EndnoteText"/>
        <w:ind w:left="284" w:hanging="284"/>
      </w:pPr>
      <w:r>
        <w:rPr>
          <w:rStyle w:val="EndnoteReference"/>
        </w:rPr>
        <w:endnoteRef/>
      </w:r>
      <w:r>
        <w:t xml:space="preserve"> </w:t>
      </w:r>
      <w:r>
        <w:tab/>
      </w:r>
      <w:r w:rsidRPr="00A52FD9">
        <w:rPr>
          <w:i/>
        </w:rPr>
        <w:t>Crimes (High Risk Offenders) Act 2006</w:t>
      </w:r>
      <w:r>
        <w:t xml:space="preserve"> (NSW) and </w:t>
      </w:r>
      <w:r w:rsidRPr="006175E4">
        <w:rPr>
          <w:i/>
        </w:rPr>
        <w:t>Criminal Law (High Risk Offenders) Act 2015</w:t>
      </w:r>
      <w:r>
        <w:t xml:space="preserve"> (SA).</w:t>
      </w:r>
    </w:p>
  </w:endnote>
  <w:endnote w:id="22">
    <w:p w14:paraId="0A457B2A" w14:textId="77777777" w:rsidR="00F52828" w:rsidRDefault="00F52828" w:rsidP="00F31A96">
      <w:pPr>
        <w:pStyle w:val="EndnoteText"/>
        <w:ind w:left="284" w:hanging="284"/>
      </w:pPr>
      <w:r>
        <w:rPr>
          <w:rStyle w:val="EndnoteReference"/>
        </w:rPr>
        <w:endnoteRef/>
      </w:r>
      <w:r>
        <w:t xml:space="preserve"> </w:t>
      </w:r>
      <w:r>
        <w:tab/>
      </w:r>
      <w:r w:rsidRPr="006175E4">
        <w:rPr>
          <w:i/>
        </w:rPr>
        <w:t>Dangerous Prisoners (Sexual Offenders) Act 2003</w:t>
      </w:r>
      <w:r>
        <w:t xml:space="preserve"> (Qld); </w:t>
      </w:r>
      <w:r w:rsidRPr="006175E4">
        <w:rPr>
          <w:i/>
        </w:rPr>
        <w:t>Serious Sex Offenders (Detention and Supervision) Act 2009</w:t>
      </w:r>
      <w:r>
        <w:t xml:space="preserve"> (Vic); </w:t>
      </w:r>
      <w:r w:rsidRPr="00733B15">
        <w:rPr>
          <w:i/>
        </w:rPr>
        <w:t>Dangerous Sexual Offenders Act 2006</w:t>
      </w:r>
      <w:r>
        <w:t xml:space="preserve"> (WA); </w:t>
      </w:r>
      <w:r w:rsidRPr="00733B15">
        <w:rPr>
          <w:i/>
        </w:rPr>
        <w:t xml:space="preserve">Serious Sex Offenders Act </w:t>
      </w:r>
      <w:r>
        <w:t>(NT).</w:t>
      </w:r>
    </w:p>
  </w:endnote>
  <w:endnote w:id="23">
    <w:p w14:paraId="2692C21E" w14:textId="77777777" w:rsidR="00F52828" w:rsidRPr="00D70B7F" w:rsidRDefault="00F52828" w:rsidP="00BF73EB">
      <w:pPr>
        <w:pStyle w:val="EndnoteText"/>
        <w:ind w:left="284" w:hanging="284"/>
        <w:rPr>
          <w:lang w:val="en-US"/>
        </w:rPr>
      </w:pPr>
      <w:r>
        <w:rPr>
          <w:rStyle w:val="EndnoteReference"/>
        </w:rPr>
        <w:endnoteRef/>
      </w:r>
      <w:r>
        <w:t xml:space="preserve"> </w:t>
      </w:r>
      <w:r>
        <w:rPr>
          <w:lang w:val="en-US"/>
        </w:rPr>
        <w:tab/>
      </w:r>
      <w:r w:rsidRPr="00B2272B">
        <w:rPr>
          <w:i/>
          <w:iCs/>
          <w:lang w:val="en-US"/>
        </w:rPr>
        <w:t>Sentencing Act 1997</w:t>
      </w:r>
      <w:r>
        <w:rPr>
          <w:lang w:val="en-US"/>
        </w:rPr>
        <w:t xml:space="preserve"> (Tas), s 19.</w:t>
      </w:r>
    </w:p>
  </w:endnote>
  <w:endnote w:id="24">
    <w:p w14:paraId="672DB3CA" w14:textId="77777777" w:rsidR="00F52828" w:rsidRPr="00F35C94" w:rsidRDefault="00F52828" w:rsidP="00BF73EB">
      <w:pPr>
        <w:pStyle w:val="EndnoteText"/>
        <w:ind w:left="284" w:hanging="284"/>
        <w:rPr>
          <w:lang w:val="en-US"/>
        </w:rPr>
      </w:pPr>
      <w:r>
        <w:rPr>
          <w:rStyle w:val="EndnoteReference"/>
        </w:rPr>
        <w:endnoteRef/>
      </w:r>
      <w:r>
        <w:t xml:space="preserve"> </w:t>
      </w:r>
      <w:r>
        <w:rPr>
          <w:lang w:val="en-US"/>
        </w:rPr>
        <w:tab/>
        <w:t xml:space="preserve">Tasmanian Government, Department of Justice, </w:t>
      </w:r>
      <w:r w:rsidRPr="00CF4037">
        <w:rPr>
          <w:i/>
          <w:iCs/>
          <w:lang w:val="en-US"/>
        </w:rPr>
        <w:t>Dangerous Criminals and High Risk Offenders Bill 2020</w:t>
      </w:r>
      <w:r>
        <w:rPr>
          <w:lang w:val="en-US"/>
        </w:rPr>
        <w:t xml:space="preserve">, at </w:t>
      </w:r>
      <w:hyperlink r:id="rId5" w:history="1">
        <w:r w:rsidRPr="00A66FCD">
          <w:rPr>
            <w:rStyle w:val="Hyperlink"/>
            <w:lang w:val="en-US"/>
          </w:rPr>
          <w:t>https://www.justice.tas.gov.au/community-consultation/closed-community-consultations2/sentencing-amendment-dangerous-criminals-bill-2020</w:t>
        </w:r>
      </w:hyperlink>
      <w:r>
        <w:rPr>
          <w:lang w:val="en-US"/>
        </w:rPr>
        <w:t xml:space="preserve">. </w:t>
      </w:r>
    </w:p>
  </w:endnote>
  <w:endnote w:id="25">
    <w:p w14:paraId="1D039F23" w14:textId="0987C4F7" w:rsidR="00F52828" w:rsidRPr="00472B65" w:rsidRDefault="00F52828" w:rsidP="00BF73EB">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xml:space="preserve">, submission to the PJCIS, 10 September 2020, at [97]-[192] </w:t>
      </w:r>
      <w:hyperlink r:id="rId6" w:history="1">
        <w:r w:rsidRPr="009F061D">
          <w:rPr>
            <w:rStyle w:val="Hyperlink"/>
            <w:lang w:val="en-US"/>
          </w:rPr>
          <w:t>https://www.aph.gov.au/DocumentStore.ashx?id=b2a784cc-435f-4cbd-b5c7-6831eeb05e81&amp;subId=691580</w:t>
        </w:r>
      </w:hyperlink>
      <w:r>
        <w:rPr>
          <w:lang w:val="en-US"/>
        </w:rPr>
        <w:t>.</w:t>
      </w:r>
    </w:p>
  </w:endnote>
  <w:endnote w:id="26">
    <w:p w14:paraId="6619F821" w14:textId="4F044F50" w:rsidR="00F52828" w:rsidRDefault="00F52828" w:rsidP="00CF79FB">
      <w:pPr>
        <w:pStyle w:val="EndnoteText"/>
        <w:ind w:left="284" w:hanging="284"/>
      </w:pPr>
      <w:r>
        <w:rPr>
          <w:rStyle w:val="EndnoteReference"/>
        </w:rPr>
        <w:endnoteRef/>
      </w:r>
      <w:r>
        <w:t xml:space="preserve"> </w:t>
      </w:r>
      <w:r>
        <w:tab/>
        <w:t xml:space="preserve">PJCIS, </w:t>
      </w:r>
      <w:r w:rsidRPr="004A2AEF">
        <w:rPr>
          <w:i/>
          <w:iCs/>
        </w:rPr>
        <w:t>Advisory Report on the Criminal Code Amendment (High Risk Terrorist Offenders) Bill 2016</w:t>
      </w:r>
      <w:r>
        <w:t xml:space="preserve"> (November 2016) at [3.182].</w:t>
      </w:r>
    </w:p>
  </w:endnote>
  <w:endnote w:id="27">
    <w:p w14:paraId="46E9C67C" w14:textId="77777777" w:rsidR="00F52828" w:rsidRDefault="00F52828" w:rsidP="009762C0">
      <w:pPr>
        <w:pStyle w:val="EndnoteText"/>
        <w:ind w:left="284" w:hanging="284"/>
      </w:pPr>
      <w:r>
        <w:rPr>
          <w:rStyle w:val="EndnoteReference"/>
        </w:rPr>
        <w:endnoteRef/>
      </w:r>
      <w:r>
        <w:t xml:space="preserve"> </w:t>
      </w:r>
      <w:r>
        <w:tab/>
        <w:t>Conduct described in (ii) is prohibited by s 101.2 of the Criminal Code, provided that the training is connected with preparation for, the engagement of a person in, or assistance in a terrorist act and the person knows or is reckless as to the existence of the connection; conduct described in (iii) is prohibited by s 119.1(2) of the Criminal code; conduct described in (vii) is prohibited by ss 11.2, 119.1(2) and 119.4 of the Criminal Code.</w:t>
      </w:r>
    </w:p>
  </w:endnote>
  <w:endnote w:id="28">
    <w:p w14:paraId="1CD0D0B1" w14:textId="4CE89751" w:rsidR="00F52828" w:rsidRPr="008D6EBA" w:rsidRDefault="00F52828" w:rsidP="00272A7C">
      <w:pPr>
        <w:pStyle w:val="EndnoteText"/>
        <w:ind w:left="284" w:hanging="284"/>
        <w:rPr>
          <w:lang w:val="en-US"/>
        </w:rPr>
      </w:pPr>
      <w:r>
        <w:rPr>
          <w:rStyle w:val="EndnoteReference"/>
        </w:rPr>
        <w:endnoteRef/>
      </w:r>
      <w:r>
        <w:t xml:space="preserve"> </w:t>
      </w:r>
      <w:r>
        <w:rPr>
          <w:lang w:val="en-US"/>
        </w:rPr>
        <w:tab/>
        <w:t>Proposed s 105A.5(1).</w:t>
      </w:r>
    </w:p>
  </w:endnote>
  <w:endnote w:id="29">
    <w:p w14:paraId="1982CE21" w14:textId="637C88D6" w:rsidR="00F52828" w:rsidRPr="00FD03E5" w:rsidRDefault="00F52828" w:rsidP="00272A7C">
      <w:pPr>
        <w:pStyle w:val="EndnoteText"/>
        <w:ind w:left="284" w:hanging="284"/>
        <w:rPr>
          <w:lang w:val="en-US"/>
        </w:rPr>
      </w:pPr>
      <w:r>
        <w:rPr>
          <w:rStyle w:val="EndnoteReference"/>
        </w:rPr>
        <w:endnoteRef/>
      </w:r>
      <w:r>
        <w:t xml:space="preserve"> </w:t>
      </w:r>
      <w:r>
        <w:rPr>
          <w:lang w:val="en-US"/>
        </w:rPr>
        <w:tab/>
        <w:t>Proposed s 105A.6A(1).</w:t>
      </w:r>
    </w:p>
  </w:endnote>
  <w:endnote w:id="30">
    <w:p w14:paraId="6E6FE4F6" w14:textId="29683ACC" w:rsidR="00F52828" w:rsidRPr="00431194" w:rsidRDefault="00F52828" w:rsidP="00272A7C">
      <w:pPr>
        <w:pStyle w:val="EndnoteText"/>
        <w:ind w:left="284" w:hanging="284"/>
        <w:rPr>
          <w:lang w:val="en-US"/>
        </w:rPr>
      </w:pPr>
      <w:r>
        <w:rPr>
          <w:rStyle w:val="EndnoteReference"/>
        </w:rPr>
        <w:endnoteRef/>
      </w:r>
      <w:r>
        <w:t xml:space="preserve"> </w:t>
      </w:r>
      <w:r>
        <w:rPr>
          <w:lang w:val="en-US"/>
        </w:rPr>
        <w:tab/>
        <w:t>Proposed s 105A.7(1).</w:t>
      </w:r>
    </w:p>
  </w:endnote>
  <w:endnote w:id="31">
    <w:p w14:paraId="4A3A7217" w14:textId="3B605420" w:rsidR="00F52828" w:rsidRPr="00431194" w:rsidRDefault="00F52828" w:rsidP="00272A7C">
      <w:pPr>
        <w:pStyle w:val="EndnoteText"/>
        <w:ind w:left="284" w:hanging="284"/>
        <w:rPr>
          <w:lang w:val="en-US"/>
        </w:rPr>
      </w:pPr>
      <w:r>
        <w:rPr>
          <w:rStyle w:val="EndnoteReference"/>
        </w:rPr>
        <w:endnoteRef/>
      </w:r>
      <w:r>
        <w:t xml:space="preserve"> </w:t>
      </w:r>
      <w:r>
        <w:rPr>
          <w:lang w:val="en-US"/>
        </w:rPr>
        <w:tab/>
        <w:t>Proposed s 105A.7(2).</w:t>
      </w:r>
    </w:p>
  </w:endnote>
  <w:endnote w:id="32">
    <w:p w14:paraId="73A108E6" w14:textId="6923DEBF" w:rsidR="00F52828" w:rsidRPr="007C1270" w:rsidRDefault="00F52828" w:rsidP="00272A7C">
      <w:pPr>
        <w:pStyle w:val="EndnoteText"/>
        <w:ind w:left="284" w:hanging="284"/>
        <w:rPr>
          <w:lang w:val="en-US"/>
        </w:rPr>
      </w:pPr>
      <w:r>
        <w:rPr>
          <w:rStyle w:val="EndnoteReference"/>
        </w:rPr>
        <w:endnoteRef/>
      </w:r>
      <w:r>
        <w:t xml:space="preserve"> </w:t>
      </w:r>
      <w:r>
        <w:rPr>
          <w:lang w:val="en-US"/>
        </w:rPr>
        <w:tab/>
        <w:t>Proposed s 105A.7A(1)(b).</w:t>
      </w:r>
    </w:p>
  </w:endnote>
  <w:endnote w:id="33">
    <w:p w14:paraId="1F9BDE5D" w14:textId="49140611" w:rsidR="00F52828" w:rsidRPr="00B803EA" w:rsidRDefault="00F52828" w:rsidP="00272A7C">
      <w:pPr>
        <w:pStyle w:val="EndnoteText"/>
        <w:ind w:left="284" w:hanging="284"/>
        <w:rPr>
          <w:lang w:val="en-US"/>
        </w:rPr>
      </w:pPr>
      <w:r>
        <w:rPr>
          <w:rStyle w:val="EndnoteReference"/>
        </w:rPr>
        <w:endnoteRef/>
      </w:r>
      <w:r>
        <w:t xml:space="preserve"> </w:t>
      </w:r>
      <w:r>
        <w:rPr>
          <w:lang w:val="en-US"/>
        </w:rPr>
        <w:tab/>
      </w:r>
      <w:r w:rsidRPr="00B803EA">
        <w:rPr>
          <w:i/>
          <w:iCs/>
          <w:lang w:val="en-US"/>
        </w:rPr>
        <w:t>Criminal Code</w:t>
      </w:r>
      <w:r>
        <w:rPr>
          <w:lang w:val="en-US"/>
        </w:rPr>
        <w:t xml:space="preserve"> (</w:t>
      </w:r>
      <w:proofErr w:type="spellStart"/>
      <w:r>
        <w:rPr>
          <w:lang w:val="en-US"/>
        </w:rPr>
        <w:t>Cth</w:t>
      </w:r>
      <w:proofErr w:type="spellEnd"/>
      <w:r>
        <w:rPr>
          <w:lang w:val="en-US"/>
        </w:rPr>
        <w:t>), s 105A.3(1)(b).</w:t>
      </w:r>
    </w:p>
  </w:endnote>
  <w:endnote w:id="34">
    <w:p w14:paraId="60001515" w14:textId="37990723" w:rsidR="00F52828" w:rsidRPr="00D81149" w:rsidRDefault="00F52828" w:rsidP="00272A7C">
      <w:pPr>
        <w:pStyle w:val="EndnoteText"/>
        <w:ind w:left="284" w:hanging="284"/>
        <w:rPr>
          <w:lang w:val="en-US"/>
        </w:rPr>
      </w:pPr>
      <w:r>
        <w:rPr>
          <w:rStyle w:val="EndnoteReference"/>
        </w:rPr>
        <w:endnoteRef/>
      </w:r>
      <w:r>
        <w:t xml:space="preserve"> </w:t>
      </w:r>
      <w:r>
        <w:rPr>
          <w:lang w:val="en-US"/>
        </w:rPr>
        <w:tab/>
        <w:t>Proposed s 105A.3A(4) and (5).</w:t>
      </w:r>
    </w:p>
  </w:endnote>
  <w:endnote w:id="35">
    <w:p w14:paraId="6E75EFCD" w14:textId="715FB3CB" w:rsidR="00F52828" w:rsidRPr="002A69EA" w:rsidRDefault="00F52828" w:rsidP="00272A7C">
      <w:pPr>
        <w:pStyle w:val="EndnoteText"/>
        <w:ind w:left="284" w:hanging="284"/>
        <w:rPr>
          <w:lang w:val="en-US"/>
        </w:rPr>
      </w:pPr>
      <w:r>
        <w:rPr>
          <w:rStyle w:val="EndnoteReference"/>
        </w:rPr>
        <w:endnoteRef/>
      </w:r>
      <w:r>
        <w:t xml:space="preserve"> </w:t>
      </w:r>
      <w:r>
        <w:rPr>
          <w:lang w:val="en-US"/>
        </w:rPr>
        <w:tab/>
        <w:t>Proposed s 105A.3A(6)</w:t>
      </w:r>
      <w:proofErr w:type="gramStart"/>
      <w:r>
        <w:rPr>
          <w:lang w:val="en-US"/>
        </w:rPr>
        <w:t>–(</w:t>
      </w:r>
      <w:proofErr w:type="gramEnd"/>
      <w:r>
        <w:rPr>
          <w:lang w:val="en-US"/>
        </w:rPr>
        <w:t>8).</w:t>
      </w:r>
    </w:p>
  </w:endnote>
  <w:endnote w:id="36">
    <w:p w14:paraId="3475D07C" w14:textId="121C454C" w:rsidR="00F52828" w:rsidRPr="004057C0" w:rsidRDefault="00F52828" w:rsidP="00272A7C">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xml:space="preserve">, submission to the PJCIS, 10 September 2020. </w:t>
      </w:r>
    </w:p>
  </w:endnote>
  <w:endnote w:id="37">
    <w:p w14:paraId="458487F8"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[9.41].</w:t>
      </w:r>
    </w:p>
  </w:endnote>
  <w:endnote w:id="38">
    <w:p w14:paraId="0861068B" w14:textId="77777777" w:rsidR="00F52828" w:rsidRPr="00E34A58" w:rsidRDefault="00F52828" w:rsidP="00272A7C">
      <w:pPr>
        <w:pStyle w:val="EndnoteText"/>
        <w:ind w:left="284" w:hanging="284"/>
        <w:rPr>
          <w:lang w:val="en-US"/>
        </w:rPr>
      </w:pPr>
      <w:r>
        <w:rPr>
          <w:rStyle w:val="EndnoteReference"/>
        </w:rPr>
        <w:endnoteRef/>
      </w:r>
      <w:r>
        <w:t xml:space="preserve"> </w:t>
      </w:r>
      <w:r>
        <w:rPr>
          <w:lang w:val="en-US"/>
        </w:rPr>
        <w:tab/>
      </w:r>
      <w:r w:rsidRPr="00CE2CA1">
        <w:t xml:space="preserve">Australian </w:t>
      </w:r>
      <w:r w:rsidRPr="00CE2CA1">
        <w:rPr>
          <w:rFonts w:cs="Open Sans"/>
          <w:color w:val="222222"/>
          <w:shd w:val="clear" w:color="auto" w:fill="FFFFFF"/>
        </w:rPr>
        <w:t xml:space="preserve">Government, </w:t>
      </w:r>
      <w:r w:rsidRPr="00CE2CA1">
        <w:rPr>
          <w:rFonts w:cs="Open Sans"/>
          <w:i/>
          <w:iCs/>
          <w:color w:val="222222"/>
          <w:shd w:val="clear" w:color="auto" w:fill="FFFFFF"/>
        </w:rPr>
        <w:t xml:space="preserve">Response to the Committee’s review of police stop, search and seizure powers, the control order </w:t>
      </w:r>
      <w:proofErr w:type="gramStart"/>
      <w:r w:rsidRPr="00CE2CA1">
        <w:rPr>
          <w:rFonts w:cs="Open Sans"/>
          <w:i/>
          <w:iCs/>
          <w:color w:val="222222"/>
          <w:shd w:val="clear" w:color="auto" w:fill="FFFFFF"/>
        </w:rPr>
        <w:t>regime</w:t>
      </w:r>
      <w:proofErr w:type="gramEnd"/>
      <w:r w:rsidRPr="00CE2CA1">
        <w:rPr>
          <w:rFonts w:cs="Open Sans"/>
          <w:i/>
          <w:iCs/>
          <w:color w:val="222222"/>
          <w:shd w:val="clear" w:color="auto" w:fill="FFFFFF"/>
        </w:rPr>
        <w:t xml:space="preserve"> and the preventative detention order regime, and to the INSLM Statutory Deadline Reviews</w:t>
      </w:r>
      <w:r w:rsidRPr="00CE2CA1">
        <w:rPr>
          <w:rFonts w:cs="Open Sans"/>
          <w:color w:val="222222"/>
          <w:shd w:val="clear" w:color="auto" w:fill="FFFFFF"/>
        </w:rPr>
        <w:t>, 24 May 2018, p 8</w:t>
      </w:r>
      <w:r>
        <w:rPr>
          <w:rFonts w:cs="Open Sans"/>
          <w:color w:val="222222"/>
          <w:shd w:val="clear" w:color="auto" w:fill="FFFFFF"/>
        </w:rPr>
        <w:t>.</w:t>
      </w:r>
    </w:p>
  </w:endnote>
  <w:endnote w:id="39">
    <w:p w14:paraId="0D44C6FC" w14:textId="77777777" w:rsidR="00F52828" w:rsidRPr="00A35B67" w:rsidRDefault="00F52828" w:rsidP="00272A7C">
      <w:pPr>
        <w:pStyle w:val="EndnoteText"/>
        <w:ind w:left="284" w:hanging="284"/>
        <w:rPr>
          <w:lang w:val="en-US"/>
        </w:rPr>
      </w:pPr>
      <w:r>
        <w:rPr>
          <w:rStyle w:val="EndnoteReference"/>
        </w:rPr>
        <w:endnoteRef/>
      </w:r>
      <w:r>
        <w:t xml:space="preserve"> </w:t>
      </w:r>
      <w:r>
        <w:rPr>
          <w:lang w:val="en-US"/>
        </w:rPr>
        <w:tab/>
        <w:t>Proposed s 105A.7A(1)(b).</w:t>
      </w:r>
    </w:p>
  </w:endnote>
  <w:endnote w:id="40">
    <w:p w14:paraId="229265C6" w14:textId="77777777" w:rsidR="00F52828" w:rsidRPr="0063441B" w:rsidRDefault="00F52828" w:rsidP="00272A7C">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[182].</w:t>
      </w:r>
    </w:p>
  </w:endnote>
  <w:endnote w:id="41">
    <w:p w14:paraId="6557278E"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[9.29]</w:t>
      </w:r>
      <w:proofErr w:type="gramStart"/>
      <w:r>
        <w:rPr>
          <w:lang w:val="en-US"/>
        </w:rPr>
        <w:t>–[</w:t>
      </w:r>
      <w:proofErr w:type="gramEnd"/>
      <w:r>
        <w:rPr>
          <w:lang w:val="en-US"/>
        </w:rPr>
        <w:t>9.35].</w:t>
      </w:r>
    </w:p>
  </w:endnote>
  <w:endnote w:id="42">
    <w:p w14:paraId="5B956F7D" w14:textId="77777777" w:rsidR="00F52828" w:rsidRPr="009C089D" w:rsidRDefault="00F52828" w:rsidP="00272A7C">
      <w:pPr>
        <w:pStyle w:val="EndnoteText"/>
        <w:ind w:left="284" w:hanging="284"/>
        <w:rPr>
          <w:lang w:val="en-US"/>
        </w:rPr>
      </w:pPr>
      <w:r>
        <w:rPr>
          <w:rStyle w:val="EndnoteReference"/>
        </w:rPr>
        <w:endnoteRef/>
      </w:r>
      <w:r>
        <w:t xml:space="preserve"> </w:t>
      </w:r>
      <w:r>
        <w:rPr>
          <w:lang w:val="en-US"/>
        </w:rPr>
        <w:tab/>
      </w:r>
      <w:r w:rsidRPr="005C52CF">
        <w:rPr>
          <w:i/>
          <w:iCs/>
        </w:rPr>
        <w:t>Terrorism (High Risk Offenders) Act 2017</w:t>
      </w:r>
      <w:r>
        <w:t xml:space="preserve"> (NSW), ss 20(d) and 34(1)(d); </w:t>
      </w:r>
      <w:r w:rsidRPr="00323E0A">
        <w:rPr>
          <w:i/>
          <w:iCs/>
        </w:rPr>
        <w:t>Crimes (High Risk Offenders) Act 2006</w:t>
      </w:r>
      <w:r>
        <w:t xml:space="preserve"> (NSW), ss 5B(d) and 5C(d); </w:t>
      </w:r>
      <w:r w:rsidRPr="00C91185">
        <w:rPr>
          <w:i/>
          <w:iCs/>
        </w:rPr>
        <w:t>Dangerous Prisoners (Sexual Offenders) Act 2003</w:t>
      </w:r>
      <w:r>
        <w:t xml:space="preserve"> (Qld), ss 13(3) and 30(2); </w:t>
      </w:r>
      <w:r w:rsidRPr="001F7154">
        <w:rPr>
          <w:i/>
          <w:iCs/>
        </w:rPr>
        <w:t>Serious Offenders Act 2018</w:t>
      </w:r>
      <w:r>
        <w:t xml:space="preserve"> (Vic), ss 14(3) and 62(2); </w:t>
      </w:r>
      <w:r w:rsidRPr="00253CCD">
        <w:rPr>
          <w:i/>
          <w:iCs/>
        </w:rPr>
        <w:t>High Risk Serious Offenders Act 2020</w:t>
      </w:r>
      <w:r>
        <w:t xml:space="preserve"> (WA), s 7(1); </w:t>
      </w:r>
      <w:r w:rsidRPr="00961DDE">
        <w:rPr>
          <w:i/>
          <w:iCs/>
        </w:rPr>
        <w:t>Serious Sex Offenders Act 2013</w:t>
      </w:r>
      <w:r>
        <w:t xml:space="preserve"> (NT), s 7(1).  See also the exposure draft of the Sentencing Amendment (Dangerous Criminals and </w:t>
      </w:r>
      <w:proofErr w:type="gramStart"/>
      <w:r>
        <w:t>High Risk</w:t>
      </w:r>
      <w:proofErr w:type="gramEnd"/>
      <w:r>
        <w:t xml:space="preserve"> Offenders) Bill 2020 (Tas), ss 20(3) and 42AZD.</w:t>
      </w:r>
    </w:p>
  </w:endnote>
  <w:endnote w:id="43">
    <w:p w14:paraId="0EE306C0" w14:textId="77777777" w:rsidR="00F52828" w:rsidRPr="00A24332" w:rsidRDefault="00F52828" w:rsidP="00272A7C">
      <w:pPr>
        <w:pStyle w:val="EndnoteText"/>
        <w:ind w:left="284" w:hanging="284"/>
        <w:rPr>
          <w:lang w:val="en-US"/>
        </w:rPr>
      </w:pPr>
      <w:r>
        <w:rPr>
          <w:rStyle w:val="EndnoteReference"/>
        </w:rPr>
        <w:endnoteRef/>
      </w:r>
      <w:r>
        <w:t xml:space="preserve"> </w:t>
      </w:r>
      <w:r>
        <w:rPr>
          <w:lang w:val="en-US"/>
        </w:rPr>
        <w:tab/>
      </w:r>
      <w:r w:rsidRPr="00B148B5">
        <w:rPr>
          <w:i/>
          <w:iCs/>
          <w:lang w:val="en-US"/>
        </w:rPr>
        <w:t>Criminal Law (High Risk Offenders) Act 2015</w:t>
      </w:r>
      <w:r>
        <w:rPr>
          <w:lang w:val="en-US"/>
        </w:rPr>
        <w:t xml:space="preserve"> (SA), s 18.</w:t>
      </w:r>
    </w:p>
  </w:endnote>
  <w:endnote w:id="44">
    <w:p w14:paraId="36869C4A" w14:textId="77777777" w:rsidR="00F52828" w:rsidRPr="0090230E" w:rsidRDefault="00F52828" w:rsidP="00272A7C">
      <w:pPr>
        <w:pStyle w:val="EndnoteText"/>
        <w:ind w:left="284" w:hanging="284"/>
        <w:rPr>
          <w:lang w:val="en-US"/>
        </w:rPr>
      </w:pPr>
      <w:r>
        <w:rPr>
          <w:rStyle w:val="EndnoteReference"/>
        </w:rPr>
        <w:endnoteRef/>
      </w:r>
      <w:r>
        <w:t xml:space="preserve"> </w:t>
      </w:r>
      <w:r>
        <w:rPr>
          <w:lang w:val="en-US"/>
        </w:rPr>
        <w:tab/>
        <w:t>Proposed s 105A.7A(1)(c).</w:t>
      </w:r>
    </w:p>
  </w:endnote>
  <w:endnote w:id="45">
    <w:p w14:paraId="6526809F" w14:textId="77777777" w:rsidR="00F52828" w:rsidRPr="004523D2" w:rsidRDefault="00F52828" w:rsidP="00272A7C">
      <w:pPr>
        <w:pStyle w:val="EndnoteText"/>
        <w:ind w:left="284" w:hanging="284"/>
        <w:rPr>
          <w:lang w:val="en-US"/>
        </w:rPr>
      </w:pPr>
      <w:r>
        <w:rPr>
          <w:rStyle w:val="EndnoteReference"/>
        </w:rPr>
        <w:endnoteRef/>
      </w:r>
      <w:r>
        <w:t xml:space="preserve"> </w:t>
      </w:r>
      <w:r>
        <w:rPr>
          <w:lang w:val="en-US"/>
        </w:rPr>
        <w:tab/>
        <w:t>Proposed s 105A.9A(4)(c).</w:t>
      </w:r>
    </w:p>
  </w:endnote>
  <w:endnote w:id="46">
    <w:p w14:paraId="1CC2E962" w14:textId="77777777" w:rsidR="00F52828" w:rsidRPr="00ED5F17" w:rsidRDefault="00F52828" w:rsidP="00272A7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[9.28].</w:t>
      </w:r>
    </w:p>
  </w:endnote>
  <w:endnote w:id="47">
    <w:p w14:paraId="7C801EC7" w14:textId="77777777" w:rsidR="00F52828" w:rsidRPr="00E34A58" w:rsidRDefault="00F52828" w:rsidP="00272A7C">
      <w:pPr>
        <w:pStyle w:val="EndnoteText"/>
        <w:ind w:left="284" w:hanging="284"/>
        <w:rPr>
          <w:lang w:val="en-US"/>
        </w:rPr>
      </w:pPr>
      <w:r>
        <w:rPr>
          <w:rStyle w:val="EndnoteReference"/>
        </w:rPr>
        <w:endnoteRef/>
      </w:r>
      <w:r>
        <w:t xml:space="preserve"> </w:t>
      </w:r>
      <w:r>
        <w:rPr>
          <w:lang w:val="en-US"/>
        </w:rPr>
        <w:tab/>
      </w:r>
      <w:r w:rsidRPr="00CE2CA1">
        <w:t xml:space="preserve">Australian </w:t>
      </w:r>
      <w:r w:rsidRPr="00CE2CA1">
        <w:rPr>
          <w:rFonts w:cs="Open Sans"/>
          <w:color w:val="222222"/>
          <w:shd w:val="clear" w:color="auto" w:fill="FFFFFF"/>
        </w:rPr>
        <w:t xml:space="preserve">Government, </w:t>
      </w:r>
      <w:r w:rsidRPr="00CE2CA1">
        <w:rPr>
          <w:rFonts w:cs="Open Sans"/>
          <w:i/>
          <w:iCs/>
          <w:color w:val="222222"/>
          <w:shd w:val="clear" w:color="auto" w:fill="FFFFFF"/>
        </w:rPr>
        <w:t xml:space="preserve">Response to the Committee’s review of police stop, search and seizure powers, the control order </w:t>
      </w:r>
      <w:proofErr w:type="gramStart"/>
      <w:r w:rsidRPr="00CE2CA1">
        <w:rPr>
          <w:rFonts w:cs="Open Sans"/>
          <w:i/>
          <w:iCs/>
          <w:color w:val="222222"/>
          <w:shd w:val="clear" w:color="auto" w:fill="FFFFFF"/>
        </w:rPr>
        <w:t>regime</w:t>
      </w:r>
      <w:proofErr w:type="gramEnd"/>
      <w:r w:rsidRPr="00CE2CA1">
        <w:rPr>
          <w:rFonts w:cs="Open Sans"/>
          <w:i/>
          <w:iCs/>
          <w:color w:val="222222"/>
          <w:shd w:val="clear" w:color="auto" w:fill="FFFFFF"/>
        </w:rPr>
        <w:t xml:space="preserve"> and the preventative detention order regime, and to the INSLM Statutory Deadline Reviews</w:t>
      </w:r>
      <w:r w:rsidRPr="00CE2CA1">
        <w:rPr>
          <w:rFonts w:cs="Open Sans"/>
          <w:color w:val="222222"/>
          <w:shd w:val="clear" w:color="auto" w:fill="FFFFFF"/>
        </w:rPr>
        <w:t>, 24 May 2018, p 8</w:t>
      </w:r>
      <w:r>
        <w:rPr>
          <w:rFonts w:cs="Open Sans"/>
          <w:color w:val="222222"/>
          <w:shd w:val="clear" w:color="auto" w:fill="FFFFFF"/>
        </w:rPr>
        <w:t>.</w:t>
      </w:r>
    </w:p>
  </w:endnote>
  <w:endnote w:id="48">
    <w:p w14:paraId="0E56E197" w14:textId="7E0935A6" w:rsidR="00F52828" w:rsidRPr="00FC0ABB" w:rsidRDefault="00F52828" w:rsidP="00272A7C">
      <w:pPr>
        <w:pStyle w:val="EndnoteText"/>
        <w:ind w:left="284" w:hanging="284"/>
        <w:rPr>
          <w:lang w:val="en-US"/>
        </w:rPr>
      </w:pPr>
      <w:r>
        <w:rPr>
          <w:rStyle w:val="EndnoteReference"/>
        </w:rPr>
        <w:endnoteRef/>
      </w:r>
      <w:r>
        <w:t xml:space="preserve"> </w:t>
      </w:r>
      <w:r>
        <w:rPr>
          <w:lang w:val="en-US"/>
        </w:rPr>
        <w:tab/>
        <w:t>Proposed s 105A.7B(1).</w:t>
      </w:r>
    </w:p>
  </w:endnote>
  <w:endnote w:id="49">
    <w:p w14:paraId="05DB7CD6" w14:textId="77777777" w:rsidR="00F52828" w:rsidRDefault="00F52828" w:rsidP="00272A7C">
      <w:pPr>
        <w:pStyle w:val="EndnoteText"/>
        <w:ind w:left="284" w:hanging="284"/>
      </w:pPr>
      <w:r>
        <w:rPr>
          <w:rStyle w:val="EndnoteReference"/>
        </w:rPr>
        <w:endnoteRef/>
      </w:r>
      <w:r>
        <w:t xml:space="preserve"> </w:t>
      </w:r>
      <w:r>
        <w:tab/>
        <w:t>Proposed ss 105A.7B(3) and (5).</w:t>
      </w:r>
    </w:p>
  </w:endnote>
  <w:endnote w:id="50">
    <w:p w14:paraId="2EBAD016" w14:textId="5B9486D7" w:rsidR="00F52828" w:rsidRPr="00365B8D" w:rsidRDefault="00F52828" w:rsidP="00272A7C">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[188] and [191].</w:t>
      </w:r>
    </w:p>
  </w:endnote>
  <w:endnote w:id="51">
    <w:p w14:paraId="7CF96B06" w14:textId="4988BD2C" w:rsidR="00F52828" w:rsidRPr="00F81726" w:rsidRDefault="00F52828" w:rsidP="00272A7C">
      <w:pPr>
        <w:pStyle w:val="EndnoteText"/>
        <w:ind w:left="284" w:hanging="284"/>
        <w:rPr>
          <w:lang w:val="en-US"/>
        </w:rPr>
      </w:pPr>
      <w:r>
        <w:rPr>
          <w:rStyle w:val="EndnoteReference"/>
        </w:rPr>
        <w:endnoteRef/>
      </w:r>
      <w:r>
        <w:t xml:space="preserve"> </w:t>
      </w:r>
      <w:r>
        <w:rPr>
          <w:lang w:val="en-US"/>
        </w:rPr>
        <w:tab/>
        <w:t>Proposed s 105A.7A(1)(c).</w:t>
      </w:r>
    </w:p>
  </w:endnote>
  <w:endnote w:id="52">
    <w:p w14:paraId="5D76BB25" w14:textId="05DB91DD" w:rsidR="00F52828" w:rsidRPr="00DA50D4" w:rsidRDefault="00F52828" w:rsidP="00272A7C">
      <w:pPr>
        <w:pStyle w:val="EndnoteText"/>
        <w:ind w:left="284" w:hanging="284"/>
        <w:rPr>
          <w:lang w:val="en-US"/>
        </w:rPr>
      </w:pPr>
      <w:r>
        <w:rPr>
          <w:rStyle w:val="EndnoteReference"/>
        </w:rPr>
        <w:endnoteRef/>
      </w:r>
      <w:r>
        <w:t xml:space="preserve"> </w:t>
      </w:r>
      <w:r>
        <w:rPr>
          <w:lang w:val="en-US"/>
        </w:rPr>
        <w:tab/>
        <w:t>Proposed ss 105A.7B(3)(a)(iii), (b), (e), (m), (n), (o) and (r), and (5)(a), (b) and (c).</w:t>
      </w:r>
    </w:p>
  </w:endnote>
  <w:endnote w:id="53">
    <w:p w14:paraId="1017731F" w14:textId="3A7FBB20" w:rsidR="00744447" w:rsidRPr="00744447" w:rsidRDefault="00744447" w:rsidP="00744447">
      <w:pPr>
        <w:pStyle w:val="EndnoteText"/>
        <w:ind w:left="284" w:hanging="284"/>
        <w:rPr>
          <w:lang w:val="en-US"/>
        </w:rPr>
      </w:pPr>
      <w:r>
        <w:rPr>
          <w:rStyle w:val="EndnoteReference"/>
        </w:rPr>
        <w:endnoteRef/>
      </w:r>
      <w:r>
        <w:t xml:space="preserve"> </w:t>
      </w:r>
      <w:r>
        <w:rPr>
          <w:lang w:val="en-US"/>
        </w:rPr>
        <w:tab/>
        <w:t>Proposed s 104.5A.</w:t>
      </w:r>
    </w:p>
  </w:endnote>
  <w:endnote w:id="54">
    <w:p w14:paraId="2DCFDFDE" w14:textId="77777777" w:rsidR="00F52828" w:rsidRPr="00AE667E" w:rsidRDefault="00F52828" w:rsidP="00272A7C">
      <w:pPr>
        <w:pStyle w:val="EndnoteText"/>
        <w:ind w:left="284" w:hanging="284"/>
        <w:rPr>
          <w:lang w:val="en-US"/>
        </w:rPr>
      </w:pPr>
      <w:r>
        <w:rPr>
          <w:rStyle w:val="EndnoteReference"/>
        </w:rPr>
        <w:endnoteRef/>
      </w:r>
      <w:r>
        <w:t xml:space="preserve"> </w:t>
      </w:r>
      <w:r>
        <w:rPr>
          <w:lang w:val="en-US"/>
        </w:rPr>
        <w:tab/>
        <w:t>Proposed s 100.1(1), definition of ‘specified authority’.</w:t>
      </w:r>
    </w:p>
  </w:endnote>
  <w:endnote w:id="55">
    <w:p w14:paraId="0CFC4A9B" w14:textId="0D726937" w:rsidR="00F52828" w:rsidRPr="00F871FE" w:rsidRDefault="00F52828" w:rsidP="00272A7C">
      <w:pPr>
        <w:pStyle w:val="EndnoteText"/>
        <w:ind w:left="284" w:hanging="284"/>
        <w:rPr>
          <w:lang w:val="en-US"/>
        </w:rPr>
      </w:pPr>
      <w:r>
        <w:rPr>
          <w:rStyle w:val="EndnoteReference"/>
        </w:rPr>
        <w:endnoteRef/>
      </w:r>
      <w:r>
        <w:t xml:space="preserve"> </w:t>
      </w:r>
      <w:r>
        <w:rPr>
          <w:lang w:val="en-US"/>
        </w:rPr>
        <w:tab/>
      </w:r>
      <w:r w:rsidRPr="004120EA">
        <w:rPr>
          <w:i/>
          <w:iCs/>
          <w:lang w:val="en-US"/>
        </w:rPr>
        <w:t>Criminal Code</w:t>
      </w:r>
      <w:r>
        <w:rPr>
          <w:lang w:val="en-US"/>
        </w:rPr>
        <w:t xml:space="preserve"> (</w:t>
      </w:r>
      <w:proofErr w:type="spellStart"/>
      <w:r>
        <w:rPr>
          <w:lang w:val="en-US"/>
        </w:rPr>
        <w:t>Cth</w:t>
      </w:r>
      <w:proofErr w:type="spellEnd"/>
      <w:r>
        <w:rPr>
          <w:lang w:val="en-US"/>
        </w:rPr>
        <w:t>), s 104.5(3)(l).</w:t>
      </w:r>
    </w:p>
  </w:endnote>
  <w:endnote w:id="56">
    <w:p w14:paraId="030688CF" w14:textId="10810C45" w:rsidR="00F52828" w:rsidRPr="006C0B0A" w:rsidRDefault="00F52828" w:rsidP="00272A7C">
      <w:pPr>
        <w:pStyle w:val="EndnoteText"/>
        <w:ind w:left="284" w:hanging="284"/>
        <w:rPr>
          <w:lang w:val="en-US"/>
        </w:rPr>
      </w:pPr>
      <w:r>
        <w:rPr>
          <w:rStyle w:val="EndnoteReference"/>
        </w:rPr>
        <w:endnoteRef/>
      </w:r>
      <w:r>
        <w:t xml:space="preserve"> </w:t>
      </w:r>
      <w:r>
        <w:rPr>
          <w:lang w:val="en-US"/>
        </w:rPr>
        <w:tab/>
      </w:r>
      <w:r w:rsidRPr="006C0B0A">
        <w:rPr>
          <w:i/>
          <w:iCs/>
          <w:lang w:val="en-US"/>
        </w:rPr>
        <w:t>Criminal Code</w:t>
      </w:r>
      <w:r>
        <w:rPr>
          <w:lang w:val="en-US"/>
        </w:rPr>
        <w:t xml:space="preserve"> (</w:t>
      </w:r>
      <w:proofErr w:type="spellStart"/>
      <w:r>
        <w:rPr>
          <w:lang w:val="en-US"/>
        </w:rPr>
        <w:t>Cth</w:t>
      </w:r>
      <w:proofErr w:type="spellEnd"/>
      <w:r>
        <w:rPr>
          <w:lang w:val="en-US"/>
        </w:rPr>
        <w:t>), s 104.5(6).</w:t>
      </w:r>
    </w:p>
  </w:endnote>
  <w:endnote w:id="57">
    <w:p w14:paraId="2525109F" w14:textId="216C6094" w:rsidR="00FD6D13" w:rsidRDefault="00FD6D13" w:rsidP="002959E9">
      <w:pPr>
        <w:pStyle w:val="EndnoteText"/>
        <w:ind w:left="284" w:hanging="284"/>
      </w:pPr>
      <w:r>
        <w:rPr>
          <w:rStyle w:val="EndnoteReference"/>
        </w:rPr>
        <w:endnoteRef/>
      </w:r>
      <w:r>
        <w:t xml:space="preserve"> </w:t>
      </w:r>
      <w:r>
        <w:tab/>
        <w:t xml:space="preserve">For example, see </w:t>
      </w:r>
      <w:r w:rsidR="002959E9" w:rsidRPr="002959E9">
        <w:rPr>
          <w:i/>
          <w:iCs/>
        </w:rPr>
        <w:t>McCartney v Abdirahman-Khalif (No 2)</w:t>
      </w:r>
      <w:r w:rsidR="002959E9" w:rsidRPr="002959E9">
        <w:t xml:space="preserve"> [2020] FCA 1002</w:t>
      </w:r>
      <w:r w:rsidR="002959E9">
        <w:t xml:space="preserve"> at [126].</w:t>
      </w:r>
    </w:p>
  </w:endnote>
  <w:endnote w:id="58">
    <w:p w14:paraId="2CB30621" w14:textId="37C953B5" w:rsidR="00F52828" w:rsidRPr="009F2EC6" w:rsidRDefault="00F52828" w:rsidP="00272A7C">
      <w:pPr>
        <w:pStyle w:val="EndnoteText"/>
        <w:ind w:left="284" w:hanging="284"/>
        <w:rPr>
          <w:lang w:val="en-US"/>
        </w:rPr>
      </w:pPr>
      <w:r>
        <w:rPr>
          <w:rStyle w:val="EndnoteReference"/>
        </w:rPr>
        <w:endnoteRef/>
      </w:r>
      <w:r>
        <w:t xml:space="preserve"> </w:t>
      </w:r>
      <w:r>
        <w:rPr>
          <w:lang w:val="en-US"/>
        </w:rPr>
        <w:tab/>
        <w:t xml:space="preserve">Hamed El-Said, </w:t>
      </w:r>
      <w:r w:rsidRPr="00CB380A">
        <w:rPr>
          <w:i/>
          <w:iCs/>
          <w:lang w:val="en-US"/>
        </w:rPr>
        <w:t>New approaches to countering terrorism: Designing and evaluating counter radicalization and de-radicalization programs</w:t>
      </w:r>
      <w:r>
        <w:rPr>
          <w:lang w:val="en-US"/>
        </w:rPr>
        <w:t xml:space="preserve"> (2015).</w:t>
      </w:r>
    </w:p>
  </w:endnote>
  <w:endnote w:id="59">
    <w:p w14:paraId="330936ED" w14:textId="6CE6F863" w:rsidR="00F52828" w:rsidRPr="00A21DD0" w:rsidRDefault="00F52828" w:rsidP="00272A7C">
      <w:pPr>
        <w:pStyle w:val="EndnoteText"/>
        <w:ind w:left="284" w:hanging="284"/>
        <w:rPr>
          <w:lang w:val="en-US"/>
        </w:rPr>
      </w:pPr>
      <w:r>
        <w:rPr>
          <w:rStyle w:val="EndnoteReference"/>
        </w:rPr>
        <w:endnoteRef/>
      </w:r>
      <w:r>
        <w:t xml:space="preserve"> </w:t>
      </w:r>
      <w:r>
        <w:rPr>
          <w:lang w:val="en-US"/>
        </w:rPr>
        <w:tab/>
        <w:t xml:space="preserve">PJCIS hearing, </w:t>
      </w:r>
      <w:r w:rsidRPr="001561E0">
        <w:rPr>
          <w:i/>
          <w:iCs/>
          <w:lang w:val="en-US"/>
        </w:rPr>
        <w:t>Australian Federal Police powers</w:t>
      </w:r>
      <w:r>
        <w:rPr>
          <w:lang w:val="en-US"/>
        </w:rPr>
        <w:t xml:space="preserve">, Canberra, 25 September 2020, Proof Committee Hansard, p 17 (Mr Andrew Walter, </w:t>
      </w:r>
      <w:r>
        <w:t>First Assistant Secretary, Integrity and Security, Attorney-General’s Department).</w:t>
      </w:r>
    </w:p>
  </w:endnote>
  <w:endnote w:id="60">
    <w:p w14:paraId="4A9EBEC9" w14:textId="2116626C" w:rsidR="00F52828" w:rsidRPr="00686C1D" w:rsidRDefault="00F52828" w:rsidP="00272A7C">
      <w:pPr>
        <w:pStyle w:val="EndnoteText"/>
        <w:ind w:left="284" w:hanging="284"/>
        <w:rPr>
          <w:lang w:val="en-US"/>
        </w:rPr>
      </w:pPr>
      <w:r>
        <w:rPr>
          <w:rStyle w:val="EndnoteReference"/>
        </w:rPr>
        <w:endnoteRef/>
      </w:r>
      <w:r>
        <w:t xml:space="preserve"> </w:t>
      </w:r>
      <w:r>
        <w:rPr>
          <w:lang w:val="en-US"/>
        </w:rPr>
        <w:tab/>
        <w:t xml:space="preserve">Department of Home Affairs, </w:t>
      </w:r>
      <w:r w:rsidRPr="00343414">
        <w:rPr>
          <w:i/>
          <w:iCs/>
          <w:lang w:val="en-US"/>
        </w:rPr>
        <w:t>Answers to Questions on Notice</w:t>
      </w:r>
      <w:r>
        <w:rPr>
          <w:lang w:val="en-US"/>
        </w:rPr>
        <w:t xml:space="preserve">, PJCIS hearing on Review of AFP Powers, 25 September 2020, p 1, at </w:t>
      </w:r>
      <w:hyperlink r:id="rId7" w:history="1">
        <w:r w:rsidRPr="00C5407F">
          <w:rPr>
            <w:rStyle w:val="Hyperlink"/>
            <w:lang w:val="en-US"/>
          </w:rPr>
          <w:t>https://www.aph.gov.au/DocumentStore.ashx?id=5706d767-85b5-4c1b-9f69-39193ea623d6&amp;subId=691389</w:t>
        </w:r>
      </w:hyperlink>
      <w:r>
        <w:rPr>
          <w:lang w:val="en-US"/>
        </w:rPr>
        <w:t xml:space="preserve">. </w:t>
      </w:r>
    </w:p>
  </w:endnote>
  <w:endnote w:id="61">
    <w:p w14:paraId="3F03C238" w14:textId="55DDEA17" w:rsidR="00F52828" w:rsidRPr="00AB4CE7" w:rsidRDefault="00F52828" w:rsidP="00272A7C">
      <w:pPr>
        <w:pStyle w:val="EndnoteText"/>
        <w:ind w:left="284" w:hanging="284"/>
        <w:rPr>
          <w:lang w:val="en-US"/>
        </w:rPr>
      </w:pPr>
      <w:r>
        <w:rPr>
          <w:rStyle w:val="EndnoteReference"/>
        </w:rPr>
        <w:endnoteRef/>
      </w:r>
      <w:r>
        <w:t xml:space="preserve"> </w:t>
      </w:r>
      <w:r>
        <w:rPr>
          <w:lang w:val="en-US"/>
        </w:rPr>
        <w:tab/>
        <w:t xml:space="preserve">Adrian Cherney, ‘Evaluating interventions to disengage extremist offenders: a study of the proactive integrated support model (PRISM)’ (2020) 12(1) </w:t>
      </w:r>
      <w:proofErr w:type="spellStart"/>
      <w:r w:rsidRPr="00AD08C1">
        <w:rPr>
          <w:i/>
          <w:iCs/>
          <w:lang w:val="en-US"/>
        </w:rPr>
        <w:t>Behavioural</w:t>
      </w:r>
      <w:proofErr w:type="spellEnd"/>
      <w:r w:rsidRPr="00AD08C1">
        <w:rPr>
          <w:i/>
          <w:iCs/>
          <w:lang w:val="en-US"/>
        </w:rPr>
        <w:t xml:space="preserve"> Sciences of Terrorism and Political Aggression</w:t>
      </w:r>
      <w:r>
        <w:rPr>
          <w:lang w:val="en-US"/>
        </w:rPr>
        <w:t xml:space="preserve"> 17 at 22.</w:t>
      </w:r>
    </w:p>
  </w:endnote>
  <w:endnote w:id="62">
    <w:p w14:paraId="4F9720D4" w14:textId="6D261E40" w:rsidR="00F52828" w:rsidRPr="00A14878" w:rsidRDefault="00F52828" w:rsidP="00272A7C">
      <w:pPr>
        <w:pStyle w:val="EndnoteText"/>
        <w:ind w:left="284" w:hanging="284"/>
        <w:rPr>
          <w:lang w:val="en-US"/>
        </w:rPr>
      </w:pPr>
      <w:r>
        <w:rPr>
          <w:rStyle w:val="EndnoteReference"/>
        </w:rPr>
        <w:endnoteRef/>
      </w:r>
      <w:r>
        <w:t xml:space="preserve"> </w:t>
      </w:r>
      <w:r>
        <w:rPr>
          <w:lang w:val="en-US"/>
        </w:rPr>
        <w:tab/>
        <w:t xml:space="preserve">Kristen Bell, ‘Looking Outward: Enhancing Australia’s </w:t>
      </w:r>
      <w:proofErr w:type="spellStart"/>
      <w:r>
        <w:rPr>
          <w:lang w:val="en-US"/>
        </w:rPr>
        <w:t>Deradicalisation</w:t>
      </w:r>
      <w:proofErr w:type="spellEnd"/>
      <w:r>
        <w:rPr>
          <w:lang w:val="en-US"/>
        </w:rPr>
        <w:t xml:space="preserve"> and Disengagement Programs’ (2015) 11(2) </w:t>
      </w:r>
      <w:r w:rsidRPr="00BC2A99">
        <w:rPr>
          <w:i/>
          <w:iCs/>
          <w:lang w:val="en-US"/>
        </w:rPr>
        <w:t>Security Challenges</w:t>
      </w:r>
      <w:r>
        <w:rPr>
          <w:lang w:val="en-US"/>
        </w:rPr>
        <w:t xml:space="preserve"> 1 at 17, citing </w:t>
      </w:r>
      <w:proofErr w:type="spellStart"/>
      <w:r>
        <w:rPr>
          <w:lang w:val="en-US"/>
        </w:rPr>
        <w:t>Tinka</w:t>
      </w:r>
      <w:proofErr w:type="spellEnd"/>
      <w:r>
        <w:rPr>
          <w:lang w:val="en-US"/>
        </w:rPr>
        <w:t xml:space="preserve"> Veldhuis, </w:t>
      </w:r>
      <w:r w:rsidRPr="00707CA8">
        <w:rPr>
          <w:i/>
          <w:iCs/>
          <w:lang w:val="en-US"/>
        </w:rPr>
        <w:t xml:space="preserve">Designing Rehabilitation and Reintegration </w:t>
      </w:r>
      <w:proofErr w:type="spellStart"/>
      <w:r w:rsidRPr="00707CA8">
        <w:rPr>
          <w:i/>
          <w:iCs/>
          <w:lang w:val="en-US"/>
        </w:rPr>
        <w:t>Programmes</w:t>
      </w:r>
      <w:proofErr w:type="spellEnd"/>
      <w:r w:rsidRPr="00707CA8">
        <w:rPr>
          <w:i/>
          <w:iCs/>
          <w:lang w:val="en-US"/>
        </w:rPr>
        <w:t xml:space="preserve"> for Violent Extremist Offenders: A Realist Approach</w:t>
      </w:r>
      <w:r>
        <w:rPr>
          <w:lang w:val="en-US"/>
        </w:rPr>
        <w:t>, ICCT Research Paper (The Hague: International Centre for Counter Terrorism, 2012).</w:t>
      </w:r>
    </w:p>
  </w:endnote>
  <w:endnote w:id="63">
    <w:p w14:paraId="4989C84B" w14:textId="49B9AE4D" w:rsidR="00F52828" w:rsidRPr="007A6313" w:rsidRDefault="00F52828" w:rsidP="00272A7C">
      <w:pPr>
        <w:pStyle w:val="EndnoteText"/>
        <w:ind w:left="284" w:hanging="284"/>
        <w:rPr>
          <w:lang w:val="en-US"/>
        </w:rPr>
      </w:pPr>
      <w:r>
        <w:rPr>
          <w:rStyle w:val="EndnoteReference"/>
        </w:rPr>
        <w:endnoteRef/>
      </w:r>
      <w:r>
        <w:t xml:space="preserve"> </w:t>
      </w:r>
      <w:r>
        <w:rPr>
          <w:lang w:val="en-US"/>
        </w:rPr>
        <w:tab/>
        <w:t>Proposed s 105A.7B(3)(n)–(q).</w:t>
      </w:r>
    </w:p>
  </w:endnote>
  <w:endnote w:id="64">
    <w:p w14:paraId="74A84AAE" w14:textId="30025D4D" w:rsidR="00F52828" w:rsidRPr="002915EA" w:rsidRDefault="00F52828" w:rsidP="00272A7C">
      <w:pPr>
        <w:pStyle w:val="EndnoteText"/>
        <w:ind w:left="284" w:hanging="284"/>
        <w:rPr>
          <w:lang w:val="en-US"/>
        </w:rPr>
      </w:pPr>
      <w:r>
        <w:rPr>
          <w:rStyle w:val="EndnoteReference"/>
        </w:rPr>
        <w:endnoteRef/>
      </w:r>
      <w:r>
        <w:t xml:space="preserve"> </w:t>
      </w:r>
      <w:r>
        <w:rPr>
          <w:lang w:val="en-US"/>
        </w:rPr>
        <w:tab/>
        <w:t>Proposed s 105A.7B(3)(c).</w:t>
      </w:r>
    </w:p>
  </w:endnote>
  <w:endnote w:id="65">
    <w:p w14:paraId="15EE9451" w14:textId="03C003FA" w:rsidR="00F52828" w:rsidRPr="00523616" w:rsidRDefault="00F52828" w:rsidP="00272A7C">
      <w:pPr>
        <w:pStyle w:val="EndnoteText"/>
        <w:ind w:left="284" w:hanging="284"/>
        <w:rPr>
          <w:lang w:val="en-US"/>
        </w:rPr>
      </w:pPr>
      <w:r>
        <w:rPr>
          <w:rStyle w:val="EndnoteReference"/>
        </w:rPr>
        <w:endnoteRef/>
      </w:r>
      <w:r>
        <w:t xml:space="preserve"> </w:t>
      </w:r>
      <w:r>
        <w:rPr>
          <w:lang w:val="en-US"/>
        </w:rPr>
        <w:tab/>
      </w:r>
      <w:r w:rsidRPr="007429EC">
        <w:rPr>
          <w:i/>
          <w:iCs/>
          <w:lang w:val="en-US"/>
        </w:rPr>
        <w:t>Criminal Code</w:t>
      </w:r>
      <w:r>
        <w:rPr>
          <w:lang w:val="en-US"/>
        </w:rPr>
        <w:t xml:space="preserve"> (</w:t>
      </w:r>
      <w:proofErr w:type="spellStart"/>
      <w:r>
        <w:rPr>
          <w:lang w:val="en-US"/>
        </w:rPr>
        <w:t>Cth</w:t>
      </w:r>
      <w:proofErr w:type="spellEnd"/>
      <w:r>
        <w:rPr>
          <w:lang w:val="en-US"/>
        </w:rPr>
        <w:t>), s 104.5(3)(c).</w:t>
      </w:r>
    </w:p>
  </w:endnote>
  <w:endnote w:id="66">
    <w:p w14:paraId="083A06A6" w14:textId="5EE12C1E" w:rsidR="00F52828" w:rsidRPr="00D3776E" w:rsidRDefault="00F52828" w:rsidP="00701D05">
      <w:pPr>
        <w:pStyle w:val="EndnoteText"/>
        <w:ind w:left="284" w:hanging="284"/>
        <w:rPr>
          <w:lang w:val="en-US"/>
        </w:rPr>
      </w:pPr>
      <w:r>
        <w:rPr>
          <w:rStyle w:val="EndnoteReference"/>
        </w:rPr>
        <w:endnoteRef/>
      </w:r>
      <w:r>
        <w:t xml:space="preserve"> </w:t>
      </w:r>
      <w:r>
        <w:rPr>
          <w:lang w:val="en-US"/>
        </w:rPr>
        <w:tab/>
      </w:r>
      <w:r w:rsidRPr="00430C1A">
        <w:rPr>
          <w:i/>
          <w:iCs/>
          <w:lang w:val="en-US"/>
        </w:rPr>
        <w:t>Anthony Hordern and Sons Ltd v Amalgamated Clothing and Allied Trades</w:t>
      </w:r>
      <w:r>
        <w:rPr>
          <w:i/>
          <w:iCs/>
          <w:lang w:val="en-US"/>
        </w:rPr>
        <w:t xml:space="preserve"> </w:t>
      </w:r>
      <w:r w:rsidRPr="00430C1A">
        <w:rPr>
          <w:i/>
          <w:iCs/>
          <w:lang w:val="en-US"/>
        </w:rPr>
        <w:t>Union of Australia</w:t>
      </w:r>
      <w:r>
        <w:rPr>
          <w:lang w:val="en-US"/>
        </w:rPr>
        <w:t xml:space="preserve"> </w:t>
      </w:r>
      <w:r>
        <w:t>(1932) 47 CLR 7.</w:t>
      </w:r>
    </w:p>
  </w:endnote>
  <w:endnote w:id="67">
    <w:p w14:paraId="3AB75A1B" w14:textId="5264C0DE" w:rsidR="00F52828" w:rsidRPr="00926C9B" w:rsidRDefault="00F52828" w:rsidP="00272A7C">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[192].</w:t>
      </w:r>
    </w:p>
  </w:endnote>
  <w:endnote w:id="68">
    <w:p w14:paraId="79516AC8" w14:textId="6E416908" w:rsidR="00F52828" w:rsidRPr="000E0517" w:rsidRDefault="00F52828" w:rsidP="00272A7C">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xml:space="preserve">, submission to the PJCIS, 10 September 2020, at [199]-[204] and Recommendation 7, at </w:t>
      </w:r>
      <w:hyperlink r:id="rId8" w:history="1">
        <w:r w:rsidRPr="002B1F17">
          <w:rPr>
            <w:rStyle w:val="Hyperlink"/>
            <w:lang w:val="en-US"/>
          </w:rPr>
          <w:t>https://www.aph.gov.au/DocumentStore.ashx?id=b2a784cc-435f-4cbd-b5c7-6831eeb05e81&amp;subId=691580</w:t>
        </w:r>
      </w:hyperlink>
      <w:r>
        <w:rPr>
          <w:rStyle w:val="Hyperlink"/>
          <w:lang w:val="en-US"/>
        </w:rPr>
        <w:t>.</w:t>
      </w:r>
    </w:p>
  </w:endnote>
  <w:endnote w:id="69">
    <w:p w14:paraId="5B3FFD0A" w14:textId="78E67F2A" w:rsidR="00F52828" w:rsidRPr="00122CEC" w:rsidRDefault="00F52828" w:rsidP="00272A7C">
      <w:pPr>
        <w:pStyle w:val="EndnoteText"/>
        <w:ind w:left="284" w:hanging="284"/>
        <w:rPr>
          <w:lang w:val="en-US"/>
        </w:rPr>
      </w:pPr>
      <w:r>
        <w:rPr>
          <w:rStyle w:val="EndnoteReference"/>
        </w:rPr>
        <w:endnoteRef/>
      </w:r>
      <w:r>
        <w:t xml:space="preserve"> </w:t>
      </w:r>
      <w:r>
        <w:rPr>
          <w:lang w:val="en-US"/>
        </w:rPr>
        <w:tab/>
      </w:r>
      <w:r w:rsidRPr="00DF30DE">
        <w:rPr>
          <w:i/>
          <w:iCs/>
          <w:lang w:val="en-US"/>
        </w:rPr>
        <w:t>Criminal Code</w:t>
      </w:r>
      <w:r>
        <w:rPr>
          <w:lang w:val="en-US"/>
        </w:rPr>
        <w:t xml:space="preserve"> (</w:t>
      </w:r>
      <w:proofErr w:type="spellStart"/>
      <w:r>
        <w:rPr>
          <w:lang w:val="en-US"/>
        </w:rPr>
        <w:t>Cth</w:t>
      </w:r>
      <w:proofErr w:type="spellEnd"/>
      <w:r>
        <w:rPr>
          <w:lang w:val="en-US"/>
        </w:rPr>
        <w:t>), s 104.5(3)(d).</w:t>
      </w:r>
    </w:p>
  </w:endnote>
  <w:endnote w:id="70">
    <w:p w14:paraId="1E849226" w14:textId="05C75C03" w:rsidR="00F52828" w:rsidRPr="0095798F" w:rsidRDefault="00F52828" w:rsidP="00272A7C">
      <w:pPr>
        <w:pStyle w:val="EndnoteText"/>
        <w:ind w:left="284" w:hanging="284"/>
        <w:rPr>
          <w:lang w:val="en-US"/>
        </w:rPr>
      </w:pPr>
      <w:r>
        <w:rPr>
          <w:rStyle w:val="EndnoteReference"/>
        </w:rPr>
        <w:endnoteRef/>
      </w:r>
      <w:r>
        <w:t xml:space="preserve"> </w:t>
      </w:r>
      <w:r>
        <w:rPr>
          <w:lang w:val="en-US"/>
        </w:rPr>
        <w:tab/>
        <w:t xml:space="preserve">Proposed </w:t>
      </w:r>
      <w:r>
        <w:t>ss 104.5(3)(d) and 105A.7B(5)(d).</w:t>
      </w:r>
    </w:p>
  </w:endnote>
  <w:endnote w:id="71">
    <w:p w14:paraId="5D5C2B2B" w14:textId="443A8C18" w:rsidR="00F52828" w:rsidRPr="0095798F" w:rsidRDefault="00F52828" w:rsidP="00272A7C">
      <w:pPr>
        <w:pStyle w:val="EndnoteText"/>
        <w:ind w:left="284" w:hanging="284"/>
        <w:rPr>
          <w:lang w:val="en-US"/>
        </w:rPr>
      </w:pPr>
      <w:r>
        <w:rPr>
          <w:rStyle w:val="EndnoteReference"/>
        </w:rPr>
        <w:endnoteRef/>
      </w:r>
      <w:r>
        <w:t xml:space="preserve"> </w:t>
      </w:r>
      <w:r>
        <w:rPr>
          <w:lang w:val="en-US"/>
        </w:rPr>
        <w:tab/>
        <w:t xml:space="preserve">Proposed </w:t>
      </w:r>
      <w:r>
        <w:t>ss 104.5(</w:t>
      </w:r>
      <w:proofErr w:type="gramStart"/>
      <w:r>
        <w:t>3)(</w:t>
      </w:r>
      <w:proofErr w:type="gramEnd"/>
      <w:r>
        <w:t>da) and 105A.7B(5)(e).</w:t>
      </w:r>
    </w:p>
  </w:endnote>
  <w:endnote w:id="72">
    <w:p w14:paraId="6064D8B2" w14:textId="5DE8468F" w:rsidR="00F52828" w:rsidRPr="00BB6CC4" w:rsidRDefault="00F52828" w:rsidP="00272A7C">
      <w:pPr>
        <w:pStyle w:val="EndnoteText"/>
        <w:ind w:left="284" w:hanging="284"/>
        <w:rPr>
          <w:lang w:val="en-US"/>
        </w:rPr>
      </w:pPr>
      <w:r>
        <w:rPr>
          <w:rStyle w:val="EndnoteReference"/>
        </w:rPr>
        <w:endnoteRef/>
      </w:r>
      <w:r>
        <w:t xml:space="preserve"> </w:t>
      </w:r>
      <w:r>
        <w:rPr>
          <w:lang w:val="en-US"/>
        </w:rPr>
        <w:tab/>
        <w:t>Proposed ss 104.28D and 105A.21A.</w:t>
      </w:r>
    </w:p>
  </w:endnote>
  <w:endnote w:id="73">
    <w:p w14:paraId="5B85A9C7" w14:textId="04CA2322" w:rsidR="00F52828" w:rsidRPr="00A053FB" w:rsidRDefault="00F52828" w:rsidP="00272A7C">
      <w:pPr>
        <w:pStyle w:val="EndnoteText"/>
        <w:ind w:left="284" w:hanging="284"/>
        <w:rPr>
          <w:lang w:val="en-US"/>
        </w:rPr>
      </w:pPr>
      <w:r>
        <w:rPr>
          <w:rStyle w:val="EndnoteReference"/>
        </w:rPr>
        <w:endnoteRef/>
      </w:r>
      <w:r>
        <w:t xml:space="preserve"> </w:t>
      </w:r>
      <w:r>
        <w:rPr>
          <w:lang w:val="en-US"/>
        </w:rPr>
        <w:tab/>
        <w:t>Proposed s 104.5(3A).</w:t>
      </w:r>
    </w:p>
  </w:endnote>
  <w:endnote w:id="74">
    <w:p w14:paraId="5F32A015" w14:textId="15C3F481" w:rsidR="00F52828" w:rsidRPr="0096511F" w:rsidRDefault="00F52828" w:rsidP="00272A7C">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[125]-[127].</w:t>
      </w:r>
    </w:p>
  </w:endnote>
  <w:endnote w:id="75">
    <w:p w14:paraId="24106696" w14:textId="77777777" w:rsidR="00F52828" w:rsidRPr="00B61FF1" w:rsidRDefault="00F52828" w:rsidP="00272A7C">
      <w:pPr>
        <w:pStyle w:val="EndnoteText"/>
        <w:ind w:left="284" w:hanging="284"/>
        <w:rPr>
          <w:lang w:val="en-US"/>
        </w:rPr>
      </w:pPr>
      <w:r>
        <w:rPr>
          <w:rStyle w:val="EndnoteReference"/>
        </w:rPr>
        <w:endnoteRef/>
      </w:r>
      <w:r>
        <w:t xml:space="preserve"> </w:t>
      </w:r>
      <w:r>
        <w:rPr>
          <w:lang w:val="en-US"/>
        </w:rPr>
        <w:tab/>
        <w:t>Proposed s</w:t>
      </w:r>
      <w:r>
        <w:t>s 104.5A(1)(c)(</w:t>
      </w:r>
      <w:proofErr w:type="spellStart"/>
      <w:r>
        <w:t>i</w:t>
      </w:r>
      <w:proofErr w:type="spellEnd"/>
      <w:r>
        <w:t>) and (2)(a); and 105A.7E(1)(c)(</w:t>
      </w:r>
      <w:proofErr w:type="spellStart"/>
      <w:r>
        <w:t>i</w:t>
      </w:r>
      <w:proofErr w:type="spellEnd"/>
      <w:r>
        <w:t>) and (2)(a).</w:t>
      </w:r>
    </w:p>
  </w:endnote>
  <w:endnote w:id="76">
    <w:p w14:paraId="2D5EBE6B" w14:textId="77777777" w:rsidR="00F52828" w:rsidRPr="007149A7" w:rsidRDefault="00F52828" w:rsidP="00272A7C">
      <w:pPr>
        <w:pStyle w:val="EndnoteText"/>
        <w:ind w:left="284" w:hanging="284"/>
        <w:rPr>
          <w:lang w:val="en-US"/>
        </w:rPr>
      </w:pPr>
      <w:r>
        <w:rPr>
          <w:rStyle w:val="EndnoteReference"/>
        </w:rPr>
        <w:endnoteRef/>
      </w:r>
      <w:r>
        <w:t xml:space="preserve"> </w:t>
      </w:r>
      <w:r>
        <w:rPr>
          <w:lang w:val="en-US"/>
        </w:rPr>
        <w:tab/>
        <w:t xml:space="preserve">Proposed ss 104.5A(5) and </w:t>
      </w:r>
      <w:r>
        <w:t>105A.7E(5)</w:t>
      </w:r>
      <w:r>
        <w:rPr>
          <w:lang w:val="en-US"/>
        </w:rPr>
        <w:t>.</w:t>
      </w:r>
    </w:p>
  </w:endnote>
  <w:endnote w:id="77">
    <w:p w14:paraId="53C29052" w14:textId="37A60F91" w:rsidR="00F52828" w:rsidRPr="00BA4CE8" w:rsidRDefault="00F52828" w:rsidP="00272A7C">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Statement of Compatibility with Human Rights at [115]-[116].</w:t>
      </w:r>
    </w:p>
  </w:endnote>
  <w:endnote w:id="78">
    <w:p w14:paraId="7CD1EA84" w14:textId="77777777" w:rsidR="00F52828" w:rsidRDefault="00F52828" w:rsidP="00A63590">
      <w:pPr>
        <w:pStyle w:val="EndnoteText"/>
        <w:ind w:left="270" w:hanging="288"/>
      </w:pPr>
      <w:r>
        <w:rPr>
          <w:rStyle w:val="EndnoteReference"/>
        </w:rPr>
        <w:endnoteRef/>
      </w:r>
      <w:r>
        <w:t xml:space="preserve"> </w:t>
      </w:r>
      <w:r>
        <w:tab/>
      </w:r>
      <w:r w:rsidRPr="00DF5351">
        <w:rPr>
          <w:i/>
          <w:iCs/>
        </w:rPr>
        <w:t xml:space="preserve">Halliday v </w:t>
      </w:r>
      <w:proofErr w:type="spellStart"/>
      <w:r w:rsidRPr="00DF5351">
        <w:rPr>
          <w:i/>
          <w:iCs/>
        </w:rPr>
        <w:t>Nevill</w:t>
      </w:r>
      <w:proofErr w:type="spellEnd"/>
      <w:r>
        <w:t xml:space="preserve"> (1984) 155 CLR 1 at 10 (Brennan J).</w:t>
      </w:r>
    </w:p>
  </w:endnote>
  <w:endnote w:id="79">
    <w:p w14:paraId="1C1ECCEE" w14:textId="77777777" w:rsidR="00F52828" w:rsidRDefault="00F52828" w:rsidP="00A63590">
      <w:pPr>
        <w:pStyle w:val="EndnoteText"/>
        <w:ind w:left="270" w:hanging="288"/>
      </w:pPr>
      <w:r>
        <w:rPr>
          <w:rStyle w:val="EndnoteReference"/>
        </w:rPr>
        <w:endnoteRef/>
      </w:r>
      <w:r>
        <w:t xml:space="preserve"> </w:t>
      </w:r>
      <w:r>
        <w:tab/>
      </w:r>
      <w:r w:rsidRPr="00945934">
        <w:rPr>
          <w:i/>
          <w:iCs/>
        </w:rPr>
        <w:t xml:space="preserve">George v </w:t>
      </w:r>
      <w:proofErr w:type="spellStart"/>
      <w:r w:rsidRPr="00945934">
        <w:rPr>
          <w:i/>
          <w:iCs/>
        </w:rPr>
        <w:t>Rockett</w:t>
      </w:r>
      <w:proofErr w:type="spellEnd"/>
      <w:r>
        <w:t xml:space="preserve"> (1990) 170 CLR 104 at 109</w:t>
      </w:r>
      <w:r>
        <w:rPr>
          <w:lang w:val="en-US"/>
        </w:rPr>
        <w:t>–</w:t>
      </w:r>
      <w:r>
        <w:t>110.</w:t>
      </w:r>
    </w:p>
  </w:endnote>
  <w:endnote w:id="80">
    <w:p w14:paraId="26BA260E" w14:textId="00A12545" w:rsidR="00F52828" w:rsidRPr="002357BC" w:rsidRDefault="00F52828" w:rsidP="00F83690">
      <w:pPr>
        <w:pStyle w:val="EndnoteText"/>
        <w:ind w:left="284" w:hanging="284"/>
        <w:rPr>
          <w:lang w:val="en-US"/>
        </w:rPr>
      </w:pPr>
      <w:r>
        <w:rPr>
          <w:rStyle w:val="EndnoteReference"/>
        </w:rPr>
        <w:endnoteRef/>
      </w:r>
      <w:r>
        <w:t xml:space="preserve"> </w:t>
      </w:r>
      <w:r>
        <w:rPr>
          <w:lang w:val="en-US"/>
        </w:rPr>
        <w:tab/>
        <w:t>Proposed s 105A.7C.</w:t>
      </w:r>
    </w:p>
  </w:endnote>
  <w:endnote w:id="81">
    <w:p w14:paraId="56FA05EE" w14:textId="7F8A177C" w:rsidR="00F52828" w:rsidRPr="00326B8F" w:rsidRDefault="00F52828" w:rsidP="00F83690">
      <w:pPr>
        <w:pStyle w:val="EndnoteText"/>
        <w:ind w:left="284" w:hanging="284"/>
        <w:rPr>
          <w:lang w:val="en-US"/>
        </w:rPr>
      </w:pPr>
      <w:r>
        <w:rPr>
          <w:rStyle w:val="EndnoteReference"/>
        </w:rPr>
        <w:endnoteRef/>
      </w:r>
      <w:r>
        <w:t xml:space="preserve"> </w:t>
      </w:r>
      <w:r>
        <w:rPr>
          <w:lang w:val="en-US"/>
        </w:rPr>
        <w:tab/>
        <w:t xml:space="preserve">See, in the context of proposed amendments to the control order regime, Australian Federal Police, </w:t>
      </w:r>
      <w:r w:rsidRPr="00954184">
        <w:rPr>
          <w:i/>
          <w:iCs/>
          <w:lang w:val="en-US"/>
        </w:rPr>
        <w:t>Inquiry into AFP Powers</w:t>
      </w:r>
      <w:r>
        <w:rPr>
          <w:lang w:val="en-US"/>
        </w:rPr>
        <w:t>, submission to the PJCIS Review of AFP Powers, August 2020 at [23].</w:t>
      </w:r>
    </w:p>
  </w:endnote>
  <w:endnote w:id="82">
    <w:p w14:paraId="50B87E22" w14:textId="77777777" w:rsidR="00F52828" w:rsidRPr="00460991" w:rsidRDefault="00F52828" w:rsidP="00F83690">
      <w:pPr>
        <w:pStyle w:val="EndnoteText"/>
        <w:ind w:left="284" w:hanging="284"/>
        <w:rPr>
          <w:lang w:val="en-US"/>
        </w:rPr>
      </w:pPr>
      <w:r>
        <w:rPr>
          <w:rStyle w:val="EndnoteReference"/>
        </w:rPr>
        <w:endnoteRef/>
      </w:r>
      <w:r>
        <w:t xml:space="preserve"> </w:t>
      </w:r>
      <w:r>
        <w:rPr>
          <w:lang w:val="en-US"/>
        </w:rPr>
        <w:tab/>
      </w:r>
      <w:r w:rsidRPr="000D1AF4">
        <w:rPr>
          <w:i/>
          <w:iCs/>
          <w:lang w:val="en-US"/>
        </w:rPr>
        <w:t>Criminal Code</w:t>
      </w:r>
      <w:r>
        <w:rPr>
          <w:lang w:val="en-US"/>
        </w:rPr>
        <w:t xml:space="preserve"> (</w:t>
      </w:r>
      <w:proofErr w:type="spellStart"/>
      <w:r>
        <w:rPr>
          <w:lang w:val="en-US"/>
        </w:rPr>
        <w:t>Cth</w:t>
      </w:r>
      <w:proofErr w:type="spellEnd"/>
      <w:r>
        <w:rPr>
          <w:lang w:val="en-US"/>
        </w:rPr>
        <w:t>), ss 104.4(1)(d) and 104.14(7).</w:t>
      </w:r>
    </w:p>
  </w:endnote>
  <w:endnote w:id="83">
    <w:p w14:paraId="50CBB9C3" w14:textId="77777777" w:rsidR="00F52828" w:rsidRPr="00460991" w:rsidRDefault="00F52828" w:rsidP="00F83690">
      <w:pPr>
        <w:pStyle w:val="EndnoteText"/>
        <w:ind w:left="284" w:hanging="284"/>
        <w:rPr>
          <w:lang w:val="en-US"/>
        </w:rPr>
      </w:pPr>
      <w:r>
        <w:rPr>
          <w:rStyle w:val="EndnoteReference"/>
        </w:rPr>
        <w:endnoteRef/>
      </w:r>
      <w:r>
        <w:t xml:space="preserve"> </w:t>
      </w:r>
      <w:r>
        <w:rPr>
          <w:lang w:val="en-US"/>
        </w:rPr>
        <w:tab/>
      </w:r>
      <w:r w:rsidRPr="000D1AF4">
        <w:rPr>
          <w:i/>
          <w:iCs/>
          <w:lang w:val="en-US"/>
        </w:rPr>
        <w:t>Criminal Code</w:t>
      </w:r>
      <w:r>
        <w:rPr>
          <w:lang w:val="en-US"/>
        </w:rPr>
        <w:t xml:space="preserve"> (</w:t>
      </w:r>
      <w:proofErr w:type="spellStart"/>
      <w:r>
        <w:rPr>
          <w:lang w:val="en-US"/>
        </w:rPr>
        <w:t>Cth</w:t>
      </w:r>
      <w:proofErr w:type="spellEnd"/>
      <w:r>
        <w:rPr>
          <w:lang w:val="en-US"/>
        </w:rPr>
        <w:t>), s 104.4(2)(c).</w:t>
      </w:r>
    </w:p>
  </w:endnote>
  <w:endnote w:id="84">
    <w:p w14:paraId="32A25EC2" w14:textId="77777777" w:rsidR="00F52828" w:rsidRPr="00E51D3A" w:rsidRDefault="00F52828" w:rsidP="00F83690">
      <w:pPr>
        <w:pStyle w:val="EndnoteText"/>
        <w:ind w:left="284" w:hanging="284"/>
        <w:rPr>
          <w:lang w:val="en-US"/>
        </w:rPr>
      </w:pPr>
      <w:r>
        <w:rPr>
          <w:rStyle w:val="EndnoteReference"/>
        </w:rPr>
        <w:endnoteRef/>
      </w:r>
      <w:r>
        <w:t xml:space="preserve"> </w:t>
      </w:r>
      <w:r>
        <w:rPr>
          <w:lang w:val="en-US"/>
        </w:rPr>
        <w:tab/>
        <w:t>Explanatory Memorandum, Anti-Terrorism Bill (No 2) 2005 (</w:t>
      </w:r>
      <w:proofErr w:type="spellStart"/>
      <w:r>
        <w:rPr>
          <w:lang w:val="en-US"/>
        </w:rPr>
        <w:t>Cth</w:t>
      </w:r>
      <w:proofErr w:type="spellEnd"/>
      <w:r>
        <w:rPr>
          <w:lang w:val="en-US"/>
        </w:rPr>
        <w:t>), p 21.</w:t>
      </w:r>
    </w:p>
  </w:endnote>
  <w:endnote w:id="85">
    <w:p w14:paraId="586CCA55" w14:textId="5F19C0D8" w:rsidR="00F52828" w:rsidRPr="009603B6"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Statement of Compatibility with Human Rights at [100].</w:t>
      </w:r>
    </w:p>
  </w:endnote>
  <w:endnote w:id="86">
    <w:p w14:paraId="362F32B4" w14:textId="77777777" w:rsidR="00F52828" w:rsidRPr="008F54B1" w:rsidRDefault="00F52828" w:rsidP="00F83690">
      <w:pPr>
        <w:pStyle w:val="EndnoteText"/>
        <w:ind w:left="284" w:hanging="284"/>
        <w:rPr>
          <w:lang w:val="en-US"/>
        </w:rPr>
      </w:pPr>
      <w:r>
        <w:rPr>
          <w:rStyle w:val="EndnoteReference"/>
        </w:rPr>
        <w:endnoteRef/>
      </w:r>
      <w:r>
        <w:t xml:space="preserve"> </w:t>
      </w:r>
      <w:r>
        <w:rPr>
          <w:lang w:val="en-US"/>
        </w:rPr>
        <w:tab/>
      </w:r>
      <w:r w:rsidRPr="008F54B1">
        <w:rPr>
          <w:i/>
          <w:iCs/>
          <w:lang w:val="en-US"/>
        </w:rPr>
        <w:t xml:space="preserve">Criminal Code </w:t>
      </w:r>
      <w:r>
        <w:rPr>
          <w:lang w:val="en-US"/>
        </w:rPr>
        <w:t>(</w:t>
      </w:r>
      <w:proofErr w:type="spellStart"/>
      <w:r>
        <w:rPr>
          <w:lang w:val="en-US"/>
        </w:rPr>
        <w:t>Cth</w:t>
      </w:r>
      <w:proofErr w:type="spellEnd"/>
      <w:r>
        <w:rPr>
          <w:lang w:val="en-US"/>
        </w:rPr>
        <w:t>), s 105A.6.</w:t>
      </w:r>
    </w:p>
  </w:endnote>
  <w:endnote w:id="87">
    <w:p w14:paraId="62BC23BA" w14:textId="04CB5582" w:rsidR="00F52828" w:rsidRPr="00FB149B" w:rsidRDefault="00F52828" w:rsidP="00F83690">
      <w:pPr>
        <w:pStyle w:val="EndnoteText"/>
        <w:ind w:left="284" w:hanging="284"/>
        <w:rPr>
          <w:lang w:val="en-US"/>
        </w:rPr>
      </w:pPr>
      <w:r>
        <w:rPr>
          <w:rStyle w:val="EndnoteReference"/>
        </w:rPr>
        <w:endnoteRef/>
      </w:r>
      <w:r>
        <w:t xml:space="preserve"> </w:t>
      </w:r>
      <w:r>
        <w:rPr>
          <w:lang w:val="en-US"/>
        </w:rPr>
        <w:tab/>
      </w:r>
      <w:r w:rsidRPr="008F54B1">
        <w:rPr>
          <w:i/>
          <w:iCs/>
          <w:lang w:val="en-US"/>
        </w:rPr>
        <w:t xml:space="preserve">Criminal Code </w:t>
      </w:r>
      <w:r>
        <w:rPr>
          <w:lang w:val="en-US"/>
        </w:rPr>
        <w:t>(</w:t>
      </w:r>
      <w:proofErr w:type="spellStart"/>
      <w:r>
        <w:rPr>
          <w:lang w:val="en-US"/>
        </w:rPr>
        <w:t>Cth</w:t>
      </w:r>
      <w:proofErr w:type="spellEnd"/>
      <w:r>
        <w:rPr>
          <w:lang w:val="en-US"/>
        </w:rPr>
        <w:t>), s 105A.6(5).</w:t>
      </w:r>
    </w:p>
  </w:endnote>
  <w:endnote w:id="88">
    <w:p w14:paraId="2994A33A" w14:textId="77777777" w:rsidR="00F52828" w:rsidRPr="00875EE0" w:rsidRDefault="00F52828" w:rsidP="00F83690">
      <w:pPr>
        <w:pStyle w:val="EndnoteText"/>
        <w:ind w:left="284" w:hanging="284"/>
        <w:rPr>
          <w:lang w:val="en-US"/>
        </w:rPr>
      </w:pPr>
      <w:r>
        <w:rPr>
          <w:rStyle w:val="EndnoteReference"/>
        </w:rPr>
        <w:endnoteRef/>
      </w:r>
      <w:r>
        <w:t xml:space="preserve"> </w:t>
      </w:r>
      <w:r>
        <w:rPr>
          <w:lang w:val="en-US"/>
        </w:rPr>
        <w:tab/>
      </w:r>
      <w:r w:rsidRPr="005F390F">
        <w:rPr>
          <w:i/>
          <w:iCs/>
          <w:lang w:val="en-US"/>
        </w:rPr>
        <w:t>Criminal Code</w:t>
      </w:r>
      <w:r>
        <w:rPr>
          <w:lang w:val="en-US"/>
        </w:rPr>
        <w:t xml:space="preserve"> (</w:t>
      </w:r>
      <w:proofErr w:type="spellStart"/>
      <w:r>
        <w:rPr>
          <w:lang w:val="en-US"/>
        </w:rPr>
        <w:t>Cth</w:t>
      </w:r>
      <w:proofErr w:type="spellEnd"/>
      <w:r>
        <w:rPr>
          <w:lang w:val="en-US"/>
        </w:rPr>
        <w:t>), s 105A.8(1)(b).</w:t>
      </w:r>
    </w:p>
  </w:endnote>
  <w:endnote w:id="89">
    <w:p w14:paraId="28093F33" w14:textId="3026C4A8" w:rsidR="00F52828" w:rsidRPr="00464846" w:rsidRDefault="00F52828" w:rsidP="00F83690">
      <w:pPr>
        <w:pStyle w:val="EndnoteText"/>
        <w:ind w:left="284" w:hanging="284"/>
        <w:rPr>
          <w:lang w:val="en-US"/>
        </w:rPr>
      </w:pPr>
      <w:r>
        <w:rPr>
          <w:rStyle w:val="EndnoteReference"/>
        </w:rPr>
        <w:endnoteRef/>
      </w:r>
      <w:r>
        <w:t xml:space="preserve"> </w:t>
      </w:r>
      <w:r>
        <w:rPr>
          <w:lang w:val="en-US"/>
        </w:rPr>
        <w:tab/>
      </w:r>
      <w:r w:rsidRPr="00464846">
        <w:rPr>
          <w:i/>
          <w:iCs/>
          <w:lang w:val="en-US"/>
        </w:rPr>
        <w:t>Criminal Code</w:t>
      </w:r>
      <w:r>
        <w:rPr>
          <w:lang w:val="en-US"/>
        </w:rPr>
        <w:t xml:space="preserve"> (</w:t>
      </w:r>
      <w:proofErr w:type="spellStart"/>
      <w:r>
        <w:rPr>
          <w:lang w:val="en-US"/>
        </w:rPr>
        <w:t>Cth</w:t>
      </w:r>
      <w:proofErr w:type="spellEnd"/>
      <w:r>
        <w:rPr>
          <w:lang w:val="en-US"/>
        </w:rPr>
        <w:t>), s 105A.6(8).</w:t>
      </w:r>
    </w:p>
  </w:endnote>
  <w:endnote w:id="90">
    <w:p w14:paraId="77F6AFB5" w14:textId="3F46ADD6" w:rsidR="00F52828" w:rsidRPr="00B80A6D" w:rsidRDefault="00F52828" w:rsidP="00F83690">
      <w:pPr>
        <w:pStyle w:val="EndnoteText"/>
        <w:ind w:left="284" w:hanging="284"/>
        <w:rPr>
          <w:lang w:val="en-US"/>
        </w:rPr>
      </w:pPr>
      <w:r>
        <w:rPr>
          <w:rStyle w:val="EndnoteReference"/>
        </w:rPr>
        <w:endnoteRef/>
      </w:r>
      <w:r>
        <w:t xml:space="preserve"> </w:t>
      </w:r>
      <w:r>
        <w:rPr>
          <w:lang w:val="en-US"/>
        </w:rPr>
        <w:tab/>
        <w:t>Proposed s 105A.18D.</w:t>
      </w:r>
    </w:p>
  </w:endnote>
  <w:endnote w:id="91">
    <w:p w14:paraId="7E61D7DB" w14:textId="345CA8D0" w:rsidR="00F52828" w:rsidRPr="00C604E4" w:rsidRDefault="00F52828" w:rsidP="00F83690">
      <w:pPr>
        <w:pStyle w:val="EndnoteText"/>
        <w:ind w:left="284" w:hanging="284"/>
        <w:rPr>
          <w:lang w:val="en-US"/>
        </w:rPr>
      </w:pPr>
      <w:r>
        <w:rPr>
          <w:rStyle w:val="EndnoteReference"/>
        </w:rPr>
        <w:endnoteRef/>
      </w:r>
      <w:r>
        <w:t xml:space="preserve"> </w:t>
      </w:r>
      <w:r>
        <w:rPr>
          <w:lang w:val="en-US"/>
        </w:rPr>
        <w:tab/>
        <w:t>Proposed s 105A.18D(2); Explanatory Memorandum, Counter-Terrorism Legislation Amendment (High Risk Terrorist Offenders) Bill 2020 (</w:t>
      </w:r>
      <w:proofErr w:type="spellStart"/>
      <w:r>
        <w:rPr>
          <w:lang w:val="en-US"/>
        </w:rPr>
        <w:t>Cth</w:t>
      </w:r>
      <w:proofErr w:type="spellEnd"/>
      <w:r>
        <w:rPr>
          <w:lang w:val="en-US"/>
        </w:rPr>
        <w:t>), at [343].</w:t>
      </w:r>
    </w:p>
  </w:endnote>
  <w:endnote w:id="92">
    <w:p w14:paraId="2B0B55BD" w14:textId="6B20179A" w:rsidR="00F52828" w:rsidRPr="00B8560E"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[346].</w:t>
      </w:r>
    </w:p>
  </w:endnote>
  <w:endnote w:id="93">
    <w:p w14:paraId="3E71D527" w14:textId="022EF4D1" w:rsidR="00F52828" w:rsidRPr="00BC4EE9" w:rsidRDefault="00F52828" w:rsidP="00F83690">
      <w:pPr>
        <w:pStyle w:val="EndnoteText"/>
        <w:ind w:left="284" w:hanging="284"/>
        <w:rPr>
          <w:lang w:val="en-US"/>
        </w:rPr>
      </w:pPr>
      <w:r>
        <w:rPr>
          <w:rStyle w:val="EndnoteReference"/>
        </w:rPr>
        <w:endnoteRef/>
      </w:r>
      <w:r>
        <w:t xml:space="preserve"> </w:t>
      </w:r>
      <w:r>
        <w:rPr>
          <w:lang w:val="en-US"/>
        </w:rPr>
        <w:tab/>
        <w:t>Bill, Sch 1, Part 2, item 153.</w:t>
      </w:r>
    </w:p>
  </w:endnote>
  <w:endnote w:id="94">
    <w:p w14:paraId="215829EB" w14:textId="1BAA53CD" w:rsidR="00F52828" w:rsidRPr="00E35D6B" w:rsidRDefault="00F52828" w:rsidP="00F83690">
      <w:pPr>
        <w:pStyle w:val="EndnoteText"/>
        <w:ind w:left="284" w:hanging="284"/>
        <w:rPr>
          <w:lang w:val="en-US"/>
        </w:rPr>
      </w:pPr>
      <w:r>
        <w:rPr>
          <w:rStyle w:val="EndnoteReference"/>
        </w:rPr>
        <w:endnoteRef/>
      </w:r>
      <w:r>
        <w:t xml:space="preserve"> </w:t>
      </w:r>
      <w:r>
        <w:rPr>
          <w:lang w:val="en-US"/>
        </w:rPr>
        <w:tab/>
        <w:t>Proposed s 105A.6B(1)(b).</w:t>
      </w:r>
    </w:p>
  </w:endnote>
  <w:endnote w:id="95">
    <w:p w14:paraId="4265077F" w14:textId="5AEDB34D" w:rsidR="00F52828" w:rsidRPr="00C94BDD" w:rsidRDefault="00F52828" w:rsidP="00F83690">
      <w:pPr>
        <w:pStyle w:val="EndnoteText"/>
        <w:ind w:left="284" w:hanging="284"/>
        <w:rPr>
          <w:lang w:val="en-US"/>
        </w:rPr>
      </w:pPr>
      <w:r>
        <w:rPr>
          <w:rStyle w:val="EndnoteReference"/>
        </w:rPr>
        <w:endnoteRef/>
      </w:r>
      <w:r>
        <w:t xml:space="preserve"> </w:t>
      </w:r>
      <w:r>
        <w:rPr>
          <w:lang w:val="en-US"/>
        </w:rPr>
        <w:tab/>
      </w:r>
      <w:r w:rsidRPr="00C94BDD">
        <w:rPr>
          <w:i/>
          <w:iCs/>
          <w:lang w:val="en-US"/>
        </w:rPr>
        <w:t>Criminal Code</w:t>
      </w:r>
      <w:r>
        <w:rPr>
          <w:lang w:val="en-US"/>
        </w:rPr>
        <w:t xml:space="preserve"> (</w:t>
      </w:r>
      <w:proofErr w:type="spellStart"/>
      <w:r>
        <w:rPr>
          <w:lang w:val="en-US"/>
        </w:rPr>
        <w:t>Cth</w:t>
      </w:r>
      <w:proofErr w:type="spellEnd"/>
      <w:r>
        <w:rPr>
          <w:lang w:val="en-US"/>
        </w:rPr>
        <w:t>), s 105A.7(3).</w:t>
      </w:r>
    </w:p>
  </w:endnote>
  <w:endnote w:id="96">
    <w:p w14:paraId="713AF873" w14:textId="445ABDC0" w:rsidR="00F52828" w:rsidRPr="00452840" w:rsidRDefault="00F52828" w:rsidP="00F83690">
      <w:pPr>
        <w:pStyle w:val="EndnoteText"/>
        <w:ind w:left="284" w:hanging="284"/>
        <w:rPr>
          <w:lang w:val="en-US"/>
        </w:rPr>
      </w:pPr>
      <w:r>
        <w:rPr>
          <w:rStyle w:val="EndnoteReference"/>
        </w:rPr>
        <w:endnoteRef/>
      </w:r>
      <w:r>
        <w:t xml:space="preserve"> </w:t>
      </w:r>
      <w:r>
        <w:rPr>
          <w:lang w:val="en-US"/>
        </w:rPr>
        <w:tab/>
      </w:r>
      <w:r w:rsidRPr="00B33AE5">
        <w:rPr>
          <w:i/>
          <w:iCs/>
          <w:lang w:val="en-US"/>
        </w:rPr>
        <w:t>Lee v The Queen</w:t>
      </w:r>
      <w:r>
        <w:rPr>
          <w:lang w:val="en-US"/>
        </w:rPr>
        <w:t xml:space="preserve"> (2014) </w:t>
      </w:r>
      <w:r w:rsidRPr="00EE2459">
        <w:rPr>
          <w:lang w:val="en-US"/>
        </w:rPr>
        <w:t>253 CLR 455</w:t>
      </w:r>
      <w:r>
        <w:rPr>
          <w:lang w:val="en-US"/>
        </w:rPr>
        <w:t xml:space="preserve"> at [33]; </w:t>
      </w:r>
      <w:r w:rsidRPr="00695FB1">
        <w:rPr>
          <w:i/>
          <w:iCs/>
          <w:lang w:val="en-US"/>
        </w:rPr>
        <w:t>Evidence Act 1995</w:t>
      </w:r>
      <w:r>
        <w:rPr>
          <w:lang w:val="en-US"/>
        </w:rPr>
        <w:t xml:space="preserve"> (</w:t>
      </w:r>
      <w:proofErr w:type="spellStart"/>
      <w:r>
        <w:rPr>
          <w:lang w:val="en-US"/>
        </w:rPr>
        <w:t>Cth</w:t>
      </w:r>
      <w:proofErr w:type="spellEnd"/>
      <w:r>
        <w:rPr>
          <w:lang w:val="en-US"/>
        </w:rPr>
        <w:t>), s 17(2).</w:t>
      </w:r>
    </w:p>
  </w:endnote>
  <w:endnote w:id="97">
    <w:p w14:paraId="152F7E37" w14:textId="13230D9B" w:rsidR="00F52828" w:rsidRPr="00150C46" w:rsidRDefault="00F52828" w:rsidP="00F83690">
      <w:pPr>
        <w:pStyle w:val="EndnoteText"/>
        <w:ind w:left="284" w:hanging="284"/>
        <w:rPr>
          <w:lang w:val="en-US"/>
        </w:rPr>
      </w:pPr>
      <w:r>
        <w:rPr>
          <w:rStyle w:val="EndnoteReference"/>
        </w:rPr>
        <w:endnoteRef/>
      </w:r>
      <w:r>
        <w:t xml:space="preserve"> </w:t>
      </w:r>
      <w:r>
        <w:rPr>
          <w:lang w:val="en-US"/>
        </w:rPr>
        <w:tab/>
      </w:r>
      <w:r w:rsidRPr="00181DF7">
        <w:rPr>
          <w:i/>
          <w:iCs/>
          <w:lang w:val="en-US"/>
        </w:rPr>
        <w:t>Kirk v Industrial Court (NSW)</w:t>
      </w:r>
      <w:r w:rsidRPr="00181DF7">
        <w:rPr>
          <w:lang w:val="en-US"/>
        </w:rPr>
        <w:t xml:space="preserve"> (2010) 239 CLR 531 at 565 [51]-[52]</w:t>
      </w:r>
      <w:r>
        <w:rPr>
          <w:lang w:val="en-US"/>
        </w:rPr>
        <w:t xml:space="preserve">; </w:t>
      </w:r>
      <w:r w:rsidRPr="00744EAC">
        <w:rPr>
          <w:i/>
          <w:iCs/>
          <w:lang w:val="en-US"/>
        </w:rPr>
        <w:t>Evidence Act 1995</w:t>
      </w:r>
      <w:r>
        <w:rPr>
          <w:lang w:val="en-US"/>
        </w:rPr>
        <w:t xml:space="preserve"> (</w:t>
      </w:r>
      <w:proofErr w:type="spellStart"/>
      <w:r>
        <w:rPr>
          <w:lang w:val="en-US"/>
        </w:rPr>
        <w:t>Cth</w:t>
      </w:r>
      <w:proofErr w:type="spellEnd"/>
      <w:r>
        <w:rPr>
          <w:lang w:val="en-US"/>
        </w:rPr>
        <w:t>), s 190.</w:t>
      </w:r>
    </w:p>
  </w:endnote>
  <w:endnote w:id="98">
    <w:p w14:paraId="3810CFD1" w14:textId="1DEC1536" w:rsidR="00F52828" w:rsidRPr="008C6172"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Statement of Compatibility with Human Rights at [78].</w:t>
      </w:r>
    </w:p>
  </w:endnote>
  <w:endnote w:id="99">
    <w:p w14:paraId="701A63C3" w14:textId="08557665" w:rsidR="00F52828" w:rsidRPr="008C6172"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Statement of Compatibility with Human Rights at [104].</w:t>
      </w:r>
    </w:p>
  </w:endnote>
  <w:endnote w:id="100">
    <w:p w14:paraId="63AE140D" w14:textId="77777777" w:rsidR="00F52828" w:rsidRPr="00B42A83" w:rsidRDefault="00F52828" w:rsidP="00F83690">
      <w:pPr>
        <w:pStyle w:val="EndnoteText"/>
        <w:ind w:left="284" w:hanging="284"/>
        <w:rPr>
          <w:lang w:val="en-US"/>
        </w:rPr>
      </w:pPr>
      <w:r>
        <w:rPr>
          <w:rStyle w:val="EndnoteReference"/>
        </w:rPr>
        <w:endnoteRef/>
      </w:r>
      <w:r>
        <w:t xml:space="preserve"> </w:t>
      </w:r>
      <w:r>
        <w:rPr>
          <w:lang w:val="en-US"/>
        </w:rPr>
        <w:tab/>
      </w:r>
      <w:r w:rsidRPr="00AF594B">
        <w:rPr>
          <w:i/>
          <w:iCs/>
          <w:lang w:val="en-US"/>
        </w:rPr>
        <w:t>Criminal Code</w:t>
      </w:r>
      <w:r>
        <w:rPr>
          <w:lang w:val="en-US"/>
        </w:rPr>
        <w:t xml:space="preserve"> (</w:t>
      </w:r>
      <w:proofErr w:type="spellStart"/>
      <w:r>
        <w:rPr>
          <w:lang w:val="en-US"/>
        </w:rPr>
        <w:t>Cth</w:t>
      </w:r>
      <w:proofErr w:type="spellEnd"/>
      <w:r>
        <w:rPr>
          <w:lang w:val="en-US"/>
        </w:rPr>
        <w:t>), s 105A.6(5).</w:t>
      </w:r>
    </w:p>
  </w:endnote>
  <w:endnote w:id="101">
    <w:p w14:paraId="579AE635" w14:textId="77777777" w:rsidR="00F52828" w:rsidRPr="006E64B2" w:rsidRDefault="00F52828" w:rsidP="00F83690">
      <w:pPr>
        <w:pStyle w:val="EndnoteText"/>
        <w:ind w:left="284" w:hanging="284"/>
        <w:rPr>
          <w:lang w:val="en-US"/>
        </w:rPr>
      </w:pPr>
      <w:r>
        <w:rPr>
          <w:rStyle w:val="EndnoteReference"/>
        </w:rPr>
        <w:endnoteRef/>
      </w:r>
      <w:r>
        <w:t xml:space="preserve"> </w:t>
      </w:r>
      <w:r>
        <w:rPr>
          <w:lang w:val="en-US"/>
        </w:rPr>
        <w:tab/>
        <w:t>Revised Explanatory Memorandum, Criminal Code Amendment (High Risk Terrorist Offenders) Bill 2016 (</w:t>
      </w:r>
      <w:proofErr w:type="spellStart"/>
      <w:r>
        <w:rPr>
          <w:lang w:val="en-US"/>
        </w:rPr>
        <w:t>Cth</w:t>
      </w:r>
      <w:proofErr w:type="spellEnd"/>
      <w:r>
        <w:rPr>
          <w:lang w:val="en-US"/>
        </w:rPr>
        <w:t>), Statement of Compatibility with Human Rights at [47].</w:t>
      </w:r>
    </w:p>
  </w:endnote>
  <w:endnote w:id="102">
    <w:p w14:paraId="52A6A4FC" w14:textId="3CF4E9C3" w:rsidR="00F52828" w:rsidRPr="001403A2" w:rsidRDefault="00F52828" w:rsidP="00F83690">
      <w:pPr>
        <w:pStyle w:val="EndnoteText"/>
        <w:ind w:left="284" w:hanging="284"/>
        <w:rPr>
          <w:lang w:val="en-US"/>
        </w:rPr>
      </w:pPr>
      <w:r>
        <w:rPr>
          <w:rStyle w:val="EndnoteReference"/>
        </w:rPr>
        <w:endnoteRef/>
      </w:r>
      <w:r>
        <w:t xml:space="preserve"> </w:t>
      </w:r>
      <w:r>
        <w:rPr>
          <w:lang w:val="en-US"/>
        </w:rPr>
        <w:tab/>
        <w:t>Proposed s 105A.6(5A).</w:t>
      </w:r>
    </w:p>
  </w:endnote>
  <w:endnote w:id="103">
    <w:p w14:paraId="6C7E5498" w14:textId="77777777" w:rsidR="00F52828" w:rsidRPr="006602A8" w:rsidRDefault="00F52828" w:rsidP="00F83690">
      <w:pPr>
        <w:pStyle w:val="EndnoteText"/>
        <w:ind w:left="284" w:hanging="284"/>
        <w:rPr>
          <w:lang w:val="en-US"/>
        </w:rPr>
      </w:pPr>
      <w:r>
        <w:rPr>
          <w:rStyle w:val="EndnoteReference"/>
        </w:rPr>
        <w:endnoteRef/>
      </w:r>
      <w:r>
        <w:t xml:space="preserve"> </w:t>
      </w:r>
      <w:r>
        <w:rPr>
          <w:lang w:val="en-US"/>
        </w:rPr>
        <w:tab/>
      </w:r>
      <w:r w:rsidRPr="00AB7844">
        <w:rPr>
          <w:i/>
          <w:iCs/>
          <w:lang w:val="en-US"/>
        </w:rPr>
        <w:t>Criminal Code</w:t>
      </w:r>
      <w:r>
        <w:rPr>
          <w:lang w:val="en-US"/>
        </w:rPr>
        <w:t xml:space="preserve"> (</w:t>
      </w:r>
      <w:proofErr w:type="spellStart"/>
      <w:r>
        <w:rPr>
          <w:lang w:val="en-US"/>
        </w:rPr>
        <w:t>Cth</w:t>
      </w:r>
      <w:proofErr w:type="spellEnd"/>
      <w:r>
        <w:rPr>
          <w:lang w:val="en-US"/>
        </w:rPr>
        <w:t>), s 104.22(3).</w:t>
      </w:r>
    </w:p>
  </w:endnote>
  <w:endnote w:id="104">
    <w:p w14:paraId="45804726" w14:textId="77777777" w:rsidR="00F52828" w:rsidRPr="00220E6D" w:rsidRDefault="00F52828" w:rsidP="00F83690">
      <w:pPr>
        <w:pStyle w:val="EndnoteText"/>
        <w:ind w:left="284" w:hanging="284"/>
        <w:rPr>
          <w:lang w:val="en-US"/>
        </w:rPr>
      </w:pPr>
      <w:r>
        <w:rPr>
          <w:rStyle w:val="EndnoteReference"/>
        </w:rPr>
        <w:endnoteRef/>
      </w:r>
      <w:r>
        <w:t xml:space="preserve"> </w:t>
      </w:r>
      <w:r>
        <w:rPr>
          <w:lang w:val="en-US"/>
        </w:rPr>
        <w:tab/>
      </w:r>
      <w:r w:rsidRPr="00AB7844">
        <w:rPr>
          <w:i/>
          <w:iCs/>
          <w:lang w:val="en-US"/>
        </w:rPr>
        <w:t>Criminal Code</w:t>
      </w:r>
      <w:r>
        <w:rPr>
          <w:lang w:val="en-US"/>
        </w:rPr>
        <w:t xml:space="preserve"> (</w:t>
      </w:r>
      <w:proofErr w:type="spellStart"/>
      <w:r>
        <w:rPr>
          <w:lang w:val="en-US"/>
        </w:rPr>
        <w:t>Cth</w:t>
      </w:r>
      <w:proofErr w:type="spellEnd"/>
      <w:r>
        <w:rPr>
          <w:lang w:val="en-US"/>
        </w:rPr>
        <w:t>), s 104.27.</w:t>
      </w:r>
    </w:p>
  </w:endnote>
  <w:endnote w:id="105">
    <w:p w14:paraId="6536676D" w14:textId="77777777" w:rsidR="00F52828" w:rsidRPr="005F72C8" w:rsidRDefault="00F52828" w:rsidP="00F83690">
      <w:pPr>
        <w:pStyle w:val="EndnoteText"/>
        <w:ind w:left="284" w:hanging="284"/>
        <w:rPr>
          <w:lang w:val="en-US"/>
        </w:rPr>
      </w:pPr>
      <w:r>
        <w:rPr>
          <w:rStyle w:val="EndnoteReference"/>
        </w:rPr>
        <w:endnoteRef/>
      </w:r>
      <w:r>
        <w:t xml:space="preserve"> </w:t>
      </w:r>
      <w:r>
        <w:rPr>
          <w:lang w:val="en-US"/>
        </w:rPr>
        <w:tab/>
      </w:r>
      <w:r w:rsidRPr="00AB7844">
        <w:rPr>
          <w:i/>
          <w:iCs/>
          <w:lang w:val="en-US"/>
        </w:rPr>
        <w:t>Criminal Code</w:t>
      </w:r>
      <w:r>
        <w:rPr>
          <w:lang w:val="en-US"/>
        </w:rPr>
        <w:t xml:space="preserve"> (</w:t>
      </w:r>
      <w:proofErr w:type="spellStart"/>
      <w:r>
        <w:rPr>
          <w:lang w:val="en-US"/>
        </w:rPr>
        <w:t>Cth</w:t>
      </w:r>
      <w:proofErr w:type="spellEnd"/>
      <w:r>
        <w:rPr>
          <w:lang w:val="en-US"/>
        </w:rPr>
        <w:t>), s 104.27A.</w:t>
      </w:r>
    </w:p>
  </w:endnote>
  <w:endnote w:id="106">
    <w:p w14:paraId="732AACA4" w14:textId="77777777" w:rsidR="00F52828" w:rsidRPr="00EE3FDB" w:rsidRDefault="00F52828" w:rsidP="00F83690">
      <w:pPr>
        <w:pStyle w:val="EndnoteText"/>
        <w:ind w:left="284" w:hanging="284"/>
        <w:rPr>
          <w:lang w:val="en-US"/>
        </w:rPr>
      </w:pPr>
      <w:r>
        <w:rPr>
          <w:rStyle w:val="EndnoteReference"/>
        </w:rPr>
        <w:endnoteRef/>
      </w:r>
      <w:r>
        <w:t xml:space="preserve"> </w:t>
      </w:r>
      <w:r>
        <w:rPr>
          <w:lang w:val="en-US"/>
        </w:rPr>
        <w:tab/>
        <w:t>Proposed s 105A.7D(3).</w:t>
      </w:r>
    </w:p>
  </w:endnote>
  <w:endnote w:id="107">
    <w:p w14:paraId="472E0CEF" w14:textId="77777777" w:rsidR="00F52828" w:rsidRPr="00AA6585" w:rsidRDefault="00F52828" w:rsidP="00F83690">
      <w:pPr>
        <w:pStyle w:val="EndnoteText"/>
        <w:ind w:left="284" w:hanging="284"/>
        <w:rPr>
          <w:lang w:val="en-US"/>
        </w:rPr>
      </w:pPr>
      <w:r>
        <w:rPr>
          <w:rStyle w:val="EndnoteReference"/>
        </w:rPr>
        <w:endnoteRef/>
      </w:r>
      <w:r>
        <w:t xml:space="preserve"> </w:t>
      </w:r>
      <w:r>
        <w:rPr>
          <w:lang w:val="en-US"/>
        </w:rPr>
        <w:tab/>
        <w:t>Proposed s 105A.18A(1).</w:t>
      </w:r>
    </w:p>
  </w:endnote>
  <w:endnote w:id="108">
    <w:p w14:paraId="4CB30251" w14:textId="77777777" w:rsidR="00F52828" w:rsidRPr="006D213E" w:rsidRDefault="00F52828" w:rsidP="00F83690">
      <w:pPr>
        <w:pStyle w:val="EndnoteText"/>
        <w:ind w:left="284" w:hanging="284"/>
        <w:rPr>
          <w:lang w:val="en-US"/>
        </w:rPr>
      </w:pPr>
      <w:r>
        <w:rPr>
          <w:rStyle w:val="EndnoteReference"/>
        </w:rPr>
        <w:endnoteRef/>
      </w:r>
      <w:r>
        <w:t xml:space="preserve"> </w:t>
      </w:r>
      <w:r>
        <w:rPr>
          <w:lang w:val="en-US"/>
        </w:rPr>
        <w:tab/>
        <w:t>Proposed s 105A.18A(2).</w:t>
      </w:r>
    </w:p>
  </w:endnote>
  <w:endnote w:id="109">
    <w:p w14:paraId="0A6CC0EF" w14:textId="77777777" w:rsidR="00F52828" w:rsidRPr="006D213E" w:rsidRDefault="00F52828" w:rsidP="00F83690">
      <w:pPr>
        <w:pStyle w:val="EndnoteText"/>
        <w:ind w:left="284" w:hanging="284"/>
        <w:rPr>
          <w:lang w:val="en-US"/>
        </w:rPr>
      </w:pPr>
      <w:r>
        <w:rPr>
          <w:rStyle w:val="EndnoteReference"/>
        </w:rPr>
        <w:endnoteRef/>
      </w:r>
      <w:r>
        <w:t xml:space="preserve"> </w:t>
      </w:r>
      <w:r>
        <w:rPr>
          <w:lang w:val="en-US"/>
        </w:rPr>
        <w:tab/>
        <w:t>Proposed s 105A.18B.</w:t>
      </w:r>
    </w:p>
  </w:endnote>
  <w:endnote w:id="110">
    <w:p w14:paraId="09324CB2" w14:textId="77777777" w:rsidR="00F52828" w:rsidRPr="00E96546" w:rsidRDefault="00F52828" w:rsidP="00F83690">
      <w:pPr>
        <w:pStyle w:val="EndnoteText"/>
        <w:ind w:left="284" w:hanging="284"/>
        <w:rPr>
          <w:lang w:val="en-US"/>
        </w:rPr>
      </w:pPr>
      <w:r>
        <w:rPr>
          <w:rStyle w:val="EndnoteReference"/>
        </w:rPr>
        <w:endnoteRef/>
      </w:r>
      <w:r>
        <w:t xml:space="preserve"> </w:t>
      </w:r>
      <w:r>
        <w:rPr>
          <w:lang w:val="en-US"/>
        </w:rPr>
        <w:tab/>
        <w:t>Revised Explanatory Memorandum, Criminal Code Amendment (High Risk Terrorist Offenders) Bill 2016 (</w:t>
      </w:r>
      <w:proofErr w:type="spellStart"/>
      <w:r>
        <w:rPr>
          <w:lang w:val="en-US"/>
        </w:rPr>
        <w:t>Cth</w:t>
      </w:r>
      <w:proofErr w:type="spellEnd"/>
      <w:r>
        <w:rPr>
          <w:lang w:val="en-US"/>
        </w:rPr>
        <w:t>), Statement of Compatibility with Human Rights at [108].</w:t>
      </w:r>
    </w:p>
  </w:endnote>
  <w:endnote w:id="111">
    <w:p w14:paraId="28AB1263" w14:textId="77777777" w:rsidR="00F52828" w:rsidRPr="00F1543F" w:rsidRDefault="00F52828" w:rsidP="00F83690">
      <w:pPr>
        <w:pStyle w:val="EndnoteText"/>
        <w:ind w:left="284" w:hanging="284"/>
        <w:rPr>
          <w:lang w:val="en-US"/>
        </w:rPr>
      </w:pPr>
      <w:r>
        <w:rPr>
          <w:rStyle w:val="EndnoteReference"/>
        </w:rPr>
        <w:endnoteRef/>
      </w:r>
      <w:r>
        <w:t xml:space="preserve"> </w:t>
      </w:r>
      <w:r>
        <w:rPr>
          <w:lang w:val="en-US"/>
        </w:rPr>
        <w:tab/>
      </w:r>
      <w:r w:rsidRPr="0023564F">
        <w:rPr>
          <w:i/>
          <w:iCs/>
          <w:lang w:val="en-US"/>
        </w:rPr>
        <w:t>Criminal Code</w:t>
      </w:r>
      <w:r>
        <w:rPr>
          <w:lang w:val="en-US"/>
        </w:rPr>
        <w:t xml:space="preserve"> (</w:t>
      </w:r>
      <w:proofErr w:type="spellStart"/>
      <w:r>
        <w:rPr>
          <w:lang w:val="en-US"/>
        </w:rPr>
        <w:t>Cth</w:t>
      </w:r>
      <w:proofErr w:type="spellEnd"/>
      <w:r>
        <w:rPr>
          <w:lang w:val="en-US"/>
        </w:rPr>
        <w:t>), s 104.11A.</w:t>
      </w:r>
    </w:p>
  </w:endnote>
  <w:endnote w:id="112">
    <w:p w14:paraId="45ED18FC" w14:textId="77777777" w:rsidR="00F52828" w:rsidRPr="000B2307" w:rsidRDefault="00F52828" w:rsidP="00F83690">
      <w:pPr>
        <w:pStyle w:val="EndnoteText"/>
        <w:ind w:left="284" w:hanging="284"/>
        <w:rPr>
          <w:lang w:val="en-US"/>
        </w:rPr>
      </w:pPr>
      <w:r>
        <w:rPr>
          <w:rStyle w:val="EndnoteReference"/>
        </w:rPr>
        <w:endnoteRef/>
      </w:r>
      <w:r>
        <w:t xml:space="preserve"> </w:t>
      </w:r>
      <w:r>
        <w:rPr>
          <w:lang w:val="en-US"/>
        </w:rPr>
        <w:tab/>
      </w:r>
      <w:r w:rsidRPr="000B2307">
        <w:rPr>
          <w:i/>
          <w:iCs/>
          <w:lang w:val="en-US"/>
        </w:rPr>
        <w:t>Criminal Code</w:t>
      </w:r>
      <w:r>
        <w:rPr>
          <w:lang w:val="en-US"/>
        </w:rPr>
        <w:t xml:space="preserve"> (</w:t>
      </w:r>
      <w:proofErr w:type="spellStart"/>
      <w:r>
        <w:rPr>
          <w:lang w:val="en-US"/>
        </w:rPr>
        <w:t>Cth</w:t>
      </w:r>
      <w:proofErr w:type="spellEnd"/>
      <w:r>
        <w:rPr>
          <w:lang w:val="en-US"/>
        </w:rPr>
        <w:t>), s 104.11.</w:t>
      </w:r>
    </w:p>
  </w:endnote>
  <w:endnote w:id="113">
    <w:p w14:paraId="33E45E27" w14:textId="77777777" w:rsidR="00F52828" w:rsidRPr="00676F08" w:rsidRDefault="00F52828" w:rsidP="00F83690">
      <w:pPr>
        <w:pStyle w:val="EndnoteText"/>
        <w:ind w:left="284" w:hanging="284"/>
        <w:rPr>
          <w:lang w:val="en-US"/>
        </w:rPr>
      </w:pPr>
      <w:r>
        <w:rPr>
          <w:rStyle w:val="EndnoteReference"/>
        </w:rPr>
        <w:endnoteRef/>
      </w:r>
      <w:r>
        <w:t xml:space="preserve"> </w:t>
      </w:r>
      <w:r>
        <w:rPr>
          <w:lang w:val="en-US"/>
        </w:rPr>
        <w:tab/>
        <w:t xml:space="preserve">PJCIS, </w:t>
      </w:r>
      <w:r w:rsidRPr="004B14A5">
        <w:rPr>
          <w:i/>
          <w:iCs/>
          <w:lang w:val="en-US"/>
        </w:rPr>
        <w:t>Review of police stop, search and seizure powers, the control order regime and the preventative detention order regime</w:t>
      </w:r>
      <w:r>
        <w:rPr>
          <w:lang w:val="en-US"/>
        </w:rPr>
        <w:t xml:space="preserve"> (February 2018), at [3.92]</w:t>
      </w:r>
      <w:proofErr w:type="gramStart"/>
      <w:r>
        <w:rPr>
          <w:lang w:val="en-US"/>
        </w:rPr>
        <w:t>-[</w:t>
      </w:r>
      <w:proofErr w:type="gramEnd"/>
      <w:r>
        <w:rPr>
          <w:lang w:val="en-US"/>
        </w:rPr>
        <w:t>3.97].</w:t>
      </w:r>
    </w:p>
  </w:endnote>
  <w:endnote w:id="114">
    <w:p w14:paraId="5AFCD981" w14:textId="77777777" w:rsidR="00F52828" w:rsidRPr="00305621" w:rsidRDefault="00F52828" w:rsidP="00F83690">
      <w:pPr>
        <w:pStyle w:val="EndnoteText"/>
        <w:ind w:left="284" w:hanging="284"/>
        <w:rPr>
          <w:lang w:val="en-US"/>
        </w:rPr>
      </w:pPr>
      <w:r>
        <w:rPr>
          <w:rStyle w:val="EndnoteReference"/>
        </w:rPr>
        <w:endnoteRef/>
      </w:r>
      <w:r>
        <w:t xml:space="preserve"> </w:t>
      </w:r>
      <w:r>
        <w:rPr>
          <w:lang w:val="en-US"/>
        </w:rPr>
        <w:tab/>
      </w:r>
      <w:r w:rsidRPr="00305621">
        <w:rPr>
          <w:i/>
          <w:iCs/>
          <w:lang w:val="en-US"/>
        </w:rPr>
        <w:t>Criminal Code</w:t>
      </w:r>
      <w:r>
        <w:rPr>
          <w:lang w:val="en-US"/>
        </w:rPr>
        <w:t xml:space="preserve"> (</w:t>
      </w:r>
      <w:proofErr w:type="spellStart"/>
      <w:r>
        <w:rPr>
          <w:lang w:val="en-US"/>
        </w:rPr>
        <w:t>Cth</w:t>
      </w:r>
      <w:proofErr w:type="spellEnd"/>
      <w:r>
        <w:rPr>
          <w:lang w:val="en-US"/>
        </w:rPr>
        <w:t>), s 104.14(7)(b).</w:t>
      </w:r>
    </w:p>
  </w:endnote>
  <w:endnote w:id="115">
    <w:p w14:paraId="313113D0" w14:textId="77777777" w:rsidR="00F52828" w:rsidRPr="00965225" w:rsidRDefault="00F52828" w:rsidP="00F83690">
      <w:pPr>
        <w:pStyle w:val="EndnoteText"/>
        <w:ind w:left="284" w:hanging="284"/>
        <w:rPr>
          <w:lang w:val="en-US"/>
        </w:rPr>
      </w:pPr>
      <w:r>
        <w:rPr>
          <w:rStyle w:val="EndnoteReference"/>
        </w:rPr>
        <w:endnoteRef/>
      </w:r>
      <w:r>
        <w:t xml:space="preserve"> </w:t>
      </w:r>
      <w:r>
        <w:rPr>
          <w:lang w:val="en-US"/>
        </w:rPr>
        <w:tab/>
      </w:r>
      <w:r w:rsidRPr="00BF01DB">
        <w:rPr>
          <w:i/>
          <w:iCs/>
          <w:lang w:val="en-US"/>
        </w:rPr>
        <w:t>Criminal Code</w:t>
      </w:r>
      <w:r>
        <w:rPr>
          <w:lang w:val="en-US"/>
        </w:rPr>
        <w:t xml:space="preserve"> (</w:t>
      </w:r>
      <w:proofErr w:type="spellStart"/>
      <w:r>
        <w:rPr>
          <w:lang w:val="en-US"/>
        </w:rPr>
        <w:t>Cth</w:t>
      </w:r>
      <w:proofErr w:type="spellEnd"/>
      <w:r>
        <w:rPr>
          <w:lang w:val="en-US"/>
        </w:rPr>
        <w:t>), s 104.23–104.26.</w:t>
      </w:r>
    </w:p>
  </w:endnote>
  <w:endnote w:id="116">
    <w:p w14:paraId="42D1E642" w14:textId="77777777" w:rsidR="00F52828" w:rsidRPr="00B1509F" w:rsidRDefault="00F52828" w:rsidP="00F83690">
      <w:pPr>
        <w:pStyle w:val="EndnoteText"/>
        <w:ind w:left="284" w:hanging="284"/>
        <w:rPr>
          <w:lang w:val="en-US"/>
        </w:rPr>
      </w:pPr>
      <w:r>
        <w:rPr>
          <w:rStyle w:val="EndnoteReference"/>
        </w:rPr>
        <w:endnoteRef/>
      </w:r>
      <w:r>
        <w:t xml:space="preserve"> </w:t>
      </w:r>
      <w:r>
        <w:rPr>
          <w:lang w:val="en-US"/>
        </w:rPr>
        <w:tab/>
        <w:t>Proposed s 105A.9A.</w:t>
      </w:r>
    </w:p>
  </w:endnote>
  <w:endnote w:id="117">
    <w:p w14:paraId="097B47B3" w14:textId="77777777" w:rsidR="00F52828" w:rsidRPr="00354341" w:rsidRDefault="00F52828" w:rsidP="00F83690">
      <w:pPr>
        <w:pStyle w:val="EndnoteText"/>
        <w:ind w:left="284" w:hanging="284"/>
        <w:rPr>
          <w:lang w:val="en-US"/>
        </w:rPr>
      </w:pPr>
      <w:r>
        <w:rPr>
          <w:rStyle w:val="EndnoteReference"/>
        </w:rPr>
        <w:endnoteRef/>
      </w:r>
      <w:r>
        <w:t xml:space="preserve"> </w:t>
      </w:r>
      <w:r>
        <w:rPr>
          <w:lang w:val="en-US"/>
        </w:rPr>
        <w:tab/>
      </w:r>
      <w:r>
        <w:t>Proposed s 105A.9B(1).</w:t>
      </w:r>
    </w:p>
  </w:endnote>
  <w:endnote w:id="118">
    <w:p w14:paraId="142FDCE1" w14:textId="45760481" w:rsidR="00F52828" w:rsidRPr="00EB0A71" w:rsidRDefault="00F52828" w:rsidP="00F83690">
      <w:pPr>
        <w:pStyle w:val="EndnoteText"/>
        <w:ind w:left="284" w:hanging="284"/>
        <w:rPr>
          <w:lang w:val="en-US"/>
        </w:rPr>
      </w:pPr>
      <w:r>
        <w:rPr>
          <w:rStyle w:val="EndnoteReference"/>
        </w:rPr>
        <w:endnoteRef/>
      </w:r>
      <w:r>
        <w:t xml:space="preserve"> </w:t>
      </w:r>
      <w:r>
        <w:rPr>
          <w:lang w:val="en-US"/>
        </w:rPr>
        <w:tab/>
        <w:t>Proposed ss 105A.18A and 105A.18B.</w:t>
      </w:r>
    </w:p>
  </w:endnote>
  <w:endnote w:id="119">
    <w:p w14:paraId="29F7AA9A" w14:textId="1561BE03" w:rsidR="00F52828" w:rsidRPr="00E27D14" w:rsidRDefault="00F52828" w:rsidP="00F83690">
      <w:pPr>
        <w:pStyle w:val="EndnoteText"/>
        <w:ind w:left="284" w:hanging="284"/>
        <w:rPr>
          <w:lang w:val="en-US"/>
        </w:rPr>
      </w:pPr>
      <w:r>
        <w:rPr>
          <w:rStyle w:val="EndnoteReference"/>
        </w:rPr>
        <w:endnoteRef/>
      </w:r>
      <w:r>
        <w:t xml:space="preserve"> </w:t>
      </w:r>
      <w:r>
        <w:rPr>
          <w:lang w:val="en-US"/>
        </w:rPr>
        <w:tab/>
      </w:r>
      <w:r w:rsidRPr="00D5506E">
        <w:rPr>
          <w:i/>
          <w:iCs/>
          <w:lang w:val="en-US"/>
        </w:rPr>
        <w:t>Criminal Code</w:t>
      </w:r>
      <w:r>
        <w:rPr>
          <w:lang w:val="en-US"/>
        </w:rPr>
        <w:t xml:space="preserve"> (</w:t>
      </w:r>
      <w:proofErr w:type="spellStart"/>
      <w:r>
        <w:rPr>
          <w:lang w:val="en-US"/>
        </w:rPr>
        <w:t>Cth</w:t>
      </w:r>
      <w:proofErr w:type="spellEnd"/>
      <w:r>
        <w:rPr>
          <w:lang w:val="en-US"/>
        </w:rPr>
        <w:t>), ss 104.27 and 104.27A.</w:t>
      </w:r>
    </w:p>
  </w:endnote>
  <w:endnote w:id="120">
    <w:p w14:paraId="18105E32" w14:textId="569A76F6" w:rsidR="00F52828" w:rsidRPr="000904E7" w:rsidRDefault="00F52828" w:rsidP="00F83690">
      <w:pPr>
        <w:pStyle w:val="EndnoteText"/>
        <w:ind w:left="284" w:hanging="284"/>
        <w:rPr>
          <w:lang w:val="en-US"/>
        </w:rPr>
      </w:pPr>
      <w:r>
        <w:rPr>
          <w:rStyle w:val="EndnoteReference"/>
        </w:rPr>
        <w:endnoteRef/>
      </w:r>
      <w:r>
        <w:t xml:space="preserve"> </w:t>
      </w:r>
      <w:r>
        <w:rPr>
          <w:lang w:val="en-US"/>
        </w:rPr>
        <w:tab/>
        <w:t xml:space="preserve">Australian Federal Police, </w:t>
      </w:r>
      <w:r w:rsidRPr="002438D3">
        <w:rPr>
          <w:i/>
          <w:iCs/>
          <w:lang w:val="en-US"/>
        </w:rPr>
        <w:t>Answers to Questions on Notice</w:t>
      </w:r>
      <w:r>
        <w:rPr>
          <w:lang w:val="en-US"/>
        </w:rPr>
        <w:t xml:space="preserve">, PJCIS hearing on Review of AFP Powers, 25 September 2020, p 4, at </w:t>
      </w:r>
      <w:hyperlink r:id="rId9" w:history="1">
        <w:r w:rsidRPr="00C5407F">
          <w:rPr>
            <w:rStyle w:val="Hyperlink"/>
            <w:lang w:val="en-US"/>
          </w:rPr>
          <w:t>https://www.aph.gov.au/DocumentStore.ashx?id=6500c6e7-7417-4a82-80d4-4bbad2caac63&amp;subId=691311</w:t>
        </w:r>
      </w:hyperlink>
      <w:r>
        <w:rPr>
          <w:lang w:val="en-US"/>
        </w:rPr>
        <w:t xml:space="preserve">. </w:t>
      </w:r>
    </w:p>
  </w:endnote>
  <w:endnote w:id="121">
    <w:p w14:paraId="2EA3BF6A" w14:textId="63C1704F" w:rsidR="00F52828" w:rsidRPr="00D139D0" w:rsidRDefault="00F52828" w:rsidP="00F83690">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[113]-[115].</w:t>
      </w:r>
    </w:p>
  </w:endnote>
  <w:endnote w:id="122">
    <w:p w14:paraId="451794F7" w14:textId="20CE2606" w:rsidR="00F52828" w:rsidRPr="007E238C" w:rsidRDefault="00F52828" w:rsidP="00F83690">
      <w:pPr>
        <w:pStyle w:val="EndnoteText"/>
        <w:ind w:left="284" w:hanging="284"/>
        <w:rPr>
          <w:lang w:val="en-US"/>
        </w:rPr>
      </w:pPr>
      <w:r>
        <w:rPr>
          <w:rStyle w:val="EndnoteReference"/>
        </w:rPr>
        <w:endnoteRef/>
      </w:r>
      <w:r>
        <w:t xml:space="preserve"> </w:t>
      </w:r>
      <w:r>
        <w:rPr>
          <w:lang w:val="en-US"/>
        </w:rPr>
        <w:tab/>
      </w:r>
      <w:r w:rsidRPr="00965486">
        <w:rPr>
          <w:i/>
          <w:iCs/>
          <w:lang w:val="en-US"/>
        </w:rPr>
        <w:t>R v MO (No 2)</w:t>
      </w:r>
      <w:r>
        <w:rPr>
          <w:lang w:val="en-US"/>
        </w:rPr>
        <w:t xml:space="preserve"> [2016] NSWDC 145. </w:t>
      </w:r>
    </w:p>
  </w:endnote>
  <w:endnote w:id="123">
    <w:p w14:paraId="45410936" w14:textId="69F8A408" w:rsidR="00F52828" w:rsidRPr="00EF61A0" w:rsidRDefault="00F52828" w:rsidP="00F83690">
      <w:pPr>
        <w:pStyle w:val="EndnoteText"/>
        <w:ind w:left="284" w:hanging="284"/>
        <w:rPr>
          <w:lang w:val="en-US"/>
        </w:rPr>
      </w:pPr>
      <w:r>
        <w:rPr>
          <w:rStyle w:val="EndnoteReference"/>
        </w:rPr>
        <w:endnoteRef/>
      </w:r>
      <w:r>
        <w:t xml:space="preserve"> </w:t>
      </w:r>
      <w:r>
        <w:rPr>
          <w:lang w:val="en-US"/>
        </w:rPr>
        <w:tab/>
      </w:r>
      <w:r w:rsidRPr="00A336C2">
        <w:rPr>
          <w:i/>
          <w:iCs/>
          <w:lang w:val="en-US"/>
        </w:rPr>
        <w:t xml:space="preserve">R v </w:t>
      </w:r>
      <w:proofErr w:type="spellStart"/>
      <w:r w:rsidRPr="00A336C2">
        <w:rPr>
          <w:i/>
          <w:iCs/>
          <w:lang w:val="en-US"/>
        </w:rPr>
        <w:t>Naizmand</w:t>
      </w:r>
      <w:proofErr w:type="spellEnd"/>
      <w:r>
        <w:rPr>
          <w:lang w:val="en-US"/>
        </w:rPr>
        <w:t xml:space="preserve"> [2017] NSWDC 4.</w:t>
      </w:r>
    </w:p>
  </w:endnote>
  <w:endnote w:id="124">
    <w:p w14:paraId="6DE198D6" w14:textId="39DF3978" w:rsidR="00F52828" w:rsidRPr="003A5B00" w:rsidRDefault="00F52828" w:rsidP="00F83690">
      <w:pPr>
        <w:pStyle w:val="EndnoteText"/>
        <w:ind w:left="284" w:hanging="284"/>
        <w:rPr>
          <w:lang w:val="en-US"/>
        </w:rPr>
      </w:pPr>
      <w:r>
        <w:rPr>
          <w:rStyle w:val="EndnoteReference"/>
        </w:rPr>
        <w:endnoteRef/>
      </w:r>
      <w:r>
        <w:t xml:space="preserve"> </w:t>
      </w:r>
      <w:r>
        <w:rPr>
          <w:lang w:val="en-US"/>
        </w:rPr>
        <w:tab/>
        <w:t xml:space="preserve">Tim Matthews, ‘Under Control, But Out of Proportion: Proportionality in Sentencing for Control Order Violations’ (2017) 40(4) </w:t>
      </w:r>
      <w:r w:rsidRPr="00933E00">
        <w:rPr>
          <w:i/>
          <w:iCs/>
          <w:lang w:val="en-US"/>
        </w:rPr>
        <w:t>University of New South Wales Law Journal</w:t>
      </w:r>
      <w:r>
        <w:rPr>
          <w:lang w:val="en-US"/>
        </w:rPr>
        <w:t xml:space="preserve"> 1422 at 1434.</w:t>
      </w:r>
    </w:p>
  </w:endnote>
  <w:endnote w:id="125">
    <w:p w14:paraId="2C959C70" w14:textId="09382278" w:rsidR="00F52828" w:rsidRPr="004C1D80" w:rsidRDefault="00F52828" w:rsidP="00F83690">
      <w:pPr>
        <w:pStyle w:val="EndnoteText"/>
        <w:ind w:left="284" w:hanging="284"/>
        <w:rPr>
          <w:lang w:val="en-US"/>
        </w:rPr>
      </w:pPr>
      <w:r>
        <w:rPr>
          <w:rStyle w:val="EndnoteReference"/>
        </w:rPr>
        <w:endnoteRef/>
      </w:r>
      <w:r>
        <w:t xml:space="preserve"> </w:t>
      </w:r>
      <w:r>
        <w:rPr>
          <w:lang w:val="en-US"/>
        </w:rPr>
        <w:tab/>
        <w:t xml:space="preserve">Australian Federal Police, </w:t>
      </w:r>
      <w:r w:rsidRPr="002438D3">
        <w:rPr>
          <w:i/>
          <w:iCs/>
          <w:lang w:val="en-US"/>
        </w:rPr>
        <w:t>Answers to Questions on Notice</w:t>
      </w:r>
      <w:r>
        <w:rPr>
          <w:lang w:val="en-US"/>
        </w:rPr>
        <w:t>, PJCIS hearing on Review of AFP Powers, 25 September 2020, p 4.</w:t>
      </w:r>
    </w:p>
  </w:endnote>
  <w:endnote w:id="126">
    <w:p w14:paraId="19F74C32" w14:textId="1029A9F3" w:rsidR="00F52828" w:rsidRPr="002C2BE6" w:rsidRDefault="00F52828" w:rsidP="00F83690">
      <w:pPr>
        <w:pStyle w:val="EndnoteText"/>
        <w:ind w:left="284" w:hanging="284"/>
        <w:rPr>
          <w:lang w:val="en-US"/>
        </w:rPr>
      </w:pPr>
      <w:r>
        <w:rPr>
          <w:rStyle w:val="EndnoteReference"/>
        </w:rPr>
        <w:endnoteRef/>
      </w:r>
      <w:r>
        <w:t xml:space="preserve"> </w:t>
      </w:r>
      <w:r>
        <w:rPr>
          <w:lang w:val="en-US"/>
        </w:rPr>
        <w:tab/>
        <w:t xml:space="preserve">7NEWS Sydney, 26 July 2020, at </w:t>
      </w:r>
      <w:hyperlink r:id="rId10" w:history="1">
        <w:r w:rsidRPr="00C5407F">
          <w:rPr>
            <w:rStyle w:val="Hyperlink"/>
            <w:lang w:val="en-US"/>
          </w:rPr>
          <w:t>https://twitter.com/7NewsSydney/status/1287312356771377153</w:t>
        </w:r>
      </w:hyperlink>
      <w:r>
        <w:rPr>
          <w:lang w:val="en-US"/>
        </w:rPr>
        <w:t>; Joanne Vella, ‘</w:t>
      </w:r>
      <w:proofErr w:type="spellStart"/>
      <w:r>
        <w:rPr>
          <w:lang w:val="en-US"/>
        </w:rPr>
        <w:t>Alo</w:t>
      </w:r>
      <w:proofErr w:type="spellEnd"/>
      <w:r>
        <w:rPr>
          <w:lang w:val="en-US"/>
        </w:rPr>
        <w:t xml:space="preserve">-Bridget </w:t>
      </w:r>
      <w:proofErr w:type="spellStart"/>
      <w:r>
        <w:rPr>
          <w:lang w:val="en-US"/>
        </w:rPr>
        <w:t>Namoa</w:t>
      </w:r>
      <w:proofErr w:type="spellEnd"/>
      <w:r>
        <w:rPr>
          <w:lang w:val="en-US"/>
        </w:rPr>
        <w:t xml:space="preserve">, convicted of plotting Sydney NYE terror attack, refused bail’ </w:t>
      </w:r>
      <w:r w:rsidRPr="008108FC">
        <w:rPr>
          <w:i/>
          <w:iCs/>
          <w:lang w:val="en-US"/>
        </w:rPr>
        <w:t>Daily Telegraph</w:t>
      </w:r>
      <w:r>
        <w:rPr>
          <w:lang w:val="en-US"/>
        </w:rPr>
        <w:t xml:space="preserve">, 28 July 2020. </w:t>
      </w:r>
    </w:p>
  </w:endnote>
  <w:endnote w:id="127">
    <w:p w14:paraId="6E898CBE" w14:textId="1D910A88" w:rsidR="00F52828" w:rsidRPr="00AC74EE" w:rsidRDefault="00F52828" w:rsidP="00F83690">
      <w:pPr>
        <w:pStyle w:val="EndnoteText"/>
        <w:ind w:left="284" w:hanging="284"/>
        <w:rPr>
          <w:lang w:val="en-US"/>
        </w:rPr>
      </w:pPr>
      <w:r>
        <w:rPr>
          <w:rStyle w:val="EndnoteReference"/>
        </w:rPr>
        <w:endnoteRef/>
      </w:r>
      <w:r>
        <w:t xml:space="preserve"> </w:t>
      </w:r>
      <w:r>
        <w:rPr>
          <w:lang w:val="en-US"/>
        </w:rPr>
        <w:tab/>
        <w:t xml:space="preserve">Gerard Cockburn, ‘Sydney woman on terror charges to front court after allegedly misusing a mobile phone’ </w:t>
      </w:r>
      <w:r w:rsidRPr="00C27193">
        <w:rPr>
          <w:i/>
          <w:iCs/>
          <w:lang w:val="en-US"/>
        </w:rPr>
        <w:t>The Australian</w:t>
      </w:r>
      <w:r>
        <w:rPr>
          <w:lang w:val="en-US"/>
        </w:rPr>
        <w:t>, 26 July 2020.</w:t>
      </w:r>
    </w:p>
  </w:endnote>
  <w:endnote w:id="128">
    <w:p w14:paraId="73464494" w14:textId="2437663E" w:rsidR="00F52828" w:rsidRPr="00812718" w:rsidRDefault="00F52828" w:rsidP="00F83690">
      <w:pPr>
        <w:pStyle w:val="EndnoteText"/>
        <w:ind w:left="284" w:hanging="284"/>
        <w:rPr>
          <w:lang w:val="en-US"/>
        </w:rPr>
      </w:pPr>
      <w:r>
        <w:rPr>
          <w:rStyle w:val="EndnoteReference"/>
        </w:rPr>
        <w:endnoteRef/>
      </w:r>
      <w:r>
        <w:t xml:space="preserve"> </w:t>
      </w:r>
      <w:r>
        <w:rPr>
          <w:lang w:val="en-US"/>
        </w:rPr>
        <w:tab/>
        <w:t xml:space="preserve">Legal Aid NSW, </w:t>
      </w:r>
      <w:r w:rsidRPr="002F6C5E">
        <w:rPr>
          <w:i/>
          <w:iCs/>
          <w:lang w:val="en-US"/>
        </w:rPr>
        <w:t>Review of AFP Powers</w:t>
      </w:r>
      <w:r>
        <w:rPr>
          <w:lang w:val="en-US"/>
        </w:rPr>
        <w:t xml:space="preserve">, submission to the PJCIS, August 2020, p 13, at </w:t>
      </w:r>
      <w:hyperlink r:id="rId11" w:history="1">
        <w:r w:rsidRPr="00975F90">
          <w:rPr>
            <w:rStyle w:val="Hyperlink"/>
            <w:lang w:val="en-US"/>
          </w:rPr>
          <w:t>https://www.aph.gov.au/DocumentStore.ashx?id=0190439a-c410-4385-a42e-142b7f8e949c&amp;subId=691314</w:t>
        </w:r>
      </w:hyperlink>
      <w:r>
        <w:rPr>
          <w:lang w:val="en-US"/>
        </w:rPr>
        <w:t xml:space="preserve">. </w:t>
      </w:r>
    </w:p>
  </w:endnote>
  <w:endnote w:id="129">
    <w:p w14:paraId="5F61FF4D" w14:textId="53B70796" w:rsidR="00F52828" w:rsidRPr="00581677" w:rsidRDefault="00F52828" w:rsidP="00F83690">
      <w:pPr>
        <w:pStyle w:val="EndnoteText"/>
        <w:ind w:left="284" w:hanging="284"/>
        <w:rPr>
          <w:lang w:val="en-US"/>
        </w:rPr>
      </w:pPr>
      <w:r>
        <w:rPr>
          <w:rStyle w:val="EndnoteReference"/>
        </w:rPr>
        <w:endnoteRef/>
      </w:r>
      <w:r>
        <w:t xml:space="preserve"> </w:t>
      </w:r>
      <w:r>
        <w:rPr>
          <w:lang w:val="en-US"/>
        </w:rPr>
        <w:tab/>
      </w:r>
      <w:r w:rsidRPr="00C079BB">
        <w:rPr>
          <w:i/>
          <w:iCs/>
          <w:lang w:val="en-US"/>
        </w:rPr>
        <w:t>Crimes (Administration of Sentences) Act 1999</w:t>
      </w:r>
      <w:r>
        <w:rPr>
          <w:lang w:val="en-US"/>
        </w:rPr>
        <w:t xml:space="preserve"> (NSW), s 170.</w:t>
      </w:r>
    </w:p>
  </w:endnote>
  <w:endnote w:id="130">
    <w:p w14:paraId="3D3AB43C" w14:textId="08471887" w:rsidR="00F52828" w:rsidRPr="00852D2A" w:rsidRDefault="00F52828" w:rsidP="00F83690">
      <w:pPr>
        <w:pStyle w:val="EndnoteText"/>
        <w:ind w:left="284" w:hanging="284"/>
        <w:rPr>
          <w:lang w:val="en-US"/>
        </w:rPr>
      </w:pPr>
      <w:r>
        <w:rPr>
          <w:rStyle w:val="EndnoteReference"/>
        </w:rPr>
        <w:endnoteRef/>
      </w:r>
      <w:r>
        <w:t xml:space="preserve"> </w:t>
      </w:r>
      <w:r>
        <w:rPr>
          <w:lang w:val="en-US"/>
        </w:rPr>
        <w:tab/>
        <w:t xml:space="preserve">New South Wales Law Reform Commission, </w:t>
      </w:r>
      <w:r w:rsidRPr="009329A3">
        <w:rPr>
          <w:i/>
          <w:iCs/>
          <w:lang w:val="en-US"/>
        </w:rPr>
        <w:t>Parole</w:t>
      </w:r>
      <w:r>
        <w:rPr>
          <w:lang w:val="en-US"/>
        </w:rPr>
        <w:t>, Report 142 (June 2015), Recommendation 10.1.</w:t>
      </w:r>
    </w:p>
  </w:endnote>
  <w:endnote w:id="131">
    <w:p w14:paraId="6242C60E" w14:textId="2D5F88CA" w:rsidR="00F52828" w:rsidRPr="00852D2A" w:rsidRDefault="00F52828" w:rsidP="00F83690">
      <w:pPr>
        <w:pStyle w:val="EndnoteText"/>
        <w:ind w:left="284" w:hanging="284"/>
        <w:rPr>
          <w:lang w:val="en-US"/>
        </w:rPr>
      </w:pPr>
      <w:r>
        <w:rPr>
          <w:rStyle w:val="EndnoteReference"/>
        </w:rPr>
        <w:endnoteRef/>
      </w:r>
      <w:r>
        <w:t xml:space="preserve"> </w:t>
      </w:r>
      <w:r>
        <w:rPr>
          <w:lang w:val="en-US"/>
        </w:rPr>
        <w:tab/>
        <w:t xml:space="preserve">New South Wales Law Reform Commission, </w:t>
      </w:r>
      <w:r w:rsidRPr="009329A3">
        <w:rPr>
          <w:i/>
          <w:iCs/>
          <w:lang w:val="en-US"/>
        </w:rPr>
        <w:t>Parole</w:t>
      </w:r>
      <w:r>
        <w:rPr>
          <w:lang w:val="en-US"/>
        </w:rPr>
        <w:t>, Report 142 (June 2015), at [10.4]</w:t>
      </w:r>
      <w:proofErr w:type="gramStart"/>
      <w:r>
        <w:rPr>
          <w:lang w:val="en-US"/>
        </w:rPr>
        <w:t>–[</w:t>
      </w:r>
      <w:proofErr w:type="gramEnd"/>
      <w:r>
        <w:rPr>
          <w:lang w:val="en-US"/>
        </w:rPr>
        <w:t>10.7].</w:t>
      </w:r>
    </w:p>
  </w:endnote>
  <w:endnote w:id="132">
    <w:p w14:paraId="61124B40" w14:textId="05D609E9" w:rsidR="00F52828" w:rsidRPr="006C7F69" w:rsidRDefault="00F52828" w:rsidP="00F83690">
      <w:pPr>
        <w:pStyle w:val="EndnoteText"/>
        <w:ind w:left="284" w:hanging="284"/>
        <w:rPr>
          <w:lang w:val="en-US"/>
        </w:rPr>
      </w:pPr>
      <w:r>
        <w:rPr>
          <w:rStyle w:val="EndnoteReference"/>
        </w:rPr>
        <w:endnoteRef/>
      </w:r>
      <w:r>
        <w:t xml:space="preserve"> </w:t>
      </w:r>
      <w:r>
        <w:rPr>
          <w:lang w:val="en-US"/>
        </w:rPr>
        <w:tab/>
        <w:t>Proposed s 105A.7C.</w:t>
      </w:r>
    </w:p>
  </w:endnote>
  <w:endnote w:id="133">
    <w:p w14:paraId="781DDBF5" w14:textId="494EC5CD" w:rsidR="00F52828" w:rsidRPr="00705A49" w:rsidRDefault="00F52828" w:rsidP="00F83690">
      <w:pPr>
        <w:pStyle w:val="EndnoteText"/>
        <w:ind w:left="284" w:hanging="284"/>
        <w:rPr>
          <w:lang w:val="en-US"/>
        </w:rPr>
      </w:pPr>
      <w:r>
        <w:rPr>
          <w:rStyle w:val="EndnoteReference"/>
        </w:rPr>
        <w:endnoteRef/>
      </w:r>
      <w:r>
        <w:t xml:space="preserve"> </w:t>
      </w:r>
      <w:r>
        <w:rPr>
          <w:lang w:val="en-US"/>
        </w:rPr>
        <w:tab/>
      </w:r>
      <w:r w:rsidRPr="00705A49">
        <w:rPr>
          <w:i/>
          <w:iCs/>
          <w:lang w:val="en-US"/>
        </w:rPr>
        <w:t>Bail Act 2013</w:t>
      </w:r>
      <w:r>
        <w:rPr>
          <w:lang w:val="en-US"/>
        </w:rPr>
        <w:t xml:space="preserve"> (NSW), s 79.</w:t>
      </w:r>
    </w:p>
  </w:endnote>
  <w:endnote w:id="134">
    <w:p w14:paraId="7887AFE5" w14:textId="0F655F9D" w:rsidR="00F52828" w:rsidRPr="0036713A" w:rsidRDefault="00F52828" w:rsidP="00F83690">
      <w:pPr>
        <w:pStyle w:val="EndnoteText"/>
        <w:ind w:left="284" w:hanging="284"/>
        <w:rPr>
          <w:lang w:val="en-US"/>
        </w:rPr>
      </w:pPr>
      <w:r>
        <w:rPr>
          <w:rStyle w:val="EndnoteReference"/>
        </w:rPr>
        <w:endnoteRef/>
      </w:r>
      <w:r>
        <w:t xml:space="preserve"> </w:t>
      </w:r>
      <w:r>
        <w:rPr>
          <w:lang w:val="en-US"/>
        </w:rPr>
        <w:tab/>
        <w:t>See</w:t>
      </w:r>
      <w:proofErr w:type="gramStart"/>
      <w:r>
        <w:rPr>
          <w:lang w:val="en-US"/>
        </w:rPr>
        <w:t>, in particular, s</w:t>
      </w:r>
      <w:proofErr w:type="gramEnd"/>
      <w:r>
        <w:rPr>
          <w:lang w:val="en-US"/>
        </w:rPr>
        <w:t> 16.</w:t>
      </w:r>
    </w:p>
  </w:endnote>
  <w:endnote w:id="135">
    <w:p w14:paraId="6F822BDF" w14:textId="77777777" w:rsidR="00F52828" w:rsidRPr="00F84A4E" w:rsidRDefault="00F52828" w:rsidP="00F83690">
      <w:pPr>
        <w:pStyle w:val="EndnoteText"/>
        <w:ind w:left="284" w:hanging="284"/>
        <w:rPr>
          <w:lang w:val="en-US"/>
        </w:rPr>
      </w:pPr>
      <w:r>
        <w:rPr>
          <w:rStyle w:val="EndnoteReference"/>
        </w:rPr>
        <w:endnoteRef/>
      </w:r>
      <w:r>
        <w:t xml:space="preserve"> </w:t>
      </w:r>
      <w:r>
        <w:rPr>
          <w:lang w:val="en-US"/>
        </w:rPr>
        <w:tab/>
        <w:t>Proposed ss </w:t>
      </w:r>
      <w:r>
        <w:t>104.5(1D)–(1F), 104.15(4)</w:t>
      </w:r>
      <w:proofErr w:type="gramStart"/>
      <w:r>
        <w:t>–(</w:t>
      </w:r>
      <w:proofErr w:type="gramEnd"/>
      <w:r>
        <w:t>6) and 104.17A.</w:t>
      </w:r>
    </w:p>
  </w:endnote>
  <w:endnote w:id="136">
    <w:p w14:paraId="5FF9AEA9" w14:textId="77777777" w:rsidR="00F52828" w:rsidRPr="003F4BEE" w:rsidRDefault="00F52828" w:rsidP="00F83690">
      <w:pPr>
        <w:pStyle w:val="EndnoteText"/>
        <w:ind w:left="284" w:hanging="284"/>
        <w:rPr>
          <w:lang w:val="en-US"/>
        </w:rPr>
      </w:pPr>
      <w:r>
        <w:rPr>
          <w:rStyle w:val="EndnoteReference"/>
        </w:rPr>
        <w:endnoteRef/>
      </w:r>
      <w:r>
        <w:t xml:space="preserve"> </w:t>
      </w:r>
      <w:r>
        <w:rPr>
          <w:lang w:val="en-US"/>
        </w:rPr>
        <w:tab/>
      </w:r>
      <w:r w:rsidRPr="00C109F8">
        <w:rPr>
          <w:i/>
          <w:iCs/>
          <w:lang w:val="en-US"/>
        </w:rPr>
        <w:t>Criminal Code</w:t>
      </w:r>
      <w:r>
        <w:rPr>
          <w:lang w:val="en-US"/>
        </w:rPr>
        <w:t xml:space="preserve"> (</w:t>
      </w:r>
      <w:proofErr w:type="spellStart"/>
      <w:r>
        <w:rPr>
          <w:lang w:val="en-US"/>
        </w:rPr>
        <w:t>Cth</w:t>
      </w:r>
      <w:proofErr w:type="spellEnd"/>
      <w:r>
        <w:rPr>
          <w:lang w:val="en-US"/>
        </w:rPr>
        <w:t>), ss 104.5(1)(f), 104.16(1)(d).</w:t>
      </w:r>
    </w:p>
  </w:endnote>
  <w:endnote w:id="137">
    <w:p w14:paraId="5E6A0AB9" w14:textId="47F6F80E" w:rsidR="00F52828" w:rsidRPr="00256905" w:rsidRDefault="00F52828" w:rsidP="00F83690">
      <w:pPr>
        <w:pStyle w:val="EndnoteText"/>
        <w:ind w:left="284" w:hanging="284"/>
        <w:rPr>
          <w:lang w:val="en-US"/>
        </w:rPr>
      </w:pPr>
      <w:r>
        <w:rPr>
          <w:rStyle w:val="EndnoteReference"/>
        </w:rPr>
        <w:endnoteRef/>
      </w:r>
      <w:r>
        <w:t xml:space="preserve"> </w:t>
      </w:r>
      <w:r>
        <w:rPr>
          <w:lang w:val="en-US"/>
        </w:rPr>
        <w:tab/>
      </w:r>
      <w:r w:rsidRPr="00256905">
        <w:rPr>
          <w:i/>
          <w:iCs/>
          <w:lang w:val="en-US"/>
        </w:rPr>
        <w:t>Criminal Code</w:t>
      </w:r>
      <w:r>
        <w:rPr>
          <w:lang w:val="en-US"/>
        </w:rPr>
        <w:t xml:space="preserve"> (</w:t>
      </w:r>
      <w:proofErr w:type="spellStart"/>
      <w:r>
        <w:rPr>
          <w:lang w:val="en-US"/>
        </w:rPr>
        <w:t>Cth</w:t>
      </w:r>
      <w:proofErr w:type="spellEnd"/>
      <w:r>
        <w:rPr>
          <w:lang w:val="en-US"/>
        </w:rPr>
        <w:t>), s 104.5(2AA).</w:t>
      </w:r>
    </w:p>
  </w:endnote>
  <w:endnote w:id="138">
    <w:p w14:paraId="2AA13103" w14:textId="77777777" w:rsidR="007A7AFE" w:rsidRDefault="007A7AFE" w:rsidP="007A7AFE">
      <w:pPr>
        <w:pStyle w:val="EndnoteText"/>
        <w:ind w:left="284" w:hanging="284"/>
      </w:pPr>
      <w:r>
        <w:rPr>
          <w:rStyle w:val="EndnoteReference"/>
        </w:rPr>
        <w:endnoteRef/>
      </w:r>
      <w:r>
        <w:t xml:space="preserve"> </w:t>
      </w:r>
      <w:r>
        <w:tab/>
      </w:r>
      <w:r w:rsidRPr="00323B2C">
        <w:rPr>
          <w:i/>
          <w:iCs/>
        </w:rPr>
        <w:t xml:space="preserve">Pearce v R </w:t>
      </w:r>
      <w:r>
        <w:t>(1998) 194 CLR 610.</w:t>
      </w:r>
    </w:p>
  </w:endnote>
  <w:endnote w:id="139">
    <w:p w14:paraId="3D6E326B" w14:textId="024D8471" w:rsidR="007A7AFE" w:rsidRDefault="007A7AFE" w:rsidP="00E03FFF">
      <w:pPr>
        <w:pStyle w:val="EndnoteText"/>
        <w:ind w:left="284" w:hanging="284"/>
      </w:pPr>
      <w:r>
        <w:rPr>
          <w:rStyle w:val="EndnoteReference"/>
        </w:rPr>
        <w:endnoteRef/>
      </w:r>
      <w:r>
        <w:t xml:space="preserve"> </w:t>
      </w:r>
      <w:r>
        <w:tab/>
      </w:r>
      <w:proofErr w:type="spellStart"/>
      <w:r>
        <w:t>Eg</w:t>
      </w:r>
      <w:proofErr w:type="spellEnd"/>
      <w:r>
        <w:t xml:space="preserve">, </w:t>
      </w:r>
      <w:r w:rsidRPr="00E03FFF">
        <w:rPr>
          <w:i/>
          <w:iCs/>
        </w:rPr>
        <w:t>Crimes Act 1910</w:t>
      </w:r>
      <w:r>
        <w:t xml:space="preserve"> (</w:t>
      </w:r>
      <w:proofErr w:type="spellStart"/>
      <w:r>
        <w:t>Cth</w:t>
      </w:r>
      <w:proofErr w:type="spellEnd"/>
      <w:r>
        <w:t>)</w:t>
      </w:r>
      <w:r w:rsidR="00355705">
        <w:t>, s </w:t>
      </w:r>
      <w:r w:rsidR="00E03FFF">
        <w:t>310K.</w:t>
      </w:r>
      <w:r>
        <w:t xml:space="preserve"> </w:t>
      </w:r>
    </w:p>
  </w:endnote>
  <w:endnote w:id="140">
    <w:p w14:paraId="5C84962A" w14:textId="4CCACA08" w:rsidR="00F52828" w:rsidRPr="000C6A1C"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[34] and [65].</w:t>
      </w:r>
    </w:p>
  </w:endnote>
  <w:endnote w:id="141">
    <w:p w14:paraId="443854A4" w14:textId="77777777" w:rsidR="00F52828" w:rsidRPr="00122F67" w:rsidRDefault="00F52828" w:rsidP="00F83690">
      <w:pPr>
        <w:pStyle w:val="EndnoteText"/>
        <w:ind w:left="284" w:hanging="284"/>
        <w:rPr>
          <w:lang w:val="en-US"/>
        </w:rPr>
      </w:pPr>
      <w:r>
        <w:rPr>
          <w:rStyle w:val="EndnoteReference"/>
        </w:rPr>
        <w:endnoteRef/>
      </w:r>
      <w:r>
        <w:t xml:space="preserve"> </w:t>
      </w:r>
      <w:r>
        <w:rPr>
          <w:lang w:val="en-US"/>
        </w:rPr>
        <w:tab/>
      </w:r>
      <w:r w:rsidRPr="0091596D">
        <w:rPr>
          <w:i/>
          <w:iCs/>
          <w:lang w:val="en-US"/>
        </w:rPr>
        <w:t>Crimes Act 1914</w:t>
      </w:r>
      <w:r>
        <w:rPr>
          <w:lang w:val="en-US"/>
        </w:rPr>
        <w:t xml:space="preserve"> (</w:t>
      </w:r>
      <w:proofErr w:type="spellStart"/>
      <w:r>
        <w:rPr>
          <w:lang w:val="en-US"/>
        </w:rPr>
        <w:t>Cth</w:t>
      </w:r>
      <w:proofErr w:type="spellEnd"/>
      <w:r>
        <w:rPr>
          <w:lang w:val="en-US"/>
        </w:rPr>
        <w:t>), ss 3ZZKA–3ZZKG.</w:t>
      </w:r>
    </w:p>
  </w:endnote>
  <w:endnote w:id="142">
    <w:p w14:paraId="4013EB59" w14:textId="77777777" w:rsidR="00F52828" w:rsidRPr="00122F67" w:rsidRDefault="00F52828" w:rsidP="00F83690">
      <w:pPr>
        <w:pStyle w:val="EndnoteText"/>
        <w:ind w:left="284" w:hanging="284"/>
        <w:rPr>
          <w:lang w:val="en-US"/>
        </w:rPr>
      </w:pPr>
      <w:r>
        <w:rPr>
          <w:rStyle w:val="EndnoteReference"/>
        </w:rPr>
        <w:endnoteRef/>
      </w:r>
      <w:r>
        <w:t xml:space="preserve"> </w:t>
      </w:r>
      <w:r>
        <w:rPr>
          <w:lang w:val="en-US"/>
        </w:rPr>
        <w:tab/>
      </w:r>
      <w:r w:rsidRPr="0091596D">
        <w:rPr>
          <w:i/>
          <w:iCs/>
          <w:lang w:val="en-US"/>
        </w:rPr>
        <w:t>Crimes Act 1914</w:t>
      </w:r>
      <w:r>
        <w:rPr>
          <w:lang w:val="en-US"/>
        </w:rPr>
        <w:t xml:space="preserve"> (</w:t>
      </w:r>
      <w:proofErr w:type="spellStart"/>
      <w:r>
        <w:rPr>
          <w:lang w:val="en-US"/>
        </w:rPr>
        <w:t>Cth</w:t>
      </w:r>
      <w:proofErr w:type="spellEnd"/>
      <w:r>
        <w:rPr>
          <w:lang w:val="en-US"/>
        </w:rPr>
        <w:t>), ss 3ZZLA–3ZZLD.</w:t>
      </w:r>
    </w:p>
  </w:endnote>
  <w:endnote w:id="143">
    <w:p w14:paraId="57389204" w14:textId="77777777" w:rsidR="00F52828" w:rsidRPr="00FD1364" w:rsidRDefault="00F52828" w:rsidP="00F83690">
      <w:pPr>
        <w:pStyle w:val="EndnoteText"/>
        <w:ind w:left="284" w:hanging="284"/>
        <w:rPr>
          <w:lang w:val="en-US"/>
        </w:rPr>
      </w:pPr>
      <w:r>
        <w:rPr>
          <w:rStyle w:val="EndnoteReference"/>
        </w:rPr>
        <w:endnoteRef/>
      </w:r>
      <w:r>
        <w:t xml:space="preserve"> </w:t>
      </w:r>
      <w:r>
        <w:rPr>
          <w:lang w:val="en-US"/>
        </w:rPr>
        <w:tab/>
      </w:r>
      <w:r w:rsidRPr="00310726">
        <w:rPr>
          <w:i/>
          <w:iCs/>
          <w:lang w:val="en-US"/>
        </w:rPr>
        <w:t>Telecommunications (Interception and Access) Act 1979</w:t>
      </w:r>
      <w:r>
        <w:rPr>
          <w:lang w:val="en-US"/>
        </w:rPr>
        <w:t xml:space="preserve"> (</w:t>
      </w:r>
      <w:proofErr w:type="spellStart"/>
      <w:r>
        <w:rPr>
          <w:lang w:val="en-US"/>
        </w:rPr>
        <w:t>Cth</w:t>
      </w:r>
      <w:proofErr w:type="spellEnd"/>
      <w:r>
        <w:rPr>
          <w:lang w:val="en-US"/>
        </w:rPr>
        <w:t>), ss 46(4) and 46A(2A).</w:t>
      </w:r>
    </w:p>
  </w:endnote>
  <w:endnote w:id="144">
    <w:p w14:paraId="74627B08" w14:textId="7F69B14F" w:rsidR="00F52828" w:rsidRPr="00713ADA" w:rsidRDefault="00F52828" w:rsidP="00F83690">
      <w:pPr>
        <w:pStyle w:val="EndnoteText"/>
        <w:ind w:left="284" w:hanging="284"/>
        <w:rPr>
          <w:lang w:val="en-US"/>
        </w:rPr>
      </w:pPr>
      <w:r>
        <w:rPr>
          <w:rStyle w:val="EndnoteReference"/>
        </w:rPr>
        <w:endnoteRef/>
      </w:r>
      <w:r>
        <w:t xml:space="preserve"> </w:t>
      </w:r>
      <w:r>
        <w:rPr>
          <w:lang w:val="en-US"/>
        </w:rPr>
        <w:tab/>
      </w:r>
      <w:r w:rsidRPr="00713ADA">
        <w:rPr>
          <w:i/>
          <w:iCs/>
          <w:lang w:val="en-US"/>
        </w:rPr>
        <w:t>Surveillance Devices Act 2004</w:t>
      </w:r>
      <w:r>
        <w:rPr>
          <w:lang w:val="en-US"/>
        </w:rPr>
        <w:t xml:space="preserve"> (</w:t>
      </w:r>
      <w:proofErr w:type="spellStart"/>
      <w:r>
        <w:rPr>
          <w:lang w:val="en-US"/>
        </w:rPr>
        <w:t>Cth</w:t>
      </w:r>
      <w:proofErr w:type="spellEnd"/>
      <w:r>
        <w:rPr>
          <w:lang w:val="en-US"/>
        </w:rPr>
        <w:t>), s</w:t>
      </w:r>
      <w:r w:rsidR="002F6502">
        <w:rPr>
          <w:lang w:val="en-US"/>
        </w:rPr>
        <w:t>s</w:t>
      </w:r>
      <w:r>
        <w:rPr>
          <w:lang w:val="en-US"/>
        </w:rPr>
        <w:t> </w:t>
      </w:r>
      <w:r w:rsidR="00F3221A">
        <w:rPr>
          <w:lang w:val="en-US"/>
        </w:rPr>
        <w:t xml:space="preserve">14(3C) and </w:t>
      </w:r>
      <w:r w:rsidR="00C53ACC">
        <w:rPr>
          <w:lang w:val="en-US"/>
        </w:rPr>
        <w:t>27</w:t>
      </w:r>
      <w:proofErr w:type="gramStart"/>
      <w:r w:rsidR="00C53ACC">
        <w:rPr>
          <w:lang w:val="en-US"/>
        </w:rPr>
        <w:t>A</w:t>
      </w:r>
      <w:r w:rsidR="00040C96">
        <w:rPr>
          <w:lang w:val="en-US"/>
        </w:rPr>
        <w:t>(</w:t>
      </w:r>
      <w:proofErr w:type="gramEnd"/>
      <w:r w:rsidR="00040C96">
        <w:rPr>
          <w:lang w:val="en-US"/>
        </w:rPr>
        <w:t>6)</w:t>
      </w:r>
      <w:r>
        <w:rPr>
          <w:lang w:val="en-US"/>
        </w:rPr>
        <w:t>.</w:t>
      </w:r>
    </w:p>
  </w:endnote>
  <w:endnote w:id="145">
    <w:p w14:paraId="071D579C" w14:textId="0736634A" w:rsidR="00F52828" w:rsidRPr="000935C9" w:rsidRDefault="00F52828" w:rsidP="00F83690">
      <w:pPr>
        <w:pStyle w:val="EndnoteText"/>
        <w:ind w:left="284" w:hanging="284"/>
        <w:rPr>
          <w:lang w:val="en-US"/>
        </w:rPr>
      </w:pPr>
      <w:r>
        <w:rPr>
          <w:rStyle w:val="EndnoteReference"/>
        </w:rPr>
        <w:endnoteRef/>
      </w:r>
      <w:r>
        <w:t xml:space="preserve"> </w:t>
      </w:r>
      <w:r>
        <w:rPr>
          <w:lang w:val="en-US"/>
        </w:rPr>
        <w:tab/>
      </w:r>
      <w:r w:rsidRPr="00713ADA">
        <w:rPr>
          <w:i/>
          <w:iCs/>
          <w:lang w:val="en-US"/>
        </w:rPr>
        <w:t>Surveillance Devices Act 2004</w:t>
      </w:r>
      <w:r>
        <w:rPr>
          <w:lang w:val="en-US"/>
        </w:rPr>
        <w:t xml:space="preserve"> (</w:t>
      </w:r>
      <w:proofErr w:type="spellStart"/>
      <w:r>
        <w:rPr>
          <w:lang w:val="en-US"/>
        </w:rPr>
        <w:t>Cth</w:t>
      </w:r>
      <w:proofErr w:type="spellEnd"/>
      <w:r>
        <w:rPr>
          <w:lang w:val="en-US"/>
        </w:rPr>
        <w:t>), s 39(3B).</w:t>
      </w:r>
    </w:p>
  </w:endnote>
  <w:endnote w:id="146">
    <w:p w14:paraId="304697BE" w14:textId="77777777" w:rsidR="00F52828" w:rsidRPr="00B90B66" w:rsidRDefault="00F52828" w:rsidP="00F83690">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[125]</w:t>
      </w:r>
      <w:proofErr w:type="gramStart"/>
      <w:r>
        <w:rPr>
          <w:lang w:val="en-US"/>
        </w:rPr>
        <w:t>–[</w:t>
      </w:r>
      <w:proofErr w:type="gramEnd"/>
      <w:r>
        <w:rPr>
          <w:lang w:val="en-US"/>
        </w:rPr>
        <w:t>127].</w:t>
      </w:r>
    </w:p>
  </w:endnote>
  <w:endnote w:id="147">
    <w:p w14:paraId="5C60EED4" w14:textId="088BEE15" w:rsidR="00F52828" w:rsidRPr="00CB5AED" w:rsidRDefault="00F52828" w:rsidP="00F83690">
      <w:pPr>
        <w:pStyle w:val="EndnoteText"/>
        <w:ind w:left="284" w:hanging="284"/>
        <w:rPr>
          <w:lang w:val="en-US"/>
        </w:rPr>
      </w:pPr>
      <w:r>
        <w:rPr>
          <w:rStyle w:val="EndnoteReference"/>
        </w:rPr>
        <w:endnoteRef/>
      </w:r>
      <w:r>
        <w:t xml:space="preserve"> </w:t>
      </w:r>
      <w:r>
        <w:rPr>
          <w:lang w:val="en-US"/>
        </w:rPr>
        <w:tab/>
        <w:t xml:space="preserve">Parliamentary Joint Committee on Human Rights, </w:t>
      </w:r>
      <w:r w:rsidRPr="003A503E">
        <w:rPr>
          <w:i/>
          <w:iCs/>
          <w:lang w:val="en-US"/>
        </w:rPr>
        <w:t>Human rights scrutiny report</w:t>
      </w:r>
      <w:r>
        <w:rPr>
          <w:lang w:val="en-US"/>
        </w:rPr>
        <w:t>, Report 11 of 2020, 24 September 2020, at [1.67].</w:t>
      </w:r>
    </w:p>
  </w:endnote>
  <w:endnote w:id="148">
    <w:p w14:paraId="79EE5AD0" w14:textId="1D330B06" w:rsidR="00F52828" w:rsidRPr="00C00577" w:rsidRDefault="00F52828" w:rsidP="00F83690">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submission to the PJCIS, 10 September 2020 at [81]</w:t>
      </w:r>
      <w:proofErr w:type="gramStart"/>
      <w:r>
        <w:rPr>
          <w:lang w:val="en-US"/>
        </w:rPr>
        <w:t>–[</w:t>
      </w:r>
      <w:proofErr w:type="gramEnd"/>
      <w:r>
        <w:rPr>
          <w:lang w:val="en-US"/>
        </w:rPr>
        <w:t xml:space="preserve">94]. </w:t>
      </w:r>
    </w:p>
  </w:endnote>
  <w:endnote w:id="149">
    <w:p w14:paraId="1F382A45" w14:textId="77777777" w:rsidR="00F52828" w:rsidRPr="002D60FE" w:rsidRDefault="00F52828" w:rsidP="00F83690">
      <w:pPr>
        <w:pStyle w:val="EndnoteText"/>
        <w:ind w:left="284" w:hanging="284"/>
        <w:rPr>
          <w:lang w:val="en-US"/>
        </w:rPr>
      </w:pPr>
      <w:r>
        <w:rPr>
          <w:rStyle w:val="EndnoteReference"/>
        </w:rPr>
        <w:endnoteRef/>
      </w:r>
      <w:r>
        <w:t xml:space="preserve"> </w:t>
      </w:r>
      <w:r>
        <w:rPr>
          <w:lang w:val="en-US"/>
        </w:rPr>
        <w:tab/>
      </w:r>
      <w:r w:rsidRPr="00310726">
        <w:rPr>
          <w:i/>
          <w:iCs/>
          <w:lang w:val="en-US"/>
        </w:rPr>
        <w:t>Telecommunications (Interception and Access) Act 1979</w:t>
      </w:r>
      <w:r>
        <w:rPr>
          <w:lang w:val="en-US"/>
        </w:rPr>
        <w:t xml:space="preserve"> (</w:t>
      </w:r>
      <w:proofErr w:type="spellStart"/>
      <w:r>
        <w:rPr>
          <w:lang w:val="en-US"/>
        </w:rPr>
        <w:t>Cth</w:t>
      </w:r>
      <w:proofErr w:type="spellEnd"/>
      <w:r>
        <w:rPr>
          <w:lang w:val="en-US"/>
        </w:rPr>
        <w:t>), proposed ss 46(7) and 46A(2C).</w:t>
      </w:r>
    </w:p>
  </w:endnote>
  <w:endnote w:id="150">
    <w:p w14:paraId="1885D346" w14:textId="435C868A" w:rsidR="00F52828" w:rsidRPr="00A249E2" w:rsidRDefault="00F52828" w:rsidP="00F83690">
      <w:pPr>
        <w:pStyle w:val="EndnoteText"/>
        <w:ind w:left="284" w:hanging="284"/>
        <w:rPr>
          <w:lang w:val="en-US"/>
        </w:rPr>
      </w:pPr>
      <w:r>
        <w:rPr>
          <w:rStyle w:val="EndnoteReference"/>
        </w:rPr>
        <w:endnoteRef/>
      </w:r>
      <w:r>
        <w:t xml:space="preserve"> </w:t>
      </w:r>
      <w:r>
        <w:rPr>
          <w:lang w:val="en-US"/>
        </w:rPr>
        <w:tab/>
      </w:r>
      <w:r w:rsidRPr="00310726">
        <w:rPr>
          <w:i/>
          <w:iCs/>
          <w:lang w:val="en-US"/>
        </w:rPr>
        <w:t>Telecommunications (Interception and Access) Act 1979</w:t>
      </w:r>
      <w:r>
        <w:rPr>
          <w:lang w:val="en-US"/>
        </w:rPr>
        <w:t xml:space="preserve"> (</w:t>
      </w:r>
      <w:proofErr w:type="spellStart"/>
      <w:r>
        <w:rPr>
          <w:lang w:val="en-US"/>
        </w:rPr>
        <w:t>Cth</w:t>
      </w:r>
      <w:proofErr w:type="spellEnd"/>
      <w:r>
        <w:rPr>
          <w:lang w:val="en-US"/>
        </w:rPr>
        <w:t>), ss 9(1) and 9</w:t>
      </w:r>
      <w:proofErr w:type="gramStart"/>
      <w:r>
        <w:rPr>
          <w:lang w:val="en-US"/>
        </w:rPr>
        <w:t>A(</w:t>
      </w:r>
      <w:proofErr w:type="gramEnd"/>
      <w:r>
        <w:rPr>
          <w:lang w:val="en-US"/>
        </w:rPr>
        <w:t>1).</w:t>
      </w:r>
    </w:p>
  </w:endnote>
  <w:endnote w:id="151">
    <w:p w14:paraId="6BF85EAB" w14:textId="5ABDF0D7" w:rsidR="00F52828" w:rsidRPr="002821D5" w:rsidRDefault="00F52828" w:rsidP="00F83690">
      <w:pPr>
        <w:pStyle w:val="EndnoteText"/>
        <w:ind w:left="284" w:hanging="284"/>
        <w:rPr>
          <w:lang w:val="en-US"/>
        </w:rPr>
      </w:pPr>
      <w:r>
        <w:rPr>
          <w:rStyle w:val="EndnoteReference"/>
        </w:rPr>
        <w:endnoteRef/>
      </w:r>
      <w:r>
        <w:t xml:space="preserve"> </w:t>
      </w:r>
      <w:r>
        <w:rPr>
          <w:lang w:val="en-US"/>
        </w:rPr>
        <w:tab/>
      </w:r>
      <w:r w:rsidRPr="007E79CC">
        <w:rPr>
          <w:i/>
          <w:iCs/>
          <w:lang w:val="en-US"/>
        </w:rPr>
        <w:t xml:space="preserve">Australian Security Intelligence </w:t>
      </w:r>
      <w:proofErr w:type="spellStart"/>
      <w:r w:rsidRPr="007E79CC">
        <w:rPr>
          <w:i/>
          <w:iCs/>
          <w:lang w:val="en-US"/>
        </w:rPr>
        <w:t>Organisation</w:t>
      </w:r>
      <w:proofErr w:type="spellEnd"/>
      <w:r w:rsidRPr="007E79CC">
        <w:rPr>
          <w:i/>
          <w:iCs/>
          <w:lang w:val="en-US"/>
        </w:rPr>
        <w:t xml:space="preserve"> Act 1979</w:t>
      </w:r>
      <w:r>
        <w:rPr>
          <w:lang w:val="en-US"/>
        </w:rPr>
        <w:t xml:space="preserve"> (</w:t>
      </w:r>
      <w:proofErr w:type="spellStart"/>
      <w:r>
        <w:rPr>
          <w:lang w:val="en-US"/>
        </w:rPr>
        <w:t>Cth</w:t>
      </w:r>
      <w:proofErr w:type="spellEnd"/>
      <w:r>
        <w:rPr>
          <w:lang w:val="en-US"/>
        </w:rPr>
        <w:t>), s 4, definitions of ‘activities prejudicial to security’ and ‘security’.</w:t>
      </w:r>
    </w:p>
  </w:endnote>
  <w:endnote w:id="152">
    <w:p w14:paraId="298ADCAC" w14:textId="055D9731" w:rsidR="00F52828" w:rsidRPr="00217748" w:rsidRDefault="00F52828" w:rsidP="00F83690">
      <w:pPr>
        <w:pStyle w:val="EndnoteText"/>
        <w:ind w:left="284" w:hanging="284"/>
        <w:rPr>
          <w:lang w:val="en-US"/>
        </w:rPr>
      </w:pPr>
      <w:r>
        <w:rPr>
          <w:rStyle w:val="EndnoteReference"/>
        </w:rPr>
        <w:endnoteRef/>
      </w:r>
      <w:r>
        <w:t xml:space="preserve"> </w:t>
      </w:r>
      <w:r>
        <w:rPr>
          <w:lang w:val="en-US"/>
        </w:rPr>
        <w:tab/>
      </w:r>
      <w:r w:rsidRPr="00822BB3">
        <w:rPr>
          <w:i/>
          <w:iCs/>
          <w:lang w:val="en-US"/>
        </w:rPr>
        <w:t>Surveillance Devices Act 2004</w:t>
      </w:r>
      <w:r>
        <w:rPr>
          <w:lang w:val="en-US"/>
        </w:rPr>
        <w:t xml:space="preserve"> (</w:t>
      </w:r>
      <w:proofErr w:type="spellStart"/>
      <w:r>
        <w:rPr>
          <w:lang w:val="en-US"/>
        </w:rPr>
        <w:t>Cth</w:t>
      </w:r>
      <w:proofErr w:type="spellEnd"/>
      <w:r>
        <w:rPr>
          <w:lang w:val="en-US"/>
        </w:rPr>
        <w:t>), ss 14(1) and 27</w:t>
      </w:r>
      <w:proofErr w:type="gramStart"/>
      <w:r>
        <w:rPr>
          <w:lang w:val="en-US"/>
        </w:rPr>
        <w:t>A(</w:t>
      </w:r>
      <w:proofErr w:type="gramEnd"/>
      <w:r>
        <w:rPr>
          <w:lang w:val="en-US"/>
        </w:rPr>
        <w:t>1).</w:t>
      </w:r>
    </w:p>
  </w:endnote>
  <w:endnote w:id="153">
    <w:p w14:paraId="5C4E6320" w14:textId="61C54121" w:rsidR="00F52828" w:rsidRPr="00B15A5B" w:rsidRDefault="00F52828" w:rsidP="00F83690">
      <w:pPr>
        <w:pStyle w:val="EndnoteText"/>
        <w:ind w:left="284" w:hanging="284"/>
        <w:rPr>
          <w:lang w:val="en-US"/>
        </w:rPr>
      </w:pPr>
      <w:r>
        <w:rPr>
          <w:rStyle w:val="EndnoteReference"/>
        </w:rPr>
        <w:endnoteRef/>
      </w:r>
      <w:r>
        <w:t xml:space="preserve"> </w:t>
      </w:r>
      <w:r>
        <w:rPr>
          <w:lang w:val="en-US"/>
        </w:rPr>
        <w:tab/>
      </w:r>
      <w:r w:rsidRPr="00822BB3">
        <w:rPr>
          <w:i/>
          <w:iCs/>
          <w:lang w:val="en-US"/>
        </w:rPr>
        <w:t>Surveillance Devices Act 2004</w:t>
      </w:r>
      <w:r>
        <w:rPr>
          <w:lang w:val="en-US"/>
        </w:rPr>
        <w:t xml:space="preserve"> (</w:t>
      </w:r>
      <w:proofErr w:type="spellStart"/>
      <w:r>
        <w:rPr>
          <w:lang w:val="en-US"/>
        </w:rPr>
        <w:t>Cth</w:t>
      </w:r>
      <w:proofErr w:type="spellEnd"/>
      <w:r>
        <w:rPr>
          <w:lang w:val="en-US"/>
        </w:rPr>
        <w:t>), s 6(1), definition of ‘relevant offence’, paragraph (a).</w:t>
      </w:r>
    </w:p>
  </w:endnote>
  <w:endnote w:id="154">
    <w:p w14:paraId="48BA4F2A" w14:textId="333B6D70" w:rsidR="00F52828" w:rsidRPr="009626D5" w:rsidRDefault="00F52828" w:rsidP="00F83690">
      <w:pPr>
        <w:pStyle w:val="EndnoteText"/>
        <w:ind w:left="284" w:hanging="284"/>
        <w:rPr>
          <w:lang w:val="en-US"/>
        </w:rPr>
      </w:pPr>
      <w:r>
        <w:rPr>
          <w:rStyle w:val="EndnoteReference"/>
        </w:rPr>
        <w:endnoteRef/>
      </w:r>
      <w:r>
        <w:t xml:space="preserve"> </w:t>
      </w:r>
      <w:r>
        <w:rPr>
          <w:lang w:val="en-US"/>
        </w:rPr>
        <w:tab/>
      </w:r>
      <w:r w:rsidRPr="00310726">
        <w:rPr>
          <w:i/>
          <w:iCs/>
          <w:lang w:val="en-US"/>
        </w:rPr>
        <w:t>Telecommunications (Interception and Access) Act 1979</w:t>
      </w:r>
      <w:r>
        <w:rPr>
          <w:lang w:val="en-US"/>
        </w:rPr>
        <w:t xml:space="preserve"> (</w:t>
      </w:r>
      <w:proofErr w:type="spellStart"/>
      <w:r>
        <w:rPr>
          <w:lang w:val="en-US"/>
        </w:rPr>
        <w:t>Cth</w:t>
      </w:r>
      <w:proofErr w:type="spellEnd"/>
      <w:r>
        <w:rPr>
          <w:lang w:val="en-US"/>
        </w:rPr>
        <w:t>), proposed ss 46(7)(f) and 46A(2</w:t>
      </w:r>
      <w:proofErr w:type="gramStart"/>
      <w:r>
        <w:rPr>
          <w:lang w:val="en-US"/>
        </w:rPr>
        <w:t>C)(</w:t>
      </w:r>
      <w:proofErr w:type="gramEnd"/>
      <w:r>
        <w:rPr>
          <w:lang w:val="en-US"/>
        </w:rPr>
        <w:t xml:space="preserve">f); </w:t>
      </w:r>
      <w:r w:rsidRPr="00822BB3">
        <w:rPr>
          <w:i/>
          <w:iCs/>
          <w:lang w:val="en-US"/>
        </w:rPr>
        <w:t>Surveillance Devices Act 2004</w:t>
      </w:r>
      <w:r>
        <w:rPr>
          <w:lang w:val="en-US"/>
        </w:rPr>
        <w:t xml:space="preserve"> (</w:t>
      </w:r>
      <w:proofErr w:type="spellStart"/>
      <w:r>
        <w:rPr>
          <w:lang w:val="en-US"/>
        </w:rPr>
        <w:t>Cth</w:t>
      </w:r>
      <w:proofErr w:type="spellEnd"/>
      <w:r>
        <w:rPr>
          <w:lang w:val="en-US"/>
        </w:rPr>
        <w:t>), proposed ss 14(3BA)(c) and 27A(5A)(c).</w:t>
      </w:r>
    </w:p>
  </w:endnote>
  <w:endnote w:id="155">
    <w:p w14:paraId="2E7BDDA5" w14:textId="398BF2AB" w:rsidR="00F52828" w:rsidRPr="00F47B3B" w:rsidRDefault="00F52828" w:rsidP="00F83690">
      <w:pPr>
        <w:pStyle w:val="EndnoteText"/>
        <w:ind w:left="284" w:hanging="284"/>
        <w:rPr>
          <w:lang w:val="en-US"/>
        </w:rPr>
      </w:pPr>
      <w:r>
        <w:rPr>
          <w:rStyle w:val="EndnoteReference"/>
        </w:rPr>
        <w:endnoteRef/>
      </w:r>
      <w:r>
        <w:t xml:space="preserve"> </w:t>
      </w:r>
      <w:r>
        <w:rPr>
          <w:lang w:val="en-US"/>
        </w:rPr>
        <w:tab/>
      </w:r>
      <w:r w:rsidRPr="00310726">
        <w:rPr>
          <w:i/>
          <w:iCs/>
          <w:lang w:val="en-US"/>
        </w:rPr>
        <w:t>Telecommunications (Interception and Access) Act 1979</w:t>
      </w:r>
      <w:r>
        <w:rPr>
          <w:lang w:val="en-US"/>
        </w:rPr>
        <w:t xml:space="preserve"> (</w:t>
      </w:r>
      <w:proofErr w:type="spellStart"/>
      <w:r>
        <w:rPr>
          <w:lang w:val="en-US"/>
        </w:rPr>
        <w:t>Cth</w:t>
      </w:r>
      <w:proofErr w:type="spellEnd"/>
      <w:r>
        <w:rPr>
          <w:lang w:val="en-US"/>
        </w:rPr>
        <w:t>), proposed ss 46(7)(h) and 46A(2</w:t>
      </w:r>
      <w:proofErr w:type="gramStart"/>
      <w:r>
        <w:rPr>
          <w:lang w:val="en-US"/>
        </w:rPr>
        <w:t>C)(</w:t>
      </w:r>
      <w:proofErr w:type="gramEnd"/>
      <w:r>
        <w:rPr>
          <w:lang w:val="en-US"/>
        </w:rPr>
        <w:t xml:space="preserve">h); </w:t>
      </w:r>
      <w:r w:rsidRPr="00822BB3">
        <w:rPr>
          <w:i/>
          <w:iCs/>
          <w:lang w:val="en-US"/>
        </w:rPr>
        <w:t>Surveillance Devices Act 2004</w:t>
      </w:r>
      <w:r>
        <w:rPr>
          <w:lang w:val="en-US"/>
        </w:rPr>
        <w:t xml:space="preserve"> (</w:t>
      </w:r>
      <w:proofErr w:type="spellStart"/>
      <w:r>
        <w:rPr>
          <w:lang w:val="en-US"/>
        </w:rPr>
        <w:t>Cth</w:t>
      </w:r>
      <w:proofErr w:type="spellEnd"/>
      <w:r>
        <w:rPr>
          <w:lang w:val="en-US"/>
        </w:rPr>
        <w:t xml:space="preserve">), proposed ss 14(3BA)(e) and </w:t>
      </w:r>
      <w:r>
        <w:t>27A(5A)(e)</w:t>
      </w:r>
      <w:r>
        <w:rPr>
          <w:lang w:val="en-US"/>
        </w:rPr>
        <w:t xml:space="preserve">. </w:t>
      </w:r>
    </w:p>
  </w:endnote>
  <w:endnote w:id="156">
    <w:p w14:paraId="60F2BF2F" w14:textId="5C080D0C" w:rsidR="00F52828" w:rsidRPr="00AD102A"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[570], [604], [699] and [719].</w:t>
      </w:r>
    </w:p>
  </w:endnote>
  <w:endnote w:id="157">
    <w:p w14:paraId="5B9D4969" w14:textId="2C965EDF" w:rsidR="00F52828" w:rsidRPr="00E2795A"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[559], [591], [696] and [716].</w:t>
      </w:r>
    </w:p>
  </w:endnote>
  <w:endnote w:id="158">
    <w:p w14:paraId="349D534E" w14:textId="70F62110" w:rsidR="00F52828" w:rsidRPr="00FB5C61" w:rsidRDefault="00F52828" w:rsidP="00F83690">
      <w:pPr>
        <w:pStyle w:val="EndnoteText"/>
        <w:ind w:left="284" w:hanging="284"/>
        <w:rPr>
          <w:lang w:val="en-US"/>
        </w:rPr>
      </w:pPr>
      <w:r>
        <w:rPr>
          <w:rStyle w:val="EndnoteReference"/>
        </w:rPr>
        <w:endnoteRef/>
      </w:r>
      <w:r>
        <w:t xml:space="preserve"> </w:t>
      </w:r>
      <w:r>
        <w:rPr>
          <w:lang w:val="en-US"/>
        </w:rPr>
        <w:tab/>
      </w:r>
      <w:r w:rsidRPr="00822BB3">
        <w:rPr>
          <w:i/>
          <w:iCs/>
          <w:lang w:val="en-US"/>
        </w:rPr>
        <w:t>Surveillance Devices Act 2004</w:t>
      </w:r>
      <w:r>
        <w:rPr>
          <w:lang w:val="en-US"/>
        </w:rPr>
        <w:t xml:space="preserve"> (</w:t>
      </w:r>
      <w:proofErr w:type="spellStart"/>
      <w:r>
        <w:rPr>
          <w:lang w:val="en-US"/>
        </w:rPr>
        <w:t>Cth</w:t>
      </w:r>
      <w:proofErr w:type="spellEnd"/>
      <w:r>
        <w:rPr>
          <w:lang w:val="en-US"/>
        </w:rPr>
        <w:t>), proposed ss 21(5) and (6).</w:t>
      </w:r>
    </w:p>
  </w:endnote>
  <w:endnote w:id="159">
    <w:p w14:paraId="666FAA19" w14:textId="3A38C681" w:rsidR="00F52828" w:rsidRPr="003C3153" w:rsidRDefault="00F52828" w:rsidP="00F83690">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at [579] and [616].</w:t>
      </w:r>
    </w:p>
  </w:endnote>
  <w:endnote w:id="160">
    <w:p w14:paraId="3EA91A90" w14:textId="36A15C41" w:rsidR="00F52828" w:rsidRPr="00110225" w:rsidRDefault="00F52828" w:rsidP="00F83690">
      <w:pPr>
        <w:pStyle w:val="EndnoteText"/>
        <w:ind w:left="284" w:hanging="284"/>
        <w:rPr>
          <w:lang w:val="en-US"/>
        </w:rPr>
      </w:pPr>
      <w:r>
        <w:rPr>
          <w:rStyle w:val="EndnoteReference"/>
        </w:rPr>
        <w:endnoteRef/>
      </w:r>
      <w:r>
        <w:t xml:space="preserve"> </w:t>
      </w:r>
      <w:r>
        <w:rPr>
          <w:lang w:val="en-US"/>
        </w:rPr>
        <w:tab/>
        <w:t xml:space="preserve">See the </w:t>
      </w:r>
      <w:r>
        <w:t>extension of definitions of ‘permitted purpose’ in s 5(1) and ‘exempt proceeding’ in s 5B of the TIA, and the dealing permitted under proposed new s 139B of the TIA.  See also the extension of the definition of ‘relevant proceeding’ in s 6(1) of the SD Act, and the extension of the definition of ‘State or Territory relevant proceeding’ in s 45(9) of the SD Act.</w:t>
      </w:r>
    </w:p>
  </w:endnote>
  <w:endnote w:id="161">
    <w:p w14:paraId="728D1152" w14:textId="77777777" w:rsidR="00F52828" w:rsidRPr="00D337FF" w:rsidRDefault="00F52828" w:rsidP="000C2FF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w:t>
      </w:r>
      <w:r>
        <w:rPr>
          <w:i/>
          <w:iCs/>
          <w:lang w:val="en-US"/>
        </w:rPr>
        <w:t>s 104 and 105 of the Criminal Code (including the interoperability of Divisions 104 and 105A): Control Orders and Preventative Detention Orders</w:t>
      </w:r>
      <w:r>
        <w:rPr>
          <w:lang w:val="en-US"/>
        </w:rPr>
        <w:t>, 7 September 2017, at [9.42(e)].</w:t>
      </w:r>
    </w:p>
  </w:endnote>
  <w:endnote w:id="162">
    <w:p w14:paraId="4BF6940B" w14:textId="30B13A05" w:rsidR="00F52828" w:rsidRPr="00E839CF" w:rsidRDefault="00F52828" w:rsidP="00E553A2">
      <w:pPr>
        <w:pStyle w:val="EndnoteText"/>
        <w:ind w:left="284" w:hanging="284"/>
        <w:rPr>
          <w:lang w:val="en-US"/>
        </w:rPr>
      </w:pPr>
      <w:r>
        <w:rPr>
          <w:rStyle w:val="EndnoteReference"/>
        </w:rPr>
        <w:endnoteRef/>
      </w:r>
      <w:r>
        <w:t xml:space="preserve"> </w:t>
      </w:r>
      <w:r>
        <w:rPr>
          <w:lang w:val="en-US"/>
        </w:rPr>
        <w:tab/>
        <w:t>Explanatory Memorandum, Counter-Terrorism Legislation Amendment (High Risk Terrorist Offenders) Bill 2020 (</w:t>
      </w:r>
      <w:proofErr w:type="spellStart"/>
      <w:r>
        <w:rPr>
          <w:lang w:val="en-US"/>
        </w:rPr>
        <w:t>Cth</w:t>
      </w:r>
      <w:proofErr w:type="spellEnd"/>
      <w:r>
        <w:rPr>
          <w:lang w:val="en-US"/>
        </w:rPr>
        <w:t>), Statement of Compatibility with Human Rights, at [84].</w:t>
      </w:r>
    </w:p>
  </w:endnote>
  <w:endnote w:id="163">
    <w:p w14:paraId="20422D1A" w14:textId="043F7CCD" w:rsidR="00F52828" w:rsidRPr="00E92B94" w:rsidRDefault="00F52828" w:rsidP="00C43EF6">
      <w:pPr>
        <w:pStyle w:val="EndnoteText"/>
        <w:ind w:left="284" w:hanging="284"/>
        <w:rPr>
          <w:lang w:val="en-US"/>
        </w:rPr>
      </w:pPr>
      <w:r>
        <w:rPr>
          <w:rStyle w:val="EndnoteReference"/>
        </w:rPr>
        <w:endnoteRef/>
      </w:r>
      <w:r>
        <w:t xml:space="preserve"> </w:t>
      </w:r>
      <w:r>
        <w:rPr>
          <w:lang w:val="en-US"/>
        </w:rPr>
        <w:tab/>
      </w:r>
      <w:r w:rsidRPr="00C43EF6">
        <w:rPr>
          <w:i/>
          <w:iCs/>
          <w:lang w:val="en-US"/>
        </w:rPr>
        <w:t>A v United Kingdom</w:t>
      </w:r>
      <w:r w:rsidRPr="00E92B94">
        <w:rPr>
          <w:lang w:val="en-US"/>
        </w:rPr>
        <w:t xml:space="preserve"> (2009) 49 EHRR 29 [220]</w:t>
      </w:r>
      <w:r>
        <w:rPr>
          <w:lang w:val="en-US"/>
        </w:rPr>
        <w:t xml:space="preserve">; </w:t>
      </w:r>
      <w:r w:rsidRPr="00C43EF6">
        <w:rPr>
          <w:i/>
          <w:iCs/>
          <w:lang w:val="en-US"/>
        </w:rPr>
        <w:t>Secretary of State for the Home Department v AF</w:t>
      </w:r>
      <w:r w:rsidRPr="00E92B94">
        <w:rPr>
          <w:lang w:val="en-US"/>
        </w:rPr>
        <w:t xml:space="preserve"> [2009] UKHL 28 [59].</w:t>
      </w:r>
    </w:p>
  </w:endnote>
  <w:endnote w:id="164">
    <w:p w14:paraId="17A9868C" w14:textId="13742BA6" w:rsidR="00F52828" w:rsidRPr="00A87FF0" w:rsidRDefault="00F52828" w:rsidP="00E839BE">
      <w:pPr>
        <w:pStyle w:val="EndnoteText"/>
        <w:ind w:left="284" w:hanging="284"/>
        <w:rPr>
          <w:lang w:val="en-US"/>
        </w:rPr>
      </w:pPr>
      <w:r>
        <w:rPr>
          <w:rStyle w:val="EndnoteReference"/>
        </w:rPr>
        <w:endnoteRef/>
      </w:r>
      <w:r>
        <w:t xml:space="preserve"> </w:t>
      </w:r>
      <w:r>
        <w:rPr>
          <w:lang w:val="en-US"/>
        </w:rPr>
        <w:tab/>
      </w:r>
      <w:r w:rsidRPr="00FD59C7">
        <w:rPr>
          <w:i/>
          <w:iCs/>
        </w:rPr>
        <w:t>National Security Information (Criminal and Civil Proceedings) Act 2004</w:t>
      </w:r>
      <w:r>
        <w:t xml:space="preserve"> (</w:t>
      </w:r>
      <w:proofErr w:type="spellStart"/>
      <w:r>
        <w:t>Cth</w:t>
      </w:r>
      <w:proofErr w:type="spellEnd"/>
      <w:r>
        <w:t>), s 38PB.</w:t>
      </w:r>
    </w:p>
  </w:endnote>
  <w:endnote w:id="165">
    <w:p w14:paraId="43FBBC4B" w14:textId="20F0342D" w:rsidR="00F52828" w:rsidRPr="00A87FF0" w:rsidRDefault="00F52828" w:rsidP="00E839BE">
      <w:pPr>
        <w:pStyle w:val="EndnoteText"/>
        <w:ind w:left="284" w:hanging="284"/>
        <w:rPr>
          <w:lang w:val="en-US"/>
        </w:rPr>
      </w:pPr>
      <w:r>
        <w:rPr>
          <w:rStyle w:val="EndnoteReference"/>
        </w:rPr>
        <w:endnoteRef/>
      </w:r>
      <w:r>
        <w:t xml:space="preserve"> </w:t>
      </w:r>
      <w:r>
        <w:rPr>
          <w:lang w:val="en-US"/>
        </w:rPr>
        <w:tab/>
      </w:r>
      <w:r w:rsidRPr="00FD59C7">
        <w:rPr>
          <w:i/>
          <w:iCs/>
        </w:rPr>
        <w:t>National Security Information (Criminal and Civil Proceedings) Act 2004</w:t>
      </w:r>
      <w:r>
        <w:t xml:space="preserve"> (</w:t>
      </w:r>
      <w:proofErr w:type="spellStart"/>
      <w:r>
        <w:t>Cth</w:t>
      </w:r>
      <w:proofErr w:type="spellEnd"/>
      <w:r>
        <w:t>), s 38PC.</w:t>
      </w:r>
    </w:p>
  </w:endnote>
  <w:endnote w:id="166">
    <w:p w14:paraId="596274DC" w14:textId="3CC3B35E" w:rsidR="00F52828" w:rsidRPr="00C2173E" w:rsidRDefault="00F52828" w:rsidP="009D6ECC">
      <w:pPr>
        <w:pStyle w:val="EndnoteText"/>
        <w:ind w:left="270" w:hanging="288"/>
        <w:rPr>
          <w:lang w:val="en-US"/>
        </w:rPr>
      </w:pPr>
      <w:r>
        <w:rPr>
          <w:rStyle w:val="EndnoteReference"/>
        </w:rPr>
        <w:endnoteRef/>
      </w:r>
      <w:r>
        <w:t xml:space="preserve"> </w:t>
      </w:r>
      <w:r>
        <w:rPr>
          <w:lang w:val="en-US"/>
        </w:rPr>
        <w:tab/>
        <w:t xml:space="preserve">Human Rights and Equal Opportunity Commission, </w:t>
      </w:r>
      <w:r w:rsidRPr="00720CF6">
        <w:rPr>
          <w:i/>
          <w:iCs/>
          <w:lang w:val="en-US"/>
        </w:rPr>
        <w:t xml:space="preserve">submission to the </w:t>
      </w:r>
      <w:r w:rsidRPr="00720CF6">
        <w:rPr>
          <w:i/>
          <w:iCs/>
        </w:rPr>
        <w:t>Senate Legal and Constitutional Legislation Committee inquiry into the Anti-Terrorism Bill (No 2) 2005</w:t>
      </w:r>
      <w:r>
        <w:t xml:space="preserve">, 11 November 2005, at [58] and Annexure B, at </w:t>
      </w:r>
      <w:hyperlink r:id="rId12" w:history="1">
        <w:r w:rsidRPr="004F2057">
          <w:rPr>
            <w:rStyle w:val="Hyperlink"/>
          </w:rPr>
          <w:t>https://www.aph.gov.au/~/media/wopapub/senate/committee/legcon_ctte/completed_inquiries/2004_07/terrorism/submissions/sub158_pdf.ashx</w:t>
        </w:r>
      </w:hyperlink>
      <w:r>
        <w:t xml:space="preserve">. </w:t>
      </w:r>
    </w:p>
  </w:endnote>
  <w:endnote w:id="167">
    <w:p w14:paraId="20A417E2" w14:textId="61B37FC2" w:rsidR="00F52828" w:rsidRPr="00FB6912" w:rsidRDefault="00F52828" w:rsidP="00FC251D">
      <w:pPr>
        <w:pStyle w:val="EndnoteText"/>
        <w:ind w:left="284" w:hanging="284"/>
        <w:rPr>
          <w:lang w:val="en-US"/>
        </w:rPr>
      </w:pPr>
      <w:r>
        <w:rPr>
          <w:rStyle w:val="EndnoteReference"/>
        </w:rPr>
        <w:endnoteRef/>
      </w:r>
      <w:r>
        <w:t xml:space="preserve"> </w:t>
      </w:r>
      <w:r>
        <w:rPr>
          <w:lang w:val="en-US"/>
        </w:rPr>
        <w:tab/>
      </w:r>
      <w:r>
        <w:t xml:space="preserve">Council of Australian Governments Review of Counter-Terrorism Legislation (2014), pp 59-60 and Recommendation 30.  At </w:t>
      </w:r>
      <w:hyperlink r:id="rId13" w:history="1">
        <w:r>
          <w:rPr>
            <w:rStyle w:val="Hyperlink"/>
          </w:rPr>
          <w:t>https://www.ag.gov.au/sites/default/files/2020-03/Final%20Report.PDF</w:t>
        </w:r>
      </w:hyperlink>
      <w:r>
        <w:t>.</w:t>
      </w:r>
    </w:p>
  </w:endnote>
  <w:endnote w:id="168">
    <w:p w14:paraId="76F63CC0" w14:textId="3D5BD411" w:rsidR="00F52828" w:rsidRPr="00EB7D94" w:rsidRDefault="00F52828" w:rsidP="00802CF3">
      <w:pPr>
        <w:pStyle w:val="EndnoteText"/>
        <w:ind w:left="284" w:hanging="284"/>
        <w:rPr>
          <w:lang w:val="en-US"/>
        </w:rPr>
      </w:pPr>
      <w:r>
        <w:rPr>
          <w:rStyle w:val="EndnoteReference"/>
        </w:rPr>
        <w:endnoteRef/>
      </w:r>
      <w:r>
        <w:t xml:space="preserve"> </w:t>
      </w:r>
      <w:r>
        <w:rPr>
          <w:lang w:val="en-US"/>
        </w:rPr>
        <w:tab/>
        <w:t xml:space="preserve">PJCIS, </w:t>
      </w:r>
      <w:r w:rsidRPr="00802CF3">
        <w:rPr>
          <w:i/>
          <w:iCs/>
          <w:lang w:val="en-US"/>
        </w:rPr>
        <w:t>Advisory report on the Counter-Terrorism Legislation Amendment Bill (No. 1) 2014</w:t>
      </w:r>
      <w:r>
        <w:rPr>
          <w:lang w:val="en-US"/>
        </w:rPr>
        <w:t xml:space="preserve">, November 2014, Recommendation 1, at </w:t>
      </w:r>
      <w:hyperlink r:id="rId14" w:history="1">
        <w:r w:rsidRPr="0098049C">
          <w:rPr>
            <w:rStyle w:val="Hyperlink"/>
            <w:lang w:val="en-US"/>
          </w:rPr>
          <w:t>https://www.aph.gov.au/Parliamentary_Business/Committees/Joint/Intelligence_and_Security/Amendment_Bill/Report1</w:t>
        </w:r>
      </w:hyperlink>
      <w:r>
        <w:rPr>
          <w:lang w:val="en-US"/>
        </w:rPr>
        <w:t xml:space="preserve">. </w:t>
      </w:r>
    </w:p>
  </w:endnote>
  <w:endnote w:id="169">
    <w:p w14:paraId="0CC1C09B" w14:textId="705C85C6" w:rsidR="00F52828" w:rsidRPr="00E73CD3" w:rsidRDefault="00F52828" w:rsidP="00FC251D">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 xml:space="preserve">Control Order Safeguards – </w:t>
      </w:r>
      <w:r>
        <w:rPr>
          <w:i/>
          <w:iCs/>
          <w:lang w:val="en-US"/>
        </w:rPr>
        <w:t xml:space="preserve">(INSLM Report) Special Advocates and the Counter-Terrorism Legislation Amendment Bill (No 1) 2015 </w:t>
      </w:r>
      <w:r>
        <w:rPr>
          <w:lang w:val="en-US"/>
        </w:rPr>
        <w:t xml:space="preserve">(January 2016).  At </w:t>
      </w:r>
      <w:hyperlink r:id="rId15" w:history="1">
        <w:r w:rsidRPr="0098049C">
          <w:rPr>
            <w:rStyle w:val="Hyperlink"/>
            <w:lang w:val="en-US"/>
          </w:rPr>
          <w:t>https://www.inslm.gov.au/sites/default/files/control-order-safeguards-part1.pdf</w:t>
        </w:r>
      </w:hyperlink>
      <w:r>
        <w:rPr>
          <w:lang w:val="en-US"/>
        </w:rPr>
        <w:t xml:space="preserve">. </w:t>
      </w:r>
    </w:p>
  </w:endnote>
  <w:endnote w:id="170">
    <w:p w14:paraId="7A0D397F" w14:textId="29D1106E" w:rsidR="00F52828" w:rsidRPr="00265A58" w:rsidRDefault="00F52828" w:rsidP="00265A58">
      <w:pPr>
        <w:pStyle w:val="EndnoteText"/>
        <w:ind w:left="284" w:hanging="284"/>
        <w:rPr>
          <w:lang w:val="en-US"/>
        </w:rPr>
      </w:pPr>
      <w:r>
        <w:rPr>
          <w:rStyle w:val="EndnoteReference"/>
        </w:rPr>
        <w:endnoteRef/>
      </w:r>
      <w:r>
        <w:t xml:space="preserve"> </w:t>
      </w:r>
      <w:r>
        <w:rPr>
          <w:lang w:val="en-US"/>
        </w:rPr>
        <w:tab/>
      </w:r>
      <w:r w:rsidRPr="00265A58">
        <w:rPr>
          <w:i/>
          <w:iCs/>
          <w:lang w:val="en-US"/>
        </w:rPr>
        <w:t>Counter-Terrorism Legislation Amendment (No 1) Act 2016</w:t>
      </w:r>
      <w:r>
        <w:rPr>
          <w:lang w:val="en-US"/>
        </w:rPr>
        <w:t xml:space="preserve"> (</w:t>
      </w:r>
      <w:proofErr w:type="spellStart"/>
      <w:r>
        <w:rPr>
          <w:lang w:val="en-US"/>
        </w:rPr>
        <w:t>Cth</w:t>
      </w:r>
      <w:proofErr w:type="spellEnd"/>
      <w:r>
        <w:rPr>
          <w:lang w:val="en-US"/>
        </w:rPr>
        <w:t>).</w:t>
      </w:r>
    </w:p>
  </w:endnote>
  <w:endnote w:id="171">
    <w:p w14:paraId="72536A70" w14:textId="77777777" w:rsidR="00F52828" w:rsidRPr="00FF06DD" w:rsidRDefault="00F52828" w:rsidP="00DE6614">
      <w:pPr>
        <w:pStyle w:val="EndnoteText"/>
        <w:ind w:left="284" w:hanging="284"/>
        <w:rPr>
          <w:lang w:val="en-US"/>
        </w:rPr>
      </w:pPr>
      <w:r>
        <w:rPr>
          <w:rStyle w:val="EndnoteReference"/>
        </w:rPr>
        <w:endnoteRef/>
      </w:r>
      <w:r>
        <w:t xml:space="preserve"> </w:t>
      </w:r>
      <w:r>
        <w:rPr>
          <w:lang w:val="en-US"/>
        </w:rPr>
        <w:tab/>
      </w:r>
      <w:r w:rsidRPr="00FD59C7">
        <w:rPr>
          <w:i/>
          <w:iCs/>
        </w:rPr>
        <w:t>National Security Information (Criminal and Civil Proceedings) Act 2004</w:t>
      </w:r>
      <w:r>
        <w:t xml:space="preserve"> (</w:t>
      </w:r>
      <w:proofErr w:type="spellStart"/>
      <w:r>
        <w:t>Cth</w:t>
      </w:r>
      <w:proofErr w:type="spellEnd"/>
      <w:r>
        <w:t>), s 38PF.</w:t>
      </w:r>
    </w:p>
  </w:endnote>
  <w:endnote w:id="172">
    <w:p w14:paraId="04BEE4CB" w14:textId="6BDB2F70" w:rsidR="00F52828" w:rsidRPr="0037055C" w:rsidRDefault="00F52828" w:rsidP="0037055C">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9E2011">
        <w:rPr>
          <w:i/>
          <w:iCs/>
          <w:lang w:val="en-US"/>
        </w:rPr>
        <w:t xml:space="preserve">Control Order Safeguards – </w:t>
      </w:r>
      <w:r>
        <w:rPr>
          <w:i/>
          <w:iCs/>
          <w:lang w:val="en-US"/>
        </w:rPr>
        <w:t xml:space="preserve">(INSLM Report) Special Advocates and the Counter-Terrorism Legislation Amendment Bill (No 1) 2015 </w:t>
      </w:r>
      <w:r>
        <w:rPr>
          <w:lang w:val="en-US"/>
        </w:rPr>
        <w:t xml:space="preserve">(January 2016) at [2.6].  </w:t>
      </w:r>
    </w:p>
  </w:endnote>
  <w:endnote w:id="173">
    <w:p w14:paraId="1EFDE363" w14:textId="1EC54EFA" w:rsidR="00F52828" w:rsidRPr="00B47BC0" w:rsidRDefault="00F52828" w:rsidP="00345D14">
      <w:pPr>
        <w:pStyle w:val="EndnoteText"/>
        <w:ind w:left="284" w:hanging="284"/>
        <w:rPr>
          <w:lang w:val="en-US"/>
        </w:rPr>
      </w:pPr>
      <w:r>
        <w:rPr>
          <w:rStyle w:val="EndnoteReference"/>
        </w:rPr>
        <w:endnoteRef/>
      </w:r>
      <w:r>
        <w:t xml:space="preserve"> </w:t>
      </w:r>
      <w:r>
        <w:rPr>
          <w:lang w:val="en-US"/>
        </w:rPr>
        <w:tab/>
      </w:r>
      <w:r w:rsidRPr="0037055C">
        <w:rPr>
          <w:i/>
          <w:iCs/>
        </w:rPr>
        <w:t xml:space="preserve">Thomas v </w:t>
      </w:r>
      <w:proofErr w:type="spellStart"/>
      <w:r w:rsidRPr="0037055C">
        <w:rPr>
          <w:i/>
          <w:iCs/>
        </w:rPr>
        <w:t>Mobray</w:t>
      </w:r>
      <w:proofErr w:type="spellEnd"/>
      <w:r>
        <w:t xml:space="preserve"> (2007) 233 CLR 307 at [31] (Gleeson CJ), [125] (</w:t>
      </w:r>
      <w:proofErr w:type="spellStart"/>
      <w:r>
        <w:t>Gummow</w:t>
      </w:r>
      <w:proofErr w:type="spellEnd"/>
      <w:r>
        <w:t xml:space="preserve"> and </w:t>
      </w:r>
      <w:proofErr w:type="spellStart"/>
      <w:r>
        <w:t>Crennan</w:t>
      </w:r>
      <w:proofErr w:type="spellEnd"/>
      <w:r>
        <w:t xml:space="preserve"> JJ).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74F9" w14:textId="77777777" w:rsidR="00F52828" w:rsidRDefault="00F52828">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7D01" w14:textId="77777777" w:rsidR="00F52828" w:rsidRDefault="00F52828"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794E" w14:textId="77777777" w:rsidR="00F52828" w:rsidRDefault="00F52828"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94D7" w14:textId="77777777" w:rsidR="005C250D" w:rsidRDefault="005C250D" w:rsidP="00F14C6D">
      <w:r>
        <w:separator/>
      </w:r>
    </w:p>
  </w:footnote>
  <w:footnote w:type="continuationSeparator" w:id="0">
    <w:p w14:paraId="4A9199C3" w14:textId="77777777" w:rsidR="005C250D" w:rsidRDefault="005C250D" w:rsidP="00F14C6D">
      <w:r>
        <w:continuationSeparator/>
      </w:r>
    </w:p>
  </w:footnote>
  <w:footnote w:type="continuationNotice" w:id="1">
    <w:p w14:paraId="6A92422C" w14:textId="77777777" w:rsidR="005C250D" w:rsidRDefault="005C250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8C1" w14:textId="2AC372EA" w:rsidR="00F52828" w:rsidRPr="000465F1" w:rsidRDefault="005C250D"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3"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9E94" w14:textId="271C324F" w:rsidR="00F52828" w:rsidRPr="000465F1" w:rsidRDefault="005C250D"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4"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AB38" w14:textId="6BD1B0A8" w:rsidR="00F52828" w:rsidRDefault="005C250D"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0D14E93">
        <v:shape id="WordPictureWatermark1034832" o:spid="_x0000_s2056"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9381" w14:textId="77777777" w:rsidR="00F52828" w:rsidRPr="000465F1" w:rsidRDefault="00F52828" w:rsidP="0015239E">
    <w:pPr>
      <w:pStyle w:val="Header"/>
    </w:pPr>
    <w:r w:rsidRPr="000465F1">
      <w:t>Australian Human Rights Commission</w:t>
    </w:r>
  </w:p>
  <w:p w14:paraId="413477CE" w14:textId="77777777" w:rsidR="00F52828" w:rsidRPr="000465F1" w:rsidRDefault="00F52828"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F0D4" w14:textId="6C83EF00" w:rsidR="00F52828" w:rsidRPr="000465F1" w:rsidRDefault="00F52828" w:rsidP="00CA5D90">
    <w:pPr>
      <w:pStyle w:val="Header"/>
    </w:pPr>
    <w:bookmarkStart w:id="41" w:name="_Hlk514672172"/>
    <w:bookmarkStart w:id="42" w:name="_Hlk514672173"/>
    <w:r w:rsidRPr="000465F1">
      <w:t>Australian Human Rights Commission</w:t>
    </w:r>
  </w:p>
  <w:bookmarkEnd w:id="41"/>
  <w:bookmarkEnd w:id="42"/>
  <w:p w14:paraId="4E645D62" w14:textId="16B516C4" w:rsidR="00F52828" w:rsidRDefault="00F52828" w:rsidP="00024C33">
    <w:pPr>
      <w:pStyle w:val="HeaderDocumentDate"/>
    </w:pPr>
    <w:r>
      <w:rPr>
        <w:b/>
        <w:bCs/>
        <w:noProof/>
      </w:rPr>
      <w:t xml:space="preserve">Review of </w:t>
    </w:r>
    <w:r w:rsidRPr="00525EFA">
      <w:rPr>
        <w:b/>
        <w:bCs/>
        <w:noProof/>
      </w:rPr>
      <w:t>High Risk Terrorist Offenders Bill 2020</w:t>
    </w:r>
    <w:r w:rsidRPr="001F62CC">
      <w:rPr>
        <w:rStyle w:val="HeaderDocumentTitle"/>
      </w:rPr>
      <w:t>,</w:t>
    </w:r>
    <w:r>
      <w:t xml:space="preserve"> 29 October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6FAA" w14:textId="54E9C7C2" w:rsidR="00F52828" w:rsidRPr="000465F1" w:rsidRDefault="00F52828" w:rsidP="0063009F">
    <w:pPr>
      <w:pStyle w:val="Header"/>
    </w:pPr>
    <w:r w:rsidRPr="000465F1">
      <w:t>Australian Human Rights Commission</w:t>
    </w:r>
  </w:p>
  <w:p w14:paraId="01BF74A0" w14:textId="268D83E2" w:rsidR="00F52828" w:rsidRPr="000465F1" w:rsidRDefault="00F52828" w:rsidP="00525EFA">
    <w:pPr>
      <w:pStyle w:val="HeaderDocumentDate"/>
      <w:ind w:left="851"/>
    </w:pPr>
    <w:r>
      <w:rPr>
        <w:b/>
        <w:bCs/>
        <w:noProof/>
      </w:rPr>
      <w:t xml:space="preserve">Review of </w:t>
    </w:r>
    <w:r w:rsidRPr="00525EFA">
      <w:rPr>
        <w:b/>
        <w:bCs/>
        <w:noProof/>
      </w:rPr>
      <w:t>High Risk Terrorist Offenders Bill 2020</w:t>
    </w:r>
    <w:r w:rsidRPr="001F62CC">
      <w:rPr>
        <w:rStyle w:val="HeaderDocumentTitle"/>
      </w:rPr>
      <w:t>,</w:t>
    </w:r>
    <w:r>
      <w:t xml:space="preserve"> 29 October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5BDE" w14:textId="77777777" w:rsidR="00F52828" w:rsidRPr="000465F1" w:rsidRDefault="00F52828" w:rsidP="00CA5D90">
    <w:pPr>
      <w:pStyle w:val="Header"/>
    </w:pPr>
    <w:r w:rsidRPr="000465F1">
      <w:t>Australian Human Rights Commission</w:t>
    </w:r>
  </w:p>
  <w:p w14:paraId="4C9A2EC3" w14:textId="5200C3E2" w:rsidR="00F52828" w:rsidRDefault="00F52828" w:rsidP="00024C33">
    <w:pPr>
      <w:pStyle w:val="HeaderDocumentDate"/>
    </w:pPr>
    <w:r>
      <w:rPr>
        <w:b/>
        <w:bCs/>
        <w:noProof/>
      </w:rPr>
      <w:t xml:space="preserve">Review of </w:t>
    </w:r>
    <w:r w:rsidRPr="00525EFA">
      <w:rPr>
        <w:b/>
        <w:bCs/>
        <w:noProof/>
      </w:rPr>
      <w:t>High Risk Terrorist Offenders Bill 2020</w:t>
    </w:r>
    <w:r w:rsidRPr="001F62CC">
      <w:rPr>
        <w:rStyle w:val="HeaderDocumentTitle"/>
      </w:rPr>
      <w:t>,</w:t>
    </w:r>
    <w:r>
      <w:t xml:space="preserve"> 29 October 2020</w:t>
    </w:r>
  </w:p>
  <w:p w14:paraId="0267952A" w14:textId="77777777" w:rsidR="00F52828" w:rsidRDefault="00F52828" w:rsidP="00024C33">
    <w:pPr>
      <w:pStyle w:val="HeaderDocumentDa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3B0F" w14:textId="77777777" w:rsidR="00F52828" w:rsidRPr="000465F1" w:rsidRDefault="00F52828" w:rsidP="0063009F">
    <w:pPr>
      <w:pStyle w:val="Header"/>
    </w:pPr>
    <w:r w:rsidRPr="000465F1">
      <w:t>Australian Human Rights Commission</w:t>
    </w:r>
  </w:p>
  <w:p w14:paraId="32CD6F43" w14:textId="77777777" w:rsidR="00F52828" w:rsidRPr="000465F1" w:rsidRDefault="00F52828" w:rsidP="00525EFA">
    <w:pPr>
      <w:pStyle w:val="HeaderDocumentDate"/>
      <w:ind w:left="851"/>
    </w:pPr>
    <w:r>
      <w:rPr>
        <w:b/>
        <w:bCs/>
        <w:noProof/>
      </w:rPr>
      <w:t xml:space="preserve">Review of </w:t>
    </w:r>
    <w:r w:rsidRPr="00525EFA">
      <w:rPr>
        <w:b/>
        <w:bCs/>
        <w:noProof/>
      </w:rPr>
      <w:t>High Risk Terrorist Offenders Bill 2020</w:t>
    </w:r>
    <w:r w:rsidRPr="001F62CC">
      <w:rPr>
        <w:rStyle w:val="HeaderDocumentTitle"/>
      </w:rPr>
      <w:t>,</w:t>
    </w:r>
    <w:r>
      <w:t xml:space="preserve"> 29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063E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5F12CB1"/>
    <w:multiLevelType w:val="hybridMultilevel"/>
    <w:tmpl w:val="0C3C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505EC5"/>
    <w:multiLevelType w:val="hybridMultilevel"/>
    <w:tmpl w:val="E83E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num w:numId="1">
    <w:abstractNumId w:val="21"/>
  </w:num>
  <w:num w:numId="2">
    <w:abstractNumId w:val="28"/>
  </w:num>
  <w:num w:numId="3">
    <w:abstractNumId w:val="33"/>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1"/>
  </w:num>
  <w:num w:numId="18">
    <w:abstractNumId w:val="24"/>
  </w:num>
  <w:num w:numId="19">
    <w:abstractNumId w:val="18"/>
  </w:num>
  <w:num w:numId="20">
    <w:abstractNumId w:val="36"/>
  </w:num>
  <w:num w:numId="21">
    <w:abstractNumId w:val="26"/>
  </w:num>
  <w:num w:numId="22">
    <w:abstractNumId w:val="25"/>
  </w:num>
  <w:num w:numId="23">
    <w:abstractNumId w:val="38"/>
  </w:num>
  <w:num w:numId="24">
    <w:abstractNumId w:val="13"/>
  </w:num>
  <w:num w:numId="25">
    <w:abstractNumId w:val="37"/>
  </w:num>
  <w:num w:numId="26">
    <w:abstractNumId w:val="27"/>
  </w:num>
  <w:num w:numId="27">
    <w:abstractNumId w:val="15"/>
  </w:num>
  <w:num w:numId="28">
    <w:abstractNumId w:val="19"/>
  </w:num>
  <w:num w:numId="29">
    <w:abstractNumId w:val="30"/>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5"/>
  </w:num>
  <w:num w:numId="36">
    <w:abstractNumId w:val="16"/>
  </w:num>
  <w:num w:numId="37">
    <w:abstractNumId w:val="11"/>
  </w:num>
  <w:num w:numId="38">
    <w:abstractNumId w:val="9"/>
    <w:lvlOverride w:ilvl="0">
      <w:startOverride w:val="1"/>
    </w:lvlOverride>
  </w:num>
  <w:num w:numId="39">
    <w:abstractNumId w:val="17"/>
  </w:num>
  <w:num w:numId="40">
    <w:abstractNumId w:val="14"/>
  </w:num>
  <w:num w:numId="41">
    <w:abstractNumId w:val="10"/>
  </w:num>
  <w:num w:numId="42">
    <w:abstractNumId w:val="8"/>
    <w:lvlOverride w:ilvl="0">
      <w:startOverride w:val="1"/>
    </w:lvlOverride>
  </w:num>
  <w:num w:numId="43">
    <w:abstractNumId w:val="28"/>
  </w:num>
  <w:num w:numId="44">
    <w:abstractNumId w:val="34"/>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39"/>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15EC"/>
    <w:rsid w:val="00003AE8"/>
    <w:rsid w:val="00003EA5"/>
    <w:rsid w:val="00004614"/>
    <w:rsid w:val="00004A16"/>
    <w:rsid w:val="000053DE"/>
    <w:rsid w:val="00006CFC"/>
    <w:rsid w:val="00010B84"/>
    <w:rsid w:val="00010C5C"/>
    <w:rsid w:val="000110FC"/>
    <w:rsid w:val="0001263D"/>
    <w:rsid w:val="00012685"/>
    <w:rsid w:val="00012708"/>
    <w:rsid w:val="000127B3"/>
    <w:rsid w:val="00012EC3"/>
    <w:rsid w:val="00013298"/>
    <w:rsid w:val="0001364B"/>
    <w:rsid w:val="000153F2"/>
    <w:rsid w:val="000161C2"/>
    <w:rsid w:val="000164D3"/>
    <w:rsid w:val="000167C2"/>
    <w:rsid w:val="0001716E"/>
    <w:rsid w:val="00017C6B"/>
    <w:rsid w:val="00021A1B"/>
    <w:rsid w:val="000226D9"/>
    <w:rsid w:val="00022C07"/>
    <w:rsid w:val="00022EDA"/>
    <w:rsid w:val="0002476A"/>
    <w:rsid w:val="00024C33"/>
    <w:rsid w:val="000253CE"/>
    <w:rsid w:val="00025994"/>
    <w:rsid w:val="00026C00"/>
    <w:rsid w:val="00027181"/>
    <w:rsid w:val="00027240"/>
    <w:rsid w:val="00027E26"/>
    <w:rsid w:val="00030335"/>
    <w:rsid w:val="00030522"/>
    <w:rsid w:val="000317AF"/>
    <w:rsid w:val="000318DB"/>
    <w:rsid w:val="00032373"/>
    <w:rsid w:val="00032C6D"/>
    <w:rsid w:val="0003419D"/>
    <w:rsid w:val="000360FD"/>
    <w:rsid w:val="00036820"/>
    <w:rsid w:val="00036AC4"/>
    <w:rsid w:val="00036BE4"/>
    <w:rsid w:val="00040461"/>
    <w:rsid w:val="00040C96"/>
    <w:rsid w:val="00040DA8"/>
    <w:rsid w:val="00040ED4"/>
    <w:rsid w:val="000410D4"/>
    <w:rsid w:val="00041406"/>
    <w:rsid w:val="00041745"/>
    <w:rsid w:val="00042081"/>
    <w:rsid w:val="000421EE"/>
    <w:rsid w:val="000430B8"/>
    <w:rsid w:val="000456CF"/>
    <w:rsid w:val="00045712"/>
    <w:rsid w:val="00045C4B"/>
    <w:rsid w:val="000461C1"/>
    <w:rsid w:val="00046291"/>
    <w:rsid w:val="000465F1"/>
    <w:rsid w:val="000520B7"/>
    <w:rsid w:val="00052430"/>
    <w:rsid w:val="0005271E"/>
    <w:rsid w:val="00053DF4"/>
    <w:rsid w:val="0005507E"/>
    <w:rsid w:val="0005529B"/>
    <w:rsid w:val="000561CC"/>
    <w:rsid w:val="000565B8"/>
    <w:rsid w:val="00056C00"/>
    <w:rsid w:val="00057106"/>
    <w:rsid w:val="00057467"/>
    <w:rsid w:val="000579B1"/>
    <w:rsid w:val="00060FD1"/>
    <w:rsid w:val="00061C6C"/>
    <w:rsid w:val="0006251C"/>
    <w:rsid w:val="00063025"/>
    <w:rsid w:val="00063C20"/>
    <w:rsid w:val="00065C57"/>
    <w:rsid w:val="000662EF"/>
    <w:rsid w:val="00066E9F"/>
    <w:rsid w:val="0006744B"/>
    <w:rsid w:val="000675FA"/>
    <w:rsid w:val="000705F2"/>
    <w:rsid w:val="0007154C"/>
    <w:rsid w:val="000715E2"/>
    <w:rsid w:val="000715FC"/>
    <w:rsid w:val="00072629"/>
    <w:rsid w:val="00072EDA"/>
    <w:rsid w:val="000730A1"/>
    <w:rsid w:val="00073FE7"/>
    <w:rsid w:val="00074B0E"/>
    <w:rsid w:val="0007525A"/>
    <w:rsid w:val="00075369"/>
    <w:rsid w:val="000753CB"/>
    <w:rsid w:val="0007549B"/>
    <w:rsid w:val="000757E6"/>
    <w:rsid w:val="000757E8"/>
    <w:rsid w:val="00076496"/>
    <w:rsid w:val="000769B9"/>
    <w:rsid w:val="00076B27"/>
    <w:rsid w:val="00077985"/>
    <w:rsid w:val="00077D87"/>
    <w:rsid w:val="000802FF"/>
    <w:rsid w:val="000808BC"/>
    <w:rsid w:val="0008114C"/>
    <w:rsid w:val="00081C35"/>
    <w:rsid w:val="0008297B"/>
    <w:rsid w:val="00083FE7"/>
    <w:rsid w:val="00084AD9"/>
    <w:rsid w:val="00084FE1"/>
    <w:rsid w:val="00085009"/>
    <w:rsid w:val="00085FDC"/>
    <w:rsid w:val="00086087"/>
    <w:rsid w:val="000865A4"/>
    <w:rsid w:val="00086AAE"/>
    <w:rsid w:val="00086C91"/>
    <w:rsid w:val="000904E7"/>
    <w:rsid w:val="00090A2C"/>
    <w:rsid w:val="00090F83"/>
    <w:rsid w:val="0009245F"/>
    <w:rsid w:val="00092B3E"/>
    <w:rsid w:val="000932A5"/>
    <w:rsid w:val="000935C9"/>
    <w:rsid w:val="00093AB6"/>
    <w:rsid w:val="00093B19"/>
    <w:rsid w:val="0009512B"/>
    <w:rsid w:val="000958CA"/>
    <w:rsid w:val="00095D62"/>
    <w:rsid w:val="000A0757"/>
    <w:rsid w:val="000A0A04"/>
    <w:rsid w:val="000A0E12"/>
    <w:rsid w:val="000A1118"/>
    <w:rsid w:val="000A1B7A"/>
    <w:rsid w:val="000A1DB8"/>
    <w:rsid w:val="000A243C"/>
    <w:rsid w:val="000A260E"/>
    <w:rsid w:val="000A3249"/>
    <w:rsid w:val="000A32C1"/>
    <w:rsid w:val="000A3786"/>
    <w:rsid w:val="000A45B8"/>
    <w:rsid w:val="000A45EB"/>
    <w:rsid w:val="000A48AC"/>
    <w:rsid w:val="000A520E"/>
    <w:rsid w:val="000A5403"/>
    <w:rsid w:val="000A5859"/>
    <w:rsid w:val="000A5CC1"/>
    <w:rsid w:val="000A5E64"/>
    <w:rsid w:val="000A77C5"/>
    <w:rsid w:val="000B030B"/>
    <w:rsid w:val="000B0603"/>
    <w:rsid w:val="000B0913"/>
    <w:rsid w:val="000B0A5D"/>
    <w:rsid w:val="000B1102"/>
    <w:rsid w:val="000B2217"/>
    <w:rsid w:val="000B2307"/>
    <w:rsid w:val="000B3196"/>
    <w:rsid w:val="000B5B68"/>
    <w:rsid w:val="000B5E2C"/>
    <w:rsid w:val="000B7317"/>
    <w:rsid w:val="000B76FB"/>
    <w:rsid w:val="000B7C90"/>
    <w:rsid w:val="000B7F62"/>
    <w:rsid w:val="000C042C"/>
    <w:rsid w:val="000C0849"/>
    <w:rsid w:val="000C0A89"/>
    <w:rsid w:val="000C1B22"/>
    <w:rsid w:val="000C2FFC"/>
    <w:rsid w:val="000C3753"/>
    <w:rsid w:val="000C398D"/>
    <w:rsid w:val="000C5608"/>
    <w:rsid w:val="000C5DA6"/>
    <w:rsid w:val="000C66D5"/>
    <w:rsid w:val="000C6A1C"/>
    <w:rsid w:val="000C7D99"/>
    <w:rsid w:val="000C7DD7"/>
    <w:rsid w:val="000D008E"/>
    <w:rsid w:val="000D0091"/>
    <w:rsid w:val="000D1089"/>
    <w:rsid w:val="000D1122"/>
    <w:rsid w:val="000D1427"/>
    <w:rsid w:val="000D1625"/>
    <w:rsid w:val="000D1AF4"/>
    <w:rsid w:val="000D1C41"/>
    <w:rsid w:val="000D2268"/>
    <w:rsid w:val="000D2546"/>
    <w:rsid w:val="000D305D"/>
    <w:rsid w:val="000D3CEC"/>
    <w:rsid w:val="000D4174"/>
    <w:rsid w:val="000D58C2"/>
    <w:rsid w:val="000D5D33"/>
    <w:rsid w:val="000D5FAA"/>
    <w:rsid w:val="000D6AE5"/>
    <w:rsid w:val="000D726B"/>
    <w:rsid w:val="000D7402"/>
    <w:rsid w:val="000D7EB0"/>
    <w:rsid w:val="000E0517"/>
    <w:rsid w:val="000E130A"/>
    <w:rsid w:val="000E1637"/>
    <w:rsid w:val="000E2068"/>
    <w:rsid w:val="000E25A9"/>
    <w:rsid w:val="000E28C0"/>
    <w:rsid w:val="000E328F"/>
    <w:rsid w:val="000E37CE"/>
    <w:rsid w:val="000E43AA"/>
    <w:rsid w:val="000E4837"/>
    <w:rsid w:val="000E67CA"/>
    <w:rsid w:val="000E73DB"/>
    <w:rsid w:val="000E753D"/>
    <w:rsid w:val="000E7B05"/>
    <w:rsid w:val="000F0BB0"/>
    <w:rsid w:val="000F1170"/>
    <w:rsid w:val="000F1637"/>
    <w:rsid w:val="000F3541"/>
    <w:rsid w:val="000F4499"/>
    <w:rsid w:val="000F48EC"/>
    <w:rsid w:val="000F4AA3"/>
    <w:rsid w:val="000F50A8"/>
    <w:rsid w:val="000F58E0"/>
    <w:rsid w:val="000F599E"/>
    <w:rsid w:val="000F663F"/>
    <w:rsid w:val="000F6C03"/>
    <w:rsid w:val="000F75D8"/>
    <w:rsid w:val="000F7FBC"/>
    <w:rsid w:val="0010208E"/>
    <w:rsid w:val="00102FF8"/>
    <w:rsid w:val="00104F8C"/>
    <w:rsid w:val="001054BB"/>
    <w:rsid w:val="00105E2C"/>
    <w:rsid w:val="00105F28"/>
    <w:rsid w:val="00105FC4"/>
    <w:rsid w:val="001066FD"/>
    <w:rsid w:val="001067B6"/>
    <w:rsid w:val="00107886"/>
    <w:rsid w:val="00110225"/>
    <w:rsid w:val="00110DF1"/>
    <w:rsid w:val="00111159"/>
    <w:rsid w:val="00111F73"/>
    <w:rsid w:val="00116A87"/>
    <w:rsid w:val="00116EDF"/>
    <w:rsid w:val="0011772B"/>
    <w:rsid w:val="00117929"/>
    <w:rsid w:val="00117B0E"/>
    <w:rsid w:val="00117D8A"/>
    <w:rsid w:val="00120A2D"/>
    <w:rsid w:val="00121772"/>
    <w:rsid w:val="0012289C"/>
    <w:rsid w:val="00122CEC"/>
    <w:rsid w:val="00122F67"/>
    <w:rsid w:val="0012332C"/>
    <w:rsid w:val="00123897"/>
    <w:rsid w:val="0012481D"/>
    <w:rsid w:val="00124A2F"/>
    <w:rsid w:val="00126999"/>
    <w:rsid w:val="00126BC0"/>
    <w:rsid w:val="0012742F"/>
    <w:rsid w:val="00130B0D"/>
    <w:rsid w:val="00130B7A"/>
    <w:rsid w:val="001318DA"/>
    <w:rsid w:val="0013374D"/>
    <w:rsid w:val="00133CCF"/>
    <w:rsid w:val="00133FA7"/>
    <w:rsid w:val="00134774"/>
    <w:rsid w:val="001351EB"/>
    <w:rsid w:val="00135342"/>
    <w:rsid w:val="001356C9"/>
    <w:rsid w:val="00135909"/>
    <w:rsid w:val="001369D8"/>
    <w:rsid w:val="00136BBA"/>
    <w:rsid w:val="00137B00"/>
    <w:rsid w:val="00137D71"/>
    <w:rsid w:val="00137EBC"/>
    <w:rsid w:val="00137F43"/>
    <w:rsid w:val="00140274"/>
    <w:rsid w:val="001403A2"/>
    <w:rsid w:val="00141050"/>
    <w:rsid w:val="00142A55"/>
    <w:rsid w:val="00142C5D"/>
    <w:rsid w:val="00143F1B"/>
    <w:rsid w:val="001504A9"/>
    <w:rsid w:val="00150C46"/>
    <w:rsid w:val="00151263"/>
    <w:rsid w:val="00151D0E"/>
    <w:rsid w:val="0015239E"/>
    <w:rsid w:val="00152C33"/>
    <w:rsid w:val="00152D5A"/>
    <w:rsid w:val="001530FC"/>
    <w:rsid w:val="001561E0"/>
    <w:rsid w:val="00156C58"/>
    <w:rsid w:val="00156F26"/>
    <w:rsid w:val="001572E8"/>
    <w:rsid w:val="00160182"/>
    <w:rsid w:val="00160482"/>
    <w:rsid w:val="00161B4A"/>
    <w:rsid w:val="0016266F"/>
    <w:rsid w:val="00162A8D"/>
    <w:rsid w:val="00162CC4"/>
    <w:rsid w:val="0016384D"/>
    <w:rsid w:val="00163C94"/>
    <w:rsid w:val="00164FF8"/>
    <w:rsid w:val="001652BA"/>
    <w:rsid w:val="001659BD"/>
    <w:rsid w:val="00165E3C"/>
    <w:rsid w:val="00166408"/>
    <w:rsid w:val="00167601"/>
    <w:rsid w:val="00172617"/>
    <w:rsid w:val="00173722"/>
    <w:rsid w:val="00173FB5"/>
    <w:rsid w:val="00174428"/>
    <w:rsid w:val="00174C99"/>
    <w:rsid w:val="00174D9A"/>
    <w:rsid w:val="001771D7"/>
    <w:rsid w:val="00177508"/>
    <w:rsid w:val="00177832"/>
    <w:rsid w:val="00177F39"/>
    <w:rsid w:val="00180151"/>
    <w:rsid w:val="001805AA"/>
    <w:rsid w:val="001816F9"/>
    <w:rsid w:val="00181DF7"/>
    <w:rsid w:val="00182187"/>
    <w:rsid w:val="00182433"/>
    <w:rsid w:val="0018305D"/>
    <w:rsid w:val="00183CF2"/>
    <w:rsid w:val="00183F61"/>
    <w:rsid w:val="0018527A"/>
    <w:rsid w:val="0018689B"/>
    <w:rsid w:val="00186C0C"/>
    <w:rsid w:val="001871F4"/>
    <w:rsid w:val="00190D91"/>
    <w:rsid w:val="00192043"/>
    <w:rsid w:val="001942A0"/>
    <w:rsid w:val="00194600"/>
    <w:rsid w:val="00194E4A"/>
    <w:rsid w:val="00195C1F"/>
    <w:rsid w:val="00195EDE"/>
    <w:rsid w:val="00197004"/>
    <w:rsid w:val="001A11BE"/>
    <w:rsid w:val="001A175F"/>
    <w:rsid w:val="001A27F8"/>
    <w:rsid w:val="001A3A32"/>
    <w:rsid w:val="001A44A4"/>
    <w:rsid w:val="001A47D6"/>
    <w:rsid w:val="001A55E2"/>
    <w:rsid w:val="001A60DB"/>
    <w:rsid w:val="001A6FE0"/>
    <w:rsid w:val="001A71AA"/>
    <w:rsid w:val="001A754D"/>
    <w:rsid w:val="001B0353"/>
    <w:rsid w:val="001B0585"/>
    <w:rsid w:val="001B0DCB"/>
    <w:rsid w:val="001B12BE"/>
    <w:rsid w:val="001B2916"/>
    <w:rsid w:val="001B40D9"/>
    <w:rsid w:val="001B48DA"/>
    <w:rsid w:val="001B57FE"/>
    <w:rsid w:val="001B5812"/>
    <w:rsid w:val="001B5C20"/>
    <w:rsid w:val="001B759C"/>
    <w:rsid w:val="001B763E"/>
    <w:rsid w:val="001C04F6"/>
    <w:rsid w:val="001C069F"/>
    <w:rsid w:val="001C088E"/>
    <w:rsid w:val="001C0899"/>
    <w:rsid w:val="001C19CB"/>
    <w:rsid w:val="001C1A8D"/>
    <w:rsid w:val="001C1F8B"/>
    <w:rsid w:val="001C32D8"/>
    <w:rsid w:val="001C3A7B"/>
    <w:rsid w:val="001C54F7"/>
    <w:rsid w:val="001C5CF3"/>
    <w:rsid w:val="001C6622"/>
    <w:rsid w:val="001C77EF"/>
    <w:rsid w:val="001D00DF"/>
    <w:rsid w:val="001D0D45"/>
    <w:rsid w:val="001D1076"/>
    <w:rsid w:val="001D1BF1"/>
    <w:rsid w:val="001D22A0"/>
    <w:rsid w:val="001D3707"/>
    <w:rsid w:val="001D5967"/>
    <w:rsid w:val="001D6710"/>
    <w:rsid w:val="001D69B6"/>
    <w:rsid w:val="001D7D08"/>
    <w:rsid w:val="001E02BA"/>
    <w:rsid w:val="001E0D65"/>
    <w:rsid w:val="001E1E88"/>
    <w:rsid w:val="001E3A80"/>
    <w:rsid w:val="001E3F85"/>
    <w:rsid w:val="001E3FD2"/>
    <w:rsid w:val="001E5676"/>
    <w:rsid w:val="001E78F6"/>
    <w:rsid w:val="001E7B33"/>
    <w:rsid w:val="001F009C"/>
    <w:rsid w:val="001F1D94"/>
    <w:rsid w:val="001F23C4"/>
    <w:rsid w:val="001F2BBB"/>
    <w:rsid w:val="001F3367"/>
    <w:rsid w:val="001F52FD"/>
    <w:rsid w:val="001F5A04"/>
    <w:rsid w:val="001F611C"/>
    <w:rsid w:val="001F62CC"/>
    <w:rsid w:val="001F7082"/>
    <w:rsid w:val="001F7154"/>
    <w:rsid w:val="001F77A8"/>
    <w:rsid w:val="00200064"/>
    <w:rsid w:val="0020007A"/>
    <w:rsid w:val="00200677"/>
    <w:rsid w:val="00200EB1"/>
    <w:rsid w:val="002012F7"/>
    <w:rsid w:val="002027F6"/>
    <w:rsid w:val="00203ABA"/>
    <w:rsid w:val="00203C7D"/>
    <w:rsid w:val="002050AE"/>
    <w:rsid w:val="00205FC2"/>
    <w:rsid w:val="00206341"/>
    <w:rsid w:val="002068EB"/>
    <w:rsid w:val="00206D8F"/>
    <w:rsid w:val="00210A50"/>
    <w:rsid w:val="00210B91"/>
    <w:rsid w:val="0021110A"/>
    <w:rsid w:val="00211CF8"/>
    <w:rsid w:val="0021484D"/>
    <w:rsid w:val="0021501E"/>
    <w:rsid w:val="00215066"/>
    <w:rsid w:val="002153EA"/>
    <w:rsid w:val="00215477"/>
    <w:rsid w:val="00215556"/>
    <w:rsid w:val="00215818"/>
    <w:rsid w:val="00216046"/>
    <w:rsid w:val="00216686"/>
    <w:rsid w:val="002171B3"/>
    <w:rsid w:val="002171BE"/>
    <w:rsid w:val="00217748"/>
    <w:rsid w:val="00217EE6"/>
    <w:rsid w:val="00220E6D"/>
    <w:rsid w:val="0022112E"/>
    <w:rsid w:val="0022147A"/>
    <w:rsid w:val="00221614"/>
    <w:rsid w:val="00221A80"/>
    <w:rsid w:val="0022207B"/>
    <w:rsid w:val="00222C02"/>
    <w:rsid w:val="0022458E"/>
    <w:rsid w:val="002246AD"/>
    <w:rsid w:val="00224B80"/>
    <w:rsid w:val="00224E05"/>
    <w:rsid w:val="002250BD"/>
    <w:rsid w:val="002267CC"/>
    <w:rsid w:val="00226A91"/>
    <w:rsid w:val="00227C97"/>
    <w:rsid w:val="00230006"/>
    <w:rsid w:val="002314CA"/>
    <w:rsid w:val="00231ED1"/>
    <w:rsid w:val="0023234C"/>
    <w:rsid w:val="00232E58"/>
    <w:rsid w:val="002330C1"/>
    <w:rsid w:val="0023326E"/>
    <w:rsid w:val="0023429F"/>
    <w:rsid w:val="0023564F"/>
    <w:rsid w:val="002357BC"/>
    <w:rsid w:val="002358B6"/>
    <w:rsid w:val="002358E2"/>
    <w:rsid w:val="00236594"/>
    <w:rsid w:val="00236973"/>
    <w:rsid w:val="00236AD8"/>
    <w:rsid w:val="00236CFF"/>
    <w:rsid w:val="00240125"/>
    <w:rsid w:val="0024136C"/>
    <w:rsid w:val="00241523"/>
    <w:rsid w:val="00242624"/>
    <w:rsid w:val="002438D3"/>
    <w:rsid w:val="0024408E"/>
    <w:rsid w:val="00244635"/>
    <w:rsid w:val="0024557E"/>
    <w:rsid w:val="002468B6"/>
    <w:rsid w:val="002471FD"/>
    <w:rsid w:val="00250377"/>
    <w:rsid w:val="0025076B"/>
    <w:rsid w:val="00253A9E"/>
    <w:rsid w:val="00253CCD"/>
    <w:rsid w:val="002551B8"/>
    <w:rsid w:val="002553BF"/>
    <w:rsid w:val="00255B0F"/>
    <w:rsid w:val="00256905"/>
    <w:rsid w:val="00260F32"/>
    <w:rsid w:val="002620F8"/>
    <w:rsid w:val="00262C7E"/>
    <w:rsid w:val="00262E10"/>
    <w:rsid w:val="002631A1"/>
    <w:rsid w:val="002632DC"/>
    <w:rsid w:val="002632EA"/>
    <w:rsid w:val="002636EF"/>
    <w:rsid w:val="0026374A"/>
    <w:rsid w:val="0026408C"/>
    <w:rsid w:val="00264508"/>
    <w:rsid w:val="00265A58"/>
    <w:rsid w:val="002660BF"/>
    <w:rsid w:val="002664D3"/>
    <w:rsid w:val="002664F6"/>
    <w:rsid w:val="0026721E"/>
    <w:rsid w:val="00267340"/>
    <w:rsid w:val="00267C32"/>
    <w:rsid w:val="00267C45"/>
    <w:rsid w:val="00267CAF"/>
    <w:rsid w:val="0027003A"/>
    <w:rsid w:val="002702D9"/>
    <w:rsid w:val="0027105B"/>
    <w:rsid w:val="00271AF5"/>
    <w:rsid w:val="00272A7C"/>
    <w:rsid w:val="00272DA9"/>
    <w:rsid w:val="00272F02"/>
    <w:rsid w:val="00272FBF"/>
    <w:rsid w:val="00273D28"/>
    <w:rsid w:val="002742C1"/>
    <w:rsid w:val="0027544D"/>
    <w:rsid w:val="00276018"/>
    <w:rsid w:val="00276851"/>
    <w:rsid w:val="00276E7C"/>
    <w:rsid w:val="002808E8"/>
    <w:rsid w:val="00280CA4"/>
    <w:rsid w:val="002821D5"/>
    <w:rsid w:val="00282331"/>
    <w:rsid w:val="00282636"/>
    <w:rsid w:val="0028467A"/>
    <w:rsid w:val="00284AE9"/>
    <w:rsid w:val="00284BA4"/>
    <w:rsid w:val="0028506A"/>
    <w:rsid w:val="002850B0"/>
    <w:rsid w:val="002859BC"/>
    <w:rsid w:val="002863D7"/>
    <w:rsid w:val="00286D81"/>
    <w:rsid w:val="00286FAD"/>
    <w:rsid w:val="002873B4"/>
    <w:rsid w:val="00287B0A"/>
    <w:rsid w:val="00287D53"/>
    <w:rsid w:val="0029044A"/>
    <w:rsid w:val="00290EB6"/>
    <w:rsid w:val="00291562"/>
    <w:rsid w:val="002915EA"/>
    <w:rsid w:val="002926DE"/>
    <w:rsid w:val="00292AB5"/>
    <w:rsid w:val="00292BA8"/>
    <w:rsid w:val="002933B8"/>
    <w:rsid w:val="0029357C"/>
    <w:rsid w:val="00293E69"/>
    <w:rsid w:val="002943EF"/>
    <w:rsid w:val="002959E9"/>
    <w:rsid w:val="0029690B"/>
    <w:rsid w:val="00296ACB"/>
    <w:rsid w:val="00297147"/>
    <w:rsid w:val="002976DD"/>
    <w:rsid w:val="002A16A4"/>
    <w:rsid w:val="002A24C3"/>
    <w:rsid w:val="002A3271"/>
    <w:rsid w:val="002A43C2"/>
    <w:rsid w:val="002A4412"/>
    <w:rsid w:val="002A69EA"/>
    <w:rsid w:val="002B11E7"/>
    <w:rsid w:val="002B1481"/>
    <w:rsid w:val="002B1B65"/>
    <w:rsid w:val="002B2048"/>
    <w:rsid w:val="002B378C"/>
    <w:rsid w:val="002B398E"/>
    <w:rsid w:val="002B3A17"/>
    <w:rsid w:val="002B3E29"/>
    <w:rsid w:val="002B512D"/>
    <w:rsid w:val="002B58FF"/>
    <w:rsid w:val="002C02DB"/>
    <w:rsid w:val="002C098B"/>
    <w:rsid w:val="002C1866"/>
    <w:rsid w:val="002C1917"/>
    <w:rsid w:val="002C1E31"/>
    <w:rsid w:val="002C2BE6"/>
    <w:rsid w:val="002C38F7"/>
    <w:rsid w:val="002C48E0"/>
    <w:rsid w:val="002C4D1C"/>
    <w:rsid w:val="002D0B58"/>
    <w:rsid w:val="002D1F41"/>
    <w:rsid w:val="002D266F"/>
    <w:rsid w:val="002D2FA0"/>
    <w:rsid w:val="002D33CA"/>
    <w:rsid w:val="002D3449"/>
    <w:rsid w:val="002D474E"/>
    <w:rsid w:val="002D4835"/>
    <w:rsid w:val="002D4B4E"/>
    <w:rsid w:val="002D4C70"/>
    <w:rsid w:val="002D60FE"/>
    <w:rsid w:val="002E0BA6"/>
    <w:rsid w:val="002E25DE"/>
    <w:rsid w:val="002E3490"/>
    <w:rsid w:val="002E526D"/>
    <w:rsid w:val="002E5A1B"/>
    <w:rsid w:val="002E6C44"/>
    <w:rsid w:val="002E7EB7"/>
    <w:rsid w:val="002E7EFF"/>
    <w:rsid w:val="002F0219"/>
    <w:rsid w:val="002F096B"/>
    <w:rsid w:val="002F0D45"/>
    <w:rsid w:val="002F10AD"/>
    <w:rsid w:val="002F121B"/>
    <w:rsid w:val="002F2511"/>
    <w:rsid w:val="002F2D9A"/>
    <w:rsid w:val="002F30D5"/>
    <w:rsid w:val="002F4800"/>
    <w:rsid w:val="002F4CE1"/>
    <w:rsid w:val="002F5D6C"/>
    <w:rsid w:val="002F5E96"/>
    <w:rsid w:val="002F6502"/>
    <w:rsid w:val="002F69EC"/>
    <w:rsid w:val="002F6ABA"/>
    <w:rsid w:val="002F6C5E"/>
    <w:rsid w:val="002F6F67"/>
    <w:rsid w:val="002F767E"/>
    <w:rsid w:val="002F7934"/>
    <w:rsid w:val="0030049F"/>
    <w:rsid w:val="0030053D"/>
    <w:rsid w:val="00300F22"/>
    <w:rsid w:val="00300FE5"/>
    <w:rsid w:val="00301CBB"/>
    <w:rsid w:val="003026F1"/>
    <w:rsid w:val="0030460F"/>
    <w:rsid w:val="00304949"/>
    <w:rsid w:val="00304A37"/>
    <w:rsid w:val="00305032"/>
    <w:rsid w:val="00305621"/>
    <w:rsid w:val="00306ACE"/>
    <w:rsid w:val="003072C1"/>
    <w:rsid w:val="00307944"/>
    <w:rsid w:val="0031040E"/>
    <w:rsid w:val="00310726"/>
    <w:rsid w:val="00310ED4"/>
    <w:rsid w:val="00311144"/>
    <w:rsid w:val="00312301"/>
    <w:rsid w:val="003128C5"/>
    <w:rsid w:val="0031492A"/>
    <w:rsid w:val="00315CAC"/>
    <w:rsid w:val="00316C1A"/>
    <w:rsid w:val="0032038F"/>
    <w:rsid w:val="00321EFF"/>
    <w:rsid w:val="00323B2C"/>
    <w:rsid w:val="00323C73"/>
    <w:rsid w:val="00323E0A"/>
    <w:rsid w:val="0032447C"/>
    <w:rsid w:val="003250E3"/>
    <w:rsid w:val="00325890"/>
    <w:rsid w:val="00325A14"/>
    <w:rsid w:val="003261E7"/>
    <w:rsid w:val="00326B8F"/>
    <w:rsid w:val="00326FF2"/>
    <w:rsid w:val="00327916"/>
    <w:rsid w:val="003307E6"/>
    <w:rsid w:val="00330E6C"/>
    <w:rsid w:val="00331141"/>
    <w:rsid w:val="00331974"/>
    <w:rsid w:val="00332B32"/>
    <w:rsid w:val="00333C71"/>
    <w:rsid w:val="0033540F"/>
    <w:rsid w:val="0033624F"/>
    <w:rsid w:val="00337673"/>
    <w:rsid w:val="00337ADD"/>
    <w:rsid w:val="00340044"/>
    <w:rsid w:val="003400A3"/>
    <w:rsid w:val="00340C67"/>
    <w:rsid w:val="0034103D"/>
    <w:rsid w:val="00341795"/>
    <w:rsid w:val="003423F4"/>
    <w:rsid w:val="00342871"/>
    <w:rsid w:val="00342E98"/>
    <w:rsid w:val="00343414"/>
    <w:rsid w:val="003434D7"/>
    <w:rsid w:val="00343DCA"/>
    <w:rsid w:val="00344758"/>
    <w:rsid w:val="00344CDF"/>
    <w:rsid w:val="00345BAE"/>
    <w:rsid w:val="00345D14"/>
    <w:rsid w:val="00346172"/>
    <w:rsid w:val="003468AF"/>
    <w:rsid w:val="00347142"/>
    <w:rsid w:val="00347A3A"/>
    <w:rsid w:val="003508A5"/>
    <w:rsid w:val="00350D1B"/>
    <w:rsid w:val="00351A42"/>
    <w:rsid w:val="0035423C"/>
    <w:rsid w:val="00354341"/>
    <w:rsid w:val="003547F3"/>
    <w:rsid w:val="00355705"/>
    <w:rsid w:val="00355C8D"/>
    <w:rsid w:val="0035602D"/>
    <w:rsid w:val="003565A8"/>
    <w:rsid w:val="003566EA"/>
    <w:rsid w:val="003602A3"/>
    <w:rsid w:val="003618C2"/>
    <w:rsid w:val="003620DD"/>
    <w:rsid w:val="00362F4E"/>
    <w:rsid w:val="0036362B"/>
    <w:rsid w:val="003646E2"/>
    <w:rsid w:val="00364BFE"/>
    <w:rsid w:val="00365B8D"/>
    <w:rsid w:val="0036658D"/>
    <w:rsid w:val="00366BEA"/>
    <w:rsid w:val="00367019"/>
    <w:rsid w:val="0036713A"/>
    <w:rsid w:val="00367BC5"/>
    <w:rsid w:val="0037055C"/>
    <w:rsid w:val="003724E6"/>
    <w:rsid w:val="00372991"/>
    <w:rsid w:val="00372C79"/>
    <w:rsid w:val="00374AB3"/>
    <w:rsid w:val="00376B73"/>
    <w:rsid w:val="00380101"/>
    <w:rsid w:val="003808E8"/>
    <w:rsid w:val="0038119F"/>
    <w:rsid w:val="0038253C"/>
    <w:rsid w:val="003833F1"/>
    <w:rsid w:val="00383EE7"/>
    <w:rsid w:val="00384478"/>
    <w:rsid w:val="00384B02"/>
    <w:rsid w:val="0038500D"/>
    <w:rsid w:val="00385AB2"/>
    <w:rsid w:val="00386AFC"/>
    <w:rsid w:val="00390E16"/>
    <w:rsid w:val="00392484"/>
    <w:rsid w:val="0039307D"/>
    <w:rsid w:val="00393C0B"/>
    <w:rsid w:val="00394054"/>
    <w:rsid w:val="0039470C"/>
    <w:rsid w:val="003962D7"/>
    <w:rsid w:val="003969D6"/>
    <w:rsid w:val="0039741C"/>
    <w:rsid w:val="00397A25"/>
    <w:rsid w:val="00397D29"/>
    <w:rsid w:val="003A0D3F"/>
    <w:rsid w:val="003A168E"/>
    <w:rsid w:val="003A32A2"/>
    <w:rsid w:val="003A4373"/>
    <w:rsid w:val="003A45E9"/>
    <w:rsid w:val="003A4802"/>
    <w:rsid w:val="003A48B7"/>
    <w:rsid w:val="003A48C6"/>
    <w:rsid w:val="003A49A0"/>
    <w:rsid w:val="003A4CE1"/>
    <w:rsid w:val="003A503E"/>
    <w:rsid w:val="003A5B00"/>
    <w:rsid w:val="003A5F04"/>
    <w:rsid w:val="003A6BAD"/>
    <w:rsid w:val="003A6E2A"/>
    <w:rsid w:val="003B0B5C"/>
    <w:rsid w:val="003B1731"/>
    <w:rsid w:val="003B27FD"/>
    <w:rsid w:val="003B2D94"/>
    <w:rsid w:val="003B370E"/>
    <w:rsid w:val="003B3919"/>
    <w:rsid w:val="003B3DD0"/>
    <w:rsid w:val="003B58CC"/>
    <w:rsid w:val="003C3153"/>
    <w:rsid w:val="003C3197"/>
    <w:rsid w:val="003C3201"/>
    <w:rsid w:val="003C34A1"/>
    <w:rsid w:val="003C36DF"/>
    <w:rsid w:val="003C395C"/>
    <w:rsid w:val="003C3AC8"/>
    <w:rsid w:val="003C3C4E"/>
    <w:rsid w:val="003C5AF8"/>
    <w:rsid w:val="003C6B1A"/>
    <w:rsid w:val="003D053E"/>
    <w:rsid w:val="003D1B43"/>
    <w:rsid w:val="003D237A"/>
    <w:rsid w:val="003D2E7D"/>
    <w:rsid w:val="003D45E9"/>
    <w:rsid w:val="003D47C4"/>
    <w:rsid w:val="003D6BA4"/>
    <w:rsid w:val="003D71E8"/>
    <w:rsid w:val="003D7BCB"/>
    <w:rsid w:val="003D7C05"/>
    <w:rsid w:val="003E06BE"/>
    <w:rsid w:val="003E08BB"/>
    <w:rsid w:val="003E0955"/>
    <w:rsid w:val="003E2493"/>
    <w:rsid w:val="003E4107"/>
    <w:rsid w:val="003E48E9"/>
    <w:rsid w:val="003E51DA"/>
    <w:rsid w:val="003E5DEF"/>
    <w:rsid w:val="003E688B"/>
    <w:rsid w:val="003E6F30"/>
    <w:rsid w:val="003E7458"/>
    <w:rsid w:val="003F17A8"/>
    <w:rsid w:val="003F18CF"/>
    <w:rsid w:val="003F2323"/>
    <w:rsid w:val="003F2DBB"/>
    <w:rsid w:val="003F2EF9"/>
    <w:rsid w:val="003F3A38"/>
    <w:rsid w:val="003F4BEE"/>
    <w:rsid w:val="003F5B97"/>
    <w:rsid w:val="003F5D97"/>
    <w:rsid w:val="003F5F3A"/>
    <w:rsid w:val="003F6951"/>
    <w:rsid w:val="003F6DE0"/>
    <w:rsid w:val="0040159B"/>
    <w:rsid w:val="00401995"/>
    <w:rsid w:val="00402421"/>
    <w:rsid w:val="0040497E"/>
    <w:rsid w:val="004057C0"/>
    <w:rsid w:val="00405CCB"/>
    <w:rsid w:val="00405DFC"/>
    <w:rsid w:val="00407160"/>
    <w:rsid w:val="00407DE1"/>
    <w:rsid w:val="00407E98"/>
    <w:rsid w:val="00411761"/>
    <w:rsid w:val="00411AA3"/>
    <w:rsid w:val="00411EF8"/>
    <w:rsid w:val="004120EA"/>
    <w:rsid w:val="00412BE0"/>
    <w:rsid w:val="00412DA4"/>
    <w:rsid w:val="00412EC5"/>
    <w:rsid w:val="00414017"/>
    <w:rsid w:val="004145B5"/>
    <w:rsid w:val="00416EF3"/>
    <w:rsid w:val="00417AD3"/>
    <w:rsid w:val="00417C9E"/>
    <w:rsid w:val="00417D53"/>
    <w:rsid w:val="00420AD1"/>
    <w:rsid w:val="00421A18"/>
    <w:rsid w:val="0042203F"/>
    <w:rsid w:val="00422417"/>
    <w:rsid w:val="0042329C"/>
    <w:rsid w:val="00424233"/>
    <w:rsid w:val="00424259"/>
    <w:rsid w:val="0042530A"/>
    <w:rsid w:val="00425508"/>
    <w:rsid w:val="00426973"/>
    <w:rsid w:val="00427939"/>
    <w:rsid w:val="00430064"/>
    <w:rsid w:val="00430BF6"/>
    <w:rsid w:val="00430C1A"/>
    <w:rsid w:val="00431194"/>
    <w:rsid w:val="004311CE"/>
    <w:rsid w:val="00431304"/>
    <w:rsid w:val="004317A7"/>
    <w:rsid w:val="00431A25"/>
    <w:rsid w:val="00431D22"/>
    <w:rsid w:val="00432836"/>
    <w:rsid w:val="00432C75"/>
    <w:rsid w:val="00434093"/>
    <w:rsid w:val="00435174"/>
    <w:rsid w:val="0043522E"/>
    <w:rsid w:val="00435724"/>
    <w:rsid w:val="00435F88"/>
    <w:rsid w:val="004361E7"/>
    <w:rsid w:val="00437414"/>
    <w:rsid w:val="004379E8"/>
    <w:rsid w:val="004416D8"/>
    <w:rsid w:val="00441AEB"/>
    <w:rsid w:val="00441C06"/>
    <w:rsid w:val="00442316"/>
    <w:rsid w:val="004426FA"/>
    <w:rsid w:val="00442744"/>
    <w:rsid w:val="004427B4"/>
    <w:rsid w:val="004433A5"/>
    <w:rsid w:val="0044349C"/>
    <w:rsid w:val="0044423A"/>
    <w:rsid w:val="0044470B"/>
    <w:rsid w:val="0044556F"/>
    <w:rsid w:val="00445B68"/>
    <w:rsid w:val="00445CB5"/>
    <w:rsid w:val="00447306"/>
    <w:rsid w:val="00450B93"/>
    <w:rsid w:val="00452193"/>
    <w:rsid w:val="004523D2"/>
    <w:rsid w:val="00452840"/>
    <w:rsid w:val="00453CB3"/>
    <w:rsid w:val="00453E83"/>
    <w:rsid w:val="0045438E"/>
    <w:rsid w:val="00454D97"/>
    <w:rsid w:val="00454F0A"/>
    <w:rsid w:val="004553B3"/>
    <w:rsid w:val="00455842"/>
    <w:rsid w:val="00455E7B"/>
    <w:rsid w:val="0045663D"/>
    <w:rsid w:val="0045759C"/>
    <w:rsid w:val="00457AE6"/>
    <w:rsid w:val="00457FE3"/>
    <w:rsid w:val="00460991"/>
    <w:rsid w:val="00460EE0"/>
    <w:rsid w:val="00461EA9"/>
    <w:rsid w:val="00462617"/>
    <w:rsid w:val="00462C62"/>
    <w:rsid w:val="00463DD7"/>
    <w:rsid w:val="00464295"/>
    <w:rsid w:val="00464846"/>
    <w:rsid w:val="00465901"/>
    <w:rsid w:val="00466A2B"/>
    <w:rsid w:val="00467093"/>
    <w:rsid w:val="00467983"/>
    <w:rsid w:val="00470B09"/>
    <w:rsid w:val="004712FB"/>
    <w:rsid w:val="00471AB4"/>
    <w:rsid w:val="00471BB3"/>
    <w:rsid w:val="00471BB7"/>
    <w:rsid w:val="00471C60"/>
    <w:rsid w:val="00471EF2"/>
    <w:rsid w:val="00472B65"/>
    <w:rsid w:val="00472D5A"/>
    <w:rsid w:val="00472E3B"/>
    <w:rsid w:val="00472EFF"/>
    <w:rsid w:val="00474063"/>
    <w:rsid w:val="00474231"/>
    <w:rsid w:val="00475B20"/>
    <w:rsid w:val="00476793"/>
    <w:rsid w:val="00476FD4"/>
    <w:rsid w:val="004771E1"/>
    <w:rsid w:val="00481A72"/>
    <w:rsid w:val="00481B2A"/>
    <w:rsid w:val="00481DCD"/>
    <w:rsid w:val="00482091"/>
    <w:rsid w:val="0048237D"/>
    <w:rsid w:val="004824AA"/>
    <w:rsid w:val="004835FD"/>
    <w:rsid w:val="004840F7"/>
    <w:rsid w:val="0048596E"/>
    <w:rsid w:val="00485BE9"/>
    <w:rsid w:val="004868AA"/>
    <w:rsid w:val="00487697"/>
    <w:rsid w:val="0049042D"/>
    <w:rsid w:val="00490DF2"/>
    <w:rsid w:val="00491AEF"/>
    <w:rsid w:val="00491CA7"/>
    <w:rsid w:val="00493A25"/>
    <w:rsid w:val="004945A2"/>
    <w:rsid w:val="00494CA2"/>
    <w:rsid w:val="004951A9"/>
    <w:rsid w:val="00495B20"/>
    <w:rsid w:val="00496B3B"/>
    <w:rsid w:val="00496BDE"/>
    <w:rsid w:val="00497353"/>
    <w:rsid w:val="004A00A5"/>
    <w:rsid w:val="004A08C2"/>
    <w:rsid w:val="004A187B"/>
    <w:rsid w:val="004A2AEF"/>
    <w:rsid w:val="004A2D3C"/>
    <w:rsid w:val="004A3040"/>
    <w:rsid w:val="004A31D4"/>
    <w:rsid w:val="004A3381"/>
    <w:rsid w:val="004A351F"/>
    <w:rsid w:val="004A4B10"/>
    <w:rsid w:val="004A766C"/>
    <w:rsid w:val="004B0DDA"/>
    <w:rsid w:val="004B0FA0"/>
    <w:rsid w:val="004B164F"/>
    <w:rsid w:val="004B3917"/>
    <w:rsid w:val="004B4022"/>
    <w:rsid w:val="004B5321"/>
    <w:rsid w:val="004B67B1"/>
    <w:rsid w:val="004B7280"/>
    <w:rsid w:val="004C1D80"/>
    <w:rsid w:val="004C23D6"/>
    <w:rsid w:val="004C2469"/>
    <w:rsid w:val="004C2662"/>
    <w:rsid w:val="004C7412"/>
    <w:rsid w:val="004D04BF"/>
    <w:rsid w:val="004D0C15"/>
    <w:rsid w:val="004D2D52"/>
    <w:rsid w:val="004D2E06"/>
    <w:rsid w:val="004D38DB"/>
    <w:rsid w:val="004D5348"/>
    <w:rsid w:val="004D585B"/>
    <w:rsid w:val="004D5C99"/>
    <w:rsid w:val="004D7EE1"/>
    <w:rsid w:val="004E0DFF"/>
    <w:rsid w:val="004E15EF"/>
    <w:rsid w:val="004E2F67"/>
    <w:rsid w:val="004E36B4"/>
    <w:rsid w:val="004E4A24"/>
    <w:rsid w:val="004E4C9E"/>
    <w:rsid w:val="004E6231"/>
    <w:rsid w:val="004E62D6"/>
    <w:rsid w:val="004E63BF"/>
    <w:rsid w:val="004F00CC"/>
    <w:rsid w:val="004F085A"/>
    <w:rsid w:val="004F1C7C"/>
    <w:rsid w:val="004F31A5"/>
    <w:rsid w:val="004F43D4"/>
    <w:rsid w:val="004F45DA"/>
    <w:rsid w:val="004F4E0E"/>
    <w:rsid w:val="004F4E3A"/>
    <w:rsid w:val="004F4E90"/>
    <w:rsid w:val="004F5B12"/>
    <w:rsid w:val="004F6209"/>
    <w:rsid w:val="004F678C"/>
    <w:rsid w:val="004F71F3"/>
    <w:rsid w:val="0050081A"/>
    <w:rsid w:val="00500991"/>
    <w:rsid w:val="00500DB2"/>
    <w:rsid w:val="00500F19"/>
    <w:rsid w:val="005011B3"/>
    <w:rsid w:val="005018C7"/>
    <w:rsid w:val="005040D8"/>
    <w:rsid w:val="00505008"/>
    <w:rsid w:val="00510390"/>
    <w:rsid w:val="00510771"/>
    <w:rsid w:val="00510D7C"/>
    <w:rsid w:val="005111AD"/>
    <w:rsid w:val="005123F0"/>
    <w:rsid w:val="00512CC7"/>
    <w:rsid w:val="00512DF8"/>
    <w:rsid w:val="0051345C"/>
    <w:rsid w:val="00513540"/>
    <w:rsid w:val="00513673"/>
    <w:rsid w:val="00513941"/>
    <w:rsid w:val="00513A04"/>
    <w:rsid w:val="00514218"/>
    <w:rsid w:val="005147BC"/>
    <w:rsid w:val="00515125"/>
    <w:rsid w:val="00515137"/>
    <w:rsid w:val="00515F77"/>
    <w:rsid w:val="00516F00"/>
    <w:rsid w:val="00520ABF"/>
    <w:rsid w:val="00520F82"/>
    <w:rsid w:val="00520FDF"/>
    <w:rsid w:val="00521451"/>
    <w:rsid w:val="00521D72"/>
    <w:rsid w:val="005223E0"/>
    <w:rsid w:val="00522C99"/>
    <w:rsid w:val="00523140"/>
    <w:rsid w:val="00523616"/>
    <w:rsid w:val="00524BB4"/>
    <w:rsid w:val="00525041"/>
    <w:rsid w:val="0052555A"/>
    <w:rsid w:val="00525EFA"/>
    <w:rsid w:val="00526130"/>
    <w:rsid w:val="0053051D"/>
    <w:rsid w:val="005306B4"/>
    <w:rsid w:val="00532DEF"/>
    <w:rsid w:val="00534726"/>
    <w:rsid w:val="00534AB5"/>
    <w:rsid w:val="0053545D"/>
    <w:rsid w:val="005358BB"/>
    <w:rsid w:val="00537191"/>
    <w:rsid w:val="005409DC"/>
    <w:rsid w:val="00543EA7"/>
    <w:rsid w:val="00546660"/>
    <w:rsid w:val="00546E00"/>
    <w:rsid w:val="005473C6"/>
    <w:rsid w:val="00550EC5"/>
    <w:rsid w:val="00551ADA"/>
    <w:rsid w:val="0055440E"/>
    <w:rsid w:val="00555C5E"/>
    <w:rsid w:val="005567E5"/>
    <w:rsid w:val="00556CBC"/>
    <w:rsid w:val="00556EED"/>
    <w:rsid w:val="005576E7"/>
    <w:rsid w:val="00560FE3"/>
    <w:rsid w:val="0056143C"/>
    <w:rsid w:val="00561D68"/>
    <w:rsid w:val="00561DE0"/>
    <w:rsid w:val="00562491"/>
    <w:rsid w:val="0056308C"/>
    <w:rsid w:val="00563843"/>
    <w:rsid w:val="00564208"/>
    <w:rsid w:val="005642B2"/>
    <w:rsid w:val="00564835"/>
    <w:rsid w:val="00564BCB"/>
    <w:rsid w:val="0056501B"/>
    <w:rsid w:val="0056656B"/>
    <w:rsid w:val="00566E8A"/>
    <w:rsid w:val="005675AD"/>
    <w:rsid w:val="005677A6"/>
    <w:rsid w:val="005677CA"/>
    <w:rsid w:val="00567F88"/>
    <w:rsid w:val="00570525"/>
    <w:rsid w:val="005709F3"/>
    <w:rsid w:val="00571858"/>
    <w:rsid w:val="00571CEB"/>
    <w:rsid w:val="00572F78"/>
    <w:rsid w:val="00573869"/>
    <w:rsid w:val="00573FB4"/>
    <w:rsid w:val="00574077"/>
    <w:rsid w:val="00574984"/>
    <w:rsid w:val="00575872"/>
    <w:rsid w:val="00575EAE"/>
    <w:rsid w:val="00576532"/>
    <w:rsid w:val="005766A2"/>
    <w:rsid w:val="00576AA7"/>
    <w:rsid w:val="0058042A"/>
    <w:rsid w:val="005815DB"/>
    <w:rsid w:val="00581677"/>
    <w:rsid w:val="00582637"/>
    <w:rsid w:val="00582832"/>
    <w:rsid w:val="00582B6E"/>
    <w:rsid w:val="00584031"/>
    <w:rsid w:val="00584241"/>
    <w:rsid w:val="0058442E"/>
    <w:rsid w:val="00584C63"/>
    <w:rsid w:val="005852FF"/>
    <w:rsid w:val="005853F3"/>
    <w:rsid w:val="00586A42"/>
    <w:rsid w:val="00590F80"/>
    <w:rsid w:val="005916E1"/>
    <w:rsid w:val="0059187B"/>
    <w:rsid w:val="00591951"/>
    <w:rsid w:val="00591D96"/>
    <w:rsid w:val="00592205"/>
    <w:rsid w:val="00593393"/>
    <w:rsid w:val="00594C2B"/>
    <w:rsid w:val="005960E4"/>
    <w:rsid w:val="005A04BE"/>
    <w:rsid w:val="005A0964"/>
    <w:rsid w:val="005A20D9"/>
    <w:rsid w:val="005A2520"/>
    <w:rsid w:val="005A3041"/>
    <w:rsid w:val="005A3BE2"/>
    <w:rsid w:val="005A3E31"/>
    <w:rsid w:val="005A4801"/>
    <w:rsid w:val="005A4FF8"/>
    <w:rsid w:val="005A6117"/>
    <w:rsid w:val="005A6FA2"/>
    <w:rsid w:val="005A7B6D"/>
    <w:rsid w:val="005B036D"/>
    <w:rsid w:val="005B03FF"/>
    <w:rsid w:val="005B067B"/>
    <w:rsid w:val="005B0687"/>
    <w:rsid w:val="005B07E6"/>
    <w:rsid w:val="005B1B57"/>
    <w:rsid w:val="005B2560"/>
    <w:rsid w:val="005B2CFC"/>
    <w:rsid w:val="005B2D62"/>
    <w:rsid w:val="005B36F6"/>
    <w:rsid w:val="005B3C03"/>
    <w:rsid w:val="005B3E1A"/>
    <w:rsid w:val="005B4BF0"/>
    <w:rsid w:val="005B5785"/>
    <w:rsid w:val="005B5D5E"/>
    <w:rsid w:val="005B6699"/>
    <w:rsid w:val="005B675B"/>
    <w:rsid w:val="005B6AC4"/>
    <w:rsid w:val="005B6BC9"/>
    <w:rsid w:val="005B6FE0"/>
    <w:rsid w:val="005B784C"/>
    <w:rsid w:val="005B7B5B"/>
    <w:rsid w:val="005C023E"/>
    <w:rsid w:val="005C16AF"/>
    <w:rsid w:val="005C1A4D"/>
    <w:rsid w:val="005C211E"/>
    <w:rsid w:val="005C250D"/>
    <w:rsid w:val="005C2A17"/>
    <w:rsid w:val="005C2ECF"/>
    <w:rsid w:val="005C39DB"/>
    <w:rsid w:val="005C3ADA"/>
    <w:rsid w:val="005C4B63"/>
    <w:rsid w:val="005C4BC1"/>
    <w:rsid w:val="005C4E29"/>
    <w:rsid w:val="005C52B8"/>
    <w:rsid w:val="005C52CF"/>
    <w:rsid w:val="005C5C55"/>
    <w:rsid w:val="005C5D41"/>
    <w:rsid w:val="005C61D1"/>
    <w:rsid w:val="005C7BA7"/>
    <w:rsid w:val="005D0094"/>
    <w:rsid w:val="005D015E"/>
    <w:rsid w:val="005D0CA5"/>
    <w:rsid w:val="005D1EEF"/>
    <w:rsid w:val="005D1F34"/>
    <w:rsid w:val="005D383D"/>
    <w:rsid w:val="005D3F16"/>
    <w:rsid w:val="005D44F7"/>
    <w:rsid w:val="005D4845"/>
    <w:rsid w:val="005D4F8D"/>
    <w:rsid w:val="005D70B2"/>
    <w:rsid w:val="005E01FA"/>
    <w:rsid w:val="005E2B0A"/>
    <w:rsid w:val="005E2EE7"/>
    <w:rsid w:val="005E3118"/>
    <w:rsid w:val="005E326D"/>
    <w:rsid w:val="005E4802"/>
    <w:rsid w:val="005E4856"/>
    <w:rsid w:val="005E593C"/>
    <w:rsid w:val="005F1641"/>
    <w:rsid w:val="005F2780"/>
    <w:rsid w:val="005F332B"/>
    <w:rsid w:val="005F390F"/>
    <w:rsid w:val="005F55A6"/>
    <w:rsid w:val="005F60EA"/>
    <w:rsid w:val="005F72C8"/>
    <w:rsid w:val="005F7C6B"/>
    <w:rsid w:val="005F7F5C"/>
    <w:rsid w:val="006013F1"/>
    <w:rsid w:val="00601585"/>
    <w:rsid w:val="00601A6E"/>
    <w:rsid w:val="006029B3"/>
    <w:rsid w:val="006037CF"/>
    <w:rsid w:val="00603C84"/>
    <w:rsid w:val="00605717"/>
    <w:rsid w:val="00605A53"/>
    <w:rsid w:val="006071AA"/>
    <w:rsid w:val="00607E93"/>
    <w:rsid w:val="0061005E"/>
    <w:rsid w:val="00610554"/>
    <w:rsid w:val="00610B8D"/>
    <w:rsid w:val="00610C7E"/>
    <w:rsid w:val="00610FB9"/>
    <w:rsid w:val="00611385"/>
    <w:rsid w:val="006114CE"/>
    <w:rsid w:val="00613EFF"/>
    <w:rsid w:val="006168A6"/>
    <w:rsid w:val="00616F88"/>
    <w:rsid w:val="0062001A"/>
    <w:rsid w:val="00620B37"/>
    <w:rsid w:val="00621291"/>
    <w:rsid w:val="00621F06"/>
    <w:rsid w:val="00622508"/>
    <w:rsid w:val="00622624"/>
    <w:rsid w:val="0062445B"/>
    <w:rsid w:val="00624571"/>
    <w:rsid w:val="00624DB0"/>
    <w:rsid w:val="0062522C"/>
    <w:rsid w:val="006253E5"/>
    <w:rsid w:val="00626932"/>
    <w:rsid w:val="0063009F"/>
    <w:rsid w:val="00630A20"/>
    <w:rsid w:val="00631820"/>
    <w:rsid w:val="00633340"/>
    <w:rsid w:val="0063363E"/>
    <w:rsid w:val="0063441B"/>
    <w:rsid w:val="0063493E"/>
    <w:rsid w:val="00634C7B"/>
    <w:rsid w:val="00634EF6"/>
    <w:rsid w:val="0063507B"/>
    <w:rsid w:val="006356C5"/>
    <w:rsid w:val="00635913"/>
    <w:rsid w:val="00641561"/>
    <w:rsid w:val="00641613"/>
    <w:rsid w:val="006429C5"/>
    <w:rsid w:val="00642A35"/>
    <w:rsid w:val="0064366E"/>
    <w:rsid w:val="0064452F"/>
    <w:rsid w:val="00644820"/>
    <w:rsid w:val="0064506F"/>
    <w:rsid w:val="006450C0"/>
    <w:rsid w:val="0064690D"/>
    <w:rsid w:val="00646B8E"/>
    <w:rsid w:val="00646D0F"/>
    <w:rsid w:val="006474D3"/>
    <w:rsid w:val="0064793B"/>
    <w:rsid w:val="00650E26"/>
    <w:rsid w:val="00651422"/>
    <w:rsid w:val="006516EF"/>
    <w:rsid w:val="00651967"/>
    <w:rsid w:val="00652000"/>
    <w:rsid w:val="006521C2"/>
    <w:rsid w:val="00652E2D"/>
    <w:rsid w:val="00652FBC"/>
    <w:rsid w:val="006540BE"/>
    <w:rsid w:val="00654793"/>
    <w:rsid w:val="00654A56"/>
    <w:rsid w:val="00654C51"/>
    <w:rsid w:val="006602A8"/>
    <w:rsid w:val="00666A02"/>
    <w:rsid w:val="00667007"/>
    <w:rsid w:val="00670809"/>
    <w:rsid w:val="00670A4E"/>
    <w:rsid w:val="00671D11"/>
    <w:rsid w:val="00672D03"/>
    <w:rsid w:val="0067326E"/>
    <w:rsid w:val="00673BC8"/>
    <w:rsid w:val="006745A4"/>
    <w:rsid w:val="00674903"/>
    <w:rsid w:val="00674D27"/>
    <w:rsid w:val="006753E5"/>
    <w:rsid w:val="006755A5"/>
    <w:rsid w:val="00675ABC"/>
    <w:rsid w:val="00675FF0"/>
    <w:rsid w:val="0067680B"/>
    <w:rsid w:val="00676F08"/>
    <w:rsid w:val="00676FCB"/>
    <w:rsid w:val="00677680"/>
    <w:rsid w:val="00680094"/>
    <w:rsid w:val="00680B00"/>
    <w:rsid w:val="00680BF6"/>
    <w:rsid w:val="006823EC"/>
    <w:rsid w:val="006829B4"/>
    <w:rsid w:val="00682B54"/>
    <w:rsid w:val="00684294"/>
    <w:rsid w:val="006842E6"/>
    <w:rsid w:val="00684766"/>
    <w:rsid w:val="00684A02"/>
    <w:rsid w:val="00684C92"/>
    <w:rsid w:val="00686C1D"/>
    <w:rsid w:val="00687746"/>
    <w:rsid w:val="00687BDD"/>
    <w:rsid w:val="00690165"/>
    <w:rsid w:val="006937A1"/>
    <w:rsid w:val="00693E5F"/>
    <w:rsid w:val="0069443E"/>
    <w:rsid w:val="00694440"/>
    <w:rsid w:val="006945F8"/>
    <w:rsid w:val="00694F5B"/>
    <w:rsid w:val="00695823"/>
    <w:rsid w:val="00695FB1"/>
    <w:rsid w:val="006973BD"/>
    <w:rsid w:val="0069764E"/>
    <w:rsid w:val="006A00AF"/>
    <w:rsid w:val="006A081B"/>
    <w:rsid w:val="006A0E43"/>
    <w:rsid w:val="006A2AFA"/>
    <w:rsid w:val="006A3611"/>
    <w:rsid w:val="006A5FBC"/>
    <w:rsid w:val="006A691C"/>
    <w:rsid w:val="006A6BB3"/>
    <w:rsid w:val="006A779D"/>
    <w:rsid w:val="006A7AD1"/>
    <w:rsid w:val="006B3DE1"/>
    <w:rsid w:val="006B46CD"/>
    <w:rsid w:val="006B59C8"/>
    <w:rsid w:val="006B61F1"/>
    <w:rsid w:val="006B63D6"/>
    <w:rsid w:val="006B77FD"/>
    <w:rsid w:val="006C0642"/>
    <w:rsid w:val="006C082A"/>
    <w:rsid w:val="006C0B0A"/>
    <w:rsid w:val="006C0C26"/>
    <w:rsid w:val="006C1DEB"/>
    <w:rsid w:val="006C20CC"/>
    <w:rsid w:val="006C4445"/>
    <w:rsid w:val="006C6AA2"/>
    <w:rsid w:val="006C6C62"/>
    <w:rsid w:val="006C730B"/>
    <w:rsid w:val="006C7F69"/>
    <w:rsid w:val="006D02DE"/>
    <w:rsid w:val="006D0407"/>
    <w:rsid w:val="006D0A17"/>
    <w:rsid w:val="006D1582"/>
    <w:rsid w:val="006D1CC4"/>
    <w:rsid w:val="006D213E"/>
    <w:rsid w:val="006D2D61"/>
    <w:rsid w:val="006D2EA4"/>
    <w:rsid w:val="006D2F51"/>
    <w:rsid w:val="006D3C0A"/>
    <w:rsid w:val="006D3FB8"/>
    <w:rsid w:val="006D4E36"/>
    <w:rsid w:val="006D508E"/>
    <w:rsid w:val="006D594F"/>
    <w:rsid w:val="006D5EE5"/>
    <w:rsid w:val="006D66B1"/>
    <w:rsid w:val="006D6735"/>
    <w:rsid w:val="006D6FDD"/>
    <w:rsid w:val="006E0A6B"/>
    <w:rsid w:val="006E0A9C"/>
    <w:rsid w:val="006E103A"/>
    <w:rsid w:val="006E197F"/>
    <w:rsid w:val="006E1B61"/>
    <w:rsid w:val="006E1DCB"/>
    <w:rsid w:val="006E3BF5"/>
    <w:rsid w:val="006E4101"/>
    <w:rsid w:val="006E4B50"/>
    <w:rsid w:val="006E56A0"/>
    <w:rsid w:val="006E6305"/>
    <w:rsid w:val="006E64B2"/>
    <w:rsid w:val="006E6630"/>
    <w:rsid w:val="006E6D3B"/>
    <w:rsid w:val="006E79CF"/>
    <w:rsid w:val="006F05FE"/>
    <w:rsid w:val="006F12E8"/>
    <w:rsid w:val="006F1640"/>
    <w:rsid w:val="006F1A69"/>
    <w:rsid w:val="006F1B9F"/>
    <w:rsid w:val="006F1DF8"/>
    <w:rsid w:val="006F2A10"/>
    <w:rsid w:val="006F3411"/>
    <w:rsid w:val="006F4440"/>
    <w:rsid w:val="006F5CA0"/>
    <w:rsid w:val="006F5D73"/>
    <w:rsid w:val="006F78F4"/>
    <w:rsid w:val="00700643"/>
    <w:rsid w:val="00700DCE"/>
    <w:rsid w:val="00701338"/>
    <w:rsid w:val="00701D05"/>
    <w:rsid w:val="0070231A"/>
    <w:rsid w:val="007040D5"/>
    <w:rsid w:val="00705A49"/>
    <w:rsid w:val="007071F6"/>
    <w:rsid w:val="00707CA8"/>
    <w:rsid w:val="00707EF8"/>
    <w:rsid w:val="00711762"/>
    <w:rsid w:val="00711BF4"/>
    <w:rsid w:val="00711C90"/>
    <w:rsid w:val="00713410"/>
    <w:rsid w:val="007137A8"/>
    <w:rsid w:val="00713ADA"/>
    <w:rsid w:val="00713BF8"/>
    <w:rsid w:val="007149A7"/>
    <w:rsid w:val="00714FF5"/>
    <w:rsid w:val="0071723A"/>
    <w:rsid w:val="00717482"/>
    <w:rsid w:val="00720958"/>
    <w:rsid w:val="00721D1B"/>
    <w:rsid w:val="00722B8C"/>
    <w:rsid w:val="007231E5"/>
    <w:rsid w:val="00723F7F"/>
    <w:rsid w:val="00724189"/>
    <w:rsid w:val="007241C3"/>
    <w:rsid w:val="0072514D"/>
    <w:rsid w:val="00726494"/>
    <w:rsid w:val="007264B2"/>
    <w:rsid w:val="007273EB"/>
    <w:rsid w:val="00727C95"/>
    <w:rsid w:val="007301AD"/>
    <w:rsid w:val="00730AAC"/>
    <w:rsid w:val="00730BD2"/>
    <w:rsid w:val="00730D6D"/>
    <w:rsid w:val="00730E8D"/>
    <w:rsid w:val="00730ECA"/>
    <w:rsid w:val="007314CF"/>
    <w:rsid w:val="00731B25"/>
    <w:rsid w:val="00733256"/>
    <w:rsid w:val="00735152"/>
    <w:rsid w:val="00735958"/>
    <w:rsid w:val="00735C9D"/>
    <w:rsid w:val="00735CCC"/>
    <w:rsid w:val="00735FF7"/>
    <w:rsid w:val="0073747D"/>
    <w:rsid w:val="00737DE7"/>
    <w:rsid w:val="007406DF"/>
    <w:rsid w:val="00742350"/>
    <w:rsid w:val="0074274F"/>
    <w:rsid w:val="007429EC"/>
    <w:rsid w:val="007441C2"/>
    <w:rsid w:val="00744447"/>
    <w:rsid w:val="00744EAC"/>
    <w:rsid w:val="007458EE"/>
    <w:rsid w:val="00746A79"/>
    <w:rsid w:val="0074742A"/>
    <w:rsid w:val="00747741"/>
    <w:rsid w:val="00750F7F"/>
    <w:rsid w:val="0075246F"/>
    <w:rsid w:val="00752667"/>
    <w:rsid w:val="00752FDD"/>
    <w:rsid w:val="007538EA"/>
    <w:rsid w:val="007540BF"/>
    <w:rsid w:val="00754B4A"/>
    <w:rsid w:val="00754F98"/>
    <w:rsid w:val="007554BE"/>
    <w:rsid w:val="007554C8"/>
    <w:rsid w:val="0075628F"/>
    <w:rsid w:val="00756FFD"/>
    <w:rsid w:val="00757A7F"/>
    <w:rsid w:val="0076132A"/>
    <w:rsid w:val="007616D6"/>
    <w:rsid w:val="0076188B"/>
    <w:rsid w:val="007628D8"/>
    <w:rsid w:val="00762A46"/>
    <w:rsid w:val="007637A8"/>
    <w:rsid w:val="00764EE7"/>
    <w:rsid w:val="00765A63"/>
    <w:rsid w:val="00765B58"/>
    <w:rsid w:val="007668B3"/>
    <w:rsid w:val="00766BC9"/>
    <w:rsid w:val="007678E4"/>
    <w:rsid w:val="00770198"/>
    <w:rsid w:val="00770428"/>
    <w:rsid w:val="00770DCB"/>
    <w:rsid w:val="00771995"/>
    <w:rsid w:val="0077211B"/>
    <w:rsid w:val="007725E6"/>
    <w:rsid w:val="00773550"/>
    <w:rsid w:val="00774196"/>
    <w:rsid w:val="007751FC"/>
    <w:rsid w:val="00775485"/>
    <w:rsid w:val="007769AF"/>
    <w:rsid w:val="007777C9"/>
    <w:rsid w:val="00777B77"/>
    <w:rsid w:val="00777BF2"/>
    <w:rsid w:val="0078023B"/>
    <w:rsid w:val="007818DE"/>
    <w:rsid w:val="007818E8"/>
    <w:rsid w:val="00783532"/>
    <w:rsid w:val="00784452"/>
    <w:rsid w:val="007846B5"/>
    <w:rsid w:val="007866F3"/>
    <w:rsid w:val="00786B46"/>
    <w:rsid w:val="00787518"/>
    <w:rsid w:val="00787CC7"/>
    <w:rsid w:val="00790FC6"/>
    <w:rsid w:val="00791500"/>
    <w:rsid w:val="00792DDE"/>
    <w:rsid w:val="00793C0C"/>
    <w:rsid w:val="00794B13"/>
    <w:rsid w:val="0079750F"/>
    <w:rsid w:val="00797A78"/>
    <w:rsid w:val="007A0A32"/>
    <w:rsid w:val="007A0DAA"/>
    <w:rsid w:val="007A1C81"/>
    <w:rsid w:val="007A3A8A"/>
    <w:rsid w:val="007A44E6"/>
    <w:rsid w:val="007A493D"/>
    <w:rsid w:val="007A4952"/>
    <w:rsid w:val="007A5235"/>
    <w:rsid w:val="007A5DC1"/>
    <w:rsid w:val="007A5F4A"/>
    <w:rsid w:val="007A6313"/>
    <w:rsid w:val="007A6A37"/>
    <w:rsid w:val="007A72A7"/>
    <w:rsid w:val="007A78FA"/>
    <w:rsid w:val="007A7AFE"/>
    <w:rsid w:val="007B06EA"/>
    <w:rsid w:val="007B084C"/>
    <w:rsid w:val="007B0FFE"/>
    <w:rsid w:val="007B1602"/>
    <w:rsid w:val="007B377A"/>
    <w:rsid w:val="007B3891"/>
    <w:rsid w:val="007B3AF4"/>
    <w:rsid w:val="007B3B9A"/>
    <w:rsid w:val="007B44B4"/>
    <w:rsid w:val="007B4A7C"/>
    <w:rsid w:val="007B4D2D"/>
    <w:rsid w:val="007B539A"/>
    <w:rsid w:val="007B5CB2"/>
    <w:rsid w:val="007B631B"/>
    <w:rsid w:val="007B669F"/>
    <w:rsid w:val="007C1270"/>
    <w:rsid w:val="007C209C"/>
    <w:rsid w:val="007C35F3"/>
    <w:rsid w:val="007C3654"/>
    <w:rsid w:val="007C3FBC"/>
    <w:rsid w:val="007C4124"/>
    <w:rsid w:val="007C4C5A"/>
    <w:rsid w:val="007C4CDA"/>
    <w:rsid w:val="007C518A"/>
    <w:rsid w:val="007C5583"/>
    <w:rsid w:val="007C6651"/>
    <w:rsid w:val="007C66B9"/>
    <w:rsid w:val="007C70B1"/>
    <w:rsid w:val="007D0348"/>
    <w:rsid w:val="007D0E83"/>
    <w:rsid w:val="007D2314"/>
    <w:rsid w:val="007D2F00"/>
    <w:rsid w:val="007D5ACC"/>
    <w:rsid w:val="007D7668"/>
    <w:rsid w:val="007E0FE3"/>
    <w:rsid w:val="007E19D1"/>
    <w:rsid w:val="007E1AE6"/>
    <w:rsid w:val="007E1B73"/>
    <w:rsid w:val="007E1CA8"/>
    <w:rsid w:val="007E238C"/>
    <w:rsid w:val="007E2483"/>
    <w:rsid w:val="007E45BD"/>
    <w:rsid w:val="007E4F54"/>
    <w:rsid w:val="007E5396"/>
    <w:rsid w:val="007E5B3F"/>
    <w:rsid w:val="007E5B88"/>
    <w:rsid w:val="007E79CC"/>
    <w:rsid w:val="007E7F5B"/>
    <w:rsid w:val="007F0D0B"/>
    <w:rsid w:val="007F2955"/>
    <w:rsid w:val="007F2DFD"/>
    <w:rsid w:val="007F3D4A"/>
    <w:rsid w:val="007F437D"/>
    <w:rsid w:val="007F4C19"/>
    <w:rsid w:val="007F5113"/>
    <w:rsid w:val="007F56AD"/>
    <w:rsid w:val="007F6705"/>
    <w:rsid w:val="008007A8"/>
    <w:rsid w:val="0080096F"/>
    <w:rsid w:val="00802CF3"/>
    <w:rsid w:val="008042D9"/>
    <w:rsid w:val="00804714"/>
    <w:rsid w:val="00805279"/>
    <w:rsid w:val="00805EF2"/>
    <w:rsid w:val="00806F9C"/>
    <w:rsid w:val="00807E8D"/>
    <w:rsid w:val="008101CA"/>
    <w:rsid w:val="00810589"/>
    <w:rsid w:val="008108FC"/>
    <w:rsid w:val="00810A01"/>
    <w:rsid w:val="00810D85"/>
    <w:rsid w:val="008118A0"/>
    <w:rsid w:val="008121D5"/>
    <w:rsid w:val="00812718"/>
    <w:rsid w:val="00812EF9"/>
    <w:rsid w:val="0081327A"/>
    <w:rsid w:val="0081333A"/>
    <w:rsid w:val="00813C00"/>
    <w:rsid w:val="00814DA8"/>
    <w:rsid w:val="00814FC0"/>
    <w:rsid w:val="00816BE8"/>
    <w:rsid w:val="00817200"/>
    <w:rsid w:val="0081727F"/>
    <w:rsid w:val="00817C73"/>
    <w:rsid w:val="00817F39"/>
    <w:rsid w:val="00820174"/>
    <w:rsid w:val="00820E42"/>
    <w:rsid w:val="008216F5"/>
    <w:rsid w:val="00821FF5"/>
    <w:rsid w:val="008226FD"/>
    <w:rsid w:val="00822BB3"/>
    <w:rsid w:val="00823005"/>
    <w:rsid w:val="00824502"/>
    <w:rsid w:val="008303C3"/>
    <w:rsid w:val="00831A95"/>
    <w:rsid w:val="00831F0B"/>
    <w:rsid w:val="00832658"/>
    <w:rsid w:val="008335A5"/>
    <w:rsid w:val="00833900"/>
    <w:rsid w:val="0083479A"/>
    <w:rsid w:val="00834F2E"/>
    <w:rsid w:val="00835D7C"/>
    <w:rsid w:val="00837242"/>
    <w:rsid w:val="008372AF"/>
    <w:rsid w:val="00837874"/>
    <w:rsid w:val="00840519"/>
    <w:rsid w:val="00840F3D"/>
    <w:rsid w:val="00840FC0"/>
    <w:rsid w:val="00841A2C"/>
    <w:rsid w:val="00842020"/>
    <w:rsid w:val="008423B5"/>
    <w:rsid w:val="00842E0C"/>
    <w:rsid w:val="00843687"/>
    <w:rsid w:val="00843991"/>
    <w:rsid w:val="00844022"/>
    <w:rsid w:val="00844446"/>
    <w:rsid w:val="008449B9"/>
    <w:rsid w:val="00845240"/>
    <w:rsid w:val="008466A7"/>
    <w:rsid w:val="00846E73"/>
    <w:rsid w:val="00847191"/>
    <w:rsid w:val="0085063A"/>
    <w:rsid w:val="00851111"/>
    <w:rsid w:val="008514A1"/>
    <w:rsid w:val="00852257"/>
    <w:rsid w:val="00852D2A"/>
    <w:rsid w:val="00852ECD"/>
    <w:rsid w:val="00853953"/>
    <w:rsid w:val="00853FBA"/>
    <w:rsid w:val="00854290"/>
    <w:rsid w:val="00854793"/>
    <w:rsid w:val="00854DF0"/>
    <w:rsid w:val="00856FDA"/>
    <w:rsid w:val="00857411"/>
    <w:rsid w:val="00857BA5"/>
    <w:rsid w:val="00860320"/>
    <w:rsid w:val="00860396"/>
    <w:rsid w:val="00860818"/>
    <w:rsid w:val="00861666"/>
    <w:rsid w:val="0086254F"/>
    <w:rsid w:val="0086262B"/>
    <w:rsid w:val="00862993"/>
    <w:rsid w:val="0086358A"/>
    <w:rsid w:val="00863CB4"/>
    <w:rsid w:val="00864C4B"/>
    <w:rsid w:val="00864DFC"/>
    <w:rsid w:val="00865527"/>
    <w:rsid w:val="00865FE8"/>
    <w:rsid w:val="008706E4"/>
    <w:rsid w:val="008724DE"/>
    <w:rsid w:val="00872AD1"/>
    <w:rsid w:val="00872CE6"/>
    <w:rsid w:val="00872E34"/>
    <w:rsid w:val="00874540"/>
    <w:rsid w:val="00875273"/>
    <w:rsid w:val="00875459"/>
    <w:rsid w:val="008755C4"/>
    <w:rsid w:val="008758D9"/>
    <w:rsid w:val="00875EE0"/>
    <w:rsid w:val="008762AD"/>
    <w:rsid w:val="00877376"/>
    <w:rsid w:val="008776E2"/>
    <w:rsid w:val="00877E47"/>
    <w:rsid w:val="00880471"/>
    <w:rsid w:val="0088194E"/>
    <w:rsid w:val="00882B0A"/>
    <w:rsid w:val="00883714"/>
    <w:rsid w:val="008854FB"/>
    <w:rsid w:val="0088690A"/>
    <w:rsid w:val="008869A6"/>
    <w:rsid w:val="00886A9B"/>
    <w:rsid w:val="008877DA"/>
    <w:rsid w:val="0088781B"/>
    <w:rsid w:val="008909B4"/>
    <w:rsid w:val="008923E5"/>
    <w:rsid w:val="0089293F"/>
    <w:rsid w:val="00892F8E"/>
    <w:rsid w:val="00893676"/>
    <w:rsid w:val="00893D4F"/>
    <w:rsid w:val="00894036"/>
    <w:rsid w:val="00894682"/>
    <w:rsid w:val="008961AD"/>
    <w:rsid w:val="008963A6"/>
    <w:rsid w:val="00897999"/>
    <w:rsid w:val="008A0E94"/>
    <w:rsid w:val="008A1338"/>
    <w:rsid w:val="008A1397"/>
    <w:rsid w:val="008A15EB"/>
    <w:rsid w:val="008A1965"/>
    <w:rsid w:val="008A2699"/>
    <w:rsid w:val="008A2AC1"/>
    <w:rsid w:val="008A2DF3"/>
    <w:rsid w:val="008A3A3F"/>
    <w:rsid w:val="008A3C1B"/>
    <w:rsid w:val="008A3D57"/>
    <w:rsid w:val="008A4801"/>
    <w:rsid w:val="008A4C61"/>
    <w:rsid w:val="008A6134"/>
    <w:rsid w:val="008B02E6"/>
    <w:rsid w:val="008B0741"/>
    <w:rsid w:val="008B1647"/>
    <w:rsid w:val="008B1843"/>
    <w:rsid w:val="008B2049"/>
    <w:rsid w:val="008B20CB"/>
    <w:rsid w:val="008B23BC"/>
    <w:rsid w:val="008B335C"/>
    <w:rsid w:val="008B3899"/>
    <w:rsid w:val="008B4BE0"/>
    <w:rsid w:val="008B7194"/>
    <w:rsid w:val="008B7559"/>
    <w:rsid w:val="008C02B3"/>
    <w:rsid w:val="008C064C"/>
    <w:rsid w:val="008C0A29"/>
    <w:rsid w:val="008C0B85"/>
    <w:rsid w:val="008C0EE0"/>
    <w:rsid w:val="008C26DF"/>
    <w:rsid w:val="008C281A"/>
    <w:rsid w:val="008C2F48"/>
    <w:rsid w:val="008C365B"/>
    <w:rsid w:val="008C5374"/>
    <w:rsid w:val="008C6172"/>
    <w:rsid w:val="008C61F1"/>
    <w:rsid w:val="008C6802"/>
    <w:rsid w:val="008C720C"/>
    <w:rsid w:val="008D10CA"/>
    <w:rsid w:val="008D1A8C"/>
    <w:rsid w:val="008D1E80"/>
    <w:rsid w:val="008D268D"/>
    <w:rsid w:val="008D32BF"/>
    <w:rsid w:val="008D46D0"/>
    <w:rsid w:val="008D6495"/>
    <w:rsid w:val="008D64BC"/>
    <w:rsid w:val="008D6BC0"/>
    <w:rsid w:val="008D6E99"/>
    <w:rsid w:val="008D6EBA"/>
    <w:rsid w:val="008D6F3F"/>
    <w:rsid w:val="008D7DD7"/>
    <w:rsid w:val="008E328C"/>
    <w:rsid w:val="008E3D60"/>
    <w:rsid w:val="008E3F4C"/>
    <w:rsid w:val="008E471C"/>
    <w:rsid w:val="008E62EA"/>
    <w:rsid w:val="008E6925"/>
    <w:rsid w:val="008E7226"/>
    <w:rsid w:val="008E7AD3"/>
    <w:rsid w:val="008F062E"/>
    <w:rsid w:val="008F0BE7"/>
    <w:rsid w:val="008F0DB6"/>
    <w:rsid w:val="008F103A"/>
    <w:rsid w:val="008F1796"/>
    <w:rsid w:val="008F19B9"/>
    <w:rsid w:val="008F1D1A"/>
    <w:rsid w:val="008F2230"/>
    <w:rsid w:val="008F356D"/>
    <w:rsid w:val="008F51A0"/>
    <w:rsid w:val="008F54B1"/>
    <w:rsid w:val="008F5924"/>
    <w:rsid w:val="008F64C7"/>
    <w:rsid w:val="008F739D"/>
    <w:rsid w:val="008F7BAD"/>
    <w:rsid w:val="0090068E"/>
    <w:rsid w:val="0090127B"/>
    <w:rsid w:val="0090155F"/>
    <w:rsid w:val="0090165F"/>
    <w:rsid w:val="00901B82"/>
    <w:rsid w:val="0090230E"/>
    <w:rsid w:val="009029C9"/>
    <w:rsid w:val="00903EE4"/>
    <w:rsid w:val="00904455"/>
    <w:rsid w:val="009047E9"/>
    <w:rsid w:val="00905643"/>
    <w:rsid w:val="0090787A"/>
    <w:rsid w:val="00907FDE"/>
    <w:rsid w:val="00912B09"/>
    <w:rsid w:val="0091300A"/>
    <w:rsid w:val="0091383D"/>
    <w:rsid w:val="00914D14"/>
    <w:rsid w:val="00914DE7"/>
    <w:rsid w:val="0091556B"/>
    <w:rsid w:val="009158C7"/>
    <w:rsid w:val="0091596D"/>
    <w:rsid w:val="009159C6"/>
    <w:rsid w:val="00915AD9"/>
    <w:rsid w:val="009165D7"/>
    <w:rsid w:val="0091694F"/>
    <w:rsid w:val="0091758A"/>
    <w:rsid w:val="00920223"/>
    <w:rsid w:val="00920DDC"/>
    <w:rsid w:val="0092176B"/>
    <w:rsid w:val="009218E1"/>
    <w:rsid w:val="009219BC"/>
    <w:rsid w:val="00922E8A"/>
    <w:rsid w:val="00922EA4"/>
    <w:rsid w:val="00923960"/>
    <w:rsid w:val="009257EA"/>
    <w:rsid w:val="009263AC"/>
    <w:rsid w:val="009269DB"/>
    <w:rsid w:val="00926C9B"/>
    <w:rsid w:val="00927298"/>
    <w:rsid w:val="00927FE4"/>
    <w:rsid w:val="00930641"/>
    <w:rsid w:val="00931C30"/>
    <w:rsid w:val="009321E2"/>
    <w:rsid w:val="009329A3"/>
    <w:rsid w:val="0093358E"/>
    <w:rsid w:val="009335B2"/>
    <w:rsid w:val="00933E00"/>
    <w:rsid w:val="00934000"/>
    <w:rsid w:val="00934E34"/>
    <w:rsid w:val="00936D92"/>
    <w:rsid w:val="00937B45"/>
    <w:rsid w:val="00940F89"/>
    <w:rsid w:val="009432CF"/>
    <w:rsid w:val="0094349D"/>
    <w:rsid w:val="00943A6C"/>
    <w:rsid w:val="00943A97"/>
    <w:rsid w:val="00943E5D"/>
    <w:rsid w:val="00945298"/>
    <w:rsid w:val="00945C5B"/>
    <w:rsid w:val="00946762"/>
    <w:rsid w:val="00946AE7"/>
    <w:rsid w:val="00947083"/>
    <w:rsid w:val="009476A9"/>
    <w:rsid w:val="009502A4"/>
    <w:rsid w:val="0095037A"/>
    <w:rsid w:val="009504F0"/>
    <w:rsid w:val="00951B0D"/>
    <w:rsid w:val="00952A44"/>
    <w:rsid w:val="0095330F"/>
    <w:rsid w:val="00953A26"/>
    <w:rsid w:val="00954141"/>
    <w:rsid w:val="00954184"/>
    <w:rsid w:val="00954DA7"/>
    <w:rsid w:val="00955011"/>
    <w:rsid w:val="00955ED0"/>
    <w:rsid w:val="009560DA"/>
    <w:rsid w:val="00956BF7"/>
    <w:rsid w:val="00957507"/>
    <w:rsid w:val="0095798F"/>
    <w:rsid w:val="009602B4"/>
    <w:rsid w:val="009603B6"/>
    <w:rsid w:val="00960A53"/>
    <w:rsid w:val="0096125D"/>
    <w:rsid w:val="009618EB"/>
    <w:rsid w:val="00961A87"/>
    <w:rsid w:val="00961DDE"/>
    <w:rsid w:val="009626D5"/>
    <w:rsid w:val="00962B6B"/>
    <w:rsid w:val="0096511F"/>
    <w:rsid w:val="00965225"/>
    <w:rsid w:val="00965486"/>
    <w:rsid w:val="00965CBB"/>
    <w:rsid w:val="00965CD2"/>
    <w:rsid w:val="00965D39"/>
    <w:rsid w:val="00966C2F"/>
    <w:rsid w:val="00967239"/>
    <w:rsid w:val="0096742A"/>
    <w:rsid w:val="009709FD"/>
    <w:rsid w:val="009713B6"/>
    <w:rsid w:val="009714E4"/>
    <w:rsid w:val="00972B2A"/>
    <w:rsid w:val="00972EB4"/>
    <w:rsid w:val="009733D6"/>
    <w:rsid w:val="0097512B"/>
    <w:rsid w:val="00975549"/>
    <w:rsid w:val="009762C0"/>
    <w:rsid w:val="00976DDA"/>
    <w:rsid w:val="00977170"/>
    <w:rsid w:val="009810FC"/>
    <w:rsid w:val="00982404"/>
    <w:rsid w:val="009831EF"/>
    <w:rsid w:val="00983ECF"/>
    <w:rsid w:val="00985636"/>
    <w:rsid w:val="00985E1F"/>
    <w:rsid w:val="00987F0B"/>
    <w:rsid w:val="00990341"/>
    <w:rsid w:val="00990827"/>
    <w:rsid w:val="00991E13"/>
    <w:rsid w:val="00991F31"/>
    <w:rsid w:val="00992F96"/>
    <w:rsid w:val="00993160"/>
    <w:rsid w:val="00993269"/>
    <w:rsid w:val="009934FA"/>
    <w:rsid w:val="00994B65"/>
    <w:rsid w:val="00995061"/>
    <w:rsid w:val="009951A5"/>
    <w:rsid w:val="00996624"/>
    <w:rsid w:val="00997381"/>
    <w:rsid w:val="009A02AE"/>
    <w:rsid w:val="009A04C1"/>
    <w:rsid w:val="009A1259"/>
    <w:rsid w:val="009A2272"/>
    <w:rsid w:val="009A48E1"/>
    <w:rsid w:val="009A4B5E"/>
    <w:rsid w:val="009A60B6"/>
    <w:rsid w:val="009A7112"/>
    <w:rsid w:val="009B0353"/>
    <w:rsid w:val="009B0F67"/>
    <w:rsid w:val="009B2A80"/>
    <w:rsid w:val="009B3DC3"/>
    <w:rsid w:val="009B3E7A"/>
    <w:rsid w:val="009B4089"/>
    <w:rsid w:val="009B4849"/>
    <w:rsid w:val="009B504C"/>
    <w:rsid w:val="009C089D"/>
    <w:rsid w:val="009C2607"/>
    <w:rsid w:val="009C2C6E"/>
    <w:rsid w:val="009C43CD"/>
    <w:rsid w:val="009C4A61"/>
    <w:rsid w:val="009C4D9D"/>
    <w:rsid w:val="009C5049"/>
    <w:rsid w:val="009C646B"/>
    <w:rsid w:val="009C6DF9"/>
    <w:rsid w:val="009C7398"/>
    <w:rsid w:val="009C7579"/>
    <w:rsid w:val="009C7984"/>
    <w:rsid w:val="009C7E34"/>
    <w:rsid w:val="009C7E6D"/>
    <w:rsid w:val="009D067C"/>
    <w:rsid w:val="009D132C"/>
    <w:rsid w:val="009D1530"/>
    <w:rsid w:val="009D1B59"/>
    <w:rsid w:val="009D2036"/>
    <w:rsid w:val="009D2316"/>
    <w:rsid w:val="009D3657"/>
    <w:rsid w:val="009D4FC2"/>
    <w:rsid w:val="009D67DB"/>
    <w:rsid w:val="009D67F6"/>
    <w:rsid w:val="009D6ECC"/>
    <w:rsid w:val="009E08D1"/>
    <w:rsid w:val="009E0FE1"/>
    <w:rsid w:val="009E31EB"/>
    <w:rsid w:val="009E4380"/>
    <w:rsid w:val="009E4BD0"/>
    <w:rsid w:val="009E6273"/>
    <w:rsid w:val="009E63E3"/>
    <w:rsid w:val="009E6931"/>
    <w:rsid w:val="009E7BD6"/>
    <w:rsid w:val="009F0239"/>
    <w:rsid w:val="009F14F6"/>
    <w:rsid w:val="009F2753"/>
    <w:rsid w:val="009F2764"/>
    <w:rsid w:val="009F28DE"/>
    <w:rsid w:val="009F2EC6"/>
    <w:rsid w:val="009F2F27"/>
    <w:rsid w:val="009F3756"/>
    <w:rsid w:val="009F40FA"/>
    <w:rsid w:val="009F522D"/>
    <w:rsid w:val="009F5248"/>
    <w:rsid w:val="009F661C"/>
    <w:rsid w:val="009F6B57"/>
    <w:rsid w:val="009F7E30"/>
    <w:rsid w:val="00A00627"/>
    <w:rsid w:val="00A006DE"/>
    <w:rsid w:val="00A00F16"/>
    <w:rsid w:val="00A01656"/>
    <w:rsid w:val="00A025AE"/>
    <w:rsid w:val="00A02820"/>
    <w:rsid w:val="00A02A15"/>
    <w:rsid w:val="00A03443"/>
    <w:rsid w:val="00A03F17"/>
    <w:rsid w:val="00A0406E"/>
    <w:rsid w:val="00A053FB"/>
    <w:rsid w:val="00A07A73"/>
    <w:rsid w:val="00A07C73"/>
    <w:rsid w:val="00A11307"/>
    <w:rsid w:val="00A113B7"/>
    <w:rsid w:val="00A13AF3"/>
    <w:rsid w:val="00A14878"/>
    <w:rsid w:val="00A14CEB"/>
    <w:rsid w:val="00A1504C"/>
    <w:rsid w:val="00A151EC"/>
    <w:rsid w:val="00A15D9B"/>
    <w:rsid w:val="00A15F33"/>
    <w:rsid w:val="00A16777"/>
    <w:rsid w:val="00A16970"/>
    <w:rsid w:val="00A17749"/>
    <w:rsid w:val="00A17AFC"/>
    <w:rsid w:val="00A17ED0"/>
    <w:rsid w:val="00A20468"/>
    <w:rsid w:val="00A20688"/>
    <w:rsid w:val="00A2129B"/>
    <w:rsid w:val="00A21388"/>
    <w:rsid w:val="00A21AE2"/>
    <w:rsid w:val="00A21DD0"/>
    <w:rsid w:val="00A2216C"/>
    <w:rsid w:val="00A2371C"/>
    <w:rsid w:val="00A242FD"/>
    <w:rsid w:val="00A24332"/>
    <w:rsid w:val="00A243D6"/>
    <w:rsid w:val="00A24551"/>
    <w:rsid w:val="00A249E2"/>
    <w:rsid w:val="00A24DCB"/>
    <w:rsid w:val="00A252B0"/>
    <w:rsid w:val="00A258F5"/>
    <w:rsid w:val="00A26786"/>
    <w:rsid w:val="00A26FC9"/>
    <w:rsid w:val="00A27791"/>
    <w:rsid w:val="00A27ABE"/>
    <w:rsid w:val="00A27B9D"/>
    <w:rsid w:val="00A301DB"/>
    <w:rsid w:val="00A30487"/>
    <w:rsid w:val="00A3311D"/>
    <w:rsid w:val="00A33466"/>
    <w:rsid w:val="00A336C2"/>
    <w:rsid w:val="00A33744"/>
    <w:rsid w:val="00A33B9D"/>
    <w:rsid w:val="00A34668"/>
    <w:rsid w:val="00A355F9"/>
    <w:rsid w:val="00A35B67"/>
    <w:rsid w:val="00A36B94"/>
    <w:rsid w:val="00A36EF4"/>
    <w:rsid w:val="00A3722D"/>
    <w:rsid w:val="00A37BC5"/>
    <w:rsid w:val="00A37D68"/>
    <w:rsid w:val="00A41355"/>
    <w:rsid w:val="00A4145F"/>
    <w:rsid w:val="00A41B05"/>
    <w:rsid w:val="00A429A6"/>
    <w:rsid w:val="00A437B6"/>
    <w:rsid w:val="00A43B92"/>
    <w:rsid w:val="00A447A6"/>
    <w:rsid w:val="00A454AB"/>
    <w:rsid w:val="00A458A2"/>
    <w:rsid w:val="00A50D6C"/>
    <w:rsid w:val="00A521FD"/>
    <w:rsid w:val="00A52288"/>
    <w:rsid w:val="00A52721"/>
    <w:rsid w:val="00A5288F"/>
    <w:rsid w:val="00A52BCB"/>
    <w:rsid w:val="00A54251"/>
    <w:rsid w:val="00A54B72"/>
    <w:rsid w:val="00A55B05"/>
    <w:rsid w:val="00A56BEE"/>
    <w:rsid w:val="00A60018"/>
    <w:rsid w:val="00A6179E"/>
    <w:rsid w:val="00A61CC0"/>
    <w:rsid w:val="00A61EA3"/>
    <w:rsid w:val="00A6306A"/>
    <w:rsid w:val="00A632D4"/>
    <w:rsid w:val="00A63562"/>
    <w:rsid w:val="00A63590"/>
    <w:rsid w:val="00A63FE9"/>
    <w:rsid w:val="00A64316"/>
    <w:rsid w:val="00A64869"/>
    <w:rsid w:val="00A64EC8"/>
    <w:rsid w:val="00A65381"/>
    <w:rsid w:val="00A6701D"/>
    <w:rsid w:val="00A70125"/>
    <w:rsid w:val="00A724C6"/>
    <w:rsid w:val="00A73094"/>
    <w:rsid w:val="00A73208"/>
    <w:rsid w:val="00A7337D"/>
    <w:rsid w:val="00A74457"/>
    <w:rsid w:val="00A7615D"/>
    <w:rsid w:val="00A7623E"/>
    <w:rsid w:val="00A7745C"/>
    <w:rsid w:val="00A7792E"/>
    <w:rsid w:val="00A77BD2"/>
    <w:rsid w:val="00A800FC"/>
    <w:rsid w:val="00A804D9"/>
    <w:rsid w:val="00A80BCD"/>
    <w:rsid w:val="00A80D35"/>
    <w:rsid w:val="00A810F9"/>
    <w:rsid w:val="00A83D82"/>
    <w:rsid w:val="00A84122"/>
    <w:rsid w:val="00A842B4"/>
    <w:rsid w:val="00A85440"/>
    <w:rsid w:val="00A8573B"/>
    <w:rsid w:val="00A8587D"/>
    <w:rsid w:val="00A861C6"/>
    <w:rsid w:val="00A8784B"/>
    <w:rsid w:val="00A87FF0"/>
    <w:rsid w:val="00A90441"/>
    <w:rsid w:val="00A90D45"/>
    <w:rsid w:val="00A90F87"/>
    <w:rsid w:val="00A92915"/>
    <w:rsid w:val="00A92929"/>
    <w:rsid w:val="00A92F35"/>
    <w:rsid w:val="00A92F92"/>
    <w:rsid w:val="00A966B0"/>
    <w:rsid w:val="00A96892"/>
    <w:rsid w:val="00A96909"/>
    <w:rsid w:val="00AA024B"/>
    <w:rsid w:val="00AA04AA"/>
    <w:rsid w:val="00AA0C3B"/>
    <w:rsid w:val="00AA0DEC"/>
    <w:rsid w:val="00AA1402"/>
    <w:rsid w:val="00AA2051"/>
    <w:rsid w:val="00AA2DDA"/>
    <w:rsid w:val="00AA3035"/>
    <w:rsid w:val="00AA4A38"/>
    <w:rsid w:val="00AA5103"/>
    <w:rsid w:val="00AA5D0C"/>
    <w:rsid w:val="00AA6585"/>
    <w:rsid w:val="00AA70C4"/>
    <w:rsid w:val="00AA7657"/>
    <w:rsid w:val="00AA7AC6"/>
    <w:rsid w:val="00AA7E23"/>
    <w:rsid w:val="00AB13D6"/>
    <w:rsid w:val="00AB2582"/>
    <w:rsid w:val="00AB2A51"/>
    <w:rsid w:val="00AB2AE8"/>
    <w:rsid w:val="00AB3545"/>
    <w:rsid w:val="00AB3559"/>
    <w:rsid w:val="00AB4CD8"/>
    <w:rsid w:val="00AB4CE7"/>
    <w:rsid w:val="00AB544B"/>
    <w:rsid w:val="00AB5A8D"/>
    <w:rsid w:val="00AB62DE"/>
    <w:rsid w:val="00AB6A2B"/>
    <w:rsid w:val="00AB7844"/>
    <w:rsid w:val="00AB7C8F"/>
    <w:rsid w:val="00AC00E7"/>
    <w:rsid w:val="00AC1BAF"/>
    <w:rsid w:val="00AC2192"/>
    <w:rsid w:val="00AC30D3"/>
    <w:rsid w:val="00AC3726"/>
    <w:rsid w:val="00AC3EE6"/>
    <w:rsid w:val="00AC3FC4"/>
    <w:rsid w:val="00AC426A"/>
    <w:rsid w:val="00AC5F62"/>
    <w:rsid w:val="00AC636D"/>
    <w:rsid w:val="00AC6442"/>
    <w:rsid w:val="00AC6EAC"/>
    <w:rsid w:val="00AC7026"/>
    <w:rsid w:val="00AC74EE"/>
    <w:rsid w:val="00AC7AB2"/>
    <w:rsid w:val="00AD08C1"/>
    <w:rsid w:val="00AD0F3E"/>
    <w:rsid w:val="00AD102A"/>
    <w:rsid w:val="00AD26EC"/>
    <w:rsid w:val="00AD2BDC"/>
    <w:rsid w:val="00AD369D"/>
    <w:rsid w:val="00AD49C9"/>
    <w:rsid w:val="00AD6591"/>
    <w:rsid w:val="00AD6BB8"/>
    <w:rsid w:val="00AD7103"/>
    <w:rsid w:val="00AD7E35"/>
    <w:rsid w:val="00AE0D01"/>
    <w:rsid w:val="00AE0D69"/>
    <w:rsid w:val="00AE0E0F"/>
    <w:rsid w:val="00AE1BE3"/>
    <w:rsid w:val="00AE284A"/>
    <w:rsid w:val="00AE32D3"/>
    <w:rsid w:val="00AE4137"/>
    <w:rsid w:val="00AE4682"/>
    <w:rsid w:val="00AE50B4"/>
    <w:rsid w:val="00AE5317"/>
    <w:rsid w:val="00AE5D87"/>
    <w:rsid w:val="00AE61B2"/>
    <w:rsid w:val="00AE667E"/>
    <w:rsid w:val="00AE6BCF"/>
    <w:rsid w:val="00AE7137"/>
    <w:rsid w:val="00AE7409"/>
    <w:rsid w:val="00AF0422"/>
    <w:rsid w:val="00AF05A6"/>
    <w:rsid w:val="00AF073C"/>
    <w:rsid w:val="00AF0D56"/>
    <w:rsid w:val="00AF15D4"/>
    <w:rsid w:val="00AF2E82"/>
    <w:rsid w:val="00AF3614"/>
    <w:rsid w:val="00AF3807"/>
    <w:rsid w:val="00AF3A17"/>
    <w:rsid w:val="00AF4FA1"/>
    <w:rsid w:val="00AF5329"/>
    <w:rsid w:val="00AF587A"/>
    <w:rsid w:val="00AF594B"/>
    <w:rsid w:val="00AF5E26"/>
    <w:rsid w:val="00AF5E89"/>
    <w:rsid w:val="00AF643A"/>
    <w:rsid w:val="00B00BD7"/>
    <w:rsid w:val="00B00F61"/>
    <w:rsid w:val="00B012BD"/>
    <w:rsid w:val="00B014B6"/>
    <w:rsid w:val="00B01786"/>
    <w:rsid w:val="00B02375"/>
    <w:rsid w:val="00B03635"/>
    <w:rsid w:val="00B04AF2"/>
    <w:rsid w:val="00B05C19"/>
    <w:rsid w:val="00B06095"/>
    <w:rsid w:val="00B06148"/>
    <w:rsid w:val="00B0653F"/>
    <w:rsid w:val="00B07808"/>
    <w:rsid w:val="00B10611"/>
    <w:rsid w:val="00B117EF"/>
    <w:rsid w:val="00B11A07"/>
    <w:rsid w:val="00B11B3F"/>
    <w:rsid w:val="00B12314"/>
    <w:rsid w:val="00B142F9"/>
    <w:rsid w:val="00B1447A"/>
    <w:rsid w:val="00B145BC"/>
    <w:rsid w:val="00B148B5"/>
    <w:rsid w:val="00B1509F"/>
    <w:rsid w:val="00B153CD"/>
    <w:rsid w:val="00B156A6"/>
    <w:rsid w:val="00B157A2"/>
    <w:rsid w:val="00B15A5B"/>
    <w:rsid w:val="00B16B20"/>
    <w:rsid w:val="00B17753"/>
    <w:rsid w:val="00B17757"/>
    <w:rsid w:val="00B177C4"/>
    <w:rsid w:val="00B17ACF"/>
    <w:rsid w:val="00B20D7C"/>
    <w:rsid w:val="00B20FDF"/>
    <w:rsid w:val="00B21179"/>
    <w:rsid w:val="00B2254F"/>
    <w:rsid w:val="00B2272B"/>
    <w:rsid w:val="00B228F4"/>
    <w:rsid w:val="00B22CFB"/>
    <w:rsid w:val="00B237FB"/>
    <w:rsid w:val="00B23D6F"/>
    <w:rsid w:val="00B2477F"/>
    <w:rsid w:val="00B24B1D"/>
    <w:rsid w:val="00B25F1D"/>
    <w:rsid w:val="00B269F8"/>
    <w:rsid w:val="00B26C33"/>
    <w:rsid w:val="00B277E0"/>
    <w:rsid w:val="00B30387"/>
    <w:rsid w:val="00B303F2"/>
    <w:rsid w:val="00B30C22"/>
    <w:rsid w:val="00B32335"/>
    <w:rsid w:val="00B325EB"/>
    <w:rsid w:val="00B33565"/>
    <w:rsid w:val="00B33AE5"/>
    <w:rsid w:val="00B33E95"/>
    <w:rsid w:val="00B3443B"/>
    <w:rsid w:val="00B34946"/>
    <w:rsid w:val="00B353C2"/>
    <w:rsid w:val="00B35BFA"/>
    <w:rsid w:val="00B36462"/>
    <w:rsid w:val="00B37CED"/>
    <w:rsid w:val="00B402DD"/>
    <w:rsid w:val="00B4076B"/>
    <w:rsid w:val="00B427F3"/>
    <w:rsid w:val="00B42A83"/>
    <w:rsid w:val="00B4418D"/>
    <w:rsid w:val="00B45818"/>
    <w:rsid w:val="00B4595F"/>
    <w:rsid w:val="00B46A3D"/>
    <w:rsid w:val="00B46EEC"/>
    <w:rsid w:val="00B47A8B"/>
    <w:rsid w:val="00B47BC0"/>
    <w:rsid w:val="00B5042B"/>
    <w:rsid w:val="00B505A5"/>
    <w:rsid w:val="00B50941"/>
    <w:rsid w:val="00B519FD"/>
    <w:rsid w:val="00B52029"/>
    <w:rsid w:val="00B520BC"/>
    <w:rsid w:val="00B52588"/>
    <w:rsid w:val="00B5288F"/>
    <w:rsid w:val="00B52A51"/>
    <w:rsid w:val="00B53882"/>
    <w:rsid w:val="00B539CC"/>
    <w:rsid w:val="00B53BDF"/>
    <w:rsid w:val="00B55C74"/>
    <w:rsid w:val="00B56136"/>
    <w:rsid w:val="00B56D36"/>
    <w:rsid w:val="00B57946"/>
    <w:rsid w:val="00B57D3E"/>
    <w:rsid w:val="00B57E10"/>
    <w:rsid w:val="00B60E07"/>
    <w:rsid w:val="00B612D4"/>
    <w:rsid w:val="00B619AC"/>
    <w:rsid w:val="00B61FF1"/>
    <w:rsid w:val="00B63D24"/>
    <w:rsid w:val="00B64934"/>
    <w:rsid w:val="00B64E07"/>
    <w:rsid w:val="00B6558A"/>
    <w:rsid w:val="00B65D6E"/>
    <w:rsid w:val="00B65DCF"/>
    <w:rsid w:val="00B70447"/>
    <w:rsid w:val="00B727D0"/>
    <w:rsid w:val="00B7345E"/>
    <w:rsid w:val="00B740E8"/>
    <w:rsid w:val="00B74373"/>
    <w:rsid w:val="00B752AE"/>
    <w:rsid w:val="00B75646"/>
    <w:rsid w:val="00B75C29"/>
    <w:rsid w:val="00B762B0"/>
    <w:rsid w:val="00B76C7D"/>
    <w:rsid w:val="00B803EA"/>
    <w:rsid w:val="00B80A6D"/>
    <w:rsid w:val="00B80E1D"/>
    <w:rsid w:val="00B81577"/>
    <w:rsid w:val="00B82804"/>
    <w:rsid w:val="00B83526"/>
    <w:rsid w:val="00B83614"/>
    <w:rsid w:val="00B8361D"/>
    <w:rsid w:val="00B8560E"/>
    <w:rsid w:val="00B8602E"/>
    <w:rsid w:val="00B8648D"/>
    <w:rsid w:val="00B86557"/>
    <w:rsid w:val="00B86B2A"/>
    <w:rsid w:val="00B86C68"/>
    <w:rsid w:val="00B86CF2"/>
    <w:rsid w:val="00B87EB5"/>
    <w:rsid w:val="00B9066B"/>
    <w:rsid w:val="00B90B66"/>
    <w:rsid w:val="00B91116"/>
    <w:rsid w:val="00B924E6"/>
    <w:rsid w:val="00B937A9"/>
    <w:rsid w:val="00B94148"/>
    <w:rsid w:val="00B9483A"/>
    <w:rsid w:val="00B95721"/>
    <w:rsid w:val="00B957C5"/>
    <w:rsid w:val="00B9641C"/>
    <w:rsid w:val="00B971CF"/>
    <w:rsid w:val="00BA0AA1"/>
    <w:rsid w:val="00BA1B11"/>
    <w:rsid w:val="00BA2383"/>
    <w:rsid w:val="00BA262D"/>
    <w:rsid w:val="00BA4CE8"/>
    <w:rsid w:val="00BA4E3E"/>
    <w:rsid w:val="00BA5698"/>
    <w:rsid w:val="00BA5EA0"/>
    <w:rsid w:val="00BA6478"/>
    <w:rsid w:val="00BB1EBD"/>
    <w:rsid w:val="00BB2091"/>
    <w:rsid w:val="00BB222A"/>
    <w:rsid w:val="00BB247B"/>
    <w:rsid w:val="00BB3A8E"/>
    <w:rsid w:val="00BB3B93"/>
    <w:rsid w:val="00BB42E7"/>
    <w:rsid w:val="00BB4AE4"/>
    <w:rsid w:val="00BB541B"/>
    <w:rsid w:val="00BB56A4"/>
    <w:rsid w:val="00BB6CC4"/>
    <w:rsid w:val="00BB6E9F"/>
    <w:rsid w:val="00BB726E"/>
    <w:rsid w:val="00BB7FC3"/>
    <w:rsid w:val="00BB7FE7"/>
    <w:rsid w:val="00BC099F"/>
    <w:rsid w:val="00BC1EC6"/>
    <w:rsid w:val="00BC2A31"/>
    <w:rsid w:val="00BC2A99"/>
    <w:rsid w:val="00BC34CA"/>
    <w:rsid w:val="00BC45D8"/>
    <w:rsid w:val="00BC4B70"/>
    <w:rsid w:val="00BC4EE9"/>
    <w:rsid w:val="00BC55C1"/>
    <w:rsid w:val="00BC568F"/>
    <w:rsid w:val="00BC5DF9"/>
    <w:rsid w:val="00BC6244"/>
    <w:rsid w:val="00BC6ADF"/>
    <w:rsid w:val="00BC745B"/>
    <w:rsid w:val="00BC7993"/>
    <w:rsid w:val="00BC79EB"/>
    <w:rsid w:val="00BD1B62"/>
    <w:rsid w:val="00BD2627"/>
    <w:rsid w:val="00BD3346"/>
    <w:rsid w:val="00BD3D5D"/>
    <w:rsid w:val="00BD427B"/>
    <w:rsid w:val="00BD46E5"/>
    <w:rsid w:val="00BD4FC0"/>
    <w:rsid w:val="00BD796A"/>
    <w:rsid w:val="00BD7F9D"/>
    <w:rsid w:val="00BD7FCF"/>
    <w:rsid w:val="00BE071E"/>
    <w:rsid w:val="00BE127D"/>
    <w:rsid w:val="00BE1403"/>
    <w:rsid w:val="00BE23ED"/>
    <w:rsid w:val="00BE2A88"/>
    <w:rsid w:val="00BE36DD"/>
    <w:rsid w:val="00BE39A0"/>
    <w:rsid w:val="00BE400D"/>
    <w:rsid w:val="00BE40F7"/>
    <w:rsid w:val="00BE4714"/>
    <w:rsid w:val="00BE4824"/>
    <w:rsid w:val="00BF01DB"/>
    <w:rsid w:val="00BF022B"/>
    <w:rsid w:val="00BF03DD"/>
    <w:rsid w:val="00BF07D3"/>
    <w:rsid w:val="00BF0AC9"/>
    <w:rsid w:val="00BF16EF"/>
    <w:rsid w:val="00BF2450"/>
    <w:rsid w:val="00BF28D0"/>
    <w:rsid w:val="00BF29F0"/>
    <w:rsid w:val="00BF2B3F"/>
    <w:rsid w:val="00BF3299"/>
    <w:rsid w:val="00BF3DC3"/>
    <w:rsid w:val="00BF6406"/>
    <w:rsid w:val="00BF6461"/>
    <w:rsid w:val="00BF6FAE"/>
    <w:rsid w:val="00BF73EB"/>
    <w:rsid w:val="00BF7AF9"/>
    <w:rsid w:val="00C00360"/>
    <w:rsid w:val="00C00577"/>
    <w:rsid w:val="00C00F3E"/>
    <w:rsid w:val="00C01339"/>
    <w:rsid w:val="00C01B03"/>
    <w:rsid w:val="00C0288E"/>
    <w:rsid w:val="00C0394C"/>
    <w:rsid w:val="00C03CC1"/>
    <w:rsid w:val="00C044F3"/>
    <w:rsid w:val="00C055CB"/>
    <w:rsid w:val="00C0607F"/>
    <w:rsid w:val="00C064DC"/>
    <w:rsid w:val="00C06D34"/>
    <w:rsid w:val="00C06FFF"/>
    <w:rsid w:val="00C079BB"/>
    <w:rsid w:val="00C07EB0"/>
    <w:rsid w:val="00C109F8"/>
    <w:rsid w:val="00C10EB3"/>
    <w:rsid w:val="00C11169"/>
    <w:rsid w:val="00C120A5"/>
    <w:rsid w:val="00C124D9"/>
    <w:rsid w:val="00C133C7"/>
    <w:rsid w:val="00C149BD"/>
    <w:rsid w:val="00C160BD"/>
    <w:rsid w:val="00C17932"/>
    <w:rsid w:val="00C20B1C"/>
    <w:rsid w:val="00C218CF"/>
    <w:rsid w:val="00C21A51"/>
    <w:rsid w:val="00C21B76"/>
    <w:rsid w:val="00C21E49"/>
    <w:rsid w:val="00C23349"/>
    <w:rsid w:val="00C240F1"/>
    <w:rsid w:val="00C25BDA"/>
    <w:rsid w:val="00C26219"/>
    <w:rsid w:val="00C26E49"/>
    <w:rsid w:val="00C27193"/>
    <w:rsid w:val="00C30D33"/>
    <w:rsid w:val="00C31A04"/>
    <w:rsid w:val="00C321AF"/>
    <w:rsid w:val="00C33104"/>
    <w:rsid w:val="00C332D4"/>
    <w:rsid w:val="00C33756"/>
    <w:rsid w:val="00C33C0E"/>
    <w:rsid w:val="00C33FE4"/>
    <w:rsid w:val="00C3484F"/>
    <w:rsid w:val="00C348D4"/>
    <w:rsid w:val="00C359F0"/>
    <w:rsid w:val="00C35A96"/>
    <w:rsid w:val="00C36571"/>
    <w:rsid w:val="00C377F3"/>
    <w:rsid w:val="00C3797A"/>
    <w:rsid w:val="00C37B7F"/>
    <w:rsid w:val="00C40FA5"/>
    <w:rsid w:val="00C4114C"/>
    <w:rsid w:val="00C41C15"/>
    <w:rsid w:val="00C41FE3"/>
    <w:rsid w:val="00C43D30"/>
    <w:rsid w:val="00C43EF6"/>
    <w:rsid w:val="00C444AE"/>
    <w:rsid w:val="00C44711"/>
    <w:rsid w:val="00C44961"/>
    <w:rsid w:val="00C44AF5"/>
    <w:rsid w:val="00C46704"/>
    <w:rsid w:val="00C47065"/>
    <w:rsid w:val="00C47BAE"/>
    <w:rsid w:val="00C50873"/>
    <w:rsid w:val="00C51011"/>
    <w:rsid w:val="00C5251C"/>
    <w:rsid w:val="00C52B84"/>
    <w:rsid w:val="00C53ACC"/>
    <w:rsid w:val="00C54294"/>
    <w:rsid w:val="00C544C3"/>
    <w:rsid w:val="00C545A9"/>
    <w:rsid w:val="00C5477E"/>
    <w:rsid w:val="00C548F4"/>
    <w:rsid w:val="00C560AC"/>
    <w:rsid w:val="00C5656B"/>
    <w:rsid w:val="00C565DC"/>
    <w:rsid w:val="00C567CC"/>
    <w:rsid w:val="00C56BFE"/>
    <w:rsid w:val="00C5781C"/>
    <w:rsid w:val="00C60343"/>
    <w:rsid w:val="00C604C0"/>
    <w:rsid w:val="00C604E4"/>
    <w:rsid w:val="00C60ACF"/>
    <w:rsid w:val="00C60F3D"/>
    <w:rsid w:val="00C61FDA"/>
    <w:rsid w:val="00C626A1"/>
    <w:rsid w:val="00C62805"/>
    <w:rsid w:val="00C659A0"/>
    <w:rsid w:val="00C700E1"/>
    <w:rsid w:val="00C70283"/>
    <w:rsid w:val="00C709F1"/>
    <w:rsid w:val="00C71890"/>
    <w:rsid w:val="00C72BA0"/>
    <w:rsid w:val="00C745CC"/>
    <w:rsid w:val="00C75CBD"/>
    <w:rsid w:val="00C77E5F"/>
    <w:rsid w:val="00C80E78"/>
    <w:rsid w:val="00C80EAC"/>
    <w:rsid w:val="00C82271"/>
    <w:rsid w:val="00C84C32"/>
    <w:rsid w:val="00C854D4"/>
    <w:rsid w:val="00C855C7"/>
    <w:rsid w:val="00C85802"/>
    <w:rsid w:val="00C85DBD"/>
    <w:rsid w:val="00C862F4"/>
    <w:rsid w:val="00C86324"/>
    <w:rsid w:val="00C87342"/>
    <w:rsid w:val="00C87986"/>
    <w:rsid w:val="00C90556"/>
    <w:rsid w:val="00C905B2"/>
    <w:rsid w:val="00C910E3"/>
    <w:rsid w:val="00C91185"/>
    <w:rsid w:val="00C91B76"/>
    <w:rsid w:val="00C93113"/>
    <w:rsid w:val="00C932D2"/>
    <w:rsid w:val="00C93BC4"/>
    <w:rsid w:val="00C93F07"/>
    <w:rsid w:val="00C94BDD"/>
    <w:rsid w:val="00C95841"/>
    <w:rsid w:val="00C95931"/>
    <w:rsid w:val="00C95AC9"/>
    <w:rsid w:val="00C967CF"/>
    <w:rsid w:val="00C96A09"/>
    <w:rsid w:val="00C9711F"/>
    <w:rsid w:val="00C971D1"/>
    <w:rsid w:val="00C9735D"/>
    <w:rsid w:val="00C97F70"/>
    <w:rsid w:val="00CA0D78"/>
    <w:rsid w:val="00CA1FE2"/>
    <w:rsid w:val="00CA244F"/>
    <w:rsid w:val="00CA2B4E"/>
    <w:rsid w:val="00CA2D21"/>
    <w:rsid w:val="00CA3DE8"/>
    <w:rsid w:val="00CA4855"/>
    <w:rsid w:val="00CA489E"/>
    <w:rsid w:val="00CA5D90"/>
    <w:rsid w:val="00CA5F85"/>
    <w:rsid w:val="00CA6397"/>
    <w:rsid w:val="00CA6CAD"/>
    <w:rsid w:val="00CA735C"/>
    <w:rsid w:val="00CA7FF4"/>
    <w:rsid w:val="00CB0D46"/>
    <w:rsid w:val="00CB1681"/>
    <w:rsid w:val="00CB20D7"/>
    <w:rsid w:val="00CB2325"/>
    <w:rsid w:val="00CB24FE"/>
    <w:rsid w:val="00CB2BF2"/>
    <w:rsid w:val="00CB33CC"/>
    <w:rsid w:val="00CB3587"/>
    <w:rsid w:val="00CB380A"/>
    <w:rsid w:val="00CB3E75"/>
    <w:rsid w:val="00CB5AED"/>
    <w:rsid w:val="00CB5C64"/>
    <w:rsid w:val="00CB61F3"/>
    <w:rsid w:val="00CC08B8"/>
    <w:rsid w:val="00CC1B72"/>
    <w:rsid w:val="00CC2014"/>
    <w:rsid w:val="00CC2AA0"/>
    <w:rsid w:val="00CC47C4"/>
    <w:rsid w:val="00CC6281"/>
    <w:rsid w:val="00CC7E37"/>
    <w:rsid w:val="00CD0232"/>
    <w:rsid w:val="00CD1E66"/>
    <w:rsid w:val="00CD1FCC"/>
    <w:rsid w:val="00CD2564"/>
    <w:rsid w:val="00CD2845"/>
    <w:rsid w:val="00CD2C8E"/>
    <w:rsid w:val="00CD2D92"/>
    <w:rsid w:val="00CD2F05"/>
    <w:rsid w:val="00CD3161"/>
    <w:rsid w:val="00CD46F8"/>
    <w:rsid w:val="00CD48E1"/>
    <w:rsid w:val="00CD50A4"/>
    <w:rsid w:val="00CD58FD"/>
    <w:rsid w:val="00CD6456"/>
    <w:rsid w:val="00CD6BB4"/>
    <w:rsid w:val="00CD7E07"/>
    <w:rsid w:val="00CE1494"/>
    <w:rsid w:val="00CE17DA"/>
    <w:rsid w:val="00CE1851"/>
    <w:rsid w:val="00CE19B4"/>
    <w:rsid w:val="00CE1D67"/>
    <w:rsid w:val="00CE5032"/>
    <w:rsid w:val="00CE6A35"/>
    <w:rsid w:val="00CE70CD"/>
    <w:rsid w:val="00CE758F"/>
    <w:rsid w:val="00CF0B1D"/>
    <w:rsid w:val="00CF0C9D"/>
    <w:rsid w:val="00CF0E51"/>
    <w:rsid w:val="00CF15DB"/>
    <w:rsid w:val="00CF1E54"/>
    <w:rsid w:val="00CF2484"/>
    <w:rsid w:val="00CF259B"/>
    <w:rsid w:val="00CF39D0"/>
    <w:rsid w:val="00CF4037"/>
    <w:rsid w:val="00CF4067"/>
    <w:rsid w:val="00CF44A6"/>
    <w:rsid w:val="00CF5AA7"/>
    <w:rsid w:val="00CF6820"/>
    <w:rsid w:val="00CF6B75"/>
    <w:rsid w:val="00CF77E4"/>
    <w:rsid w:val="00CF79FB"/>
    <w:rsid w:val="00CF7BF4"/>
    <w:rsid w:val="00CF7CB5"/>
    <w:rsid w:val="00D02074"/>
    <w:rsid w:val="00D03307"/>
    <w:rsid w:val="00D05930"/>
    <w:rsid w:val="00D05C72"/>
    <w:rsid w:val="00D06102"/>
    <w:rsid w:val="00D10347"/>
    <w:rsid w:val="00D11B21"/>
    <w:rsid w:val="00D126CD"/>
    <w:rsid w:val="00D139D0"/>
    <w:rsid w:val="00D13E42"/>
    <w:rsid w:val="00D14D52"/>
    <w:rsid w:val="00D14D75"/>
    <w:rsid w:val="00D15892"/>
    <w:rsid w:val="00D16013"/>
    <w:rsid w:val="00D162A7"/>
    <w:rsid w:val="00D162B2"/>
    <w:rsid w:val="00D16C31"/>
    <w:rsid w:val="00D17A8F"/>
    <w:rsid w:val="00D17E1C"/>
    <w:rsid w:val="00D20252"/>
    <w:rsid w:val="00D2590C"/>
    <w:rsid w:val="00D25BE6"/>
    <w:rsid w:val="00D25FDE"/>
    <w:rsid w:val="00D263D1"/>
    <w:rsid w:val="00D27131"/>
    <w:rsid w:val="00D277DF"/>
    <w:rsid w:val="00D278E2"/>
    <w:rsid w:val="00D3135E"/>
    <w:rsid w:val="00D324B5"/>
    <w:rsid w:val="00D32A8B"/>
    <w:rsid w:val="00D337FF"/>
    <w:rsid w:val="00D33EE7"/>
    <w:rsid w:val="00D343FA"/>
    <w:rsid w:val="00D35848"/>
    <w:rsid w:val="00D35EB8"/>
    <w:rsid w:val="00D36B3C"/>
    <w:rsid w:val="00D3736C"/>
    <w:rsid w:val="00D3776E"/>
    <w:rsid w:val="00D40CE1"/>
    <w:rsid w:val="00D4158B"/>
    <w:rsid w:val="00D418FF"/>
    <w:rsid w:val="00D4461F"/>
    <w:rsid w:val="00D4691C"/>
    <w:rsid w:val="00D477D2"/>
    <w:rsid w:val="00D47EB1"/>
    <w:rsid w:val="00D50934"/>
    <w:rsid w:val="00D529C2"/>
    <w:rsid w:val="00D52D42"/>
    <w:rsid w:val="00D54954"/>
    <w:rsid w:val="00D5500B"/>
    <w:rsid w:val="00D5506E"/>
    <w:rsid w:val="00D55396"/>
    <w:rsid w:val="00D554E4"/>
    <w:rsid w:val="00D566AB"/>
    <w:rsid w:val="00D57606"/>
    <w:rsid w:val="00D57D88"/>
    <w:rsid w:val="00D618FE"/>
    <w:rsid w:val="00D62384"/>
    <w:rsid w:val="00D625CF"/>
    <w:rsid w:val="00D63833"/>
    <w:rsid w:val="00D63BA2"/>
    <w:rsid w:val="00D64CC3"/>
    <w:rsid w:val="00D65B68"/>
    <w:rsid w:val="00D65C76"/>
    <w:rsid w:val="00D66789"/>
    <w:rsid w:val="00D67580"/>
    <w:rsid w:val="00D70B7F"/>
    <w:rsid w:val="00D70EA6"/>
    <w:rsid w:val="00D71EE7"/>
    <w:rsid w:val="00D72724"/>
    <w:rsid w:val="00D72946"/>
    <w:rsid w:val="00D734C7"/>
    <w:rsid w:val="00D73C69"/>
    <w:rsid w:val="00D7542B"/>
    <w:rsid w:val="00D76A67"/>
    <w:rsid w:val="00D80AFB"/>
    <w:rsid w:val="00D81149"/>
    <w:rsid w:val="00D817F2"/>
    <w:rsid w:val="00D8252D"/>
    <w:rsid w:val="00D829B9"/>
    <w:rsid w:val="00D82BBD"/>
    <w:rsid w:val="00D8312B"/>
    <w:rsid w:val="00D8351F"/>
    <w:rsid w:val="00D843CA"/>
    <w:rsid w:val="00D854A4"/>
    <w:rsid w:val="00D86112"/>
    <w:rsid w:val="00D87525"/>
    <w:rsid w:val="00D900A1"/>
    <w:rsid w:val="00D902DB"/>
    <w:rsid w:val="00D914DD"/>
    <w:rsid w:val="00D919B3"/>
    <w:rsid w:val="00D91B4B"/>
    <w:rsid w:val="00D91B69"/>
    <w:rsid w:val="00D91FCA"/>
    <w:rsid w:val="00D926FA"/>
    <w:rsid w:val="00D92CAB"/>
    <w:rsid w:val="00D9382B"/>
    <w:rsid w:val="00D94194"/>
    <w:rsid w:val="00D9495E"/>
    <w:rsid w:val="00D94CA1"/>
    <w:rsid w:val="00DA09A8"/>
    <w:rsid w:val="00DA0FDF"/>
    <w:rsid w:val="00DA1D32"/>
    <w:rsid w:val="00DA27F8"/>
    <w:rsid w:val="00DA2F73"/>
    <w:rsid w:val="00DA3441"/>
    <w:rsid w:val="00DA34A1"/>
    <w:rsid w:val="00DA3AD1"/>
    <w:rsid w:val="00DA4869"/>
    <w:rsid w:val="00DA48B5"/>
    <w:rsid w:val="00DA4BFA"/>
    <w:rsid w:val="00DA50D4"/>
    <w:rsid w:val="00DA5477"/>
    <w:rsid w:val="00DA7093"/>
    <w:rsid w:val="00DA725C"/>
    <w:rsid w:val="00DA7A55"/>
    <w:rsid w:val="00DB043F"/>
    <w:rsid w:val="00DB057B"/>
    <w:rsid w:val="00DB0677"/>
    <w:rsid w:val="00DB1B65"/>
    <w:rsid w:val="00DB2306"/>
    <w:rsid w:val="00DB426F"/>
    <w:rsid w:val="00DB52AF"/>
    <w:rsid w:val="00DB6AF3"/>
    <w:rsid w:val="00DB7A24"/>
    <w:rsid w:val="00DB7BAE"/>
    <w:rsid w:val="00DB7CC8"/>
    <w:rsid w:val="00DC02CC"/>
    <w:rsid w:val="00DC261E"/>
    <w:rsid w:val="00DC2F7E"/>
    <w:rsid w:val="00DC307B"/>
    <w:rsid w:val="00DC343B"/>
    <w:rsid w:val="00DC38F1"/>
    <w:rsid w:val="00DC462F"/>
    <w:rsid w:val="00DC499A"/>
    <w:rsid w:val="00DC4BEA"/>
    <w:rsid w:val="00DC6656"/>
    <w:rsid w:val="00DC6B12"/>
    <w:rsid w:val="00DC73E4"/>
    <w:rsid w:val="00DC73FE"/>
    <w:rsid w:val="00DC7A9A"/>
    <w:rsid w:val="00DC7B1A"/>
    <w:rsid w:val="00DD089F"/>
    <w:rsid w:val="00DD098C"/>
    <w:rsid w:val="00DD152B"/>
    <w:rsid w:val="00DD2428"/>
    <w:rsid w:val="00DD308A"/>
    <w:rsid w:val="00DD3A0D"/>
    <w:rsid w:val="00DD6A21"/>
    <w:rsid w:val="00DE18A7"/>
    <w:rsid w:val="00DE22E4"/>
    <w:rsid w:val="00DE2746"/>
    <w:rsid w:val="00DE2EFB"/>
    <w:rsid w:val="00DE60CA"/>
    <w:rsid w:val="00DE6614"/>
    <w:rsid w:val="00DE6C9C"/>
    <w:rsid w:val="00DE7736"/>
    <w:rsid w:val="00DF049C"/>
    <w:rsid w:val="00DF175F"/>
    <w:rsid w:val="00DF2BA4"/>
    <w:rsid w:val="00DF30DE"/>
    <w:rsid w:val="00DF3583"/>
    <w:rsid w:val="00DF3BE2"/>
    <w:rsid w:val="00DF3BEB"/>
    <w:rsid w:val="00DF48A6"/>
    <w:rsid w:val="00DF4FF0"/>
    <w:rsid w:val="00DF5E6F"/>
    <w:rsid w:val="00DF6AB3"/>
    <w:rsid w:val="00E017D3"/>
    <w:rsid w:val="00E02517"/>
    <w:rsid w:val="00E028F6"/>
    <w:rsid w:val="00E0305C"/>
    <w:rsid w:val="00E03D66"/>
    <w:rsid w:val="00E03FFF"/>
    <w:rsid w:val="00E051E2"/>
    <w:rsid w:val="00E0680A"/>
    <w:rsid w:val="00E11055"/>
    <w:rsid w:val="00E1199B"/>
    <w:rsid w:val="00E12807"/>
    <w:rsid w:val="00E13E83"/>
    <w:rsid w:val="00E1474C"/>
    <w:rsid w:val="00E14833"/>
    <w:rsid w:val="00E14E91"/>
    <w:rsid w:val="00E1513C"/>
    <w:rsid w:val="00E1675F"/>
    <w:rsid w:val="00E16778"/>
    <w:rsid w:val="00E17A75"/>
    <w:rsid w:val="00E200AF"/>
    <w:rsid w:val="00E22080"/>
    <w:rsid w:val="00E2214A"/>
    <w:rsid w:val="00E22231"/>
    <w:rsid w:val="00E22396"/>
    <w:rsid w:val="00E237BE"/>
    <w:rsid w:val="00E23F50"/>
    <w:rsid w:val="00E24B22"/>
    <w:rsid w:val="00E24FA3"/>
    <w:rsid w:val="00E254F3"/>
    <w:rsid w:val="00E25E6D"/>
    <w:rsid w:val="00E26154"/>
    <w:rsid w:val="00E26482"/>
    <w:rsid w:val="00E266C1"/>
    <w:rsid w:val="00E26B06"/>
    <w:rsid w:val="00E26B28"/>
    <w:rsid w:val="00E26B30"/>
    <w:rsid w:val="00E27673"/>
    <w:rsid w:val="00E2795A"/>
    <w:rsid w:val="00E27D14"/>
    <w:rsid w:val="00E27E61"/>
    <w:rsid w:val="00E31465"/>
    <w:rsid w:val="00E31916"/>
    <w:rsid w:val="00E31CFB"/>
    <w:rsid w:val="00E328CD"/>
    <w:rsid w:val="00E3364D"/>
    <w:rsid w:val="00E3489E"/>
    <w:rsid w:val="00E34A58"/>
    <w:rsid w:val="00E34FF2"/>
    <w:rsid w:val="00E355F1"/>
    <w:rsid w:val="00E35D6B"/>
    <w:rsid w:val="00E362F0"/>
    <w:rsid w:val="00E364F3"/>
    <w:rsid w:val="00E36B80"/>
    <w:rsid w:val="00E36B95"/>
    <w:rsid w:val="00E36D10"/>
    <w:rsid w:val="00E371D5"/>
    <w:rsid w:val="00E4003F"/>
    <w:rsid w:val="00E4140F"/>
    <w:rsid w:val="00E41BBE"/>
    <w:rsid w:val="00E41E53"/>
    <w:rsid w:val="00E41F04"/>
    <w:rsid w:val="00E422CF"/>
    <w:rsid w:val="00E436BB"/>
    <w:rsid w:val="00E458F6"/>
    <w:rsid w:val="00E45954"/>
    <w:rsid w:val="00E46689"/>
    <w:rsid w:val="00E46704"/>
    <w:rsid w:val="00E50788"/>
    <w:rsid w:val="00E50A7C"/>
    <w:rsid w:val="00E50C7E"/>
    <w:rsid w:val="00E51D3A"/>
    <w:rsid w:val="00E52AB1"/>
    <w:rsid w:val="00E53546"/>
    <w:rsid w:val="00E535F2"/>
    <w:rsid w:val="00E53B7C"/>
    <w:rsid w:val="00E5430C"/>
    <w:rsid w:val="00E5536F"/>
    <w:rsid w:val="00E55392"/>
    <w:rsid w:val="00E553A2"/>
    <w:rsid w:val="00E55F24"/>
    <w:rsid w:val="00E5684C"/>
    <w:rsid w:val="00E57740"/>
    <w:rsid w:val="00E57DF4"/>
    <w:rsid w:val="00E603E8"/>
    <w:rsid w:val="00E61859"/>
    <w:rsid w:val="00E61E42"/>
    <w:rsid w:val="00E62A88"/>
    <w:rsid w:val="00E6503B"/>
    <w:rsid w:val="00E6546B"/>
    <w:rsid w:val="00E6590B"/>
    <w:rsid w:val="00E65C8B"/>
    <w:rsid w:val="00E66FC4"/>
    <w:rsid w:val="00E67D7B"/>
    <w:rsid w:val="00E70158"/>
    <w:rsid w:val="00E70277"/>
    <w:rsid w:val="00E71105"/>
    <w:rsid w:val="00E71206"/>
    <w:rsid w:val="00E73857"/>
    <w:rsid w:val="00E73CD3"/>
    <w:rsid w:val="00E746F7"/>
    <w:rsid w:val="00E74937"/>
    <w:rsid w:val="00E74A32"/>
    <w:rsid w:val="00E754BB"/>
    <w:rsid w:val="00E75586"/>
    <w:rsid w:val="00E76FF1"/>
    <w:rsid w:val="00E77530"/>
    <w:rsid w:val="00E77A08"/>
    <w:rsid w:val="00E80955"/>
    <w:rsid w:val="00E80BC6"/>
    <w:rsid w:val="00E8116E"/>
    <w:rsid w:val="00E81DE9"/>
    <w:rsid w:val="00E82230"/>
    <w:rsid w:val="00E82794"/>
    <w:rsid w:val="00E82966"/>
    <w:rsid w:val="00E82B4A"/>
    <w:rsid w:val="00E83655"/>
    <w:rsid w:val="00E839BE"/>
    <w:rsid w:val="00E839CF"/>
    <w:rsid w:val="00E83EC5"/>
    <w:rsid w:val="00E84E4D"/>
    <w:rsid w:val="00E85AD9"/>
    <w:rsid w:val="00E85E4C"/>
    <w:rsid w:val="00E865FD"/>
    <w:rsid w:val="00E928E0"/>
    <w:rsid w:val="00E92B94"/>
    <w:rsid w:val="00E92F83"/>
    <w:rsid w:val="00E941A9"/>
    <w:rsid w:val="00E94318"/>
    <w:rsid w:val="00E943A4"/>
    <w:rsid w:val="00E96036"/>
    <w:rsid w:val="00E96546"/>
    <w:rsid w:val="00E96BF7"/>
    <w:rsid w:val="00EA0120"/>
    <w:rsid w:val="00EA0AF1"/>
    <w:rsid w:val="00EA3059"/>
    <w:rsid w:val="00EA32B8"/>
    <w:rsid w:val="00EA345E"/>
    <w:rsid w:val="00EA3BCE"/>
    <w:rsid w:val="00EA44D9"/>
    <w:rsid w:val="00EA4901"/>
    <w:rsid w:val="00EA5023"/>
    <w:rsid w:val="00EA5995"/>
    <w:rsid w:val="00EA5E7A"/>
    <w:rsid w:val="00EA6EF2"/>
    <w:rsid w:val="00EB06EA"/>
    <w:rsid w:val="00EB0A71"/>
    <w:rsid w:val="00EB1C07"/>
    <w:rsid w:val="00EB24C8"/>
    <w:rsid w:val="00EB26CB"/>
    <w:rsid w:val="00EB2E74"/>
    <w:rsid w:val="00EB31C8"/>
    <w:rsid w:val="00EB3C76"/>
    <w:rsid w:val="00EB49B5"/>
    <w:rsid w:val="00EB5095"/>
    <w:rsid w:val="00EB63FF"/>
    <w:rsid w:val="00EB6A76"/>
    <w:rsid w:val="00EB73EE"/>
    <w:rsid w:val="00EB7814"/>
    <w:rsid w:val="00EB7903"/>
    <w:rsid w:val="00EB7D64"/>
    <w:rsid w:val="00EB7D94"/>
    <w:rsid w:val="00EC11E1"/>
    <w:rsid w:val="00EC2AB0"/>
    <w:rsid w:val="00EC2CB9"/>
    <w:rsid w:val="00EC3416"/>
    <w:rsid w:val="00EC36D6"/>
    <w:rsid w:val="00EC36EB"/>
    <w:rsid w:val="00EC3F83"/>
    <w:rsid w:val="00EC3FD7"/>
    <w:rsid w:val="00EC44DB"/>
    <w:rsid w:val="00EC475E"/>
    <w:rsid w:val="00EC5062"/>
    <w:rsid w:val="00EC51BC"/>
    <w:rsid w:val="00EC58FF"/>
    <w:rsid w:val="00EC60B8"/>
    <w:rsid w:val="00EC6D51"/>
    <w:rsid w:val="00ED0092"/>
    <w:rsid w:val="00ED2066"/>
    <w:rsid w:val="00ED3A31"/>
    <w:rsid w:val="00ED456E"/>
    <w:rsid w:val="00ED5945"/>
    <w:rsid w:val="00ED5BC3"/>
    <w:rsid w:val="00ED5F17"/>
    <w:rsid w:val="00ED76AC"/>
    <w:rsid w:val="00EE01DD"/>
    <w:rsid w:val="00EE2459"/>
    <w:rsid w:val="00EE27D4"/>
    <w:rsid w:val="00EE2E9A"/>
    <w:rsid w:val="00EE2F6B"/>
    <w:rsid w:val="00EE2F7E"/>
    <w:rsid w:val="00EE3375"/>
    <w:rsid w:val="00EE3597"/>
    <w:rsid w:val="00EE3660"/>
    <w:rsid w:val="00EE3FDB"/>
    <w:rsid w:val="00EE6BEE"/>
    <w:rsid w:val="00EE6BF1"/>
    <w:rsid w:val="00EF093E"/>
    <w:rsid w:val="00EF1CDF"/>
    <w:rsid w:val="00EF2B2E"/>
    <w:rsid w:val="00EF33A8"/>
    <w:rsid w:val="00EF3814"/>
    <w:rsid w:val="00EF3C3B"/>
    <w:rsid w:val="00EF4444"/>
    <w:rsid w:val="00EF5B91"/>
    <w:rsid w:val="00EF5FF5"/>
    <w:rsid w:val="00EF61A0"/>
    <w:rsid w:val="00EF7C05"/>
    <w:rsid w:val="00F002DA"/>
    <w:rsid w:val="00F00558"/>
    <w:rsid w:val="00F00B88"/>
    <w:rsid w:val="00F014C2"/>
    <w:rsid w:val="00F01935"/>
    <w:rsid w:val="00F01A21"/>
    <w:rsid w:val="00F0255C"/>
    <w:rsid w:val="00F05266"/>
    <w:rsid w:val="00F05510"/>
    <w:rsid w:val="00F06F84"/>
    <w:rsid w:val="00F07933"/>
    <w:rsid w:val="00F0799D"/>
    <w:rsid w:val="00F10196"/>
    <w:rsid w:val="00F10312"/>
    <w:rsid w:val="00F107A0"/>
    <w:rsid w:val="00F122D7"/>
    <w:rsid w:val="00F12495"/>
    <w:rsid w:val="00F1267B"/>
    <w:rsid w:val="00F127A8"/>
    <w:rsid w:val="00F14172"/>
    <w:rsid w:val="00F1488E"/>
    <w:rsid w:val="00F14C6D"/>
    <w:rsid w:val="00F15146"/>
    <w:rsid w:val="00F1543F"/>
    <w:rsid w:val="00F2158D"/>
    <w:rsid w:val="00F2190E"/>
    <w:rsid w:val="00F220A5"/>
    <w:rsid w:val="00F22CCF"/>
    <w:rsid w:val="00F24855"/>
    <w:rsid w:val="00F24BF1"/>
    <w:rsid w:val="00F25014"/>
    <w:rsid w:val="00F25231"/>
    <w:rsid w:val="00F2654F"/>
    <w:rsid w:val="00F2673E"/>
    <w:rsid w:val="00F3078C"/>
    <w:rsid w:val="00F31652"/>
    <w:rsid w:val="00F31741"/>
    <w:rsid w:val="00F31A96"/>
    <w:rsid w:val="00F31C04"/>
    <w:rsid w:val="00F3221A"/>
    <w:rsid w:val="00F32BE6"/>
    <w:rsid w:val="00F33BD1"/>
    <w:rsid w:val="00F34362"/>
    <w:rsid w:val="00F34BC9"/>
    <w:rsid w:val="00F34EB1"/>
    <w:rsid w:val="00F352FF"/>
    <w:rsid w:val="00F35C94"/>
    <w:rsid w:val="00F36948"/>
    <w:rsid w:val="00F37077"/>
    <w:rsid w:val="00F40396"/>
    <w:rsid w:val="00F40BF3"/>
    <w:rsid w:val="00F4132E"/>
    <w:rsid w:val="00F426C9"/>
    <w:rsid w:val="00F42CEA"/>
    <w:rsid w:val="00F43AB9"/>
    <w:rsid w:val="00F44989"/>
    <w:rsid w:val="00F47B3B"/>
    <w:rsid w:val="00F5007F"/>
    <w:rsid w:val="00F50571"/>
    <w:rsid w:val="00F513AE"/>
    <w:rsid w:val="00F51F98"/>
    <w:rsid w:val="00F52828"/>
    <w:rsid w:val="00F52C48"/>
    <w:rsid w:val="00F53D7F"/>
    <w:rsid w:val="00F54C6F"/>
    <w:rsid w:val="00F56451"/>
    <w:rsid w:val="00F57752"/>
    <w:rsid w:val="00F57B5E"/>
    <w:rsid w:val="00F60EA6"/>
    <w:rsid w:val="00F6167A"/>
    <w:rsid w:val="00F639BE"/>
    <w:rsid w:val="00F650F8"/>
    <w:rsid w:val="00F6510C"/>
    <w:rsid w:val="00F6532C"/>
    <w:rsid w:val="00F65716"/>
    <w:rsid w:val="00F6725D"/>
    <w:rsid w:val="00F67EA0"/>
    <w:rsid w:val="00F705BE"/>
    <w:rsid w:val="00F71B4E"/>
    <w:rsid w:val="00F71E49"/>
    <w:rsid w:val="00F72765"/>
    <w:rsid w:val="00F72C36"/>
    <w:rsid w:val="00F73182"/>
    <w:rsid w:val="00F73AB8"/>
    <w:rsid w:val="00F75C73"/>
    <w:rsid w:val="00F76917"/>
    <w:rsid w:val="00F76DB4"/>
    <w:rsid w:val="00F7789D"/>
    <w:rsid w:val="00F803D5"/>
    <w:rsid w:val="00F8105B"/>
    <w:rsid w:val="00F81726"/>
    <w:rsid w:val="00F81B80"/>
    <w:rsid w:val="00F8208A"/>
    <w:rsid w:val="00F8302E"/>
    <w:rsid w:val="00F83690"/>
    <w:rsid w:val="00F8376F"/>
    <w:rsid w:val="00F83C5E"/>
    <w:rsid w:val="00F84A4E"/>
    <w:rsid w:val="00F84B68"/>
    <w:rsid w:val="00F84D90"/>
    <w:rsid w:val="00F8627C"/>
    <w:rsid w:val="00F86653"/>
    <w:rsid w:val="00F86BC1"/>
    <w:rsid w:val="00F86DAB"/>
    <w:rsid w:val="00F871FE"/>
    <w:rsid w:val="00F87983"/>
    <w:rsid w:val="00F87B52"/>
    <w:rsid w:val="00F91706"/>
    <w:rsid w:val="00F91A34"/>
    <w:rsid w:val="00F9230A"/>
    <w:rsid w:val="00F92632"/>
    <w:rsid w:val="00F9308E"/>
    <w:rsid w:val="00F945D1"/>
    <w:rsid w:val="00F95754"/>
    <w:rsid w:val="00F966FD"/>
    <w:rsid w:val="00F97641"/>
    <w:rsid w:val="00F97A31"/>
    <w:rsid w:val="00FA0643"/>
    <w:rsid w:val="00FA0723"/>
    <w:rsid w:val="00FA163B"/>
    <w:rsid w:val="00FA2D08"/>
    <w:rsid w:val="00FA3FC3"/>
    <w:rsid w:val="00FA4024"/>
    <w:rsid w:val="00FA45E0"/>
    <w:rsid w:val="00FA4916"/>
    <w:rsid w:val="00FA5987"/>
    <w:rsid w:val="00FA598F"/>
    <w:rsid w:val="00FA75BE"/>
    <w:rsid w:val="00FA7A8D"/>
    <w:rsid w:val="00FA7E5C"/>
    <w:rsid w:val="00FB067C"/>
    <w:rsid w:val="00FB06E7"/>
    <w:rsid w:val="00FB149B"/>
    <w:rsid w:val="00FB193D"/>
    <w:rsid w:val="00FB1FD6"/>
    <w:rsid w:val="00FB3422"/>
    <w:rsid w:val="00FB394F"/>
    <w:rsid w:val="00FB3B95"/>
    <w:rsid w:val="00FB4BA2"/>
    <w:rsid w:val="00FB4DC4"/>
    <w:rsid w:val="00FB4F65"/>
    <w:rsid w:val="00FB5265"/>
    <w:rsid w:val="00FB552F"/>
    <w:rsid w:val="00FB5C61"/>
    <w:rsid w:val="00FB5FF9"/>
    <w:rsid w:val="00FB6912"/>
    <w:rsid w:val="00FB7356"/>
    <w:rsid w:val="00FB7E79"/>
    <w:rsid w:val="00FB7FA6"/>
    <w:rsid w:val="00FC0528"/>
    <w:rsid w:val="00FC0630"/>
    <w:rsid w:val="00FC0AAE"/>
    <w:rsid w:val="00FC0ABB"/>
    <w:rsid w:val="00FC0C62"/>
    <w:rsid w:val="00FC251D"/>
    <w:rsid w:val="00FC28DA"/>
    <w:rsid w:val="00FC2F42"/>
    <w:rsid w:val="00FC461E"/>
    <w:rsid w:val="00FC5F68"/>
    <w:rsid w:val="00FC78BC"/>
    <w:rsid w:val="00FC7C35"/>
    <w:rsid w:val="00FD01B5"/>
    <w:rsid w:val="00FD03E5"/>
    <w:rsid w:val="00FD0603"/>
    <w:rsid w:val="00FD0975"/>
    <w:rsid w:val="00FD1364"/>
    <w:rsid w:val="00FD1836"/>
    <w:rsid w:val="00FD1FC3"/>
    <w:rsid w:val="00FD380A"/>
    <w:rsid w:val="00FD3828"/>
    <w:rsid w:val="00FD40C9"/>
    <w:rsid w:val="00FD44D5"/>
    <w:rsid w:val="00FD4AD6"/>
    <w:rsid w:val="00FD586D"/>
    <w:rsid w:val="00FD59C7"/>
    <w:rsid w:val="00FD5BF0"/>
    <w:rsid w:val="00FD5E5B"/>
    <w:rsid w:val="00FD5FCA"/>
    <w:rsid w:val="00FD6D13"/>
    <w:rsid w:val="00FD74C7"/>
    <w:rsid w:val="00FE0952"/>
    <w:rsid w:val="00FE0968"/>
    <w:rsid w:val="00FE1B32"/>
    <w:rsid w:val="00FE4533"/>
    <w:rsid w:val="00FE585A"/>
    <w:rsid w:val="00FE6D0A"/>
    <w:rsid w:val="00FE7069"/>
    <w:rsid w:val="00FE7D81"/>
    <w:rsid w:val="00FF01C6"/>
    <w:rsid w:val="00FF06DD"/>
    <w:rsid w:val="00FF0EA1"/>
    <w:rsid w:val="00FF4FF2"/>
    <w:rsid w:val="00FF52C5"/>
    <w:rsid w:val="00FF5795"/>
    <w:rsid w:val="00FF618A"/>
    <w:rsid w:val="00FF6263"/>
    <w:rsid w:val="00FF6622"/>
    <w:rsid w:val="00FF6E72"/>
    <w:rsid w:val="00FF70EE"/>
    <w:rsid w:val="00FF7BD0"/>
    <w:rsid w:val="00FF7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97B3EFF"/>
  <w15:chartTrackingRefBased/>
  <w15:docId w15:val="{8B6666F1-010D-45F9-ADE7-4F74BA5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DocumentStore.ashx?id=b2a784cc-435f-4cbd-b5c7-6831eeb05e81&amp;subId=691580" TargetMode="External"/><Relationship Id="rId13" Type="http://schemas.openxmlformats.org/officeDocument/2006/relationships/hyperlink" Target="https://www.ag.gov.au/sites/default/files/2020-03/Final%20Report.PDF" TargetMode="External"/><Relationship Id="rId3" Type="http://schemas.openxmlformats.org/officeDocument/2006/relationships/hyperlink" Target="https://www.aph.gov.au/Parliamentary_Business/Committees/Joint/Intelligence_and_Security/HRTOBill/Report-PDF" TargetMode="External"/><Relationship Id="rId7" Type="http://schemas.openxmlformats.org/officeDocument/2006/relationships/hyperlink" Target="https://www.aph.gov.au/DocumentStore.ashx?id=5706d767-85b5-4c1b-9f69-39193ea623d6&amp;subId=691389" TargetMode="External"/><Relationship Id="rId12" Type="http://schemas.openxmlformats.org/officeDocument/2006/relationships/hyperlink" Target="https://www.aph.gov.au/~/media/wopapub/senate/committee/legcon_ctte/completed_inquiries/2004_07/terrorism/submissions/sub158_pdf.ashx" TargetMode="External"/><Relationship Id="rId2" Type="http://schemas.openxmlformats.org/officeDocument/2006/relationships/hyperlink" Target="https://www.aph.gov.au/DocumentStore.ashx?id=b2a784cc-435f-4cbd-b5c7-6831eeb05e81&amp;subId=691580" TargetMode="External"/><Relationship Id="rId1" Type="http://schemas.openxmlformats.org/officeDocument/2006/relationships/hyperlink" Target="https://www.aph.gov.au/DocumentStore.ashx?id=32397a66-a179-4a07-a5fb-ab60b776676f&amp;subId=414693" TargetMode="External"/><Relationship Id="rId6" Type="http://schemas.openxmlformats.org/officeDocument/2006/relationships/hyperlink" Target="https://www.aph.gov.au/DocumentStore.ashx?id=b2a784cc-435f-4cbd-b5c7-6831eeb05e81&amp;subId=691580" TargetMode="External"/><Relationship Id="rId11" Type="http://schemas.openxmlformats.org/officeDocument/2006/relationships/hyperlink" Target="https://www.aph.gov.au/DocumentStore.ashx?id=0190439a-c410-4385-a42e-142b7f8e949c&amp;subId=691314" TargetMode="External"/><Relationship Id="rId5" Type="http://schemas.openxmlformats.org/officeDocument/2006/relationships/hyperlink" Target="https://www.justice.tas.gov.au/community-consultation/closed-community-consultations2/sentencing-amendment-dangerous-criminals-bill-2020" TargetMode="External"/><Relationship Id="rId15" Type="http://schemas.openxmlformats.org/officeDocument/2006/relationships/hyperlink" Target="https://www.inslm.gov.au/sites/default/files/control-order-safeguards-part1.pdf" TargetMode="External"/><Relationship Id="rId10" Type="http://schemas.openxmlformats.org/officeDocument/2006/relationships/hyperlink" Target="https://twitter.com/7NewsSydney/status/1287312356771377153" TargetMode="External"/><Relationship Id="rId4" Type="http://schemas.openxmlformats.org/officeDocument/2006/relationships/hyperlink" Target="https://www.aph.gov.au/DocumentStore.ashx?id=ed7b9dc5-07b4-4672-a2e6-1b015c1248dd" TargetMode="External"/><Relationship Id="rId9" Type="http://schemas.openxmlformats.org/officeDocument/2006/relationships/hyperlink" Target="https://www.aph.gov.au/DocumentStore.ashx?id=6500c6e7-7417-4a82-80d4-4bbad2caac63&amp;subId=691311" TargetMode="External"/><Relationship Id="rId14" Type="http://schemas.openxmlformats.org/officeDocument/2006/relationships/hyperlink" Target="https://www.aph.gov.au/Parliamentary_Business/Committees/Joint/Intelligence_and_Security/Amendment_Bill/Repor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5c5ac6-a0cc-43ed-b850-4a2ae59237b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0" ma:contentTypeDescription="Create a new document." ma:contentTypeScope="" ma:versionID="9845be5e4e16fe936cd2852ca00845f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a5b027b2457213cec9ab565ecf74091"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Subdivider>
    <_dlc_DocId xmlns="6500fe01-343b-4fb9-a1b0-68ac19d62e01">DGE6U7RJ2EFV-31920988-7783</_dlc_DocId>
    <_dlc_DocIdUrl xmlns="6500fe01-343b-4fb9-a1b0-68ac19d62e01">
      <Url>https://australianhrc.sharepoint.com/sites/LegalServicesWorkspace/_layouts/15/DocIdRedir.aspx?ID=DGE6U7RJ2EFV-31920988-7783</Url>
      <Description>DGE6U7RJ2EFV-31920988-7783</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2.xml><?xml version="1.0" encoding="utf-8"?>
<ds:datastoreItem xmlns:ds="http://schemas.openxmlformats.org/officeDocument/2006/customXml" ds:itemID="{43F9C6BB-992F-4927-85E1-ECAC5B229DBB}">
  <ds:schemaRefs>
    <ds:schemaRef ds:uri="Microsoft.SharePoint.Taxonomy.ContentTypeSync"/>
  </ds:schemaRefs>
</ds:datastoreItem>
</file>

<file path=customXml/itemProps3.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4.xml><?xml version="1.0" encoding="utf-8"?>
<ds:datastoreItem xmlns:ds="http://schemas.openxmlformats.org/officeDocument/2006/customXml" ds:itemID="{8EF059D9-8D53-424A-9532-E1FD77DB2D0F}"/>
</file>

<file path=customXml/itemProps5.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6.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7.xml><?xml version="1.0" encoding="utf-8"?>
<ds:datastoreItem xmlns:ds="http://schemas.openxmlformats.org/officeDocument/2006/customXml" ds:itemID="{17FE400F-9C67-448D-AC81-C580DF5206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Submission_New</Template>
  <TotalTime>426</TotalTime>
  <Pages>59</Pages>
  <Words>19151</Words>
  <Characters>109163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128058</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232</cp:revision>
  <cp:lastPrinted>2020-10-29T04:04:00Z</cp:lastPrinted>
  <dcterms:created xsi:type="dcterms:W3CDTF">2020-10-27T22:46:00Z</dcterms:created>
  <dcterms:modified xsi:type="dcterms:W3CDTF">2020-10-29T04:04:00Z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7aeb8655-25e9-47a0-97b8-b165d9e2aa08</vt:lpwstr>
  </property>
</Properties>
</file>