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F" w:rsidRPr="00F404C8" w:rsidRDefault="00B10B7F" w:rsidP="00B10B7F">
      <w:pPr>
        <w:pStyle w:val="MainTitle"/>
        <w:jc w:val="left"/>
        <w:rPr>
          <w:rFonts w:cs="Arial"/>
          <w:b/>
          <w:color w:val="auto"/>
          <w:sz w:val="32"/>
          <w:lang w:val="it-IT"/>
        </w:rPr>
      </w:pPr>
      <w:r w:rsidRPr="00F404C8">
        <w:rPr>
          <w:rFonts w:cs="Arial"/>
          <w:b/>
          <w:color w:val="auto"/>
          <w:sz w:val="32"/>
          <w:lang w:val="it-IT"/>
        </w:rPr>
        <w:t xml:space="preserve">Agenda </w:t>
      </w:r>
      <w:r w:rsidR="00F404C8" w:rsidRPr="00F404C8">
        <w:rPr>
          <w:rFonts w:cs="Arial"/>
          <w:b/>
          <w:color w:val="auto"/>
          <w:sz w:val="32"/>
          <w:lang w:val="it-IT"/>
        </w:rPr>
        <w:t>per l’uguaglianza razziale</w:t>
      </w:r>
      <w:r w:rsidRPr="00F404C8">
        <w:rPr>
          <w:rFonts w:cs="Arial"/>
          <w:b/>
          <w:color w:val="auto"/>
          <w:sz w:val="32"/>
          <w:lang w:val="it-IT"/>
        </w:rPr>
        <w:t xml:space="preserve"> 2012-2016</w:t>
      </w:r>
    </w:p>
    <w:p w:rsidR="00C4519C" w:rsidRPr="00F404C8" w:rsidRDefault="00F404C8" w:rsidP="00B10B7F">
      <w:pPr>
        <w:rPr>
          <w:rFonts w:cs="Arial"/>
          <w:b/>
          <w:sz w:val="28"/>
          <w:szCs w:val="28"/>
          <w:lang w:val="it-IT"/>
        </w:rPr>
      </w:pPr>
      <w:r w:rsidRPr="00F404C8">
        <w:rPr>
          <w:rFonts w:cs="Arial"/>
          <w:b/>
          <w:sz w:val="28"/>
          <w:szCs w:val="28"/>
          <w:lang w:val="it-IT"/>
        </w:rPr>
        <w:t>Introduzione</w:t>
      </w:r>
    </w:p>
    <w:p w:rsidR="00BA0F4E" w:rsidRPr="00F404C8" w:rsidRDefault="00F404C8" w:rsidP="00BA0F4E">
      <w:pPr>
        <w:rPr>
          <w:lang w:val="it-IT"/>
        </w:rPr>
      </w:pPr>
      <w:r w:rsidRPr="00F404C8">
        <w:rPr>
          <w:lang w:val="it-IT"/>
        </w:rPr>
        <w:t xml:space="preserve">Questo documento </w:t>
      </w:r>
      <w:r>
        <w:rPr>
          <w:lang w:val="it-IT"/>
        </w:rPr>
        <w:t>stabilisce</w:t>
      </w:r>
      <w:r w:rsidRPr="00F404C8">
        <w:rPr>
          <w:lang w:val="it-IT"/>
        </w:rPr>
        <w:t xml:space="preserve"> </w:t>
      </w:r>
      <w:r>
        <w:rPr>
          <w:lang w:val="it-IT"/>
        </w:rPr>
        <w:t>l</w:t>
      </w:r>
      <w:r w:rsidRPr="00F404C8">
        <w:rPr>
          <w:lang w:val="it-IT"/>
        </w:rPr>
        <w:t xml:space="preserve">’agenda nazionale per il raggiungimento dell’uguaglianza razziale in </w:t>
      </w:r>
      <w:r w:rsidR="00450862" w:rsidRPr="00F404C8">
        <w:rPr>
          <w:lang w:val="it-IT"/>
        </w:rPr>
        <w:t xml:space="preserve">Australia </w:t>
      </w:r>
      <w:r>
        <w:rPr>
          <w:lang w:val="it-IT"/>
        </w:rPr>
        <w:t>e fissa le mie priorità per il mio mandato in qualità di Commissario per le discriminazioni razziali</w:t>
      </w:r>
      <w:r w:rsidR="00450862" w:rsidRPr="00F404C8">
        <w:rPr>
          <w:lang w:val="it-IT"/>
        </w:rPr>
        <w:t xml:space="preserve"> </w:t>
      </w:r>
      <w:r>
        <w:rPr>
          <w:lang w:val="it-IT"/>
        </w:rPr>
        <w:t>(</w:t>
      </w:r>
      <w:r w:rsidR="00BA0F4E" w:rsidRPr="00F404C8">
        <w:rPr>
          <w:lang w:val="it-IT"/>
        </w:rPr>
        <w:t>Race Discrimination Commissioner</w:t>
      </w:r>
      <w:r>
        <w:rPr>
          <w:lang w:val="it-IT"/>
        </w:rPr>
        <w:t>)</w:t>
      </w:r>
      <w:r w:rsidR="00BA0F4E" w:rsidRPr="00F404C8">
        <w:rPr>
          <w:lang w:val="it-IT"/>
        </w:rPr>
        <w:t>.</w:t>
      </w:r>
      <w:r>
        <w:rPr>
          <w:lang w:val="it-IT"/>
        </w:rPr>
        <w:t xml:space="preserve"> Spero che rappresenterà anche una risorsa per altri che vogliano rivedere i propri</w:t>
      </w:r>
      <w:r w:rsidR="00CE4F36">
        <w:rPr>
          <w:lang w:val="it-IT"/>
        </w:rPr>
        <w:t xml:space="preserve"> metodi</w:t>
      </w:r>
      <w:r>
        <w:rPr>
          <w:lang w:val="it-IT"/>
        </w:rPr>
        <w:t xml:space="preserve">, identificare aree in cui concentrare </w:t>
      </w:r>
      <w:r w:rsidR="00CE4F36">
        <w:rPr>
          <w:lang w:val="it-IT"/>
        </w:rPr>
        <w:t xml:space="preserve">gli </w:t>
      </w:r>
      <w:r>
        <w:rPr>
          <w:lang w:val="it-IT"/>
        </w:rPr>
        <w:t>sforzi e comprendere in che modo combinare tutti gli aspetti del nostro panorama culturale, economico e sociale</w:t>
      </w:r>
      <w:r w:rsidR="00EB1117">
        <w:rPr>
          <w:lang w:val="it-IT"/>
        </w:rPr>
        <w:t>,</w:t>
      </w:r>
      <w:r>
        <w:rPr>
          <w:lang w:val="it-IT"/>
        </w:rPr>
        <w:t xml:space="preserve"> </w:t>
      </w:r>
      <w:r w:rsidR="00EB1117">
        <w:rPr>
          <w:lang w:val="it-IT"/>
        </w:rPr>
        <w:t>al fine di</w:t>
      </w:r>
      <w:r>
        <w:rPr>
          <w:lang w:val="it-IT"/>
        </w:rPr>
        <w:t xml:space="preserve"> realizzare il nostro obiettivo di uguaglianza per tutti</w:t>
      </w:r>
      <w:r w:rsidR="00BA0F4E" w:rsidRPr="00F404C8">
        <w:rPr>
          <w:lang w:val="it-IT"/>
        </w:rPr>
        <w:t>.</w:t>
      </w:r>
    </w:p>
    <w:p w:rsidR="00BA0F4E" w:rsidRPr="00F404C8" w:rsidRDefault="00BA0F4E" w:rsidP="00BA0F4E">
      <w:pPr>
        <w:rPr>
          <w:lang w:val="it-IT"/>
        </w:rPr>
      </w:pPr>
      <w:r w:rsidRPr="00F404C8">
        <w:rPr>
          <w:lang w:val="it-IT"/>
        </w:rPr>
        <w:t>Dr Helen Szoke</w:t>
      </w:r>
      <w:r w:rsidR="00450862" w:rsidRPr="00F404C8">
        <w:rPr>
          <w:lang w:val="it-IT"/>
        </w:rPr>
        <w:br/>
      </w:r>
      <w:r w:rsidR="00F404C8">
        <w:rPr>
          <w:lang w:val="it-IT"/>
        </w:rPr>
        <w:t>Commissario per le discriminazioni razziali</w:t>
      </w:r>
      <w:r w:rsidR="00F404C8" w:rsidRPr="00F404C8">
        <w:rPr>
          <w:lang w:val="it-IT"/>
        </w:rPr>
        <w:t xml:space="preserve"> </w:t>
      </w:r>
      <w:r w:rsidR="00F404C8">
        <w:rPr>
          <w:lang w:val="it-IT"/>
        </w:rPr>
        <w:t>(</w:t>
      </w:r>
      <w:r w:rsidRPr="00F404C8">
        <w:rPr>
          <w:lang w:val="it-IT"/>
        </w:rPr>
        <w:t>Race Discrimination Commissioner</w:t>
      </w:r>
      <w:r w:rsidR="00F404C8">
        <w:rPr>
          <w:lang w:val="it-IT"/>
        </w:rPr>
        <w:t>)</w:t>
      </w:r>
      <w:r w:rsidRPr="00F404C8">
        <w:rPr>
          <w:lang w:val="it-IT"/>
        </w:rPr>
        <w:t>.</w:t>
      </w:r>
    </w:p>
    <w:p w:rsidR="00BA0F4E" w:rsidRPr="00F404C8" w:rsidRDefault="00F404C8" w:rsidP="00BA0F4E">
      <w:pPr>
        <w:pStyle w:val="Heading2"/>
        <w:numPr>
          <w:ilvl w:val="0"/>
          <w:numId w:val="0"/>
        </w:numPr>
        <w:ind w:left="851" w:hanging="851"/>
        <w:rPr>
          <w:lang w:val="it-IT"/>
        </w:rPr>
      </w:pPr>
      <w:bookmarkStart w:id="0" w:name="_Toc206112956"/>
      <w:bookmarkStart w:id="1" w:name="_Toc206112957"/>
      <w:bookmarkStart w:id="2" w:name="_Toc206112960"/>
      <w:bookmarkStart w:id="3" w:name="_Toc206112961"/>
      <w:r w:rsidRPr="00F404C8">
        <w:rPr>
          <w:lang w:val="it-IT"/>
        </w:rPr>
        <w:t>Obiettivo</w:t>
      </w:r>
      <w:r w:rsidR="00BA0F4E" w:rsidRPr="00F404C8">
        <w:rPr>
          <w:lang w:val="it-IT"/>
        </w:rPr>
        <w:t xml:space="preserve"> 1: </w:t>
      </w:r>
      <w:r w:rsidRPr="00F404C8">
        <w:rPr>
          <w:lang w:val="it-IT"/>
        </w:rPr>
        <w:t>Garantire risultati sociali ed economici</w:t>
      </w:r>
      <w:bookmarkEnd w:id="0"/>
    </w:p>
    <w:p w:rsidR="00BA0F4E" w:rsidRPr="00F404C8" w:rsidRDefault="00F404C8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it-IT"/>
        </w:rPr>
      </w:pPr>
      <w:r w:rsidRPr="00F404C8">
        <w:rPr>
          <w:i w:val="0"/>
          <w:lang w:val="it-IT"/>
        </w:rPr>
        <w:t>Ridurre la diseguaglianza e migliorare le prospettive di vita</w:t>
      </w:r>
      <w:bookmarkEnd w:id="1"/>
    </w:p>
    <w:p w:rsidR="00187379" w:rsidRPr="00F404C8" w:rsidRDefault="00187379" w:rsidP="00187379">
      <w:pPr>
        <w:spacing w:before="0" w:after="0"/>
        <w:rPr>
          <w:i/>
          <w:lang w:val="it-IT"/>
        </w:rPr>
      </w:pPr>
    </w:p>
    <w:p w:rsidR="00BA0F4E" w:rsidRPr="00F404C8" w:rsidRDefault="00A349D1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it-IT"/>
        </w:rPr>
      </w:pPr>
      <w:r>
        <w:rPr>
          <w:i w:val="0"/>
          <w:lang w:val="it-IT"/>
        </w:rPr>
        <w:t xml:space="preserve">Lavorare a </w:t>
      </w:r>
      <w:r w:rsidR="000028A5">
        <w:rPr>
          <w:i w:val="0"/>
          <w:lang w:val="it-IT"/>
        </w:rPr>
        <w:t>favore</w:t>
      </w:r>
      <w:r>
        <w:rPr>
          <w:i w:val="0"/>
          <w:lang w:val="it-IT"/>
        </w:rPr>
        <w:t xml:space="preserve"> dell’occupazione</w:t>
      </w:r>
      <w:r w:rsidR="00F404C8" w:rsidRPr="00F404C8">
        <w:rPr>
          <w:i w:val="0"/>
          <w:lang w:val="it-IT"/>
        </w:rPr>
        <w:t xml:space="preserve"> sostenibile</w:t>
      </w:r>
      <w:r w:rsidR="00BA0F4E" w:rsidRPr="00F404C8">
        <w:rPr>
          <w:i w:val="0"/>
          <w:lang w:val="it-IT"/>
        </w:rPr>
        <w:t xml:space="preserve"> </w:t>
      </w:r>
    </w:p>
    <w:p w:rsidR="00187379" w:rsidRPr="00F404C8" w:rsidRDefault="00187379" w:rsidP="00187379">
      <w:pPr>
        <w:spacing w:before="0" w:after="0"/>
        <w:rPr>
          <w:i/>
          <w:lang w:val="it-IT"/>
        </w:rPr>
      </w:pPr>
    </w:p>
    <w:p w:rsidR="00BA0F4E" w:rsidRPr="00A349D1" w:rsidRDefault="00A349D1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it-IT"/>
        </w:rPr>
      </w:pPr>
      <w:r w:rsidRPr="00A349D1">
        <w:rPr>
          <w:i w:val="0"/>
          <w:lang w:val="it-IT"/>
        </w:rPr>
        <w:t>Riconoscimento di qualifiche straniere</w:t>
      </w:r>
    </w:p>
    <w:p w:rsidR="00187379" w:rsidRPr="00A349D1" w:rsidRDefault="00187379" w:rsidP="00187379">
      <w:pPr>
        <w:spacing w:before="0" w:after="0"/>
        <w:rPr>
          <w:i/>
          <w:lang w:val="it-IT"/>
        </w:rPr>
      </w:pPr>
    </w:p>
    <w:p w:rsidR="00BA0F4E" w:rsidRPr="00A349D1" w:rsidRDefault="00A349D1" w:rsidP="00187379">
      <w:pPr>
        <w:pStyle w:val="Heading3"/>
        <w:tabs>
          <w:tab w:val="clear" w:pos="7089"/>
        </w:tabs>
        <w:spacing w:before="0" w:after="0"/>
        <w:ind w:left="851"/>
        <w:rPr>
          <w:i w:val="0"/>
          <w:lang w:val="it-IT"/>
        </w:rPr>
      </w:pPr>
      <w:r w:rsidRPr="00A349D1">
        <w:rPr>
          <w:i w:val="0"/>
          <w:lang w:val="it-IT"/>
        </w:rPr>
        <w:t>Sostegno all’istruzione inclusiva</w:t>
      </w:r>
      <w:r w:rsidR="00BA0F4E" w:rsidRPr="00A349D1">
        <w:rPr>
          <w:i w:val="0"/>
          <w:lang w:val="it-IT"/>
        </w:rPr>
        <w:t xml:space="preserve"> </w:t>
      </w:r>
    </w:p>
    <w:p w:rsidR="00187379" w:rsidRPr="00A349D1" w:rsidRDefault="00187379" w:rsidP="00187379">
      <w:pPr>
        <w:pStyle w:val="NormalWeb"/>
        <w:spacing w:before="0" w:after="0"/>
        <w:rPr>
          <w:rFonts w:ascii="Arial" w:hAnsi="Arial" w:cs="Arial"/>
          <w:i/>
          <w:lang w:val="it-IT"/>
        </w:rPr>
      </w:pPr>
    </w:p>
    <w:p w:rsidR="00BA0F4E" w:rsidRPr="00A349D1" w:rsidRDefault="00A349D1" w:rsidP="00187379">
      <w:pPr>
        <w:pStyle w:val="Heading3"/>
        <w:tabs>
          <w:tab w:val="clear" w:pos="7089"/>
          <w:tab w:val="num" w:pos="851"/>
        </w:tabs>
        <w:spacing w:before="0" w:after="0"/>
        <w:ind w:hanging="7089"/>
        <w:rPr>
          <w:i w:val="0"/>
          <w:lang w:val="it-IT"/>
        </w:rPr>
      </w:pPr>
      <w:r w:rsidRPr="00A349D1">
        <w:rPr>
          <w:i w:val="0"/>
          <w:lang w:val="it-IT"/>
        </w:rPr>
        <w:t>Investire nella competenza e nella padronanza linguistica</w:t>
      </w:r>
      <w:bookmarkEnd w:id="2"/>
    </w:p>
    <w:p w:rsidR="00187379" w:rsidRPr="00A349D1" w:rsidRDefault="00187379" w:rsidP="00187379">
      <w:pPr>
        <w:spacing w:before="0" w:after="0"/>
        <w:rPr>
          <w:i/>
          <w:lang w:val="it-IT"/>
        </w:rPr>
      </w:pPr>
    </w:p>
    <w:p w:rsidR="00BA0F4E" w:rsidRPr="00A349D1" w:rsidRDefault="00D34A19" w:rsidP="00187379">
      <w:pPr>
        <w:pStyle w:val="Heading3"/>
        <w:numPr>
          <w:ilvl w:val="2"/>
          <w:numId w:val="31"/>
        </w:numPr>
        <w:tabs>
          <w:tab w:val="clear" w:pos="7089"/>
          <w:tab w:val="num" w:pos="851"/>
          <w:tab w:val="num" w:pos="7513"/>
        </w:tabs>
        <w:spacing w:before="0" w:after="0"/>
        <w:ind w:hanging="7089"/>
        <w:rPr>
          <w:i w:val="0"/>
          <w:lang w:val="it-IT"/>
        </w:rPr>
      </w:pPr>
      <w:r>
        <w:rPr>
          <w:i w:val="0"/>
          <w:lang w:val="it-IT"/>
        </w:rPr>
        <w:t>Potenzi</w:t>
      </w:r>
      <w:r w:rsidR="00A349D1" w:rsidRPr="00A349D1">
        <w:rPr>
          <w:i w:val="0"/>
          <w:lang w:val="it-IT"/>
        </w:rPr>
        <w:t>are la competenza cultura</w:t>
      </w:r>
      <w:r w:rsidR="00670959">
        <w:rPr>
          <w:i w:val="0"/>
          <w:lang w:val="it-IT"/>
        </w:rPr>
        <w:t>le</w:t>
      </w:r>
      <w:r w:rsidR="00A349D1">
        <w:rPr>
          <w:i w:val="0"/>
          <w:lang w:val="it-IT"/>
        </w:rPr>
        <w:t xml:space="preserve"> </w:t>
      </w:r>
      <w:r w:rsidR="00A349D1" w:rsidRPr="00A349D1">
        <w:rPr>
          <w:i w:val="0"/>
          <w:lang w:val="it-IT"/>
        </w:rPr>
        <w:t>per</w:t>
      </w:r>
      <w:r w:rsidR="00A349D1">
        <w:rPr>
          <w:i w:val="0"/>
          <w:lang w:val="it-IT"/>
        </w:rPr>
        <w:t xml:space="preserve"> fornire servizi adeguati e di qualità</w:t>
      </w:r>
      <w:bookmarkEnd w:id="3"/>
    </w:p>
    <w:p w:rsidR="00187379" w:rsidRPr="00A349D1" w:rsidRDefault="00187379" w:rsidP="00187379">
      <w:pPr>
        <w:spacing w:before="0" w:after="0"/>
        <w:rPr>
          <w:lang w:val="it-IT"/>
        </w:rPr>
      </w:pPr>
    </w:p>
    <w:p w:rsidR="00187379" w:rsidRPr="00A349D1" w:rsidRDefault="00F404C8" w:rsidP="00187379">
      <w:pPr>
        <w:pStyle w:val="Heading2"/>
        <w:numPr>
          <w:ilvl w:val="0"/>
          <w:numId w:val="0"/>
        </w:numPr>
        <w:spacing w:before="0" w:after="0"/>
        <w:ind w:left="851" w:hanging="851"/>
        <w:rPr>
          <w:lang w:val="it-IT"/>
        </w:rPr>
      </w:pPr>
      <w:bookmarkStart w:id="4" w:name="_Toc206112962"/>
      <w:bookmarkStart w:id="5" w:name="_Toc206112964"/>
      <w:bookmarkStart w:id="6" w:name="_Toc206112966"/>
      <w:bookmarkStart w:id="7" w:name="_Toc206112967"/>
      <w:bookmarkStart w:id="8" w:name="_Toc206112968"/>
      <w:bookmarkStart w:id="9" w:name="_Toc206112969"/>
      <w:bookmarkStart w:id="10" w:name="_Toc206112971"/>
      <w:bookmarkStart w:id="11" w:name="_Toc206112972"/>
      <w:bookmarkStart w:id="12" w:name="_Toc206112973"/>
      <w:r w:rsidRPr="00A349D1">
        <w:rPr>
          <w:lang w:val="it-IT"/>
        </w:rPr>
        <w:t xml:space="preserve">Obiettivo </w:t>
      </w:r>
      <w:r w:rsidR="0058107D" w:rsidRPr="00A349D1">
        <w:rPr>
          <w:lang w:val="it-IT"/>
        </w:rPr>
        <w:t>2</w:t>
      </w:r>
      <w:r w:rsidR="00F749AC" w:rsidRPr="00A349D1">
        <w:rPr>
          <w:lang w:val="it-IT"/>
        </w:rPr>
        <w:t xml:space="preserve">: </w:t>
      </w:r>
      <w:r w:rsidR="00A349D1" w:rsidRPr="00A349D1">
        <w:rPr>
          <w:lang w:val="it-IT"/>
        </w:rPr>
        <w:t xml:space="preserve">Costruire una </w:t>
      </w:r>
      <w:r w:rsidR="00D25E15">
        <w:rPr>
          <w:lang w:val="it-IT"/>
        </w:rPr>
        <w:t>base giuridica</w:t>
      </w:r>
      <w:r w:rsidR="00A349D1" w:rsidRPr="00A349D1">
        <w:rPr>
          <w:lang w:val="it-IT"/>
        </w:rPr>
        <w:t xml:space="preserve"> forte</w:t>
      </w:r>
      <w:bookmarkEnd w:id="4"/>
      <w:r w:rsidR="00A349D1" w:rsidRPr="00A349D1">
        <w:rPr>
          <w:lang w:val="it-IT"/>
        </w:rPr>
        <w:t xml:space="preserve"> </w:t>
      </w:r>
      <w:r w:rsidR="00187379" w:rsidRPr="00A349D1">
        <w:rPr>
          <w:lang w:val="it-IT"/>
        </w:rPr>
        <w:br/>
      </w:r>
    </w:p>
    <w:p w:rsidR="00F749AC" w:rsidRPr="00D25E15" w:rsidRDefault="00D25E15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val="it-IT"/>
        </w:rPr>
      </w:pPr>
      <w:r w:rsidRPr="00D25E15">
        <w:rPr>
          <w:i w:val="0"/>
          <w:lang w:val="it-IT"/>
        </w:rPr>
        <w:t>Migliorare l</w:t>
      </w:r>
      <w:r w:rsidR="00D34A19">
        <w:rPr>
          <w:i w:val="0"/>
          <w:lang w:val="it-IT"/>
        </w:rPr>
        <w:t>a</w:t>
      </w:r>
      <w:r w:rsidRPr="00D25E15">
        <w:rPr>
          <w:i w:val="0"/>
          <w:lang w:val="it-IT"/>
        </w:rPr>
        <w:t xml:space="preserve"> protezion</w:t>
      </w:r>
      <w:r w:rsidR="00D34A19">
        <w:rPr>
          <w:i w:val="0"/>
          <w:lang w:val="it-IT"/>
        </w:rPr>
        <w:t>e</w:t>
      </w:r>
      <w:r w:rsidRPr="00D25E15">
        <w:rPr>
          <w:i w:val="0"/>
          <w:lang w:val="it-IT"/>
        </w:rPr>
        <w:t xml:space="preserve"> contro la discriminazione</w:t>
      </w:r>
    </w:p>
    <w:p w:rsidR="00187379" w:rsidRPr="00D25E15" w:rsidRDefault="00187379" w:rsidP="00187379">
      <w:pPr>
        <w:spacing w:before="0" w:after="0"/>
        <w:rPr>
          <w:rFonts w:cs="Arial"/>
          <w:lang w:val="it-IT"/>
        </w:rPr>
      </w:pPr>
    </w:p>
    <w:p w:rsidR="009F0AF3" w:rsidRPr="00D25E15" w:rsidRDefault="00D25E15" w:rsidP="00187379">
      <w:pPr>
        <w:pStyle w:val="ListParagraph"/>
        <w:numPr>
          <w:ilvl w:val="2"/>
          <w:numId w:val="28"/>
        </w:numPr>
        <w:tabs>
          <w:tab w:val="clear" w:pos="7089"/>
          <w:tab w:val="num" w:pos="851"/>
        </w:tabs>
        <w:spacing w:before="0" w:after="0"/>
        <w:ind w:left="851"/>
        <w:rPr>
          <w:rFonts w:cs="Arial"/>
          <w:lang w:val="it-IT"/>
        </w:rPr>
      </w:pPr>
      <w:r w:rsidRPr="00D25E15">
        <w:rPr>
          <w:rFonts w:cs="Arial"/>
          <w:lang w:val="it-IT"/>
        </w:rPr>
        <w:t xml:space="preserve">Riconoscimento costituzionale dei popoli aborigeni e </w:t>
      </w:r>
      <w:r>
        <w:rPr>
          <w:rFonts w:cs="Arial"/>
          <w:lang w:val="it-IT"/>
        </w:rPr>
        <w:t>degli abitanti di</w:t>
      </w:r>
      <w:r w:rsidR="009F0AF3" w:rsidRPr="00D25E15">
        <w:rPr>
          <w:rFonts w:cs="Arial"/>
          <w:lang w:val="it-IT"/>
        </w:rPr>
        <w:t xml:space="preserve"> Torres Strait Island</w:t>
      </w:r>
    </w:p>
    <w:p w:rsidR="003E523E" w:rsidRPr="00D25E15" w:rsidRDefault="003E523E" w:rsidP="003E523E">
      <w:pPr>
        <w:spacing w:before="0" w:after="0"/>
        <w:rPr>
          <w:rFonts w:cs="Arial"/>
          <w:lang w:val="it-IT"/>
        </w:rPr>
      </w:pPr>
    </w:p>
    <w:bookmarkEnd w:id="5"/>
    <w:p w:rsidR="009F0AF3" w:rsidRPr="00D25E15" w:rsidRDefault="00D25E15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val="it-IT"/>
        </w:rPr>
      </w:pPr>
      <w:r>
        <w:rPr>
          <w:i w:val="0"/>
          <w:lang w:val="it-IT"/>
        </w:rPr>
        <w:t>Promuovere l’implementazione della Dichiarazione dei Diritti dei Popoli Indigeni</w:t>
      </w:r>
      <w:r w:rsidR="009F0AF3" w:rsidRPr="00D25E15">
        <w:rPr>
          <w:i w:val="0"/>
          <w:lang w:val="it-IT"/>
        </w:rPr>
        <w:t xml:space="preserve"> </w:t>
      </w:r>
      <w:r w:rsidRPr="00D25E15">
        <w:rPr>
          <w:i w:val="0"/>
          <w:lang w:val="it-IT"/>
        </w:rPr>
        <w:t>(</w:t>
      </w:r>
      <w:r w:rsidR="009F0AF3" w:rsidRPr="00D25E15">
        <w:rPr>
          <w:i w:val="0"/>
          <w:lang w:val="it-IT"/>
        </w:rPr>
        <w:t>Declaration of the Rights of Indigenous Peoples</w:t>
      </w:r>
      <w:r w:rsidRPr="00D25E15">
        <w:rPr>
          <w:i w:val="0"/>
          <w:lang w:val="it-IT"/>
        </w:rPr>
        <w:t>)</w:t>
      </w:r>
    </w:p>
    <w:p w:rsidR="00187379" w:rsidRPr="00D25E15" w:rsidRDefault="00187379" w:rsidP="00187379">
      <w:pPr>
        <w:spacing w:before="0" w:after="0"/>
        <w:rPr>
          <w:lang w:val="it-IT"/>
        </w:rPr>
      </w:pPr>
    </w:p>
    <w:p w:rsidR="00F749AC" w:rsidRPr="00D25E15" w:rsidRDefault="00D25E15" w:rsidP="00187379">
      <w:pPr>
        <w:pStyle w:val="Heading3"/>
        <w:numPr>
          <w:ilvl w:val="2"/>
          <w:numId w:val="28"/>
        </w:numPr>
        <w:tabs>
          <w:tab w:val="clear" w:pos="7089"/>
          <w:tab w:val="num" w:pos="7513"/>
        </w:tabs>
        <w:spacing w:before="0" w:after="0"/>
        <w:ind w:left="851"/>
        <w:rPr>
          <w:i w:val="0"/>
          <w:lang w:val="it-IT"/>
        </w:rPr>
      </w:pPr>
      <w:r w:rsidRPr="00D25E15">
        <w:rPr>
          <w:i w:val="0"/>
          <w:lang w:val="it-IT"/>
        </w:rPr>
        <w:t>Protezione dei diritti sul luogo di lavoro per tutti, inclusi i lavor</w:t>
      </w:r>
      <w:r w:rsidR="002E51DB">
        <w:rPr>
          <w:i w:val="0"/>
          <w:lang w:val="it-IT"/>
        </w:rPr>
        <w:t>ator</w:t>
      </w:r>
      <w:r w:rsidRPr="00D25E15">
        <w:rPr>
          <w:i w:val="0"/>
          <w:lang w:val="it-IT"/>
        </w:rPr>
        <w:t>i</w:t>
      </w:r>
      <w:r w:rsidR="002E51DB" w:rsidRPr="002E51DB">
        <w:rPr>
          <w:i w:val="0"/>
          <w:lang w:val="it-IT"/>
        </w:rPr>
        <w:t xml:space="preserve"> </w:t>
      </w:r>
      <w:r w:rsidR="002E51DB" w:rsidRPr="00D25E15">
        <w:rPr>
          <w:i w:val="0"/>
          <w:lang w:val="it-IT"/>
        </w:rPr>
        <w:t>immigrati</w:t>
      </w:r>
      <w:r w:rsidRPr="00D25E15">
        <w:rPr>
          <w:i w:val="0"/>
          <w:lang w:val="it-IT"/>
        </w:rPr>
        <w:t xml:space="preserve"> temporanei </w:t>
      </w:r>
      <w:bookmarkEnd w:id="6"/>
    </w:p>
    <w:p w:rsidR="00187379" w:rsidRPr="00D25E15" w:rsidRDefault="00187379" w:rsidP="00187379">
      <w:pPr>
        <w:widowControl w:val="0"/>
        <w:autoSpaceDE w:val="0"/>
        <w:autoSpaceDN w:val="0"/>
        <w:adjustRightInd w:val="0"/>
        <w:spacing w:before="0" w:after="0"/>
        <w:rPr>
          <w:rFonts w:cs="Arial"/>
          <w:i/>
          <w:lang w:val="it-IT"/>
        </w:rPr>
      </w:pPr>
    </w:p>
    <w:p w:rsidR="00187379" w:rsidRPr="00D25E15" w:rsidRDefault="00F404C8" w:rsidP="00187379">
      <w:pPr>
        <w:pStyle w:val="Heading2"/>
        <w:numPr>
          <w:ilvl w:val="0"/>
          <w:numId w:val="0"/>
        </w:numPr>
        <w:spacing w:before="0" w:after="0"/>
        <w:rPr>
          <w:lang w:val="it-IT"/>
        </w:rPr>
      </w:pPr>
      <w:r w:rsidRPr="00D25E15">
        <w:rPr>
          <w:lang w:val="it-IT"/>
        </w:rPr>
        <w:t xml:space="preserve">Obiettivo </w:t>
      </w:r>
      <w:r w:rsidR="00F749AC" w:rsidRPr="00D25E15">
        <w:rPr>
          <w:lang w:val="it-IT"/>
        </w:rPr>
        <w:t xml:space="preserve">3: </w:t>
      </w:r>
      <w:r w:rsidR="00D25E15" w:rsidRPr="00D25E15">
        <w:rPr>
          <w:lang w:val="it-IT"/>
        </w:rPr>
        <w:t>Prevenire il razzismo e l’odio razziale</w:t>
      </w:r>
      <w:bookmarkEnd w:id="7"/>
      <w:r w:rsidR="00D25E15" w:rsidRPr="00D25E15">
        <w:rPr>
          <w:lang w:val="it-IT"/>
        </w:rPr>
        <w:t xml:space="preserve"> </w:t>
      </w:r>
      <w:r w:rsidR="00187379" w:rsidRPr="00D25E15">
        <w:rPr>
          <w:lang w:val="it-IT"/>
        </w:rPr>
        <w:br/>
      </w:r>
    </w:p>
    <w:p w:rsidR="00F749AC" w:rsidRPr="00D25E15" w:rsidRDefault="00D25E15" w:rsidP="00187379">
      <w:pPr>
        <w:pStyle w:val="Heading3"/>
        <w:numPr>
          <w:ilvl w:val="2"/>
          <w:numId w:val="33"/>
        </w:numPr>
        <w:spacing w:before="0" w:after="0"/>
        <w:ind w:left="851"/>
        <w:rPr>
          <w:i w:val="0"/>
          <w:lang w:val="it-IT"/>
        </w:rPr>
      </w:pPr>
      <w:r w:rsidRPr="00D25E15">
        <w:rPr>
          <w:i w:val="0"/>
          <w:lang w:val="it-IT"/>
        </w:rPr>
        <w:t xml:space="preserve">Aumentare la consapevolezza del razzismo e sostenere </w:t>
      </w:r>
      <w:r>
        <w:rPr>
          <w:i w:val="0"/>
          <w:lang w:val="it-IT"/>
        </w:rPr>
        <w:t>azioni</w:t>
      </w:r>
      <w:r w:rsidRPr="00D25E15">
        <w:rPr>
          <w:i w:val="0"/>
          <w:lang w:val="it-IT"/>
        </w:rPr>
        <w:t xml:space="preserve"> </w:t>
      </w:r>
      <w:r w:rsidR="00B27852">
        <w:rPr>
          <w:i w:val="0"/>
          <w:lang w:val="it-IT"/>
        </w:rPr>
        <w:t>concrete contro di esso</w:t>
      </w:r>
      <w:bookmarkEnd w:id="8"/>
    </w:p>
    <w:p w:rsidR="00187379" w:rsidRPr="00D25E15" w:rsidRDefault="00187379" w:rsidP="00187379">
      <w:pPr>
        <w:spacing w:before="0" w:after="0"/>
        <w:rPr>
          <w:rFonts w:cs="Arial"/>
          <w:i/>
          <w:lang w:val="it-IT"/>
        </w:rPr>
      </w:pPr>
    </w:p>
    <w:p w:rsidR="00F749AC" w:rsidRPr="00B27852" w:rsidRDefault="00B27852" w:rsidP="00187379">
      <w:pPr>
        <w:pStyle w:val="Heading3"/>
        <w:numPr>
          <w:ilvl w:val="2"/>
          <w:numId w:val="33"/>
        </w:numPr>
        <w:spacing w:before="0" w:after="0"/>
        <w:ind w:left="851"/>
        <w:rPr>
          <w:i w:val="0"/>
          <w:lang w:val="it-IT"/>
        </w:rPr>
      </w:pPr>
      <w:r w:rsidRPr="00B27852">
        <w:rPr>
          <w:i w:val="0"/>
          <w:lang w:val="it-IT"/>
        </w:rPr>
        <w:t xml:space="preserve">Combattere il </w:t>
      </w:r>
      <w:r w:rsidR="003A0E39">
        <w:rPr>
          <w:i w:val="0"/>
          <w:lang w:val="it-IT"/>
        </w:rPr>
        <w:t xml:space="preserve">cyber </w:t>
      </w:r>
      <w:r w:rsidRPr="00B27852">
        <w:rPr>
          <w:i w:val="0"/>
          <w:lang w:val="it-IT"/>
        </w:rPr>
        <w:t>razzismo come forma emergente di bullismo e odio razziale</w:t>
      </w:r>
    </w:p>
    <w:p w:rsidR="00187379" w:rsidRPr="00B27852" w:rsidRDefault="00187379" w:rsidP="00187379">
      <w:pPr>
        <w:spacing w:before="0" w:after="0"/>
        <w:rPr>
          <w:rFonts w:cs="Arial"/>
          <w:lang w:val="it-IT"/>
        </w:rPr>
      </w:pPr>
    </w:p>
    <w:p w:rsidR="00F749AC" w:rsidRPr="00B27852" w:rsidRDefault="00F749AC" w:rsidP="00187379">
      <w:pPr>
        <w:pStyle w:val="Heading3"/>
        <w:numPr>
          <w:ilvl w:val="2"/>
          <w:numId w:val="33"/>
        </w:numPr>
        <w:tabs>
          <w:tab w:val="clear" w:pos="7089"/>
          <w:tab w:val="num" w:pos="851"/>
        </w:tabs>
        <w:spacing w:before="0" w:after="0"/>
        <w:ind w:hanging="7089"/>
        <w:rPr>
          <w:rFonts w:cs="Arial"/>
          <w:i w:val="0"/>
          <w:lang w:val="it-IT"/>
        </w:rPr>
      </w:pPr>
      <w:r w:rsidRPr="00B27852">
        <w:rPr>
          <w:rFonts w:cs="Arial"/>
          <w:i w:val="0"/>
          <w:lang w:val="it-IT"/>
        </w:rPr>
        <w:lastRenderedPageBreak/>
        <w:t xml:space="preserve"> </w:t>
      </w:r>
      <w:r w:rsidR="00B27852" w:rsidRPr="00B27852">
        <w:rPr>
          <w:rFonts w:cs="Arial"/>
          <w:i w:val="0"/>
          <w:lang w:val="it-IT"/>
        </w:rPr>
        <w:t>Migliorare le risposte all’odio razziale e alla violenza</w:t>
      </w:r>
      <w:r w:rsidRPr="00B27852">
        <w:rPr>
          <w:rFonts w:cs="Arial"/>
          <w:i w:val="0"/>
          <w:lang w:val="it-IT"/>
        </w:rPr>
        <w:t xml:space="preserve"> </w:t>
      </w:r>
    </w:p>
    <w:p w:rsidR="00187379" w:rsidRPr="00B27852" w:rsidRDefault="00187379" w:rsidP="00187379">
      <w:pPr>
        <w:spacing w:before="0" w:after="0"/>
        <w:rPr>
          <w:rFonts w:cs="Arial"/>
          <w:bCs/>
          <w:lang w:val="it-IT"/>
        </w:rPr>
      </w:pPr>
    </w:p>
    <w:p w:rsidR="00F749AC" w:rsidRPr="004B48A1" w:rsidRDefault="00F404C8" w:rsidP="00187379">
      <w:pPr>
        <w:pStyle w:val="Heading2"/>
        <w:numPr>
          <w:ilvl w:val="0"/>
          <w:numId w:val="0"/>
        </w:numPr>
        <w:spacing w:before="0" w:after="0"/>
        <w:ind w:left="851" w:hanging="851"/>
        <w:rPr>
          <w:rFonts w:cs="Arial"/>
          <w:szCs w:val="28"/>
          <w:lang w:val="it-IT"/>
        </w:rPr>
      </w:pPr>
      <w:r w:rsidRPr="004B48A1">
        <w:rPr>
          <w:lang w:val="it-IT"/>
        </w:rPr>
        <w:t xml:space="preserve">Obiettivo </w:t>
      </w:r>
      <w:r w:rsidR="00F749AC" w:rsidRPr="004B48A1">
        <w:rPr>
          <w:rFonts w:cs="Arial"/>
          <w:szCs w:val="28"/>
          <w:lang w:val="it-IT"/>
        </w:rPr>
        <w:t xml:space="preserve">4: Leadership </w:t>
      </w:r>
      <w:r w:rsidR="004B48A1" w:rsidRPr="004B48A1">
        <w:rPr>
          <w:rFonts w:cs="Arial"/>
          <w:szCs w:val="28"/>
          <w:lang w:val="it-IT"/>
        </w:rPr>
        <w:t>nel sostenere le</w:t>
      </w:r>
      <w:r w:rsidR="004B48A1">
        <w:rPr>
          <w:rFonts w:cs="Arial"/>
          <w:szCs w:val="28"/>
          <w:lang w:val="it-IT"/>
        </w:rPr>
        <w:t xml:space="preserve"> diverse</w:t>
      </w:r>
      <w:r w:rsidR="004B48A1" w:rsidRPr="004B48A1">
        <w:rPr>
          <w:rFonts w:cs="Arial"/>
          <w:szCs w:val="28"/>
          <w:lang w:val="it-IT"/>
        </w:rPr>
        <w:t xml:space="preserve"> comunità</w:t>
      </w:r>
      <w:r w:rsidR="00F749AC" w:rsidRPr="004B48A1">
        <w:rPr>
          <w:rFonts w:cs="Arial"/>
          <w:szCs w:val="28"/>
          <w:lang w:val="it-IT"/>
        </w:rPr>
        <w:t xml:space="preserve"> </w:t>
      </w:r>
      <w:r w:rsidR="004B48A1">
        <w:rPr>
          <w:rFonts w:cs="Arial"/>
          <w:szCs w:val="28"/>
          <w:lang w:val="it-IT"/>
        </w:rPr>
        <w:t>dell’</w:t>
      </w:r>
      <w:r w:rsidR="00F749AC" w:rsidRPr="004B48A1">
        <w:rPr>
          <w:rFonts w:cs="Arial"/>
          <w:szCs w:val="28"/>
          <w:lang w:val="it-IT"/>
        </w:rPr>
        <w:t>Australia</w:t>
      </w:r>
      <w:bookmarkEnd w:id="9"/>
      <w:r w:rsidR="004B48A1" w:rsidRPr="004B48A1">
        <w:rPr>
          <w:rFonts w:cs="Arial"/>
          <w:szCs w:val="28"/>
          <w:lang w:val="it-IT"/>
        </w:rPr>
        <w:t xml:space="preserve"> </w:t>
      </w:r>
      <w:r w:rsidR="00187379" w:rsidRPr="004B48A1">
        <w:rPr>
          <w:rFonts w:cs="Arial"/>
          <w:szCs w:val="28"/>
          <w:lang w:val="it-IT"/>
        </w:rPr>
        <w:br/>
      </w:r>
    </w:p>
    <w:p w:rsidR="00F749AC" w:rsidRPr="004B48A1" w:rsidRDefault="004B48A1" w:rsidP="00187379">
      <w:pPr>
        <w:pStyle w:val="Heading3"/>
        <w:numPr>
          <w:ilvl w:val="2"/>
          <w:numId w:val="34"/>
        </w:numPr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it-IT"/>
        </w:rPr>
      </w:pPr>
      <w:r w:rsidRPr="004B48A1">
        <w:rPr>
          <w:rFonts w:cs="Arial"/>
          <w:i w:val="0"/>
          <w:szCs w:val="24"/>
          <w:lang w:val="it-IT"/>
        </w:rPr>
        <w:t>Incoraggiare la</w:t>
      </w:r>
      <w:r w:rsidR="00F749AC" w:rsidRPr="004B48A1">
        <w:rPr>
          <w:rFonts w:cs="Arial"/>
          <w:i w:val="0"/>
          <w:szCs w:val="24"/>
          <w:lang w:val="it-IT"/>
        </w:rPr>
        <w:t xml:space="preserve"> leadership</w:t>
      </w:r>
      <w:r w:rsidRPr="004B48A1">
        <w:rPr>
          <w:rFonts w:cs="Arial"/>
          <w:i w:val="0"/>
          <w:szCs w:val="24"/>
          <w:lang w:val="it-IT"/>
        </w:rPr>
        <w:t xml:space="preserve"> ne</w:t>
      </w:r>
      <w:r w:rsidR="007B4392">
        <w:rPr>
          <w:rFonts w:cs="Arial"/>
          <w:i w:val="0"/>
          <w:szCs w:val="24"/>
          <w:lang w:val="it-IT"/>
        </w:rPr>
        <w:t>l settore de</w:t>
      </w:r>
      <w:r w:rsidRPr="004B48A1">
        <w:rPr>
          <w:rFonts w:cs="Arial"/>
          <w:i w:val="0"/>
          <w:szCs w:val="24"/>
          <w:lang w:val="it-IT"/>
        </w:rPr>
        <w:t xml:space="preserve">ll’occupazione </w:t>
      </w:r>
      <w:r w:rsidR="007B4392">
        <w:rPr>
          <w:rFonts w:cs="Arial"/>
          <w:i w:val="0"/>
          <w:szCs w:val="24"/>
          <w:lang w:val="it-IT"/>
        </w:rPr>
        <w:t>a</w:t>
      </w:r>
      <w:r w:rsidRPr="004B48A1">
        <w:rPr>
          <w:rFonts w:cs="Arial"/>
          <w:i w:val="0"/>
          <w:szCs w:val="24"/>
          <w:lang w:val="it-IT"/>
        </w:rPr>
        <w:t xml:space="preserve"> sostenere </w:t>
      </w:r>
      <w:r>
        <w:rPr>
          <w:rFonts w:cs="Arial"/>
          <w:i w:val="0"/>
          <w:szCs w:val="24"/>
          <w:lang w:val="it-IT"/>
        </w:rPr>
        <w:t>uguale</w:t>
      </w:r>
      <w:r w:rsidRPr="004B48A1">
        <w:rPr>
          <w:rFonts w:cs="Arial"/>
          <w:i w:val="0"/>
          <w:szCs w:val="24"/>
          <w:lang w:val="it-IT"/>
        </w:rPr>
        <w:t xml:space="preserve"> partecipazione </w:t>
      </w:r>
      <w:bookmarkEnd w:id="10"/>
      <w:r>
        <w:rPr>
          <w:rFonts w:cs="Arial"/>
          <w:i w:val="0"/>
          <w:szCs w:val="24"/>
          <w:lang w:val="it-IT"/>
        </w:rPr>
        <w:t>a tutti i livelli</w:t>
      </w:r>
    </w:p>
    <w:p w:rsidR="00187379" w:rsidRPr="004B48A1" w:rsidRDefault="00187379" w:rsidP="00187379">
      <w:pPr>
        <w:spacing w:before="0" w:after="0"/>
        <w:rPr>
          <w:rFonts w:cs="Arial"/>
          <w:lang w:val="it-IT"/>
        </w:rPr>
      </w:pPr>
    </w:p>
    <w:p w:rsidR="00F749AC" w:rsidRPr="004B48A1" w:rsidRDefault="004B48A1" w:rsidP="00187379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it-IT"/>
        </w:rPr>
      </w:pPr>
      <w:r w:rsidRPr="004B48A1">
        <w:rPr>
          <w:rFonts w:cs="Arial"/>
          <w:i w:val="0"/>
          <w:szCs w:val="24"/>
          <w:lang w:val="it-IT"/>
        </w:rPr>
        <w:t>Valorizzare la diversificazione della rappresenta</w:t>
      </w:r>
      <w:r w:rsidR="00805CB2">
        <w:rPr>
          <w:rFonts w:cs="Arial"/>
          <w:i w:val="0"/>
          <w:szCs w:val="24"/>
          <w:lang w:val="it-IT"/>
        </w:rPr>
        <w:t>nza</w:t>
      </w:r>
      <w:r w:rsidRPr="004B48A1">
        <w:rPr>
          <w:rFonts w:cs="Arial"/>
          <w:i w:val="0"/>
          <w:szCs w:val="24"/>
          <w:lang w:val="it-IT"/>
        </w:rPr>
        <w:t xml:space="preserve"> nell’industria dell’intrattenimento</w:t>
      </w:r>
      <w:bookmarkEnd w:id="11"/>
    </w:p>
    <w:p w:rsidR="00187379" w:rsidRPr="004B48A1" w:rsidRDefault="00187379" w:rsidP="00187379">
      <w:pPr>
        <w:spacing w:before="0" w:after="0"/>
        <w:rPr>
          <w:rFonts w:cs="Arial"/>
          <w:lang w:val="it-IT"/>
        </w:rPr>
      </w:pPr>
    </w:p>
    <w:p w:rsidR="00F749AC" w:rsidRPr="004B48A1" w:rsidRDefault="004B48A1" w:rsidP="00187379">
      <w:pPr>
        <w:pStyle w:val="Heading3"/>
        <w:tabs>
          <w:tab w:val="clear" w:pos="7089"/>
          <w:tab w:val="num" w:pos="851"/>
        </w:tabs>
        <w:spacing w:before="0" w:after="0"/>
        <w:ind w:left="851"/>
        <w:rPr>
          <w:rFonts w:cs="Arial"/>
          <w:i w:val="0"/>
          <w:szCs w:val="24"/>
          <w:lang w:val="it-IT"/>
        </w:rPr>
      </w:pPr>
      <w:r w:rsidRPr="004B48A1">
        <w:rPr>
          <w:rFonts w:cs="Arial"/>
          <w:i w:val="0"/>
          <w:szCs w:val="24"/>
          <w:lang w:val="it-IT"/>
        </w:rPr>
        <w:t>Costruire collaborazione e cooperazione attraverso i media</w:t>
      </w:r>
      <w:bookmarkEnd w:id="12"/>
      <w:r w:rsidR="003E523E" w:rsidRPr="004B48A1">
        <w:rPr>
          <w:rFonts w:cs="Arial"/>
          <w:i w:val="0"/>
          <w:szCs w:val="24"/>
          <w:lang w:val="it-IT"/>
        </w:rPr>
        <w:t>.</w:t>
      </w:r>
    </w:p>
    <w:p w:rsidR="003E523E" w:rsidRPr="004B48A1" w:rsidRDefault="00B35ABB" w:rsidP="003E523E">
      <w:pPr>
        <w:rPr>
          <w:lang w:val="it-IT"/>
        </w:rPr>
      </w:pPr>
      <w:bookmarkStart w:id="13" w:name="_GoBack"/>
      <w:r w:rsidRPr="00B35ABB">
        <w:rPr>
          <w:rFonts w:eastAsia="MS Mincho"/>
          <w:noProof/>
        </w:rPr>
        <w:pict>
          <v:rect id="Rectangle 6" o:spid="_x0000_s1026" style="position:absolute;margin-left:-6.4pt;margin-top:36.9pt;width:454pt;height:330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" fillcolor="white [3201]" strokecolor="black [3200]" strokeweight="2pt">
            <v:textbox style="mso-next-textbox:#Rectangle 6">
              <w:txbxContent>
                <w:p w:rsidR="003D741F" w:rsidRPr="00EB1117" w:rsidRDefault="003D741F" w:rsidP="003E523E">
                  <w:pPr>
                    <w:pStyle w:val="NormalWeb"/>
                    <w:spacing w:before="120" w:after="0"/>
                    <w:rPr>
                      <w:rFonts w:ascii="Arial" w:hAnsi="Arial"/>
                      <w:lang w:val="it-IT"/>
                    </w:rPr>
                  </w:pPr>
                  <w:r w:rsidRPr="00EB1117">
                    <w:rPr>
                      <w:rFonts w:ascii="Arial" w:hAnsi="Arial"/>
                      <w:lang w:val="it-IT"/>
                    </w:rPr>
                    <w:t xml:space="preserve">La Commissione australiana per i diritti umani (Australian Human Rights Commission) può esaminare e risolvere reclami relativi a discriminazione, molestie e bullismo sulla base di: </w:t>
                  </w:r>
                </w:p>
                <w:p w:rsidR="003D741F" w:rsidRPr="00EB1117" w:rsidRDefault="003D741F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it-IT"/>
                    </w:rPr>
                  </w:pPr>
                  <w:r w:rsidRPr="00EB1117">
                    <w:rPr>
                      <w:rFonts w:ascii="Arial" w:hAnsi="Arial"/>
                      <w:lang w:val="it-IT"/>
                    </w:rPr>
                    <w:t>sesso</w:t>
                  </w:r>
                </w:p>
                <w:p w:rsidR="003D741F" w:rsidRPr="00EB1117" w:rsidRDefault="003D741F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it-IT"/>
                    </w:rPr>
                  </w:pPr>
                  <w:r w:rsidRPr="00EB1117">
                    <w:rPr>
                      <w:rFonts w:ascii="Arial" w:hAnsi="Arial"/>
                      <w:lang w:val="it-IT"/>
                    </w:rPr>
                    <w:t>disabilità</w:t>
                  </w:r>
                </w:p>
                <w:p w:rsidR="003D741F" w:rsidRPr="00EB1117" w:rsidRDefault="003D741F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it-IT"/>
                    </w:rPr>
                  </w:pPr>
                  <w:r w:rsidRPr="00EB1117">
                    <w:rPr>
                      <w:rFonts w:ascii="Arial" w:hAnsi="Arial"/>
                      <w:lang w:val="it-IT"/>
                    </w:rPr>
                    <w:t>razza</w:t>
                  </w:r>
                  <w:r>
                    <w:rPr>
                      <w:rFonts w:ascii="Arial" w:hAnsi="Arial"/>
                      <w:lang w:val="it-IT"/>
                    </w:rPr>
                    <w:t>,</w:t>
                  </w:r>
                  <w:r w:rsidRPr="00EB1117">
                    <w:rPr>
                      <w:rFonts w:ascii="Arial" w:hAnsi="Arial"/>
                      <w:lang w:val="it-IT"/>
                    </w:rPr>
                    <w:t xml:space="preserve"> incluso il vilipendio razziale</w:t>
                  </w:r>
                </w:p>
                <w:p w:rsidR="003D741F" w:rsidRPr="00EB1117" w:rsidRDefault="003D741F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it-IT"/>
                    </w:rPr>
                  </w:pPr>
                  <w:r w:rsidRPr="00EB1117">
                    <w:rPr>
                      <w:rFonts w:ascii="Arial" w:hAnsi="Arial"/>
                      <w:lang w:val="it-IT"/>
                    </w:rPr>
                    <w:t>età, e</w:t>
                  </w:r>
                </w:p>
                <w:p w:rsidR="003D741F" w:rsidRPr="00EB1117" w:rsidRDefault="003D741F" w:rsidP="003E523E">
                  <w:pPr>
                    <w:pStyle w:val="NormalWeb"/>
                    <w:numPr>
                      <w:ilvl w:val="0"/>
                      <w:numId w:val="35"/>
                    </w:numPr>
                    <w:spacing w:before="0" w:after="0"/>
                    <w:rPr>
                      <w:rFonts w:ascii="Arial" w:hAnsi="Arial"/>
                      <w:lang w:val="it-IT"/>
                    </w:rPr>
                  </w:pPr>
                  <w:r w:rsidRPr="00EB1117">
                    <w:rPr>
                      <w:rFonts w:ascii="Arial" w:hAnsi="Arial"/>
                      <w:lang w:val="it-IT"/>
                    </w:rPr>
                    <w:t>preferenze sessuali, fedina penale, attività sindacale, opinioni politiche, religione od origine sociale (solo in ambito lavorativo).</w:t>
                  </w:r>
                </w:p>
                <w:p w:rsidR="003D741F" w:rsidRPr="00EB1117" w:rsidRDefault="003D741F" w:rsidP="003E523E">
                  <w:pPr>
                    <w:spacing w:before="0" w:after="0"/>
                    <w:rPr>
                      <w:lang w:val="it-IT"/>
                    </w:rPr>
                  </w:pPr>
                </w:p>
                <w:p w:rsidR="003D741F" w:rsidRPr="00EB1117" w:rsidRDefault="003D741F" w:rsidP="003E523E">
                  <w:pPr>
                    <w:spacing w:before="0" w:after="0"/>
                    <w:rPr>
                      <w:lang w:val="it-IT"/>
                    </w:rPr>
                  </w:pPr>
                  <w:r w:rsidRPr="00EB1117">
                    <w:rPr>
                      <w:lang w:val="it-IT"/>
                    </w:rPr>
                    <w:t xml:space="preserve">Per consigli gratuiti sulla discriminazione e suoi vostri diritti o per sporgere reclamo, chiamate la Linea </w:t>
                  </w:r>
                  <w:r w:rsidR="00AA0E0A">
                    <w:rPr>
                      <w:lang w:val="it-IT"/>
                    </w:rPr>
                    <w:t xml:space="preserve">telefonica </w:t>
                  </w:r>
                  <w:r w:rsidRPr="00EB1117">
                    <w:rPr>
                      <w:lang w:val="it-IT"/>
                    </w:rPr>
                    <w:t xml:space="preserve">per informazioni sui reclami (Complaint Information Line) della Commissione ai numeri </w:t>
                  </w:r>
                  <w:r w:rsidRPr="00EB1117">
                    <w:rPr>
                      <w:b/>
                      <w:lang w:val="it-IT"/>
                    </w:rPr>
                    <w:t>02 9284 9888</w:t>
                  </w:r>
                  <w:r w:rsidRPr="00EB1117">
                    <w:rPr>
                      <w:lang w:val="it-IT"/>
                    </w:rPr>
                    <w:t xml:space="preserve">, </w:t>
                  </w:r>
                  <w:r w:rsidRPr="00EB1117">
                    <w:rPr>
                      <w:b/>
                      <w:lang w:val="it-IT"/>
                    </w:rPr>
                    <w:t>1300 656 419</w:t>
                  </w:r>
                  <w:r w:rsidRPr="00EB1117">
                    <w:rPr>
                      <w:lang w:val="it-IT"/>
                    </w:rPr>
                    <w:t xml:space="preserve"> (chiamata locale) o </w:t>
                  </w:r>
                  <w:r w:rsidRPr="00EB1117">
                    <w:rPr>
                      <w:b/>
                      <w:lang w:val="it-IT"/>
                    </w:rPr>
                    <w:t xml:space="preserve">1800 620 241 </w:t>
                  </w:r>
                  <w:r w:rsidRPr="00EB1117">
                    <w:rPr>
                      <w:lang w:val="it-IT"/>
                    </w:rPr>
                    <w:t>(TTY).</w:t>
                  </w:r>
                </w:p>
                <w:p w:rsidR="003D741F" w:rsidRPr="00EB1117" w:rsidRDefault="003D741F" w:rsidP="003E523E">
                  <w:pPr>
                    <w:spacing w:before="0" w:after="0"/>
                    <w:rPr>
                      <w:lang w:val="it-IT"/>
                    </w:rPr>
                  </w:pPr>
                </w:p>
                <w:p w:rsidR="003D741F" w:rsidRPr="00EB1117" w:rsidRDefault="003D741F" w:rsidP="003E523E">
                  <w:pPr>
                    <w:spacing w:before="0" w:after="0"/>
                    <w:rPr>
                      <w:lang w:val="it-IT"/>
                    </w:rPr>
                  </w:pPr>
                  <w:r w:rsidRPr="00EB1117">
                    <w:rPr>
                      <w:lang w:val="it-IT"/>
                    </w:rPr>
                    <w:t xml:space="preserve">Informazioni su come </w:t>
                  </w:r>
                  <w:r>
                    <w:rPr>
                      <w:lang w:val="it-IT"/>
                    </w:rPr>
                    <w:t>inviare</w:t>
                  </w:r>
                  <w:r w:rsidRPr="00EB1117">
                    <w:rPr>
                      <w:lang w:val="it-IT"/>
                    </w:rPr>
                    <w:t xml:space="preserve"> o rispondere a un reclamo sono disponibili al sito web </w:t>
                  </w:r>
                  <w:hyperlink r:id="rId8" w:history="1">
                    <w:r w:rsidRPr="00EB1117">
                      <w:rPr>
                        <w:rStyle w:val="Hyperlink"/>
                        <w:lang w:val="it-IT"/>
                      </w:rPr>
                      <w:t>www.humanrights.gov.au</w:t>
                    </w:r>
                  </w:hyperlink>
                  <w:r w:rsidRPr="00EB1117">
                    <w:rPr>
                      <w:lang w:val="it-IT"/>
                    </w:rPr>
                    <w:t xml:space="preserve">. Potete anche inviare una e-mail alla </w:t>
                  </w:r>
                  <w:r>
                    <w:rPr>
                      <w:lang w:val="it-IT"/>
                    </w:rPr>
                    <w:t>C</w:t>
                  </w:r>
                  <w:r w:rsidRPr="00EB1117">
                    <w:rPr>
                      <w:lang w:val="it-IT"/>
                    </w:rPr>
                    <w:t xml:space="preserve">ommissione all’indirizzo </w:t>
                  </w:r>
                  <w:hyperlink r:id="rId9" w:history="1">
                    <w:r w:rsidRPr="00EB1117">
                      <w:rPr>
                        <w:rStyle w:val="Hyperlink"/>
                        <w:lang w:val="it-IT"/>
                      </w:rPr>
                      <w:t>complaintsinfo@humanrights.gov.au</w:t>
                    </w:r>
                  </w:hyperlink>
                </w:p>
                <w:p w:rsidR="003D741F" w:rsidRPr="00EB1117" w:rsidRDefault="003D741F" w:rsidP="003E523E">
                  <w:pPr>
                    <w:pStyle w:val="NormalWeb"/>
                    <w:spacing w:after="120"/>
                    <w:rPr>
                      <w:rFonts w:ascii="Arial" w:hAnsi="Arial"/>
                      <w:lang w:val="it-IT"/>
                    </w:rPr>
                  </w:pPr>
                  <w:r w:rsidRPr="00EB1117">
                    <w:rPr>
                      <w:rFonts w:ascii="Arial" w:hAnsi="Arial"/>
                      <w:lang w:val="it-IT"/>
                    </w:rPr>
                    <w:t xml:space="preserve">Servizi gratuiti di traduzione e interpretariato sono disponibili contattando il numero 13 14 50 e chiedendo della Commissione australiana per i diritti umani (Australian Human Rights Commission). </w:t>
                  </w:r>
                </w:p>
                <w:p w:rsidR="003D741F" w:rsidRPr="004B48A1" w:rsidRDefault="003D741F" w:rsidP="003E523E">
                  <w:pPr>
                    <w:jc w:val="center"/>
                    <w:rPr>
                      <w:lang w:val="it-IT"/>
                    </w:rPr>
                  </w:pPr>
                </w:p>
              </w:txbxContent>
            </v:textbox>
          </v:rect>
        </w:pict>
      </w:r>
      <w:bookmarkEnd w:id="13"/>
    </w:p>
    <w:p w:rsidR="003E523E" w:rsidRPr="004B48A1" w:rsidRDefault="003E523E" w:rsidP="003E523E">
      <w:pPr>
        <w:rPr>
          <w:lang w:val="it-IT"/>
        </w:rPr>
      </w:pPr>
    </w:p>
    <w:p w:rsidR="00C4519C" w:rsidRPr="004B48A1" w:rsidRDefault="00C4519C" w:rsidP="0077768B">
      <w:pPr>
        <w:rPr>
          <w:lang w:val="it-IT"/>
        </w:rPr>
      </w:pPr>
    </w:p>
    <w:sectPr w:rsidR="00C4519C" w:rsidRPr="004B48A1" w:rsidSect="00CE7182">
      <w:footerReference w:type="default" r:id="rId10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64" w:rsidRDefault="00992664" w:rsidP="00F14C6D">
      <w:r>
        <w:separator/>
      </w:r>
    </w:p>
  </w:endnote>
  <w:endnote w:type="continuationSeparator" w:id="0">
    <w:p w:rsidR="00992664" w:rsidRDefault="00992664" w:rsidP="00F1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1F" w:rsidRDefault="00B35ABB" w:rsidP="00CE7182">
    <w:pPr>
      <w:pStyle w:val="Footer"/>
      <w:spacing w:before="0"/>
    </w:pPr>
    <w:fldSimple w:instr=" PAGE   \* MERGEFORMAT ">
      <w:r w:rsidR="0044438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64" w:rsidRDefault="00992664" w:rsidP="00F14C6D">
      <w:r>
        <w:separator/>
      </w:r>
    </w:p>
  </w:footnote>
  <w:footnote w:type="continuationSeparator" w:id="0">
    <w:p w:rsidR="00992664" w:rsidRDefault="00992664" w:rsidP="00F1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97817C3"/>
    <w:multiLevelType w:val="multilevel"/>
    <w:tmpl w:val="705E6A6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5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445D87"/>
    <w:multiLevelType w:val="multilevel"/>
    <w:tmpl w:val="215075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2">
    <w:nsid w:val="49FF7A73"/>
    <w:multiLevelType w:val="multilevel"/>
    <w:tmpl w:val="E2A8F4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89"/>
        </w:tabs>
        <w:ind w:left="7089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3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74434"/>
    <w:multiLevelType w:val="hybridMultilevel"/>
    <w:tmpl w:val="65169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4"/>
  </w:num>
  <w:num w:numId="12">
    <w:abstractNumId w:val="18"/>
  </w:num>
  <w:num w:numId="13">
    <w:abstractNumId w:val="14"/>
  </w:num>
  <w:num w:numId="14">
    <w:abstractNumId w:val="23"/>
  </w:num>
  <w:num w:numId="15">
    <w:abstractNumId w:val="15"/>
  </w:num>
  <w:num w:numId="16">
    <w:abstractNumId w:val="10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 w:numId="28">
    <w:abstractNumId w:val="22"/>
  </w:num>
  <w:num w:numId="29">
    <w:abstractNumId w:val="1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0004"/>
  <w:doNotTrackMoves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55659"/>
    <w:rsid w:val="000028A5"/>
    <w:rsid w:val="0001254B"/>
    <w:rsid w:val="00013272"/>
    <w:rsid w:val="00021134"/>
    <w:rsid w:val="00034E45"/>
    <w:rsid w:val="00052262"/>
    <w:rsid w:val="000540A0"/>
    <w:rsid w:val="000579B1"/>
    <w:rsid w:val="00074750"/>
    <w:rsid w:val="00074CD6"/>
    <w:rsid w:val="000B0A5D"/>
    <w:rsid w:val="001011C8"/>
    <w:rsid w:val="00132462"/>
    <w:rsid w:val="00140077"/>
    <w:rsid w:val="001523D8"/>
    <w:rsid w:val="001566D4"/>
    <w:rsid w:val="00162A8D"/>
    <w:rsid w:val="00184098"/>
    <w:rsid w:val="001867A2"/>
    <w:rsid w:val="00187379"/>
    <w:rsid w:val="001A5D46"/>
    <w:rsid w:val="001B0353"/>
    <w:rsid w:val="001C139C"/>
    <w:rsid w:val="001C451B"/>
    <w:rsid w:val="001E4339"/>
    <w:rsid w:val="001F2BBB"/>
    <w:rsid w:val="0020759E"/>
    <w:rsid w:val="00231ED1"/>
    <w:rsid w:val="0023303F"/>
    <w:rsid w:val="0024300C"/>
    <w:rsid w:val="0024557E"/>
    <w:rsid w:val="002702D9"/>
    <w:rsid w:val="002E51DB"/>
    <w:rsid w:val="003040CA"/>
    <w:rsid w:val="00310ED4"/>
    <w:rsid w:val="0031492A"/>
    <w:rsid w:val="00316504"/>
    <w:rsid w:val="00316C1A"/>
    <w:rsid w:val="00321AF0"/>
    <w:rsid w:val="00377C8F"/>
    <w:rsid w:val="003931C7"/>
    <w:rsid w:val="003955AE"/>
    <w:rsid w:val="00395B25"/>
    <w:rsid w:val="003A0E39"/>
    <w:rsid w:val="003A533F"/>
    <w:rsid w:val="003B18A7"/>
    <w:rsid w:val="003D741F"/>
    <w:rsid w:val="003E523E"/>
    <w:rsid w:val="003F0CEE"/>
    <w:rsid w:val="004215B3"/>
    <w:rsid w:val="00444303"/>
    <w:rsid w:val="00444383"/>
    <w:rsid w:val="00450862"/>
    <w:rsid w:val="00455659"/>
    <w:rsid w:val="004561BE"/>
    <w:rsid w:val="00462D4C"/>
    <w:rsid w:val="00473DB9"/>
    <w:rsid w:val="00474063"/>
    <w:rsid w:val="00476EEA"/>
    <w:rsid w:val="00494D4B"/>
    <w:rsid w:val="004A722D"/>
    <w:rsid w:val="004B48A1"/>
    <w:rsid w:val="004E57B5"/>
    <w:rsid w:val="004F53EF"/>
    <w:rsid w:val="00503E04"/>
    <w:rsid w:val="00504B28"/>
    <w:rsid w:val="00513540"/>
    <w:rsid w:val="00522CED"/>
    <w:rsid w:val="00554C04"/>
    <w:rsid w:val="0058107D"/>
    <w:rsid w:val="005A27E3"/>
    <w:rsid w:val="005A786A"/>
    <w:rsid w:val="005A78CF"/>
    <w:rsid w:val="005B7515"/>
    <w:rsid w:val="005C1654"/>
    <w:rsid w:val="005D04F4"/>
    <w:rsid w:val="005D1F34"/>
    <w:rsid w:val="005F5F45"/>
    <w:rsid w:val="00670959"/>
    <w:rsid w:val="00690313"/>
    <w:rsid w:val="00696390"/>
    <w:rsid w:val="006A6BB3"/>
    <w:rsid w:val="006B3680"/>
    <w:rsid w:val="006D5EE5"/>
    <w:rsid w:val="006E06ED"/>
    <w:rsid w:val="006E06F5"/>
    <w:rsid w:val="006E777A"/>
    <w:rsid w:val="007039FC"/>
    <w:rsid w:val="00706FAB"/>
    <w:rsid w:val="00707793"/>
    <w:rsid w:val="007169BB"/>
    <w:rsid w:val="00725D5E"/>
    <w:rsid w:val="007548CA"/>
    <w:rsid w:val="00770DCB"/>
    <w:rsid w:val="00775485"/>
    <w:rsid w:val="0077768B"/>
    <w:rsid w:val="007841E1"/>
    <w:rsid w:val="007B4392"/>
    <w:rsid w:val="007D40BD"/>
    <w:rsid w:val="007E1866"/>
    <w:rsid w:val="007E6434"/>
    <w:rsid w:val="00805CB2"/>
    <w:rsid w:val="00810ABF"/>
    <w:rsid w:val="008125EE"/>
    <w:rsid w:val="0083209A"/>
    <w:rsid w:val="00865E7D"/>
    <w:rsid w:val="008724DE"/>
    <w:rsid w:val="008A2AF7"/>
    <w:rsid w:val="008A3D57"/>
    <w:rsid w:val="008E3D60"/>
    <w:rsid w:val="0090165F"/>
    <w:rsid w:val="00921CB7"/>
    <w:rsid w:val="00923C4F"/>
    <w:rsid w:val="009472C4"/>
    <w:rsid w:val="00950E88"/>
    <w:rsid w:val="00966C2F"/>
    <w:rsid w:val="009802F3"/>
    <w:rsid w:val="00992664"/>
    <w:rsid w:val="009A5753"/>
    <w:rsid w:val="009C5FB8"/>
    <w:rsid w:val="009D6FFE"/>
    <w:rsid w:val="009E7FC4"/>
    <w:rsid w:val="009F0AF3"/>
    <w:rsid w:val="009F51D9"/>
    <w:rsid w:val="009F7AAC"/>
    <w:rsid w:val="00A02F56"/>
    <w:rsid w:val="00A0406E"/>
    <w:rsid w:val="00A263D5"/>
    <w:rsid w:val="00A349D1"/>
    <w:rsid w:val="00A41355"/>
    <w:rsid w:val="00A43B92"/>
    <w:rsid w:val="00A44720"/>
    <w:rsid w:val="00A45D85"/>
    <w:rsid w:val="00A6179E"/>
    <w:rsid w:val="00A66F67"/>
    <w:rsid w:val="00AA0E0A"/>
    <w:rsid w:val="00AB0D7D"/>
    <w:rsid w:val="00AC27AB"/>
    <w:rsid w:val="00AC6A34"/>
    <w:rsid w:val="00AE76EB"/>
    <w:rsid w:val="00B10B7F"/>
    <w:rsid w:val="00B22697"/>
    <w:rsid w:val="00B277E0"/>
    <w:rsid w:val="00B27852"/>
    <w:rsid w:val="00B35ABB"/>
    <w:rsid w:val="00B52E2D"/>
    <w:rsid w:val="00B76653"/>
    <w:rsid w:val="00BA0F4E"/>
    <w:rsid w:val="00BA262D"/>
    <w:rsid w:val="00BC79EB"/>
    <w:rsid w:val="00C076F2"/>
    <w:rsid w:val="00C247EB"/>
    <w:rsid w:val="00C25BDA"/>
    <w:rsid w:val="00C4519C"/>
    <w:rsid w:val="00C53971"/>
    <w:rsid w:val="00C54FB1"/>
    <w:rsid w:val="00C80F9F"/>
    <w:rsid w:val="00CA0D78"/>
    <w:rsid w:val="00CB27A8"/>
    <w:rsid w:val="00CE4F36"/>
    <w:rsid w:val="00CE7182"/>
    <w:rsid w:val="00D25E15"/>
    <w:rsid w:val="00D34A19"/>
    <w:rsid w:val="00D36D90"/>
    <w:rsid w:val="00D65C76"/>
    <w:rsid w:val="00D95AC8"/>
    <w:rsid w:val="00DA2F73"/>
    <w:rsid w:val="00DA42E8"/>
    <w:rsid w:val="00DA6DF3"/>
    <w:rsid w:val="00DC193F"/>
    <w:rsid w:val="00DC3C4F"/>
    <w:rsid w:val="00DC462F"/>
    <w:rsid w:val="00E24FA3"/>
    <w:rsid w:val="00E328CD"/>
    <w:rsid w:val="00E36CAD"/>
    <w:rsid w:val="00E45954"/>
    <w:rsid w:val="00E75D90"/>
    <w:rsid w:val="00E835AF"/>
    <w:rsid w:val="00E97EF8"/>
    <w:rsid w:val="00EB1117"/>
    <w:rsid w:val="00EE44D7"/>
    <w:rsid w:val="00F00F16"/>
    <w:rsid w:val="00F14C6D"/>
    <w:rsid w:val="00F3100E"/>
    <w:rsid w:val="00F404C8"/>
    <w:rsid w:val="00F71A6E"/>
    <w:rsid w:val="00F749AC"/>
    <w:rsid w:val="00F9078E"/>
    <w:rsid w:val="00F95982"/>
    <w:rsid w:val="00FB2AF2"/>
    <w:rsid w:val="00FC582E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  <w:numId w:val="30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numPr>
        <w:ilvl w:val="4"/>
        <w:numId w:val="30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numPr>
        <w:ilvl w:val="6"/>
        <w:numId w:val="3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numPr>
        <w:ilvl w:val="7"/>
        <w:numId w:val="3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numPr>
        <w:ilvl w:val="8"/>
        <w:numId w:val="3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14C6D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14C6D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F14C6D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4C6D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rsid w:val="00F14C6D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customStyle="1" w:styleId="MainTitle">
    <w:name w:val="Main Title"/>
    <w:semiHidden/>
    <w:qFormat/>
    <w:rsid w:val="00B10B7F"/>
    <w:pPr>
      <w:spacing w:line="740" w:lineRule="exact"/>
      <w:contextualSpacing/>
      <w:jc w:val="right"/>
    </w:pPr>
    <w:rPr>
      <w:rFonts w:ascii="Arial" w:hAnsi="Arial"/>
      <w:bCs/>
      <w:color w:val="237BBC"/>
      <w:kern w:val="32"/>
      <w:sz w:val="56"/>
      <w:szCs w:val="32"/>
    </w:rPr>
  </w:style>
  <w:style w:type="paragraph" w:customStyle="1" w:styleId="SubmissionNormal">
    <w:name w:val="Submission Normal"/>
    <w:basedOn w:val="Normal"/>
    <w:rsid w:val="00BA0F4E"/>
    <w:pPr>
      <w:numPr>
        <w:numId w:val="29"/>
      </w:numPr>
      <w:tabs>
        <w:tab w:val="clear" w:pos="720"/>
      </w:tabs>
      <w:ind w:hanging="720"/>
    </w:pPr>
  </w:style>
  <w:style w:type="paragraph" w:styleId="ListParagraph">
    <w:name w:val="List Paragraph"/>
    <w:basedOn w:val="Normal"/>
    <w:uiPriority w:val="34"/>
    <w:qFormat/>
    <w:rsid w:val="00F00F1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3E5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laintsinfo@humanright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04784-0CE3-4B93-9D3D-9615B3FF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Australian Human Rights Commission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Christine Ratnasingham</dc:creator>
  <cp:lastModifiedBy>eTranslate</cp:lastModifiedBy>
  <cp:revision>2</cp:revision>
  <dcterms:created xsi:type="dcterms:W3CDTF">2012-09-28T05:11:00Z</dcterms:created>
  <dcterms:modified xsi:type="dcterms:W3CDTF">2012-09-28T05:11:00Z</dcterms:modified>
</cp:coreProperties>
</file>