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98" w:rsidRDefault="00FF2B98" w:rsidP="00FF2B98">
      <w:pPr>
        <w:spacing w:before="0" w:after="0"/>
        <w:jc w:val="center"/>
        <w:rPr>
          <w:b/>
        </w:rPr>
      </w:pPr>
      <w:r>
        <w:rPr>
          <w:b/>
        </w:rPr>
        <w:t xml:space="preserve">Statement by the </w:t>
      </w:r>
    </w:p>
    <w:p w:rsidR="00FF2B98" w:rsidRDefault="00FF2B98" w:rsidP="00FF2B98">
      <w:pPr>
        <w:spacing w:before="0" w:after="0"/>
        <w:jc w:val="center"/>
        <w:rPr>
          <w:b/>
        </w:rPr>
      </w:pPr>
      <w:r>
        <w:rPr>
          <w:b/>
        </w:rPr>
        <w:t>Aboriginal and Torres Strait Islander Social Justice Commissioner</w:t>
      </w:r>
    </w:p>
    <w:p w:rsidR="00FF2B98" w:rsidRDefault="00FF2B98" w:rsidP="00FF2B98">
      <w:pPr>
        <w:spacing w:before="0" w:after="0"/>
        <w:jc w:val="center"/>
        <w:rPr>
          <w:b/>
        </w:rPr>
      </w:pPr>
      <w:r>
        <w:rPr>
          <w:b/>
        </w:rPr>
        <w:t xml:space="preserve">Mick </w:t>
      </w:r>
      <w:proofErr w:type="spellStart"/>
      <w:r>
        <w:rPr>
          <w:b/>
        </w:rPr>
        <w:t>Gooda</w:t>
      </w:r>
      <w:proofErr w:type="spellEnd"/>
    </w:p>
    <w:p w:rsidR="00FF2B98" w:rsidRDefault="00FF2B98" w:rsidP="00FF2B98">
      <w:pPr>
        <w:spacing w:before="0" w:after="0"/>
        <w:jc w:val="center"/>
        <w:rPr>
          <w:b/>
        </w:rPr>
      </w:pPr>
      <w:r>
        <w:rPr>
          <w:b/>
        </w:rPr>
        <w:t>Australian Human Rights Commission</w:t>
      </w:r>
    </w:p>
    <w:p w:rsidR="00FF2B98" w:rsidRDefault="00FF2B98" w:rsidP="00FF2B98">
      <w:pPr>
        <w:spacing w:before="0" w:after="0"/>
        <w:jc w:val="center"/>
        <w:rPr>
          <w:b/>
        </w:rPr>
      </w:pPr>
      <w:proofErr w:type="gramStart"/>
      <w:r>
        <w:rPr>
          <w:b/>
        </w:rPr>
        <w:t>to</w:t>
      </w:r>
      <w:proofErr w:type="gramEnd"/>
      <w:r>
        <w:rPr>
          <w:b/>
        </w:rPr>
        <w:t xml:space="preserve"> the</w:t>
      </w:r>
    </w:p>
    <w:p w:rsidR="00FF2B98" w:rsidRDefault="00FF2B98" w:rsidP="00FF2B98">
      <w:pPr>
        <w:spacing w:before="0" w:after="0"/>
        <w:jc w:val="center"/>
        <w:rPr>
          <w:b/>
        </w:rPr>
      </w:pPr>
      <w:r>
        <w:rPr>
          <w:b/>
        </w:rPr>
        <w:t>Expert Mechanism on the Rights of Indigenous Peoples</w:t>
      </w:r>
    </w:p>
    <w:p w:rsidR="00FF2B98" w:rsidRDefault="00E84637" w:rsidP="00FF2B98">
      <w:pPr>
        <w:spacing w:before="0" w:after="0"/>
        <w:jc w:val="center"/>
        <w:rPr>
          <w:b/>
        </w:rPr>
      </w:pPr>
      <w:r>
        <w:rPr>
          <w:b/>
        </w:rPr>
        <w:t>11-15</w:t>
      </w:r>
      <w:r w:rsidR="00FF2B98">
        <w:rPr>
          <w:b/>
        </w:rPr>
        <w:t xml:space="preserve"> July 201</w:t>
      </w:r>
      <w:r>
        <w:rPr>
          <w:b/>
        </w:rPr>
        <w:t>1</w:t>
      </w:r>
      <w:r w:rsidR="00FF2B98">
        <w:rPr>
          <w:b/>
        </w:rPr>
        <w:t>, Geneva</w:t>
      </w:r>
    </w:p>
    <w:p w:rsidR="00FF2B98" w:rsidRDefault="00056CBC" w:rsidP="00FF2B98">
      <w:pPr>
        <w:spacing w:before="0" w:after="0"/>
        <w:rPr>
          <w:b/>
        </w:rPr>
      </w:pPr>
      <w:r>
        <w:rPr>
          <w:b/>
        </w:rPr>
        <w:pict>
          <v:rect id="_x0000_i1025" style="width:0;height:1.5pt" o:hralign="center" o:hrstd="t" o:hr="t" fillcolor="#a0a0a0" stroked="f"/>
        </w:pict>
      </w:r>
    </w:p>
    <w:p w:rsidR="00FF2B98" w:rsidRPr="00326CE7" w:rsidRDefault="00FF2B98" w:rsidP="00FF2B98">
      <w:pPr>
        <w:rPr>
          <w:b/>
        </w:rPr>
      </w:pPr>
      <w:r>
        <w:rPr>
          <w:b/>
        </w:rPr>
        <w:t>Item 3:</w:t>
      </w:r>
      <w:r>
        <w:rPr>
          <w:b/>
        </w:rPr>
        <w:tab/>
      </w:r>
      <w:r w:rsidRPr="00326CE7">
        <w:rPr>
          <w:b/>
        </w:rPr>
        <w:t xml:space="preserve"> </w:t>
      </w:r>
      <w:r>
        <w:rPr>
          <w:b/>
        </w:rPr>
        <w:t>The right to participate in decision making</w:t>
      </w:r>
      <w:r w:rsidRPr="00326CE7">
        <w:rPr>
          <w:b/>
        </w:rPr>
        <w:t xml:space="preserve"> </w:t>
      </w:r>
    </w:p>
    <w:p w:rsidR="00FF2B98" w:rsidRDefault="00FF2B98" w:rsidP="00FF2B98">
      <w:r>
        <w:t xml:space="preserve">Thank you </w:t>
      </w:r>
      <w:r w:rsidR="006C7615">
        <w:t xml:space="preserve">Mister </w:t>
      </w:r>
      <w:r>
        <w:t>Chair</w:t>
      </w:r>
    </w:p>
    <w:p w:rsidR="00217694" w:rsidRDefault="00FF2B98" w:rsidP="001734D9">
      <w:pPr>
        <w:jc w:val="both"/>
      </w:pPr>
      <w:r>
        <w:t xml:space="preserve">I make this statement in my capacity as </w:t>
      </w:r>
      <w:r w:rsidR="007E7130">
        <w:t xml:space="preserve">the </w:t>
      </w:r>
      <w:r>
        <w:t>Aboriginal and Torres Strait Islander Social Justice Commissioner on behalf of the Australian Human Rights Commission</w:t>
      </w:r>
      <w:r w:rsidR="001B5948">
        <w:t xml:space="preserve"> (the Commission)</w:t>
      </w:r>
      <w:r>
        <w:t xml:space="preserve">, Australia’s National Human Rights </w:t>
      </w:r>
      <w:r w:rsidR="001B5948">
        <w:t>Institution</w:t>
      </w:r>
      <w:r w:rsidR="00302C28">
        <w:t xml:space="preserve"> (NHRI)</w:t>
      </w:r>
      <w:r>
        <w:t>.</w:t>
      </w:r>
      <w:bookmarkStart w:id="0" w:name="_GoBack"/>
      <w:bookmarkEnd w:id="0"/>
    </w:p>
    <w:p w:rsidR="00302C28" w:rsidRDefault="00FF2B98" w:rsidP="001734D9">
      <w:pPr>
        <w:jc w:val="both"/>
      </w:pPr>
      <w:r>
        <w:t xml:space="preserve">I begin by commending the Expert Mechanism for its </w:t>
      </w:r>
      <w:r w:rsidR="00E84637">
        <w:t>Final</w:t>
      </w:r>
      <w:r w:rsidR="007E7130">
        <w:t xml:space="preserve"> </w:t>
      </w:r>
      <w:r w:rsidR="00E84637">
        <w:t>S</w:t>
      </w:r>
      <w:r w:rsidR="007E7130">
        <w:t>tudy on i</w:t>
      </w:r>
      <w:r>
        <w:t>ndigenous peoples and the right to participate in decision-making</w:t>
      </w:r>
      <w:r w:rsidR="00920D73">
        <w:t>,</w:t>
      </w:r>
      <w:r w:rsidR="00E84637">
        <w:t xml:space="preserve"> and Expert Mechanism advice No. 2</w:t>
      </w:r>
      <w:r>
        <w:t xml:space="preserve">. </w:t>
      </w:r>
      <w:r w:rsidR="00AC51D9">
        <w:t>When read together, these</w:t>
      </w:r>
      <w:r w:rsidR="003F334B">
        <w:t xml:space="preserve"> </w:t>
      </w:r>
      <w:r w:rsidR="00E84637">
        <w:t>pro</w:t>
      </w:r>
      <w:r w:rsidR="00AC51D9">
        <w:t>vide a solid framework and extensive</w:t>
      </w:r>
      <w:r w:rsidR="00E84637">
        <w:t xml:space="preserve"> guidance on </w:t>
      </w:r>
      <w:r w:rsidR="00AC51D9">
        <w:t>improving state based mechanisms for increasing Indigenous peoples' participation in decision making; including</w:t>
      </w:r>
      <w:r w:rsidR="00302C28">
        <w:t>:</w:t>
      </w:r>
    </w:p>
    <w:p w:rsidR="00302C28" w:rsidRDefault="00AC51D9" w:rsidP="001734D9">
      <w:pPr>
        <w:pStyle w:val="ListParagraph"/>
        <w:numPr>
          <w:ilvl w:val="0"/>
          <w:numId w:val="7"/>
        </w:numPr>
        <w:jc w:val="both"/>
      </w:pPr>
      <w:r>
        <w:t xml:space="preserve">the </w:t>
      </w:r>
      <w:r w:rsidR="00302C28">
        <w:t xml:space="preserve">recognition, </w:t>
      </w:r>
      <w:r>
        <w:t>integration</w:t>
      </w:r>
      <w:r w:rsidR="00302C28">
        <w:t>, and application</w:t>
      </w:r>
      <w:r>
        <w:t xml:space="preserve"> of Indi</w:t>
      </w:r>
      <w:r w:rsidR="00302C28">
        <w:t>genous determined decision-making practices</w:t>
      </w:r>
      <w:r>
        <w:t xml:space="preserve"> into such mechanisms</w:t>
      </w:r>
      <w:r w:rsidR="001B5948">
        <w:t xml:space="preserve">; </w:t>
      </w:r>
    </w:p>
    <w:p w:rsidR="00AC51D9" w:rsidRDefault="00302C28" w:rsidP="001734D9">
      <w:pPr>
        <w:pStyle w:val="ListParagraph"/>
        <w:numPr>
          <w:ilvl w:val="0"/>
          <w:numId w:val="7"/>
        </w:numPr>
        <w:jc w:val="both"/>
      </w:pPr>
      <w:r>
        <w:t xml:space="preserve">that the right to participate in decision-making does not just mean telling Indigenous peoples what you are going to do to us – but that we </w:t>
      </w:r>
      <w:r w:rsidR="002A6F4E">
        <w:t>are assured</w:t>
      </w:r>
      <w:r>
        <w:t xml:space="preserve"> an active role in determining</w:t>
      </w:r>
      <w:r w:rsidR="003F334B">
        <w:t xml:space="preserve"> not only the policy but the desired</w:t>
      </w:r>
      <w:r>
        <w:t xml:space="preserve"> the outcomes;</w:t>
      </w:r>
      <w:r w:rsidRPr="00302C28">
        <w:t xml:space="preserve"> </w:t>
      </w:r>
      <w:r>
        <w:t xml:space="preserve">and </w:t>
      </w:r>
    </w:p>
    <w:p w:rsidR="00302C28" w:rsidRDefault="00302C28" w:rsidP="001734D9">
      <w:pPr>
        <w:pStyle w:val="ListParagraph"/>
        <w:numPr>
          <w:ilvl w:val="0"/>
          <w:numId w:val="7"/>
        </w:numPr>
        <w:jc w:val="both"/>
      </w:pPr>
      <w:proofErr w:type="gramStart"/>
      <w:r>
        <w:t>the</w:t>
      </w:r>
      <w:proofErr w:type="gramEnd"/>
      <w:r>
        <w:t xml:space="preserve"> need for consultations and negotiations with Indigenous peoples to comply with the human rights standards set out in the </w:t>
      </w:r>
      <w:r w:rsidRPr="00B45B79">
        <w:rPr>
          <w:i/>
        </w:rPr>
        <w:t>Declaration on the Rights of Indigenous Peoples</w:t>
      </w:r>
      <w:r>
        <w:rPr>
          <w:i/>
        </w:rPr>
        <w:t>.</w:t>
      </w:r>
    </w:p>
    <w:p w:rsidR="009F540A" w:rsidRDefault="00302C28" w:rsidP="001734D9">
      <w:pPr>
        <w:jc w:val="both"/>
      </w:pPr>
      <w:r>
        <w:t xml:space="preserve">The Final Report highlights the important role that NHRI’s have as independent bodies to </w:t>
      </w:r>
      <w:r w:rsidR="0068229A">
        <w:t xml:space="preserve">facilitate a positive relationship between Indigenous peoples and governments; and to encourage and work with governments to ensure Indigenous representatives are involved at all levels of decision-making. </w:t>
      </w:r>
    </w:p>
    <w:p w:rsidR="00315A66" w:rsidRDefault="00056CBC">
      <w:pPr>
        <w:jc w:val="both"/>
      </w:pPr>
      <w:r>
        <w:t>The Office of the Social Justice Commissio</w:t>
      </w:r>
      <w:r>
        <w:t>ner was at the forefront of advocating</w:t>
      </w:r>
      <w:r w:rsidR="001734D9">
        <w:t xml:space="preserve"> </w:t>
      </w:r>
      <w:r>
        <w:t>for and facilitating the establishment of</w:t>
      </w:r>
      <w:r w:rsidR="00B45B79">
        <w:t xml:space="preserve"> a new representative body,</w:t>
      </w:r>
      <w:r>
        <w:t xml:space="preserve"> the National Congress of Australia’s First Peoples.</w:t>
      </w:r>
      <w:r w:rsidR="00B45B79">
        <w:rPr>
          <w:rStyle w:val="FootnoteReference"/>
        </w:rPr>
        <w:footnoteReference w:id="1"/>
      </w:r>
      <w:r>
        <w:t xml:space="preserve"> It is with excitement and encouragement that I commit to working closely with this new represen</w:t>
      </w:r>
      <w:r>
        <w:t>tative body to ensure that it too is able to give full effect to the principles of the Declaration both within the organisation, and in its advocacy</w:t>
      </w:r>
      <w:r w:rsidR="001734D9">
        <w:t>. A</w:t>
      </w:r>
      <w:r w:rsidR="00FE5BD4">
        <w:t xml:space="preserve">nd </w:t>
      </w:r>
      <w:r w:rsidR="000356C6">
        <w:t>that it leads by example</w:t>
      </w:r>
      <w:r w:rsidR="004839AC">
        <w:t>,</w:t>
      </w:r>
      <w:r w:rsidR="000356C6">
        <w:t xml:space="preserve"> </w:t>
      </w:r>
      <w:r w:rsidR="00FE5BD4">
        <w:t xml:space="preserve">by </w:t>
      </w:r>
      <w:r w:rsidR="000356C6">
        <w:t xml:space="preserve">ensuring that </w:t>
      </w:r>
      <w:r w:rsidR="00A13BAF">
        <w:t xml:space="preserve">its </w:t>
      </w:r>
      <w:r w:rsidR="00FE5BD4">
        <w:t xml:space="preserve">members </w:t>
      </w:r>
      <w:r w:rsidR="000356C6">
        <w:t xml:space="preserve">across </w:t>
      </w:r>
      <w:proofErr w:type="gramStart"/>
      <w:r w:rsidR="000356C6">
        <w:t>Australia,</w:t>
      </w:r>
      <w:proofErr w:type="gramEnd"/>
      <w:r w:rsidR="00FE5BD4">
        <w:t xml:space="preserve"> </w:t>
      </w:r>
      <w:r w:rsidR="000356C6">
        <w:t>are able to effectively participate in the decision-making of the Congress</w:t>
      </w:r>
      <w:r w:rsidR="002A6F4E">
        <w:t>,</w:t>
      </w:r>
      <w:r w:rsidR="000356C6">
        <w:t xml:space="preserve"> and in determining our collective future.</w:t>
      </w:r>
      <w:r>
        <w:t xml:space="preserve">  I also congratulate Mr Les </w:t>
      </w:r>
      <w:proofErr w:type="spellStart"/>
      <w:r>
        <w:lastRenderedPageBreak/>
        <w:t>Malezer</w:t>
      </w:r>
      <w:proofErr w:type="spellEnd"/>
      <w:r>
        <w:t xml:space="preserve"> and Ms Jody Broun who commenced in their roles as the first co-Chairs elect on 8 July 2011</w:t>
      </w:r>
      <w:r w:rsidR="00FE5BD4">
        <w:t>, and the 6 Directors and 120 Delegates that form the Congress.</w:t>
      </w:r>
      <w:r w:rsidR="007F2820">
        <w:rPr>
          <w:rStyle w:val="FootnoteReference"/>
        </w:rPr>
        <w:footnoteReference w:id="2"/>
      </w:r>
    </w:p>
    <w:p w:rsidR="009F540A" w:rsidRPr="009F540A" w:rsidRDefault="000356C6" w:rsidP="001734D9">
      <w:pPr>
        <w:jc w:val="both"/>
      </w:pPr>
      <w:r>
        <w:t>A</w:t>
      </w:r>
      <w:r w:rsidR="009F540A">
        <w:t xml:space="preserve">s Social Justice Commissioner, I am required to report </w:t>
      </w:r>
      <w:r w:rsidR="00FE5BD4">
        <w:t>annually</w:t>
      </w:r>
      <w:r w:rsidR="009F540A">
        <w:t xml:space="preserve"> to the Australian Parliament on the exercise and enjoyment of human rights by Aboriginal and Torres Strait Islander peoples. While this is an opportunity for me to identify the obstacles</w:t>
      </w:r>
      <w:r>
        <w:t xml:space="preserve"> to our participation </w:t>
      </w:r>
      <w:r w:rsidR="002A6F4E">
        <w:t>in decisions affecting us</w:t>
      </w:r>
      <w:r>
        <w:t>;</w:t>
      </w:r>
      <w:r w:rsidR="009F540A">
        <w:t xml:space="preserve"> it is also an opportunity to propose solutions </w:t>
      </w:r>
      <w:r>
        <w:t>and</w:t>
      </w:r>
      <w:r w:rsidR="00FE5BD4">
        <w:t xml:space="preserve"> provide</w:t>
      </w:r>
      <w:r>
        <w:t xml:space="preserve"> </w:t>
      </w:r>
      <w:r w:rsidR="009F540A">
        <w:t xml:space="preserve">best practice examples. In the </w:t>
      </w:r>
      <w:r w:rsidR="009F540A">
        <w:rPr>
          <w:i/>
        </w:rPr>
        <w:t xml:space="preserve">Social Justice Report 2010, </w:t>
      </w:r>
      <w:r w:rsidR="00C3587B">
        <w:t xml:space="preserve">I showcased community-led development processes occurring in the Aboriginal communities of the Fitzroy </w:t>
      </w:r>
      <w:r>
        <w:t>Valley</w:t>
      </w:r>
      <w:r w:rsidR="002A6F4E">
        <w:t>.</w:t>
      </w:r>
      <w:r w:rsidR="007F7E53">
        <w:rPr>
          <w:rStyle w:val="FootnoteReference"/>
        </w:rPr>
        <w:footnoteReference w:id="3"/>
      </w:r>
      <w:r w:rsidR="002A6F4E">
        <w:t xml:space="preserve"> These communities</w:t>
      </w:r>
      <w:r w:rsidR="00C3587B">
        <w:t xml:space="preserve"> are addressing </w:t>
      </w:r>
      <w:r>
        <w:t xml:space="preserve">extremely </w:t>
      </w:r>
      <w:r w:rsidR="00C3587B">
        <w:t xml:space="preserve">sensitive issues such as substance abuse, </w:t>
      </w:r>
      <w:proofErr w:type="spellStart"/>
      <w:r w:rsidR="00C3587B">
        <w:t>fetal</w:t>
      </w:r>
      <w:proofErr w:type="spellEnd"/>
      <w:r w:rsidR="00C3587B">
        <w:t xml:space="preserve"> alcohol spectrum disorder and governance</w:t>
      </w:r>
      <w:r w:rsidR="002A6F4E">
        <w:t xml:space="preserve">, </w:t>
      </w:r>
      <w:r w:rsidR="00C3587B">
        <w:t>in partnership with and supported by government.</w:t>
      </w:r>
      <w:r w:rsidR="007237FB">
        <w:t xml:space="preserve"> </w:t>
      </w:r>
      <w:r>
        <w:t xml:space="preserve">I encourage all in attendance to </w:t>
      </w:r>
      <w:r w:rsidR="002A6F4E">
        <w:t>read</w:t>
      </w:r>
      <w:r>
        <w:t xml:space="preserve"> this report</w:t>
      </w:r>
      <w:r w:rsidR="00B45B79">
        <w:t xml:space="preserve">. </w:t>
      </w:r>
      <w:r>
        <w:t xml:space="preserve">I </w:t>
      </w:r>
      <w:r w:rsidR="00FE5BD4">
        <w:t>believe this example clearly shows that</w:t>
      </w:r>
      <w:r>
        <w:t xml:space="preserve"> where Indigenous peoples are able to take control and make decisions about their lives, appropriately supported by government, the outcomes in most cases are positively different.</w:t>
      </w:r>
    </w:p>
    <w:p w:rsidR="00FE5BD4" w:rsidRDefault="00FE5BD4" w:rsidP="001734D9">
      <w:pPr>
        <w:jc w:val="both"/>
      </w:pPr>
      <w:r>
        <w:t>However, w</w:t>
      </w:r>
      <w:r w:rsidR="00302C28">
        <w:t xml:space="preserve">hile it is critical that States draw on best practice to assist them in improving engagement with Indigenous peoples, they must also </w:t>
      </w:r>
      <w:r w:rsidR="000356C6">
        <w:t>strive</w:t>
      </w:r>
      <w:r w:rsidR="00302C28">
        <w:t xml:space="preserve"> to break down the existing systemic ba</w:t>
      </w:r>
      <w:r w:rsidR="000356C6">
        <w:t>rriers to the effective engagement and participation of Indigenous peoples in decision-making.</w:t>
      </w:r>
      <w:r w:rsidR="007237FB">
        <w:t xml:space="preserve"> </w:t>
      </w:r>
      <w:r>
        <w:t xml:space="preserve">The effective exclusion of Aboriginal and Torres Strait Islander peoples in the broader societal structures of Australia, including our </w:t>
      </w:r>
      <w:r w:rsidR="004839AC">
        <w:t>n</w:t>
      </w:r>
      <w:r>
        <w:t xml:space="preserve">ational Constitution; matters concerning our lands, territories, and resources; and our cultural heritage; in addition to the often unnecessary over-administration of our affairs creates significant barriers to our effective participation in decision-making. </w:t>
      </w:r>
    </w:p>
    <w:p w:rsidR="001B5948" w:rsidRDefault="000E3A7E" w:rsidP="001734D9">
      <w:pPr>
        <w:spacing w:before="100" w:beforeAutospacing="1" w:after="100" w:afterAutospacing="1"/>
        <w:jc w:val="both"/>
        <w:rPr>
          <w:rFonts w:cs="Arial"/>
        </w:rPr>
      </w:pPr>
      <w:r>
        <w:rPr>
          <w:rFonts w:cs="Arial"/>
        </w:rPr>
        <w:t xml:space="preserve">Mister Chair, Indigenous peoples will not fully realise the right to participate without that right being supported and applied together with the rights to free, prior, and informed consent and self-determination. </w:t>
      </w:r>
      <w:r w:rsidR="000356C6">
        <w:rPr>
          <w:rFonts w:cs="Arial"/>
        </w:rPr>
        <w:t xml:space="preserve">I support the Final Study </w:t>
      </w:r>
      <w:r w:rsidR="00C42C8E">
        <w:rPr>
          <w:rFonts w:cs="Arial"/>
        </w:rPr>
        <w:t>of the Expert Mechanism,</w:t>
      </w:r>
      <w:r w:rsidR="000356C6">
        <w:rPr>
          <w:rFonts w:cs="Arial"/>
        </w:rPr>
        <w:t xml:space="preserve"> and the final report of the Permanent Forum on Indigenous Issues</w:t>
      </w:r>
      <w:r w:rsidR="002A6F4E">
        <w:rPr>
          <w:rFonts w:cs="Arial"/>
        </w:rPr>
        <w:t xml:space="preserve"> 201</w:t>
      </w:r>
      <w:r w:rsidR="007F7E53">
        <w:rPr>
          <w:rFonts w:cs="Arial"/>
        </w:rPr>
        <w:t>1</w:t>
      </w:r>
      <w:r w:rsidR="000356C6">
        <w:rPr>
          <w:rFonts w:cs="Arial"/>
        </w:rPr>
        <w:t>, in</w:t>
      </w:r>
      <w:r w:rsidR="00C42C8E">
        <w:rPr>
          <w:rFonts w:cs="Arial"/>
        </w:rPr>
        <w:t xml:space="preserve"> asserting the need to</w:t>
      </w:r>
      <w:r w:rsidR="000356C6">
        <w:rPr>
          <w:rFonts w:cs="Arial"/>
        </w:rPr>
        <w:t xml:space="preserve"> comprehensively </w:t>
      </w:r>
      <w:r w:rsidR="00C42C8E">
        <w:rPr>
          <w:rFonts w:cs="Arial"/>
        </w:rPr>
        <w:t>apply</w:t>
      </w:r>
      <w:r w:rsidR="000356C6">
        <w:rPr>
          <w:rFonts w:cs="Arial"/>
        </w:rPr>
        <w:t xml:space="preserve"> the principle of free, prior and informed consent</w:t>
      </w:r>
      <w:r w:rsidR="00C42C8E">
        <w:rPr>
          <w:rFonts w:cs="Arial"/>
        </w:rPr>
        <w:t xml:space="preserve"> in determining policies, legislation and programs that affect Indigenous peoples.</w:t>
      </w:r>
    </w:p>
    <w:p w:rsidR="002A6F4E" w:rsidRDefault="00AC1007" w:rsidP="001734D9">
      <w:pPr>
        <w:spacing w:before="100" w:beforeAutospacing="1" w:after="100" w:afterAutospacing="1"/>
        <w:jc w:val="both"/>
      </w:pPr>
      <w:r>
        <w:t>However, d</w:t>
      </w:r>
      <w:r w:rsidR="008D57F8">
        <w:t xml:space="preserve">espite increased guidance at the international level, </w:t>
      </w:r>
      <w:r w:rsidR="002A6F4E">
        <w:t xml:space="preserve">I remain concerned that governments do not have a clear understanding of what the principles of free, prior and informed consent </w:t>
      </w:r>
      <w:r w:rsidR="00823ED8">
        <w:t>and self-determination</w:t>
      </w:r>
      <w:r w:rsidR="008D57F8">
        <w:t xml:space="preserve"> </w:t>
      </w:r>
      <w:r w:rsidR="00823ED8">
        <w:t>mean in a practical sense</w:t>
      </w:r>
      <w:r w:rsidR="008D57F8">
        <w:t xml:space="preserve"> to Indigenous communities, or how to effectively and appropriately integrate them into their </w:t>
      </w:r>
      <w:r w:rsidR="000E3A7E">
        <w:t xml:space="preserve">processes, </w:t>
      </w:r>
      <w:r w:rsidR="008D57F8">
        <w:t xml:space="preserve">policies and programs. At the international level the UPR process could provide an effective mechanism against which States may be held to </w:t>
      </w:r>
      <w:proofErr w:type="gramStart"/>
      <w:r w:rsidR="008D57F8">
        <w:t>account  as</w:t>
      </w:r>
      <w:proofErr w:type="gramEnd"/>
      <w:r w:rsidR="008D57F8">
        <w:t xml:space="preserve"> to</w:t>
      </w:r>
      <w:r>
        <w:t xml:space="preserve"> whether the engagement practices of States and relevant stakeholders are consistent with the Declaration.</w:t>
      </w:r>
    </w:p>
    <w:p w:rsidR="00D02B56" w:rsidRDefault="008D57F8" w:rsidP="001734D9">
      <w:pPr>
        <w:jc w:val="both"/>
      </w:pPr>
      <w:r>
        <w:t>Mister Chair, I have identified the issue of lateral violence</w:t>
      </w:r>
      <w:r w:rsidR="00AC1007">
        <w:t xml:space="preserve"> </w:t>
      </w:r>
      <w:r>
        <w:t>as a signif</w:t>
      </w:r>
      <w:r w:rsidR="00AC1007">
        <w:t>ic</w:t>
      </w:r>
      <w:r>
        <w:t>ant barrier to our effective participation in de</w:t>
      </w:r>
      <w:r w:rsidR="00E263F4">
        <w:t xml:space="preserve">cisions that affect us. </w:t>
      </w:r>
      <w:r w:rsidR="00AC1007">
        <w:t xml:space="preserve">Lateral violence occurs when oppressed people internalise their oppression and turn on each other. </w:t>
      </w:r>
      <w:r w:rsidR="00E263F4">
        <w:t xml:space="preserve">Our ability to </w:t>
      </w:r>
      <w:r w:rsidR="00E263F4">
        <w:lastRenderedPageBreak/>
        <w:t>effectively participate in decisions that affect us is critical to addressing lateral violence</w:t>
      </w:r>
      <w:r w:rsidR="001734D9">
        <w:t>. While Indigenous peoples will need to address the internal issues, governments and other stakeholders can also assist by ensuring that their engagement frameworks are flexible and do not facilitate or perpetuate lateral violence. T</w:t>
      </w:r>
      <w:r w:rsidR="00E263F4">
        <w:t xml:space="preserve">his means that our internal governance must be strong in order for us to participate effectively externally. </w:t>
      </w:r>
      <w:r w:rsidR="00D02B56">
        <w:t>And,</w:t>
      </w:r>
      <w:r w:rsidR="001734D9">
        <w:t xml:space="preserve"> that </w:t>
      </w:r>
      <w:r w:rsidR="00D02B56">
        <w:t xml:space="preserve">effective engagement </w:t>
      </w:r>
      <w:r w:rsidR="001734D9">
        <w:t xml:space="preserve">by stakeholders </w:t>
      </w:r>
      <w:r w:rsidR="00D02B56">
        <w:t xml:space="preserve">with indigenous peoples is essential to ensure that external decision-making </w:t>
      </w:r>
      <w:r w:rsidR="001734D9">
        <w:t xml:space="preserve">processes </w:t>
      </w:r>
      <w:r w:rsidR="00D02B56">
        <w:t>support</w:t>
      </w:r>
      <w:r w:rsidR="001734D9">
        <w:t xml:space="preserve"> and integrate</w:t>
      </w:r>
      <w:r w:rsidR="00D02B56">
        <w:t xml:space="preserve"> the internal decision making processes of Indigenous peoples. </w:t>
      </w:r>
    </w:p>
    <w:p w:rsidR="00315A66" w:rsidRDefault="00056CBC">
      <w:pPr>
        <w:jc w:val="both"/>
      </w:pPr>
      <w:r>
        <w:t xml:space="preserve">Finally, </w:t>
      </w:r>
      <w:proofErr w:type="gramStart"/>
      <w:r>
        <w:t>my  Office</w:t>
      </w:r>
      <w:proofErr w:type="gramEnd"/>
      <w:r>
        <w:t xml:space="preserve"> has developed </w:t>
      </w:r>
      <w:r w:rsidR="002372C4">
        <w:t xml:space="preserve">guiding </w:t>
      </w:r>
      <w:r>
        <w:t>principles</w:t>
      </w:r>
      <w:r w:rsidR="000E3A7E">
        <w:rPr>
          <w:rStyle w:val="FootnoteReference"/>
        </w:rPr>
        <w:footnoteReference w:id="4"/>
      </w:r>
      <w:r>
        <w:t xml:space="preserve"> </w:t>
      </w:r>
      <w:r w:rsidR="00AC1007">
        <w:t>for States</w:t>
      </w:r>
      <w:r w:rsidR="002372C4">
        <w:t xml:space="preserve"> and stakeholders</w:t>
      </w:r>
      <w:r w:rsidR="00AC1007">
        <w:t xml:space="preserve"> to effectively engage with Indigenous peoples</w:t>
      </w:r>
      <w:r w:rsidR="002372C4">
        <w:t>. The application of these principles will also reduce</w:t>
      </w:r>
      <w:r w:rsidR="00AC1007">
        <w:t xml:space="preserve"> </w:t>
      </w:r>
      <w:r w:rsidR="002372C4">
        <w:t xml:space="preserve">the potential for </w:t>
      </w:r>
      <w:r w:rsidR="00AC1007">
        <w:t xml:space="preserve">external decision-making processes </w:t>
      </w:r>
      <w:r w:rsidR="002372C4">
        <w:t xml:space="preserve">to </w:t>
      </w:r>
      <w:r w:rsidR="00AC1007">
        <w:t>perpetuat</w:t>
      </w:r>
      <w:r w:rsidR="002372C4">
        <w:t>e</w:t>
      </w:r>
      <w:r w:rsidR="00AC1007">
        <w:t xml:space="preserve"> lateral violence or intra-Indigenous disputes.</w:t>
      </w:r>
    </w:p>
    <w:p w:rsidR="00E263F4" w:rsidRDefault="00B45B79" w:rsidP="001734D9">
      <w:pPr>
        <w:pStyle w:val="SubmissionNormal"/>
        <w:numPr>
          <w:ilvl w:val="0"/>
          <w:numId w:val="0"/>
        </w:numPr>
        <w:jc w:val="both"/>
      </w:pPr>
      <w:r>
        <w:t>I have provided a more detailed report to the Members through the Secretariat that</w:t>
      </w:r>
      <w:r w:rsidR="002372C4">
        <w:t xml:space="preserve"> elaborates on the points I have raised today. </w:t>
      </w:r>
      <w:r>
        <w:t xml:space="preserve"> I hope </w:t>
      </w:r>
      <w:r w:rsidR="002372C4">
        <w:t xml:space="preserve">that this </w:t>
      </w:r>
      <w:r>
        <w:t>will add to the important work of this session.</w:t>
      </w:r>
    </w:p>
    <w:p w:rsidR="000E3A7E" w:rsidRDefault="000E3A7E" w:rsidP="001734D9">
      <w:pPr>
        <w:jc w:val="both"/>
        <w:rPr>
          <w:b/>
        </w:rPr>
      </w:pPr>
    </w:p>
    <w:p w:rsidR="006B2D0D" w:rsidRPr="006B2D0D" w:rsidRDefault="006B2D0D" w:rsidP="001734D9">
      <w:pPr>
        <w:jc w:val="both"/>
        <w:rPr>
          <w:b/>
        </w:rPr>
      </w:pPr>
      <w:r w:rsidRPr="006B2D0D">
        <w:rPr>
          <w:b/>
        </w:rPr>
        <w:t>RECOMMENDATION</w:t>
      </w:r>
      <w:r w:rsidR="001734D9">
        <w:rPr>
          <w:b/>
        </w:rPr>
        <w:t>S</w:t>
      </w:r>
    </w:p>
    <w:p w:rsidR="00261785" w:rsidRDefault="00526023" w:rsidP="001734D9">
      <w:pPr>
        <w:jc w:val="both"/>
      </w:pPr>
      <w:r>
        <w:t xml:space="preserve">The </w:t>
      </w:r>
      <w:r w:rsidR="001734D9">
        <w:t xml:space="preserve">Aboriginal and Torres Strait Islander Social Justice Commissioner </w:t>
      </w:r>
      <w:proofErr w:type="gramStart"/>
      <w:r>
        <w:t>recommends</w:t>
      </w:r>
      <w:proofErr w:type="gramEnd"/>
      <w:r>
        <w:t xml:space="preserve"> that:</w:t>
      </w:r>
    </w:p>
    <w:p w:rsidR="00214CEF" w:rsidRDefault="00214CEF" w:rsidP="001734D9">
      <w:pPr>
        <w:pStyle w:val="ListParagraph"/>
        <w:numPr>
          <w:ilvl w:val="0"/>
          <w:numId w:val="5"/>
        </w:numPr>
        <w:jc w:val="both"/>
      </w:pPr>
      <w:r>
        <w:t>The Expert Mechanism</w:t>
      </w:r>
      <w:r w:rsidR="00B31CEC">
        <w:t xml:space="preserve"> and the Human Rights Council</w:t>
      </w:r>
      <w:r>
        <w:t xml:space="preserve"> urge all States to enter formal dialogues with Indigenous peoples</w:t>
      </w:r>
      <w:r w:rsidR="000E3A7E">
        <w:t xml:space="preserve"> and their representatives</w:t>
      </w:r>
      <w:r>
        <w:t xml:space="preserve"> at the domestic level to develop agreed understandings on the principles of free, prior, and informed consent, and self-determination; and negotiate appropriate mechanisms to realise them. </w:t>
      </w:r>
    </w:p>
    <w:p w:rsidR="000E3A7E" w:rsidRDefault="000E3A7E" w:rsidP="000E3A7E">
      <w:pPr>
        <w:pStyle w:val="ListParagraph"/>
        <w:jc w:val="both"/>
      </w:pPr>
    </w:p>
    <w:p w:rsidR="00214CEF" w:rsidRDefault="00214CEF" w:rsidP="00214CEF">
      <w:pPr>
        <w:pStyle w:val="ListParagraph"/>
        <w:numPr>
          <w:ilvl w:val="0"/>
          <w:numId w:val="5"/>
        </w:numPr>
        <w:jc w:val="both"/>
      </w:pPr>
      <w:r>
        <w:t>The Expert Mechanism</w:t>
      </w:r>
      <w:r w:rsidR="00B31CEC">
        <w:t xml:space="preserve"> and the Human Rights Council</w:t>
      </w:r>
      <w:r>
        <w:t xml:space="preserve"> urge all States </w:t>
      </w:r>
      <w:r w:rsidR="00920D73">
        <w:t xml:space="preserve">to </w:t>
      </w:r>
      <w:r>
        <w:t xml:space="preserve">commit </w:t>
      </w:r>
      <w:r w:rsidR="00B31CEC">
        <w:t xml:space="preserve">to </w:t>
      </w:r>
      <w:r>
        <w:t>working with Indigenous peoples</w:t>
      </w:r>
      <w:r w:rsidR="000E3A7E">
        <w:t>, and their National Human Rights Institutions</w:t>
      </w:r>
      <w:r>
        <w:t xml:space="preserve"> to:</w:t>
      </w:r>
    </w:p>
    <w:p w:rsidR="00214CEF" w:rsidRDefault="00214CEF" w:rsidP="00B31CEC">
      <w:pPr>
        <w:pStyle w:val="ListParagraph"/>
      </w:pPr>
    </w:p>
    <w:p w:rsidR="00214CEF" w:rsidRDefault="00B31CEC" w:rsidP="00B31CEC">
      <w:pPr>
        <w:pStyle w:val="ListParagraph"/>
        <w:numPr>
          <w:ilvl w:val="1"/>
          <w:numId w:val="5"/>
        </w:numPr>
        <w:jc w:val="both"/>
      </w:pPr>
      <w:r>
        <w:t>i</w:t>
      </w:r>
      <w:r w:rsidR="00214CEF">
        <w:t>dentify and address the systemic barriers to the effective engagement and participation of Indigenous peoples in decision-making; and</w:t>
      </w:r>
    </w:p>
    <w:p w:rsidR="00214CEF" w:rsidRDefault="00B31CEC" w:rsidP="00B31CEC">
      <w:pPr>
        <w:pStyle w:val="ListParagraph"/>
        <w:numPr>
          <w:ilvl w:val="1"/>
          <w:numId w:val="5"/>
        </w:numPr>
        <w:jc w:val="both"/>
      </w:pPr>
      <w:proofErr w:type="gramStart"/>
      <w:r>
        <w:t>d</w:t>
      </w:r>
      <w:r w:rsidR="00214CEF">
        <w:t>raw</w:t>
      </w:r>
      <w:proofErr w:type="gramEnd"/>
      <w:r w:rsidR="00214CEF">
        <w:t xml:space="preserve"> on best practice to assist them in improving eng</w:t>
      </w:r>
      <w:r>
        <w:t>agement with Indigenous peoples.</w:t>
      </w:r>
      <w:r w:rsidR="00214CEF">
        <w:t xml:space="preserve"> </w:t>
      </w:r>
    </w:p>
    <w:p w:rsidR="00214CEF" w:rsidRDefault="00214CEF" w:rsidP="00B31CEC">
      <w:pPr>
        <w:pStyle w:val="ListParagraph"/>
      </w:pPr>
    </w:p>
    <w:p w:rsidR="00920D73" w:rsidRDefault="00920D73" w:rsidP="00B31CEC">
      <w:pPr>
        <w:pStyle w:val="ListParagraph"/>
        <w:numPr>
          <w:ilvl w:val="0"/>
          <w:numId w:val="5"/>
        </w:numPr>
        <w:jc w:val="both"/>
      </w:pPr>
      <w:r>
        <w:t>The Expert Mechanism conduct a study on the effects of Lateral Violence on the full realisation of the rights of Indigenous peoples, particularly the</w:t>
      </w:r>
      <w:r w:rsidR="007F7E53">
        <w:t>ir</w:t>
      </w:r>
      <w:r>
        <w:t xml:space="preserve"> right to participate and to give their free, prior and informed consent in decisions that affect them, and the right of self-determination.</w:t>
      </w:r>
    </w:p>
    <w:p w:rsidR="00920D73" w:rsidRDefault="00920D73" w:rsidP="00920D73">
      <w:pPr>
        <w:pStyle w:val="ListParagraph"/>
        <w:jc w:val="both"/>
      </w:pPr>
    </w:p>
    <w:p w:rsidR="002372C4" w:rsidRDefault="002372C4" w:rsidP="00B31CEC">
      <w:pPr>
        <w:pStyle w:val="ListParagraph"/>
        <w:numPr>
          <w:ilvl w:val="0"/>
          <w:numId w:val="5"/>
        </w:numPr>
        <w:jc w:val="both"/>
      </w:pPr>
      <w:r>
        <w:lastRenderedPageBreak/>
        <w:t xml:space="preserve">The Expert Mechanism addend the </w:t>
      </w:r>
      <w:r w:rsidR="006243EF" w:rsidRPr="006243EF">
        <w:t>effective engagement and consultation</w:t>
      </w:r>
      <w:r w:rsidR="0014626E" w:rsidRPr="006243EF">
        <w:t xml:space="preserve"> Framework</w:t>
      </w:r>
      <w:r w:rsidRPr="00B31CEC">
        <w:rPr>
          <w:color w:val="FF0000"/>
        </w:rPr>
        <w:t xml:space="preserve"> </w:t>
      </w:r>
      <w:r>
        <w:t xml:space="preserve">outlined in the </w:t>
      </w:r>
      <w:r w:rsidRPr="00B31CEC">
        <w:rPr>
          <w:i/>
        </w:rPr>
        <w:t>Native Title Report 2010</w:t>
      </w:r>
      <w:r w:rsidR="006243EF">
        <w:rPr>
          <w:i/>
        </w:rPr>
        <w:t xml:space="preserve"> </w:t>
      </w:r>
      <w:r w:rsidR="006243EF" w:rsidRPr="006243EF">
        <w:t>(Appendix A)</w:t>
      </w:r>
      <w:r>
        <w:t xml:space="preserve">, to the Expert Mechanism advice No. 2 as a recommended </w:t>
      </w:r>
      <w:r w:rsidR="0014626E">
        <w:t xml:space="preserve">international standard of engagement </w:t>
      </w:r>
      <w:r>
        <w:t>for States and relevant stakeholders entering negotiations with Indigenous peoples.</w:t>
      </w:r>
    </w:p>
    <w:p w:rsidR="001734D9" w:rsidRDefault="001734D9" w:rsidP="001734D9">
      <w:pPr>
        <w:pStyle w:val="ListParagraph"/>
        <w:jc w:val="both"/>
      </w:pPr>
    </w:p>
    <w:p w:rsidR="00526023" w:rsidRDefault="0014626E" w:rsidP="001734D9">
      <w:pPr>
        <w:pStyle w:val="ListParagraph"/>
        <w:numPr>
          <w:ilvl w:val="0"/>
          <w:numId w:val="5"/>
        </w:numPr>
        <w:jc w:val="both"/>
      </w:pPr>
      <w:r>
        <w:t xml:space="preserve">That the Expert Mechanism </w:t>
      </w:r>
      <w:r w:rsidR="006274B5">
        <w:t>work with</w:t>
      </w:r>
      <w:r>
        <w:t xml:space="preserve"> the Human Rights Council</w:t>
      </w:r>
      <w:r w:rsidR="006274B5">
        <w:t xml:space="preserve"> to</w:t>
      </w:r>
      <w:r>
        <w:t xml:space="preserve"> </w:t>
      </w:r>
      <w:r w:rsidR="006274B5">
        <w:t>include in</w:t>
      </w:r>
      <w:r>
        <w:t xml:space="preserve"> the Universal Periodic Review a framework to assess</w:t>
      </w:r>
      <w:r w:rsidR="006274B5">
        <w:t xml:space="preserve"> whether the engagement practices of </w:t>
      </w:r>
      <w:r w:rsidR="00920D73">
        <w:t xml:space="preserve">States </w:t>
      </w:r>
      <w:r w:rsidR="006274B5">
        <w:t xml:space="preserve">and relevant stakeholders are consistent with the Declaration; and that the </w:t>
      </w:r>
      <w:r>
        <w:t xml:space="preserve">participation of Indigenous peoples in decisions that affect them </w:t>
      </w:r>
      <w:r w:rsidR="006274B5">
        <w:t>is being progressively realised.</w:t>
      </w:r>
      <w:r w:rsidR="006274B5" w:rsidDel="0014626E">
        <w:t xml:space="preserve"> </w:t>
      </w:r>
    </w:p>
    <w:p w:rsidR="006B2D0D" w:rsidRDefault="006B2D0D" w:rsidP="001734D9">
      <w:pPr>
        <w:jc w:val="both"/>
      </w:pPr>
      <w:r>
        <w:t>Thank you.</w:t>
      </w:r>
    </w:p>
    <w:sectPr w:rsidR="006B2D0D" w:rsidSect="006274B5">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BC" w:rsidRDefault="00056CBC" w:rsidP="00FF2B98">
      <w:pPr>
        <w:spacing w:before="0" w:after="0"/>
      </w:pPr>
      <w:r>
        <w:separator/>
      </w:r>
    </w:p>
  </w:endnote>
  <w:endnote w:type="continuationSeparator" w:id="0">
    <w:p w:rsidR="00056CBC" w:rsidRDefault="00056CBC" w:rsidP="00FF2B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89390"/>
      <w:docPartObj>
        <w:docPartGallery w:val="Page Numbers (Bottom of Page)"/>
        <w:docPartUnique/>
      </w:docPartObj>
    </w:sdtPr>
    <w:sdtEndPr>
      <w:rPr>
        <w:noProof/>
      </w:rPr>
    </w:sdtEndPr>
    <w:sdtContent>
      <w:p w:rsidR="00A13BAF" w:rsidRDefault="005E4787">
        <w:pPr>
          <w:pStyle w:val="Footer"/>
          <w:jc w:val="right"/>
        </w:pPr>
        <w:r>
          <w:fldChar w:fldCharType="begin"/>
        </w:r>
        <w:r w:rsidR="00A13BAF">
          <w:instrText xml:space="preserve"> PAGE   \* MERGEFORMAT </w:instrText>
        </w:r>
        <w:r>
          <w:fldChar w:fldCharType="separate"/>
        </w:r>
        <w:r w:rsidR="00217694">
          <w:rPr>
            <w:noProof/>
          </w:rPr>
          <w:t>1</w:t>
        </w:r>
        <w:r>
          <w:rPr>
            <w:noProof/>
          </w:rPr>
          <w:fldChar w:fldCharType="end"/>
        </w:r>
      </w:p>
    </w:sdtContent>
  </w:sdt>
  <w:p w:rsidR="00A13BAF" w:rsidRDefault="00A1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BC" w:rsidRDefault="00056CBC" w:rsidP="00FF2B98">
      <w:pPr>
        <w:spacing w:before="0" w:after="0"/>
      </w:pPr>
      <w:r>
        <w:separator/>
      </w:r>
    </w:p>
  </w:footnote>
  <w:footnote w:type="continuationSeparator" w:id="0">
    <w:p w:rsidR="00056CBC" w:rsidRDefault="00056CBC" w:rsidP="00FF2B98">
      <w:pPr>
        <w:spacing w:before="0" w:after="0"/>
      </w:pPr>
      <w:r>
        <w:continuationSeparator/>
      </w:r>
    </w:p>
  </w:footnote>
  <w:footnote w:id="1">
    <w:p w:rsidR="00A13BAF" w:rsidRDefault="00A13BAF">
      <w:pPr>
        <w:pStyle w:val="FootnoteText"/>
      </w:pPr>
      <w:r>
        <w:rPr>
          <w:rStyle w:val="FootnoteReference"/>
        </w:rPr>
        <w:footnoteRef/>
      </w:r>
      <w:r>
        <w:t xml:space="preserve"> </w:t>
      </w:r>
      <w:r w:rsidR="007F2820">
        <w:t xml:space="preserve">Information about the establishment of the National Congress of Australia’s First Peoples can be found at: </w:t>
      </w:r>
      <w:hyperlink r:id="rId1" w:history="1">
        <w:r w:rsidR="007F2820" w:rsidRPr="0090192D">
          <w:rPr>
            <w:rStyle w:val="Hyperlink"/>
          </w:rPr>
          <w:t>http://www.humanrights.gov.au/social_justice/repbody/index.html</w:t>
        </w:r>
      </w:hyperlink>
      <w:r w:rsidR="007F2820">
        <w:t xml:space="preserve"> (viewed 5 July 2011).</w:t>
      </w:r>
    </w:p>
  </w:footnote>
  <w:footnote w:id="2">
    <w:p w:rsidR="007F2820" w:rsidRDefault="007F2820">
      <w:pPr>
        <w:pStyle w:val="FootnoteText"/>
      </w:pPr>
      <w:r>
        <w:rPr>
          <w:rStyle w:val="FootnoteReference"/>
        </w:rPr>
        <w:footnoteRef/>
      </w:r>
      <w:r>
        <w:t xml:space="preserve"> See </w:t>
      </w:r>
      <w:hyperlink r:id="rId2" w:history="1">
        <w:r w:rsidRPr="0090192D">
          <w:rPr>
            <w:rStyle w:val="Hyperlink"/>
          </w:rPr>
          <w:t>http://nationalcongress.com.au/about-us/</w:t>
        </w:r>
      </w:hyperlink>
      <w:r>
        <w:t xml:space="preserve"> (viewed 5 July 2011).</w:t>
      </w:r>
    </w:p>
  </w:footnote>
  <w:footnote w:id="3">
    <w:p w:rsidR="007F7E53" w:rsidRPr="007F7E53" w:rsidRDefault="007F7E53">
      <w:pPr>
        <w:pStyle w:val="FootnoteText"/>
      </w:pPr>
      <w:r>
        <w:rPr>
          <w:rStyle w:val="FootnoteReference"/>
        </w:rPr>
        <w:footnoteRef/>
      </w:r>
      <w:r>
        <w:t xml:space="preserve"> </w:t>
      </w:r>
      <w:r w:rsidR="00AE62C8">
        <w:t xml:space="preserve">M </w:t>
      </w:r>
      <w:proofErr w:type="spellStart"/>
      <w:r w:rsidR="00AE62C8">
        <w:t>Gooda</w:t>
      </w:r>
      <w:proofErr w:type="spellEnd"/>
      <w:r w:rsidR="00AE62C8">
        <w:t xml:space="preserve">, </w:t>
      </w:r>
      <w:r>
        <w:t>Aboriginal and Torres Strait Islander Social Justice Commissioner,</w:t>
      </w:r>
      <w:r w:rsidR="00AE62C8">
        <w:t xml:space="preserve"> </w:t>
      </w:r>
      <w:r w:rsidR="00AE62C8" w:rsidRPr="00AE62C8">
        <w:rPr>
          <w:i/>
        </w:rPr>
        <w:t>Social Justice Report 2010</w:t>
      </w:r>
      <w:r w:rsidR="00AE62C8">
        <w:t>, Australian Human Rights Commission (2011)</w:t>
      </w:r>
      <w:r w:rsidR="004867BA">
        <w:t>, Chapter 3</w:t>
      </w:r>
      <w:r w:rsidR="00AE62C8">
        <w:t xml:space="preserve">. At </w:t>
      </w:r>
      <w:hyperlink r:id="rId3" w:history="1">
        <w:r w:rsidR="00AE62C8" w:rsidRPr="004E6B78">
          <w:rPr>
            <w:rStyle w:val="Hyperlink"/>
          </w:rPr>
          <w:t>http://www.humanrights.gov.au/social_justice/sj_report/sjreport10/index.html</w:t>
        </w:r>
      </w:hyperlink>
      <w:r w:rsidR="00AE62C8">
        <w:t xml:space="preserve"> (viewed 11 July 2011).</w:t>
      </w:r>
    </w:p>
  </w:footnote>
  <w:footnote w:id="4">
    <w:p w:rsidR="000E3A7E" w:rsidRPr="000E3A7E" w:rsidRDefault="000E3A7E">
      <w:pPr>
        <w:pStyle w:val="FootnoteText"/>
      </w:pPr>
      <w:r>
        <w:rPr>
          <w:rStyle w:val="FootnoteReference"/>
        </w:rPr>
        <w:footnoteRef/>
      </w:r>
      <w:r>
        <w:t xml:space="preserve"> </w:t>
      </w:r>
      <w:r w:rsidR="00AE62C8">
        <w:t xml:space="preserve">M </w:t>
      </w:r>
      <w:proofErr w:type="spellStart"/>
      <w:r w:rsidR="00AE62C8">
        <w:t>Gooda</w:t>
      </w:r>
      <w:proofErr w:type="spellEnd"/>
      <w:r w:rsidR="00AE62C8">
        <w:t xml:space="preserve">, </w:t>
      </w:r>
      <w:r>
        <w:t xml:space="preserve">Aboriginal and Torres Strait Islander Social Justice Commissioner, </w:t>
      </w:r>
      <w:r w:rsidR="00AE62C8">
        <w:rPr>
          <w:i/>
        </w:rPr>
        <w:t xml:space="preserve">Native Title Report 2010, </w:t>
      </w:r>
      <w:r w:rsidR="00AE62C8">
        <w:t>Australian Human Rights Commission (2011), Appendix 4: ‘</w:t>
      </w:r>
      <w:r w:rsidR="00042D66">
        <w:t>Features of a meaningful and effective consultation process’</w:t>
      </w:r>
      <w:r w:rsidR="00AE62C8">
        <w:t>.</w:t>
      </w:r>
      <w:r w:rsidR="00042D66">
        <w:t xml:space="preserve"> </w:t>
      </w:r>
      <w:r w:rsidR="00AE62C8">
        <w:t xml:space="preserve">At </w:t>
      </w:r>
      <w:hyperlink r:id="rId4" w:history="1">
        <w:r w:rsidR="00AE62C8" w:rsidRPr="004E6B78">
          <w:rPr>
            <w:rStyle w:val="Hyperlink"/>
          </w:rPr>
          <w:t>http://www.humanrights.gov.au/social_justice/nt_report/ntreport10/index.html</w:t>
        </w:r>
      </w:hyperlink>
      <w:r w:rsidR="00AE62C8">
        <w:t xml:space="preserve"> (viewed 11 July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1A5"/>
    <w:multiLevelType w:val="hybridMultilevel"/>
    <w:tmpl w:val="6E0E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CB237C"/>
    <w:multiLevelType w:val="hybridMultilevel"/>
    <w:tmpl w:val="0F3EFB82"/>
    <w:lvl w:ilvl="0" w:tplc="A32EC982">
      <w:start w:val="1"/>
      <w:numFmt w:val="decimal"/>
      <w:pStyle w:val="SubmissionNor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48165CD"/>
    <w:multiLevelType w:val="multilevel"/>
    <w:tmpl w:val="80D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63281F"/>
    <w:multiLevelType w:val="hybridMultilevel"/>
    <w:tmpl w:val="AF167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6E00B1"/>
    <w:multiLevelType w:val="hybridMultilevel"/>
    <w:tmpl w:val="5F549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4F21BA"/>
    <w:multiLevelType w:val="multilevel"/>
    <w:tmpl w:val="3C1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A0322"/>
    <w:multiLevelType w:val="multilevel"/>
    <w:tmpl w:val="A3F2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98"/>
    <w:rsid w:val="00017CD4"/>
    <w:rsid w:val="000356C6"/>
    <w:rsid w:val="00042D66"/>
    <w:rsid w:val="00056CBC"/>
    <w:rsid w:val="000B7D78"/>
    <w:rsid w:val="000D457B"/>
    <w:rsid w:val="000E3A7E"/>
    <w:rsid w:val="000F6F26"/>
    <w:rsid w:val="00101FFC"/>
    <w:rsid w:val="0014626E"/>
    <w:rsid w:val="0016710E"/>
    <w:rsid w:val="001734D9"/>
    <w:rsid w:val="001B5948"/>
    <w:rsid w:val="001E1BDB"/>
    <w:rsid w:val="001E30BD"/>
    <w:rsid w:val="00214CEF"/>
    <w:rsid w:val="00217694"/>
    <w:rsid w:val="002372C4"/>
    <w:rsid w:val="00261785"/>
    <w:rsid w:val="00261FBE"/>
    <w:rsid w:val="00270EE7"/>
    <w:rsid w:val="002A528F"/>
    <w:rsid w:val="002A6F4E"/>
    <w:rsid w:val="002A7648"/>
    <w:rsid w:val="002C1B1D"/>
    <w:rsid w:val="002F4A08"/>
    <w:rsid w:val="00302C28"/>
    <w:rsid w:val="00315A66"/>
    <w:rsid w:val="00386C0D"/>
    <w:rsid w:val="003F334B"/>
    <w:rsid w:val="00400441"/>
    <w:rsid w:val="004037F7"/>
    <w:rsid w:val="00417389"/>
    <w:rsid w:val="004839AC"/>
    <w:rsid w:val="004867BA"/>
    <w:rsid w:val="004C1212"/>
    <w:rsid w:val="004F69D2"/>
    <w:rsid w:val="00526023"/>
    <w:rsid w:val="005B348B"/>
    <w:rsid w:val="005B6D10"/>
    <w:rsid w:val="005E1FEE"/>
    <w:rsid w:val="005E4787"/>
    <w:rsid w:val="006243EF"/>
    <w:rsid w:val="006274B5"/>
    <w:rsid w:val="0067693D"/>
    <w:rsid w:val="0068229A"/>
    <w:rsid w:val="006B2D0D"/>
    <w:rsid w:val="006B62EC"/>
    <w:rsid w:val="006C7615"/>
    <w:rsid w:val="006F4344"/>
    <w:rsid w:val="00703097"/>
    <w:rsid w:val="007036D6"/>
    <w:rsid w:val="007237FB"/>
    <w:rsid w:val="00736836"/>
    <w:rsid w:val="00785D0B"/>
    <w:rsid w:val="007C34EE"/>
    <w:rsid w:val="007E7130"/>
    <w:rsid w:val="007F2820"/>
    <w:rsid w:val="007F7E53"/>
    <w:rsid w:val="00823ED8"/>
    <w:rsid w:val="008D57F8"/>
    <w:rsid w:val="009124C9"/>
    <w:rsid w:val="00913D70"/>
    <w:rsid w:val="00920D73"/>
    <w:rsid w:val="009340E2"/>
    <w:rsid w:val="009F540A"/>
    <w:rsid w:val="00A07608"/>
    <w:rsid w:val="00A13BAF"/>
    <w:rsid w:val="00A63895"/>
    <w:rsid w:val="00AC1007"/>
    <w:rsid w:val="00AC51D9"/>
    <w:rsid w:val="00AE62C8"/>
    <w:rsid w:val="00AF286C"/>
    <w:rsid w:val="00AF7951"/>
    <w:rsid w:val="00B31CEC"/>
    <w:rsid w:val="00B45B79"/>
    <w:rsid w:val="00B45FEE"/>
    <w:rsid w:val="00B86472"/>
    <w:rsid w:val="00BC0EEE"/>
    <w:rsid w:val="00C151BD"/>
    <w:rsid w:val="00C3587B"/>
    <w:rsid w:val="00C42C8E"/>
    <w:rsid w:val="00C60D17"/>
    <w:rsid w:val="00C67093"/>
    <w:rsid w:val="00CE0CB0"/>
    <w:rsid w:val="00CE5F2D"/>
    <w:rsid w:val="00D02B56"/>
    <w:rsid w:val="00DE64CF"/>
    <w:rsid w:val="00E263F4"/>
    <w:rsid w:val="00E84637"/>
    <w:rsid w:val="00E951E6"/>
    <w:rsid w:val="00EB0FDC"/>
    <w:rsid w:val="00EC4C34"/>
    <w:rsid w:val="00F00A55"/>
    <w:rsid w:val="00F54797"/>
    <w:rsid w:val="00FE5BD4"/>
    <w:rsid w:val="00FF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98"/>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785D0B"/>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785D0B"/>
    <w:pPr>
      <w:numPr>
        <w:ilvl w:val="1"/>
      </w:numPr>
      <w:outlineLvl w:val="1"/>
    </w:pPr>
    <w:rPr>
      <w:bCs w:val="0"/>
      <w:i/>
      <w:color w:val="000000"/>
      <w:szCs w:val="26"/>
    </w:rPr>
  </w:style>
  <w:style w:type="paragraph" w:styleId="Heading3">
    <w:name w:val="heading 3"/>
    <w:basedOn w:val="Heading2"/>
    <w:next w:val="Normal"/>
    <w:link w:val="Heading3Char"/>
    <w:qFormat/>
    <w:rsid w:val="00785D0B"/>
    <w:pPr>
      <w:numPr>
        <w:ilvl w:val="2"/>
      </w:numPr>
      <w:outlineLvl w:val="2"/>
    </w:pPr>
    <w:rPr>
      <w:b w:val="0"/>
      <w:bCs/>
      <w:color w:val="auto"/>
      <w:sz w:val="24"/>
    </w:rPr>
  </w:style>
  <w:style w:type="paragraph" w:styleId="Heading4">
    <w:name w:val="heading 4"/>
    <w:basedOn w:val="Heading3"/>
    <w:next w:val="Normal"/>
    <w:link w:val="Heading4Char"/>
    <w:qFormat/>
    <w:rsid w:val="00785D0B"/>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s refss"/>
    <w:basedOn w:val="DefaultParagraphFont"/>
    <w:semiHidden/>
    <w:rsid w:val="00FF2B9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C,single space Char"/>
    <w:basedOn w:val="Normal"/>
    <w:link w:val="FootnoteTextChar"/>
    <w:semiHidden/>
    <w:rsid w:val="00FF2B98"/>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semiHidden/>
    <w:rsid w:val="00FF2B98"/>
    <w:rPr>
      <w:rFonts w:ascii="Arial" w:eastAsia="Times New Roman" w:hAnsi="Arial" w:cs="Times New Roman"/>
      <w:sz w:val="20"/>
      <w:szCs w:val="20"/>
      <w:lang w:eastAsia="en-AU"/>
    </w:rPr>
  </w:style>
  <w:style w:type="character" w:customStyle="1" w:styleId="Heading1Char">
    <w:name w:val="Heading 1 Char"/>
    <w:basedOn w:val="DefaultParagraphFont"/>
    <w:link w:val="Heading1"/>
    <w:rsid w:val="00785D0B"/>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785D0B"/>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785D0B"/>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785D0B"/>
    <w:rPr>
      <w:rFonts w:ascii="Arial" w:eastAsia="Times New Roman" w:hAnsi="Arial" w:cs="Times New Roman"/>
      <w:iCs/>
      <w:sz w:val="24"/>
      <w:szCs w:val="26"/>
      <w:lang w:eastAsia="en-AU"/>
    </w:rPr>
  </w:style>
  <w:style w:type="character" w:styleId="Emphasis">
    <w:name w:val="Emphasis"/>
    <w:basedOn w:val="DefaultParagraphFont"/>
    <w:qFormat/>
    <w:rsid w:val="00785D0B"/>
    <w:rPr>
      <w:i/>
      <w:iCs/>
    </w:rPr>
  </w:style>
  <w:style w:type="paragraph" w:styleId="NormalWeb">
    <w:name w:val="Normal (Web)"/>
    <w:basedOn w:val="Normal"/>
    <w:semiHidden/>
    <w:rsid w:val="00785D0B"/>
    <w:rPr>
      <w:rFonts w:ascii="Times New Roman" w:hAnsi="Times New Roman"/>
    </w:rPr>
  </w:style>
  <w:style w:type="paragraph" w:customStyle="1" w:styleId="Body">
    <w:name w:val="Body"/>
    <w:rsid w:val="00261785"/>
    <w:pPr>
      <w:spacing w:after="120" w:line="288" w:lineRule="auto"/>
    </w:pPr>
    <w:rPr>
      <w:rFonts w:ascii="Verdana" w:eastAsia="Times New Roman" w:hAnsi="Verdana" w:cs="Times New Roman"/>
      <w:szCs w:val="20"/>
      <w:lang w:eastAsia="en-AU"/>
    </w:rPr>
  </w:style>
  <w:style w:type="paragraph" w:styleId="Header">
    <w:name w:val="header"/>
    <w:basedOn w:val="Normal"/>
    <w:link w:val="HeaderChar"/>
    <w:uiPriority w:val="99"/>
    <w:unhideWhenUsed/>
    <w:rsid w:val="00261FBE"/>
    <w:pPr>
      <w:tabs>
        <w:tab w:val="center" w:pos="4513"/>
        <w:tab w:val="right" w:pos="9026"/>
      </w:tabs>
      <w:spacing w:before="0" w:after="0"/>
    </w:pPr>
  </w:style>
  <w:style w:type="character" w:customStyle="1" w:styleId="HeaderChar">
    <w:name w:val="Header Char"/>
    <w:basedOn w:val="DefaultParagraphFont"/>
    <w:link w:val="Header"/>
    <w:uiPriority w:val="99"/>
    <w:rsid w:val="00261FBE"/>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261FBE"/>
    <w:pPr>
      <w:tabs>
        <w:tab w:val="center" w:pos="4513"/>
        <w:tab w:val="right" w:pos="9026"/>
      </w:tabs>
      <w:spacing w:before="0" w:after="0"/>
    </w:pPr>
  </w:style>
  <w:style w:type="character" w:customStyle="1" w:styleId="FooterChar">
    <w:name w:val="Footer Char"/>
    <w:basedOn w:val="DefaultParagraphFont"/>
    <w:link w:val="Footer"/>
    <w:uiPriority w:val="99"/>
    <w:rsid w:val="00261FBE"/>
    <w:rPr>
      <w:rFonts w:ascii="Arial" w:eastAsia="Times New Roman" w:hAnsi="Arial" w:cs="Times New Roman"/>
      <w:sz w:val="24"/>
      <w:szCs w:val="24"/>
      <w:lang w:eastAsia="en-AU"/>
    </w:rPr>
  </w:style>
  <w:style w:type="character" w:styleId="Hyperlink">
    <w:name w:val="Hyperlink"/>
    <w:uiPriority w:val="99"/>
    <w:unhideWhenUsed/>
    <w:rsid w:val="00261FBE"/>
    <w:rPr>
      <w:color w:val="0000FF"/>
      <w:u w:val="single"/>
    </w:rPr>
  </w:style>
  <w:style w:type="paragraph" w:styleId="ListParagraph">
    <w:name w:val="List Paragraph"/>
    <w:basedOn w:val="Normal"/>
    <w:uiPriority w:val="34"/>
    <w:qFormat/>
    <w:rsid w:val="00526023"/>
    <w:pPr>
      <w:ind w:left="720"/>
      <w:contextualSpacing/>
    </w:pPr>
  </w:style>
  <w:style w:type="paragraph" w:styleId="BalloonText">
    <w:name w:val="Balloon Text"/>
    <w:basedOn w:val="Normal"/>
    <w:link w:val="BalloonTextChar"/>
    <w:uiPriority w:val="99"/>
    <w:semiHidden/>
    <w:unhideWhenUsed/>
    <w:rsid w:val="00736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36"/>
    <w:rPr>
      <w:rFonts w:ascii="Tahoma" w:eastAsia="Times New Roman" w:hAnsi="Tahoma" w:cs="Tahoma"/>
      <w:sz w:val="16"/>
      <w:szCs w:val="16"/>
      <w:lang w:eastAsia="en-AU"/>
    </w:rPr>
  </w:style>
  <w:style w:type="paragraph" w:customStyle="1" w:styleId="SubmissionNormal">
    <w:name w:val="Submission Normal"/>
    <w:basedOn w:val="Normal"/>
    <w:link w:val="SubmissionNormalChar"/>
    <w:rsid w:val="00E263F4"/>
    <w:pPr>
      <w:numPr>
        <w:numId w:val="8"/>
      </w:numPr>
      <w:tabs>
        <w:tab w:val="clear" w:pos="720"/>
      </w:tabs>
      <w:ind w:hanging="720"/>
    </w:pPr>
  </w:style>
  <w:style w:type="character" w:customStyle="1" w:styleId="SubmissionNormalChar">
    <w:name w:val="Submission Normal Char"/>
    <w:link w:val="SubmissionNormal"/>
    <w:rsid w:val="00E263F4"/>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98"/>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785D0B"/>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785D0B"/>
    <w:pPr>
      <w:numPr>
        <w:ilvl w:val="1"/>
      </w:numPr>
      <w:outlineLvl w:val="1"/>
    </w:pPr>
    <w:rPr>
      <w:bCs w:val="0"/>
      <w:i/>
      <w:color w:val="000000"/>
      <w:szCs w:val="26"/>
    </w:rPr>
  </w:style>
  <w:style w:type="paragraph" w:styleId="Heading3">
    <w:name w:val="heading 3"/>
    <w:basedOn w:val="Heading2"/>
    <w:next w:val="Normal"/>
    <w:link w:val="Heading3Char"/>
    <w:qFormat/>
    <w:rsid w:val="00785D0B"/>
    <w:pPr>
      <w:numPr>
        <w:ilvl w:val="2"/>
      </w:numPr>
      <w:outlineLvl w:val="2"/>
    </w:pPr>
    <w:rPr>
      <w:b w:val="0"/>
      <w:bCs/>
      <w:color w:val="auto"/>
      <w:sz w:val="24"/>
    </w:rPr>
  </w:style>
  <w:style w:type="paragraph" w:styleId="Heading4">
    <w:name w:val="heading 4"/>
    <w:basedOn w:val="Heading3"/>
    <w:next w:val="Normal"/>
    <w:link w:val="Heading4Char"/>
    <w:qFormat/>
    <w:rsid w:val="00785D0B"/>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s refss"/>
    <w:basedOn w:val="DefaultParagraphFont"/>
    <w:semiHidden/>
    <w:rsid w:val="00FF2B9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C,single space Char"/>
    <w:basedOn w:val="Normal"/>
    <w:link w:val="FootnoteTextChar"/>
    <w:semiHidden/>
    <w:rsid w:val="00FF2B98"/>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semiHidden/>
    <w:rsid w:val="00FF2B98"/>
    <w:rPr>
      <w:rFonts w:ascii="Arial" w:eastAsia="Times New Roman" w:hAnsi="Arial" w:cs="Times New Roman"/>
      <w:sz w:val="20"/>
      <w:szCs w:val="20"/>
      <w:lang w:eastAsia="en-AU"/>
    </w:rPr>
  </w:style>
  <w:style w:type="character" w:customStyle="1" w:styleId="Heading1Char">
    <w:name w:val="Heading 1 Char"/>
    <w:basedOn w:val="DefaultParagraphFont"/>
    <w:link w:val="Heading1"/>
    <w:rsid w:val="00785D0B"/>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785D0B"/>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785D0B"/>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785D0B"/>
    <w:rPr>
      <w:rFonts w:ascii="Arial" w:eastAsia="Times New Roman" w:hAnsi="Arial" w:cs="Times New Roman"/>
      <w:iCs/>
      <w:sz w:val="24"/>
      <w:szCs w:val="26"/>
      <w:lang w:eastAsia="en-AU"/>
    </w:rPr>
  </w:style>
  <w:style w:type="character" w:styleId="Emphasis">
    <w:name w:val="Emphasis"/>
    <w:basedOn w:val="DefaultParagraphFont"/>
    <w:qFormat/>
    <w:rsid w:val="00785D0B"/>
    <w:rPr>
      <w:i/>
      <w:iCs/>
    </w:rPr>
  </w:style>
  <w:style w:type="paragraph" w:styleId="NormalWeb">
    <w:name w:val="Normal (Web)"/>
    <w:basedOn w:val="Normal"/>
    <w:semiHidden/>
    <w:rsid w:val="00785D0B"/>
    <w:rPr>
      <w:rFonts w:ascii="Times New Roman" w:hAnsi="Times New Roman"/>
    </w:rPr>
  </w:style>
  <w:style w:type="paragraph" w:customStyle="1" w:styleId="Body">
    <w:name w:val="Body"/>
    <w:rsid w:val="00261785"/>
    <w:pPr>
      <w:spacing w:after="120" w:line="288" w:lineRule="auto"/>
    </w:pPr>
    <w:rPr>
      <w:rFonts w:ascii="Verdana" w:eastAsia="Times New Roman" w:hAnsi="Verdana" w:cs="Times New Roman"/>
      <w:szCs w:val="20"/>
      <w:lang w:eastAsia="en-AU"/>
    </w:rPr>
  </w:style>
  <w:style w:type="paragraph" w:styleId="Header">
    <w:name w:val="header"/>
    <w:basedOn w:val="Normal"/>
    <w:link w:val="HeaderChar"/>
    <w:uiPriority w:val="99"/>
    <w:unhideWhenUsed/>
    <w:rsid w:val="00261FBE"/>
    <w:pPr>
      <w:tabs>
        <w:tab w:val="center" w:pos="4513"/>
        <w:tab w:val="right" w:pos="9026"/>
      </w:tabs>
      <w:spacing w:before="0" w:after="0"/>
    </w:pPr>
  </w:style>
  <w:style w:type="character" w:customStyle="1" w:styleId="HeaderChar">
    <w:name w:val="Header Char"/>
    <w:basedOn w:val="DefaultParagraphFont"/>
    <w:link w:val="Header"/>
    <w:uiPriority w:val="99"/>
    <w:rsid w:val="00261FBE"/>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261FBE"/>
    <w:pPr>
      <w:tabs>
        <w:tab w:val="center" w:pos="4513"/>
        <w:tab w:val="right" w:pos="9026"/>
      </w:tabs>
      <w:spacing w:before="0" w:after="0"/>
    </w:pPr>
  </w:style>
  <w:style w:type="character" w:customStyle="1" w:styleId="FooterChar">
    <w:name w:val="Footer Char"/>
    <w:basedOn w:val="DefaultParagraphFont"/>
    <w:link w:val="Footer"/>
    <w:uiPriority w:val="99"/>
    <w:rsid w:val="00261FBE"/>
    <w:rPr>
      <w:rFonts w:ascii="Arial" w:eastAsia="Times New Roman" w:hAnsi="Arial" w:cs="Times New Roman"/>
      <w:sz w:val="24"/>
      <w:szCs w:val="24"/>
      <w:lang w:eastAsia="en-AU"/>
    </w:rPr>
  </w:style>
  <w:style w:type="character" w:styleId="Hyperlink">
    <w:name w:val="Hyperlink"/>
    <w:uiPriority w:val="99"/>
    <w:unhideWhenUsed/>
    <w:rsid w:val="00261FBE"/>
    <w:rPr>
      <w:color w:val="0000FF"/>
      <w:u w:val="single"/>
    </w:rPr>
  </w:style>
  <w:style w:type="paragraph" w:styleId="ListParagraph">
    <w:name w:val="List Paragraph"/>
    <w:basedOn w:val="Normal"/>
    <w:uiPriority w:val="34"/>
    <w:qFormat/>
    <w:rsid w:val="00526023"/>
    <w:pPr>
      <w:ind w:left="720"/>
      <w:contextualSpacing/>
    </w:pPr>
  </w:style>
  <w:style w:type="paragraph" w:styleId="BalloonText">
    <w:name w:val="Balloon Text"/>
    <w:basedOn w:val="Normal"/>
    <w:link w:val="BalloonTextChar"/>
    <w:uiPriority w:val="99"/>
    <w:semiHidden/>
    <w:unhideWhenUsed/>
    <w:rsid w:val="00736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36"/>
    <w:rPr>
      <w:rFonts w:ascii="Tahoma" w:eastAsia="Times New Roman" w:hAnsi="Tahoma" w:cs="Tahoma"/>
      <w:sz w:val="16"/>
      <w:szCs w:val="16"/>
      <w:lang w:eastAsia="en-AU"/>
    </w:rPr>
  </w:style>
  <w:style w:type="paragraph" w:customStyle="1" w:styleId="SubmissionNormal">
    <w:name w:val="Submission Normal"/>
    <w:basedOn w:val="Normal"/>
    <w:link w:val="SubmissionNormalChar"/>
    <w:rsid w:val="00E263F4"/>
    <w:pPr>
      <w:numPr>
        <w:numId w:val="8"/>
      </w:numPr>
      <w:tabs>
        <w:tab w:val="clear" w:pos="720"/>
      </w:tabs>
      <w:ind w:hanging="720"/>
    </w:pPr>
  </w:style>
  <w:style w:type="character" w:customStyle="1" w:styleId="SubmissionNormalChar">
    <w:name w:val="Submission Normal Char"/>
    <w:link w:val="SubmissionNormal"/>
    <w:rsid w:val="00E263F4"/>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umanrights.gov.au/social_justice/sj_report/sjreport10/index.html" TargetMode="External"/><Relationship Id="rId2" Type="http://schemas.openxmlformats.org/officeDocument/2006/relationships/hyperlink" Target="http://nationalcongress.com.au/about-us/" TargetMode="External"/><Relationship Id="rId1" Type="http://schemas.openxmlformats.org/officeDocument/2006/relationships/hyperlink" Target="http://www.humanrights.gov.au/social_justice/repbody/index.html" TargetMode="External"/><Relationship Id="rId4" Type="http://schemas.openxmlformats.org/officeDocument/2006/relationships/hyperlink" Target="http://www.humanrights.gov.au/social_justice/nt_report/ntreport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49CB-D3F2-4255-AE4A-BEA2DC68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Kiss</dc:creator>
  <cp:lastModifiedBy>Katie Kiss</cp:lastModifiedBy>
  <cp:revision>2</cp:revision>
  <dcterms:created xsi:type="dcterms:W3CDTF">2011-07-12T08:01:00Z</dcterms:created>
  <dcterms:modified xsi:type="dcterms:W3CDTF">2011-07-12T08:01:00Z</dcterms:modified>
</cp:coreProperties>
</file>