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8A" w:rsidRDefault="00FF348A" w:rsidP="00FF348A"/>
    <w:tbl>
      <w:tblPr>
        <w:tblStyle w:val="Grigliatabella"/>
        <w:tblW w:w="0" w:type="auto"/>
        <w:tblCellMar>
          <w:left w:w="0" w:type="dxa"/>
          <w:right w:w="0" w:type="dxa"/>
        </w:tblCellMar>
        <w:tblLook w:val="04A0" w:firstRow="1" w:lastRow="0" w:firstColumn="1" w:lastColumn="0" w:noHBand="0" w:noVBand="1"/>
      </w:tblPr>
      <w:tblGrid>
        <w:gridCol w:w="2552"/>
        <w:gridCol w:w="3862"/>
        <w:gridCol w:w="3208"/>
      </w:tblGrid>
      <w:tr w:rsidR="00FF348A" w:rsidRPr="007D1D83" w:rsidTr="0025304F">
        <w:tc>
          <w:tcPr>
            <w:tcW w:w="2552" w:type="dxa"/>
            <w:tcBorders>
              <w:top w:val="nil"/>
              <w:left w:val="nil"/>
              <w:bottom w:val="nil"/>
              <w:right w:val="nil"/>
            </w:tcBorders>
          </w:tcPr>
          <w:p w:rsidR="00FF348A" w:rsidRDefault="00975B87" w:rsidP="0025304F">
            <w:r>
              <w:rPr>
                <w:noProof/>
              </w:rPr>
              <w:drawing>
                <wp:inline distT="0" distB="0" distL="0" distR="0">
                  <wp:extent cx="1460500" cy="1397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le_Pic_02_June.jpg"/>
                          <pic:cNvPicPr/>
                        </pic:nvPicPr>
                        <pic:blipFill>
                          <a:blip r:embed="rId7">
                            <a:extLst>
                              <a:ext uri="{28A0092B-C50C-407E-A947-70E740481C1C}">
                                <a14:useLocalDpi xmlns:a14="http://schemas.microsoft.com/office/drawing/2010/main" val="0"/>
                              </a:ext>
                            </a:extLst>
                          </a:blip>
                          <a:stretch>
                            <a:fillRect/>
                          </a:stretch>
                        </pic:blipFill>
                        <pic:spPr>
                          <a:xfrm>
                            <a:off x="0" y="0"/>
                            <a:ext cx="1460500" cy="1397000"/>
                          </a:xfrm>
                          <a:prstGeom prst="rect">
                            <a:avLst/>
                          </a:prstGeom>
                        </pic:spPr>
                      </pic:pic>
                    </a:graphicData>
                  </a:graphic>
                </wp:inline>
              </w:drawing>
            </w:r>
          </w:p>
        </w:tc>
        <w:tc>
          <w:tcPr>
            <w:tcW w:w="3862" w:type="dxa"/>
            <w:tcBorders>
              <w:top w:val="nil"/>
              <w:left w:val="nil"/>
              <w:bottom w:val="nil"/>
              <w:right w:val="nil"/>
            </w:tcBorders>
          </w:tcPr>
          <w:p w:rsidR="00FF348A" w:rsidRPr="00132F3A" w:rsidRDefault="00FF348A" w:rsidP="00FF348A">
            <w:pPr>
              <w:pStyle w:val="Titolo1"/>
              <w:rPr>
                <w:rStyle w:val="CondensedBold"/>
                <w:rFonts w:ascii="Arial Narrow" w:hAnsi="Arial Narrow" w:cstheme="majorBidi"/>
                <w:b/>
                <w:bCs w:val="0"/>
                <w:lang w:val="en-US"/>
              </w:rPr>
            </w:pPr>
            <w:r w:rsidRPr="00132F3A">
              <w:rPr>
                <w:rStyle w:val="CondensedBold"/>
                <w:rFonts w:ascii="Arial Narrow" w:hAnsi="Arial Narrow" w:cstheme="majorBidi"/>
                <w:b/>
                <w:bCs w:val="0"/>
                <w:lang w:val="en-US"/>
              </w:rPr>
              <w:t>June Oscar AO</w:t>
            </w:r>
          </w:p>
          <w:p w:rsidR="00FF348A" w:rsidRPr="00132F3A" w:rsidRDefault="00FF348A" w:rsidP="00E36C73">
            <w:pPr>
              <w:pStyle w:val="Titolo1"/>
              <w:rPr>
                <w:b w:val="0"/>
                <w:lang w:val="en-US"/>
              </w:rPr>
            </w:pPr>
            <w:r w:rsidRPr="00132F3A">
              <w:rPr>
                <w:b w:val="0"/>
                <w:lang w:val="en-US"/>
              </w:rPr>
              <w:t>Aboriginal and Torres Strait Islander Social Justice Commissioner</w:t>
            </w:r>
          </w:p>
          <w:p w:rsidR="00FF348A" w:rsidRDefault="00FF348A" w:rsidP="0025304F">
            <w:pPr>
              <w:rPr>
                <w:lang w:val="en-AU"/>
              </w:rPr>
            </w:pPr>
          </w:p>
          <w:p w:rsidR="00FF348A" w:rsidRPr="007D1D83" w:rsidRDefault="00FF348A" w:rsidP="00FF348A">
            <w:pPr>
              <w:pStyle w:val="Titolo3"/>
            </w:pPr>
            <w:r w:rsidRPr="007D1D83">
              <w:t>SECOND YEAR OF TERM</w:t>
            </w:r>
          </w:p>
        </w:tc>
        <w:tc>
          <w:tcPr>
            <w:tcW w:w="3208" w:type="dxa"/>
            <w:tcBorders>
              <w:top w:val="nil"/>
              <w:left w:val="nil"/>
              <w:bottom w:val="nil"/>
              <w:right w:val="nil"/>
            </w:tcBorders>
          </w:tcPr>
          <w:p w:rsidR="00FF348A" w:rsidRPr="00D37A39" w:rsidRDefault="00FF348A" w:rsidP="00FF348A">
            <w:pPr>
              <w:rPr>
                <w:i/>
                <w:sz w:val="17"/>
                <w:szCs w:val="17"/>
                <w:lang w:val="en-US"/>
              </w:rPr>
            </w:pPr>
            <w:r w:rsidRPr="00132F3A">
              <w:rPr>
                <w:i/>
                <w:sz w:val="17"/>
                <w:szCs w:val="17"/>
                <w:lang w:val="en-US"/>
              </w:rPr>
              <w:t xml:space="preserve">‘As Aboriginal and Torres Strait Islander people we must be unshakable in our resolve to be everything that we are and always have been. When our voice counts, and we are making the decisions on matters that affect us, then our nation and its democratic institutions will reflect our rights and freedom. Our Australia will reflect all of who we are, an inclusive, embracing and equal nation. </w:t>
            </w:r>
            <w:proofErr w:type="spellStart"/>
            <w:r w:rsidRPr="00D37A39">
              <w:rPr>
                <w:i/>
                <w:sz w:val="17"/>
                <w:szCs w:val="17"/>
              </w:rPr>
              <w:t>Imagine</w:t>
            </w:r>
            <w:proofErr w:type="spellEnd"/>
            <w:r w:rsidRPr="00D37A39">
              <w:rPr>
                <w:i/>
                <w:sz w:val="17"/>
                <w:szCs w:val="17"/>
              </w:rPr>
              <w:t xml:space="preserve"> </w:t>
            </w:r>
            <w:proofErr w:type="spellStart"/>
            <w:r w:rsidRPr="00D37A39">
              <w:rPr>
                <w:i/>
                <w:sz w:val="17"/>
                <w:szCs w:val="17"/>
              </w:rPr>
              <w:t>our</w:t>
            </w:r>
            <w:proofErr w:type="spellEnd"/>
            <w:r w:rsidRPr="00D37A39">
              <w:rPr>
                <w:i/>
                <w:sz w:val="17"/>
                <w:szCs w:val="17"/>
              </w:rPr>
              <w:t xml:space="preserve"> </w:t>
            </w:r>
            <w:proofErr w:type="spellStart"/>
            <w:r w:rsidRPr="00D37A39">
              <w:rPr>
                <w:i/>
                <w:sz w:val="17"/>
                <w:szCs w:val="17"/>
              </w:rPr>
              <w:t>potential</w:t>
            </w:r>
            <w:proofErr w:type="spellEnd"/>
            <w:r w:rsidRPr="00D37A39">
              <w:rPr>
                <w:i/>
                <w:sz w:val="17"/>
                <w:szCs w:val="17"/>
              </w:rPr>
              <w:t xml:space="preserve"> </w:t>
            </w:r>
            <w:proofErr w:type="spellStart"/>
            <w:r w:rsidRPr="00D37A39">
              <w:rPr>
                <w:i/>
                <w:sz w:val="17"/>
                <w:szCs w:val="17"/>
              </w:rPr>
              <w:t>then</w:t>
            </w:r>
            <w:proofErr w:type="spellEnd"/>
            <w:r w:rsidRPr="00D37A39">
              <w:rPr>
                <w:i/>
                <w:sz w:val="17"/>
                <w:szCs w:val="17"/>
              </w:rPr>
              <w:t>.’</w:t>
            </w:r>
          </w:p>
        </w:tc>
      </w:tr>
    </w:tbl>
    <w:p w:rsidR="00FF348A" w:rsidRDefault="00FF348A" w:rsidP="00FF348A">
      <w:pPr>
        <w:rPr>
          <w:lang w:val="en-US"/>
        </w:rPr>
      </w:pPr>
    </w:p>
    <w:p w:rsidR="00FF348A" w:rsidRPr="0088740E" w:rsidRDefault="00FF348A" w:rsidP="00FF348A">
      <w:pPr>
        <w:pStyle w:val="Titolo2"/>
        <w:spacing w:after="200"/>
      </w:pPr>
      <w:r w:rsidRPr="0088740E">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284" w:type="dxa"/>
          <w:left w:w="284" w:type="dxa"/>
          <w:bottom w:w="284" w:type="dxa"/>
          <w:right w:w="284" w:type="dxa"/>
        </w:tblCellMar>
        <w:tblLook w:val="04A0" w:firstRow="1" w:lastRow="0" w:firstColumn="1" w:lastColumn="0" w:noHBand="0" w:noVBand="1"/>
      </w:tblPr>
      <w:tblGrid>
        <w:gridCol w:w="1924"/>
        <w:gridCol w:w="1924"/>
        <w:gridCol w:w="1924"/>
        <w:gridCol w:w="1925"/>
        <w:gridCol w:w="1925"/>
      </w:tblGrid>
      <w:tr w:rsidR="00FF348A" w:rsidRPr="006A08A7" w:rsidTr="00132F3A">
        <w:trPr>
          <w:trHeight w:val="1691"/>
        </w:trPr>
        <w:tc>
          <w:tcPr>
            <w:tcW w:w="1924" w:type="dxa"/>
            <w:tcBorders>
              <w:right w:val="single" w:sz="8" w:space="0" w:color="FFFFFF" w:themeColor="background1"/>
            </w:tcBorders>
            <w:shd w:val="clear" w:color="auto" w:fill="FBE4D5" w:themeFill="accent2" w:themeFillTint="33"/>
          </w:tcPr>
          <w:p w:rsidR="00FF348A" w:rsidRPr="00FF348A" w:rsidRDefault="00FF348A" w:rsidP="00FF348A">
            <w:pPr>
              <w:rPr>
                <w:sz w:val="18"/>
                <w:szCs w:val="18"/>
                <w:lang w:val="en-US"/>
              </w:rPr>
            </w:pPr>
            <w:r w:rsidRPr="00132F3A">
              <w:rPr>
                <w:b/>
                <w:lang w:val="en-US"/>
              </w:rPr>
              <w:t>Elevate</w:t>
            </w:r>
            <w:r w:rsidRPr="00132F3A">
              <w:rPr>
                <w:lang w:val="en-US"/>
              </w:rPr>
              <w:t xml:space="preserve"> the voice of Aboriginal and Torres Strait Islander women and girls </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FF348A" w:rsidRPr="00FF348A" w:rsidRDefault="00FF348A" w:rsidP="00FF348A">
            <w:pPr>
              <w:rPr>
                <w:sz w:val="18"/>
                <w:szCs w:val="18"/>
                <w:lang w:val="en-US"/>
              </w:rPr>
            </w:pPr>
            <w:r w:rsidRPr="00132F3A">
              <w:rPr>
                <w:b/>
                <w:lang w:val="en-US"/>
              </w:rPr>
              <w:t>Reduce</w:t>
            </w:r>
            <w:r w:rsidRPr="00132F3A">
              <w:rPr>
                <w:rStyle w:val="CondensedBold"/>
                <w:lang w:val="en-US"/>
              </w:rPr>
              <w:t xml:space="preserve"> </w:t>
            </w:r>
            <w:r w:rsidRPr="00132F3A">
              <w:rPr>
                <w:lang w:val="en-US"/>
              </w:rPr>
              <w:t>Aboriginal and Torres Strait Islander health inequality</w:t>
            </w:r>
          </w:p>
        </w:tc>
        <w:tc>
          <w:tcPr>
            <w:tcW w:w="1924" w:type="dxa"/>
            <w:tcBorders>
              <w:left w:val="single" w:sz="8" w:space="0" w:color="FFFFFF" w:themeColor="background1"/>
              <w:right w:val="single" w:sz="8" w:space="0" w:color="FFFFFF" w:themeColor="background1"/>
            </w:tcBorders>
            <w:shd w:val="clear" w:color="auto" w:fill="FBE4D5" w:themeFill="accent2" w:themeFillTint="33"/>
          </w:tcPr>
          <w:p w:rsidR="00FF348A" w:rsidRPr="00FF348A" w:rsidRDefault="00FF348A" w:rsidP="00FF348A">
            <w:pPr>
              <w:rPr>
                <w:sz w:val="18"/>
                <w:szCs w:val="18"/>
                <w:lang w:val="en-US"/>
              </w:rPr>
            </w:pPr>
            <w:r w:rsidRPr="00132F3A">
              <w:rPr>
                <w:b/>
                <w:lang w:val="en-US"/>
              </w:rPr>
              <w:t>Reduce</w:t>
            </w:r>
            <w:r w:rsidRPr="00132F3A">
              <w:rPr>
                <w:lang w:val="en-US"/>
              </w:rPr>
              <w:t xml:space="preserve"> numbers and rates of Aboriginal and Torres Strait Islander incarceration and children in the out of home care system</w:t>
            </w:r>
          </w:p>
        </w:tc>
        <w:tc>
          <w:tcPr>
            <w:tcW w:w="1925" w:type="dxa"/>
            <w:tcBorders>
              <w:left w:val="single" w:sz="8" w:space="0" w:color="FFFFFF" w:themeColor="background1"/>
              <w:right w:val="single" w:sz="8" w:space="0" w:color="FFFFFF" w:themeColor="background1"/>
            </w:tcBorders>
            <w:shd w:val="clear" w:color="auto" w:fill="FBE4D5" w:themeFill="accent2" w:themeFillTint="33"/>
          </w:tcPr>
          <w:p w:rsidR="00FF348A" w:rsidRPr="00FF348A" w:rsidRDefault="00FF348A" w:rsidP="00FF348A">
            <w:pPr>
              <w:rPr>
                <w:sz w:val="18"/>
                <w:szCs w:val="18"/>
                <w:lang w:val="en-US"/>
              </w:rPr>
            </w:pPr>
            <w:r w:rsidRPr="00FF348A">
              <w:rPr>
                <w:b/>
              </w:rPr>
              <w:t>Progress</w:t>
            </w:r>
            <w:r>
              <w:rPr>
                <w:rStyle w:val="CondensedBold"/>
              </w:rPr>
              <w:t xml:space="preserve"> </w:t>
            </w:r>
            <w:proofErr w:type="spellStart"/>
            <w:r>
              <w:t>constitutional</w:t>
            </w:r>
            <w:proofErr w:type="spellEnd"/>
            <w:r>
              <w:t xml:space="preserve"> </w:t>
            </w:r>
            <w:proofErr w:type="spellStart"/>
            <w:r>
              <w:t>reform</w:t>
            </w:r>
            <w:proofErr w:type="spellEnd"/>
          </w:p>
        </w:tc>
        <w:tc>
          <w:tcPr>
            <w:tcW w:w="1925" w:type="dxa"/>
            <w:tcBorders>
              <w:left w:val="single" w:sz="8" w:space="0" w:color="FFFFFF" w:themeColor="background1"/>
            </w:tcBorders>
            <w:shd w:val="clear" w:color="auto" w:fill="FBE4D5" w:themeFill="accent2" w:themeFillTint="33"/>
          </w:tcPr>
          <w:p w:rsidR="00FF348A" w:rsidRPr="00FF348A" w:rsidRDefault="00FF348A" w:rsidP="00FF348A">
            <w:pPr>
              <w:rPr>
                <w:sz w:val="18"/>
                <w:szCs w:val="18"/>
                <w:lang w:val="en-US"/>
              </w:rPr>
            </w:pPr>
            <w:r w:rsidRPr="00132F3A">
              <w:rPr>
                <w:b/>
                <w:lang w:val="en-US"/>
              </w:rPr>
              <w:t>Progress</w:t>
            </w:r>
            <w:r w:rsidRPr="00132F3A">
              <w:rPr>
                <w:lang w:val="en-US"/>
              </w:rPr>
              <w:t xml:space="preserve"> the UN Declaration on the Rights of Indigenous Peoples to full effect through a national level coordinated action plan</w:t>
            </w:r>
          </w:p>
        </w:tc>
      </w:tr>
    </w:tbl>
    <w:p w:rsidR="00FF348A" w:rsidRDefault="00FF348A" w:rsidP="00FF348A">
      <w:pPr>
        <w:rPr>
          <w:lang w:val="en-US"/>
        </w:rPr>
      </w:pPr>
    </w:p>
    <w:p w:rsidR="00132F3A" w:rsidRPr="00FF348A" w:rsidRDefault="00132F3A" w:rsidP="00132F3A">
      <w:pPr>
        <w:pStyle w:val="Titolo2"/>
        <w:spacing w:after="200"/>
        <w:rPr>
          <w:lang w:val="en-US"/>
        </w:rPr>
      </w:pPr>
      <w:r>
        <w:rPr>
          <w:lang w:val="en-US"/>
        </w:rPr>
        <w:t>STRATEGIES</w:t>
      </w:r>
    </w:p>
    <w:p w:rsidR="00132F3A" w:rsidRPr="00132F3A" w:rsidRDefault="00132F3A" w:rsidP="00132F3A">
      <w:pPr>
        <w:pStyle w:val="Paragrafoelenco"/>
        <w:numPr>
          <w:ilvl w:val="0"/>
          <w:numId w:val="4"/>
        </w:numPr>
        <w:ind w:left="357" w:hanging="357"/>
        <w:contextualSpacing w:val="0"/>
        <w:rPr>
          <w:lang w:val="en-US"/>
        </w:rPr>
      </w:pPr>
      <w:r w:rsidRPr="00132F3A">
        <w:rPr>
          <w:lang w:val="en-US"/>
        </w:rPr>
        <w:t xml:space="preserve">Applying a human </w:t>
      </w:r>
      <w:proofErr w:type="gramStart"/>
      <w:r w:rsidRPr="00132F3A">
        <w:rPr>
          <w:lang w:val="en-US"/>
        </w:rPr>
        <w:t>rights based</w:t>
      </w:r>
      <w:proofErr w:type="gramEnd"/>
      <w:r w:rsidRPr="00132F3A">
        <w:rPr>
          <w:lang w:val="en-US"/>
        </w:rPr>
        <w:t xml:space="preserve"> approach to working with Aboriginal and Torres Strait Islander communities that respects: self-determination; participation in decision-making and free, prior and informed consent; non-discrimination and equality; and respect for and protection of culture.</w:t>
      </w:r>
    </w:p>
    <w:p w:rsidR="00132F3A" w:rsidRPr="00132F3A" w:rsidRDefault="00132F3A" w:rsidP="00132F3A">
      <w:pPr>
        <w:pStyle w:val="Paragrafoelenco"/>
        <w:numPr>
          <w:ilvl w:val="0"/>
          <w:numId w:val="4"/>
        </w:numPr>
        <w:ind w:left="357" w:hanging="357"/>
        <w:contextualSpacing w:val="0"/>
        <w:rPr>
          <w:lang w:val="en-US"/>
        </w:rPr>
      </w:pPr>
      <w:r w:rsidRPr="00132F3A">
        <w:rPr>
          <w:lang w:val="en-US"/>
        </w:rPr>
        <w:t>Empowering communities through participation and strengths-based engagement—gathering, and communicating community voice, content and discussion on key issues.</w:t>
      </w:r>
    </w:p>
    <w:p w:rsidR="00132F3A" w:rsidRPr="00132F3A" w:rsidRDefault="00132F3A" w:rsidP="00132F3A">
      <w:pPr>
        <w:pStyle w:val="Paragrafoelenco"/>
        <w:numPr>
          <w:ilvl w:val="0"/>
          <w:numId w:val="4"/>
        </w:numPr>
        <w:ind w:left="357" w:hanging="357"/>
        <w:contextualSpacing w:val="0"/>
        <w:rPr>
          <w:lang w:val="en-US"/>
        </w:rPr>
      </w:pPr>
      <w:r w:rsidRPr="00132F3A">
        <w:rPr>
          <w:lang w:val="en-US"/>
        </w:rPr>
        <w:t xml:space="preserve">Engaging with key </w:t>
      </w:r>
      <w:proofErr w:type="spellStart"/>
      <w:r w:rsidRPr="00132F3A">
        <w:rPr>
          <w:lang w:val="en-US"/>
        </w:rPr>
        <w:t>organisations</w:t>
      </w:r>
      <w:proofErr w:type="spellEnd"/>
      <w:r w:rsidRPr="00132F3A">
        <w:rPr>
          <w:lang w:val="en-US"/>
        </w:rPr>
        <w:t xml:space="preserve"> and campaigns supporting and advocating for families and enabling children to stay safe and connected to kin and </w:t>
      </w:r>
      <w:proofErr w:type="gramStart"/>
      <w:r w:rsidRPr="00132F3A">
        <w:rPr>
          <w:lang w:val="en-US"/>
        </w:rPr>
        <w:t>culture, and</w:t>
      </w:r>
      <w:proofErr w:type="gramEnd"/>
      <w:r w:rsidRPr="00132F3A">
        <w:rPr>
          <w:lang w:val="en-US"/>
        </w:rPr>
        <w:t xml:space="preserve"> promoting justice sector reform including justice reinvestment initiatives.</w:t>
      </w:r>
    </w:p>
    <w:p w:rsidR="00132F3A" w:rsidRPr="00132F3A" w:rsidRDefault="00132F3A" w:rsidP="00132F3A">
      <w:pPr>
        <w:pStyle w:val="Paragrafoelenco"/>
        <w:numPr>
          <w:ilvl w:val="0"/>
          <w:numId w:val="4"/>
        </w:numPr>
        <w:ind w:left="357" w:hanging="357"/>
        <w:contextualSpacing w:val="0"/>
        <w:rPr>
          <w:lang w:val="en-US"/>
        </w:rPr>
      </w:pPr>
      <w:r w:rsidRPr="00132F3A">
        <w:rPr>
          <w:lang w:val="en-US"/>
        </w:rPr>
        <w:t>Engaging internationally to highlight Aboriginal and Torres Strait Islander issues, forge links with other Indigenous representatives, and hold our government to account on Indigenous rights.</w:t>
      </w:r>
    </w:p>
    <w:p w:rsidR="00132F3A" w:rsidRDefault="00132F3A" w:rsidP="00132F3A">
      <w:pPr>
        <w:pStyle w:val="Paragrafoelenco"/>
        <w:numPr>
          <w:ilvl w:val="0"/>
          <w:numId w:val="4"/>
        </w:numPr>
        <w:ind w:left="357" w:hanging="357"/>
        <w:contextualSpacing w:val="0"/>
        <w:rPr>
          <w:lang w:val="en-US"/>
        </w:rPr>
      </w:pPr>
      <w:r w:rsidRPr="00132F3A">
        <w:rPr>
          <w:lang w:val="en-US"/>
        </w:rPr>
        <w:t>Promoting human rights based, strengths-based and trauma-informed approaches to supporting Aboriginal and Torres Strait Islander people in their communities.</w:t>
      </w:r>
    </w:p>
    <w:p w:rsidR="00132F3A" w:rsidRPr="00132F3A" w:rsidRDefault="00132F3A" w:rsidP="00132F3A">
      <w:pPr>
        <w:pStyle w:val="Paragrafoelenco"/>
        <w:numPr>
          <w:ilvl w:val="0"/>
          <w:numId w:val="4"/>
        </w:numPr>
        <w:rPr>
          <w:lang w:val="en-US"/>
        </w:rPr>
      </w:pPr>
      <w:r w:rsidRPr="00132F3A">
        <w:rPr>
          <w:lang w:val="en-US"/>
        </w:rPr>
        <w:t>Co-ordination, leadership and liaison with key bodies to drive constitutional reform.</w:t>
      </w:r>
    </w:p>
    <w:p w:rsidR="00FF348A" w:rsidRDefault="00FF348A" w:rsidP="00FF348A">
      <w:pPr>
        <w:rPr>
          <w:lang w:val="en-US"/>
        </w:rPr>
      </w:pPr>
    </w:p>
    <w:p w:rsidR="00B07DB2" w:rsidRDefault="00B07DB2" w:rsidP="00F30D06">
      <w:pPr>
        <w:pStyle w:val="Titolo2"/>
        <w:rPr>
          <w:lang w:val="en-US"/>
        </w:rPr>
      </w:pPr>
      <w:r w:rsidRPr="00B07DB2">
        <w:rPr>
          <w:lang w:val="en-US"/>
        </w:rPr>
        <w:t>2018</w:t>
      </w:r>
      <w:r w:rsidR="00F30D06">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FF348A" w:rsidRPr="006A08A7" w:rsidTr="00132F3A">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FF348A" w:rsidRPr="00B47E42" w:rsidRDefault="00F30D06" w:rsidP="00F30D06">
            <w:pPr>
              <w:rPr>
                <w:rFonts w:cs="Arial"/>
                <w:sz w:val="18"/>
                <w:szCs w:val="18"/>
                <w:lang w:val="en-US"/>
              </w:rPr>
            </w:pPr>
            <w:proofErr w:type="spellStart"/>
            <w:r w:rsidRPr="00B47E42">
              <w:rPr>
                <w:rStyle w:val="CondensedBold"/>
                <w:rFonts w:ascii="Arial" w:hAnsi="Arial" w:cs="Arial"/>
                <w:lang w:val="en-US"/>
              </w:rPr>
              <w:t>Wiyi</w:t>
            </w:r>
            <w:proofErr w:type="spellEnd"/>
            <w:r w:rsidRPr="00B47E42">
              <w:rPr>
                <w:rStyle w:val="CondensedBold"/>
                <w:rFonts w:ascii="Arial" w:hAnsi="Arial" w:cs="Arial"/>
                <w:lang w:val="en-US"/>
              </w:rPr>
              <w:t xml:space="preserve"> </w:t>
            </w:r>
            <w:proofErr w:type="spellStart"/>
            <w:r w:rsidRPr="00B47E42">
              <w:rPr>
                <w:rStyle w:val="CondensedBold"/>
                <w:rFonts w:ascii="Arial" w:hAnsi="Arial" w:cs="Arial"/>
                <w:lang w:val="en-US"/>
              </w:rPr>
              <w:t>Yani</w:t>
            </w:r>
            <w:proofErr w:type="spellEnd"/>
            <w:r w:rsidRPr="00B47E42">
              <w:rPr>
                <w:rStyle w:val="CondensedBold"/>
                <w:rFonts w:ascii="Arial" w:hAnsi="Arial" w:cs="Arial"/>
                <w:lang w:val="en-US"/>
              </w:rPr>
              <w:t xml:space="preserve"> U </w:t>
            </w:r>
            <w:proofErr w:type="spellStart"/>
            <w:r w:rsidRPr="00B47E42">
              <w:rPr>
                <w:rStyle w:val="CondensedBold"/>
                <w:rFonts w:ascii="Arial" w:hAnsi="Arial" w:cs="Arial"/>
                <w:lang w:val="en-US"/>
              </w:rPr>
              <w:t>Thangani</w:t>
            </w:r>
            <w:proofErr w:type="spellEnd"/>
            <w:r w:rsidRPr="00B47E42">
              <w:rPr>
                <w:rStyle w:val="CondensedBold"/>
                <w:rFonts w:ascii="Arial" w:hAnsi="Arial" w:cs="Arial"/>
                <w:lang w:val="en-US"/>
              </w:rPr>
              <w:t xml:space="preserve"> Women’s Voices Aboriginal and Torres Strait Islander women and </w:t>
            </w:r>
            <w:proofErr w:type="gramStart"/>
            <w:r w:rsidRPr="00B47E42">
              <w:rPr>
                <w:rStyle w:val="CondensedBold"/>
                <w:rFonts w:ascii="Arial" w:hAnsi="Arial" w:cs="Arial"/>
                <w:lang w:val="en-US"/>
              </w:rPr>
              <w:t>girls</w:t>
            </w:r>
            <w:proofErr w:type="gramEnd"/>
            <w:r w:rsidRPr="00B47E42">
              <w:rPr>
                <w:rStyle w:val="CondensedBold"/>
                <w:rFonts w:ascii="Arial" w:hAnsi="Arial" w:cs="Arial"/>
                <w:lang w:val="en-US"/>
              </w:rPr>
              <w:t xml:space="preserve">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FF348A" w:rsidRPr="004C1EEF" w:rsidRDefault="004C1EEF" w:rsidP="004C1EEF">
            <w:pPr>
              <w:rPr>
                <w:lang w:val="en-US"/>
              </w:rPr>
            </w:pPr>
            <w:r w:rsidRPr="00F30D06">
              <w:rPr>
                <w:lang w:val="en-US"/>
              </w:rPr>
              <w:t xml:space="preserve">This year’s work continues the consultation phase of the program which is a national conversation with women and girls via community meetings and workshops in over 30 locations across Australia. </w:t>
            </w:r>
            <w:r w:rsidRPr="00132F3A">
              <w:rPr>
                <w:lang w:val="en-US"/>
              </w:rPr>
              <w:t>These events will elevate the voice of Aboriginal and Torres Strait Islander women and girls through the gathering of, analysis and reporting of women and girls’ experiences and aspirations for their lives.</w:t>
            </w:r>
          </w:p>
        </w:tc>
      </w:tr>
      <w:tr w:rsidR="00FF348A" w:rsidRPr="006A08A7" w:rsidTr="00132F3A">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F30D06" w:rsidRPr="00B47E42" w:rsidRDefault="00F30D06" w:rsidP="00F30D06">
            <w:pPr>
              <w:rPr>
                <w:rStyle w:val="CondensedBold"/>
                <w:rFonts w:ascii="Arial" w:hAnsi="Arial" w:cs="Arial"/>
                <w:lang w:val="en-US"/>
              </w:rPr>
            </w:pPr>
            <w:r w:rsidRPr="00B47E42">
              <w:rPr>
                <w:rStyle w:val="CondensedBold"/>
                <w:rFonts w:ascii="Arial" w:hAnsi="Arial" w:cs="Arial"/>
                <w:lang w:val="en-US"/>
              </w:rPr>
              <w:t>The Close the Gap Campaign</w:t>
            </w:r>
          </w:p>
          <w:p w:rsidR="00FF348A" w:rsidRPr="00B47E42" w:rsidRDefault="00F30D06" w:rsidP="00F30D06">
            <w:pPr>
              <w:rPr>
                <w:rFonts w:cs="Arial"/>
                <w:szCs w:val="16"/>
                <w:lang w:val="en-US"/>
              </w:rPr>
            </w:pPr>
            <w:r w:rsidRPr="00B47E42">
              <w:rPr>
                <w:rStyle w:val="CondensedBold"/>
                <w:rFonts w:ascii="Arial" w:hAnsi="Arial" w:cs="Arial"/>
                <w:lang w:val="en-US"/>
              </w:rPr>
              <w:t>National Health Leadership Forum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FF348A" w:rsidRPr="004C1EEF" w:rsidRDefault="004C1EEF" w:rsidP="004C1EEF">
            <w:pPr>
              <w:rPr>
                <w:lang w:val="en-US"/>
              </w:rPr>
            </w:pPr>
            <w:r w:rsidRPr="00132F3A">
              <w:rPr>
                <w:lang w:val="en-US"/>
              </w:rPr>
              <w:t xml:space="preserve">This multi-year collaboration is working with Australia’s peak Indigenous and non-Indigenous health bodies, NGOs and human rights </w:t>
            </w:r>
            <w:proofErr w:type="spellStart"/>
            <w:r w:rsidRPr="00132F3A">
              <w:rPr>
                <w:lang w:val="en-US"/>
              </w:rPr>
              <w:t>organisations</w:t>
            </w:r>
            <w:proofErr w:type="spellEnd"/>
            <w:r w:rsidRPr="00132F3A">
              <w:rPr>
                <w:lang w:val="en-US"/>
              </w:rPr>
              <w:t xml:space="preserve"> to achieve health and life expectation equality for Australia’s Aboriginal and Torres Strait Islander peoples.</w:t>
            </w:r>
          </w:p>
        </w:tc>
      </w:tr>
    </w:tbl>
    <w:p w:rsidR="00FF348A" w:rsidRDefault="00FF348A" w:rsidP="00FF348A">
      <w:pPr>
        <w:rPr>
          <w:lang w:val="en-US"/>
        </w:rPr>
      </w:pPr>
    </w:p>
    <w:p w:rsidR="00E36C73" w:rsidRDefault="00E36C73">
      <w:pPr>
        <w:spacing w:after="0"/>
        <w:rPr>
          <w:lang w:val="en-US"/>
        </w:rPr>
      </w:pPr>
      <w:bookmarkStart w:id="0" w:name="_GoBack"/>
      <w:bookmarkEnd w:id="0"/>
    </w:p>
    <w:sectPr w:rsidR="00E36C73"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B5A" w:rsidRDefault="004E6B5A" w:rsidP="00FF348A">
      <w:pPr>
        <w:spacing w:after="0"/>
      </w:pPr>
      <w:r>
        <w:separator/>
      </w:r>
    </w:p>
  </w:endnote>
  <w:endnote w:type="continuationSeparator" w:id="0">
    <w:p w:rsidR="004E6B5A" w:rsidRDefault="004E6B5A"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B5A" w:rsidRDefault="004E6B5A" w:rsidP="00FF348A">
      <w:pPr>
        <w:spacing w:after="0"/>
      </w:pPr>
      <w:r>
        <w:separator/>
      </w:r>
    </w:p>
  </w:footnote>
  <w:footnote w:type="continuationSeparator" w:id="0">
    <w:p w:rsidR="004E6B5A" w:rsidRDefault="004E6B5A"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20676E"/>
    <w:rsid w:val="00303C5D"/>
    <w:rsid w:val="003222D5"/>
    <w:rsid w:val="00334B89"/>
    <w:rsid w:val="0036631A"/>
    <w:rsid w:val="00453DA8"/>
    <w:rsid w:val="004C1EEF"/>
    <w:rsid w:val="004E6B5A"/>
    <w:rsid w:val="005602FA"/>
    <w:rsid w:val="005971CD"/>
    <w:rsid w:val="005B6B7E"/>
    <w:rsid w:val="005F715A"/>
    <w:rsid w:val="006105C3"/>
    <w:rsid w:val="00617391"/>
    <w:rsid w:val="00644A80"/>
    <w:rsid w:val="00653D0E"/>
    <w:rsid w:val="006A08A7"/>
    <w:rsid w:val="006D4776"/>
    <w:rsid w:val="007640CE"/>
    <w:rsid w:val="007971B8"/>
    <w:rsid w:val="007D1D83"/>
    <w:rsid w:val="007D7CD1"/>
    <w:rsid w:val="007F18AC"/>
    <w:rsid w:val="00810869"/>
    <w:rsid w:val="0081334C"/>
    <w:rsid w:val="00884230"/>
    <w:rsid w:val="0088740E"/>
    <w:rsid w:val="008F7B64"/>
    <w:rsid w:val="00923828"/>
    <w:rsid w:val="0096557E"/>
    <w:rsid w:val="00967EC0"/>
    <w:rsid w:val="00975B87"/>
    <w:rsid w:val="00A95BDC"/>
    <w:rsid w:val="00AE0476"/>
    <w:rsid w:val="00B07DB2"/>
    <w:rsid w:val="00B47E42"/>
    <w:rsid w:val="00C77BF5"/>
    <w:rsid w:val="00CC405B"/>
    <w:rsid w:val="00D129E7"/>
    <w:rsid w:val="00D37A39"/>
    <w:rsid w:val="00DA3855"/>
    <w:rsid w:val="00E056B7"/>
    <w:rsid w:val="00E36C73"/>
    <w:rsid w:val="00F30D06"/>
    <w:rsid w:val="00F768D4"/>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0D2B9B"/>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439</Words>
  <Characters>2506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cp:revision>
  <dcterms:created xsi:type="dcterms:W3CDTF">2018-08-15T08:10:00Z</dcterms:created>
  <dcterms:modified xsi:type="dcterms:W3CDTF">2018-08-15T08:21:00Z</dcterms:modified>
</cp:coreProperties>
</file>