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8B" w:rsidRDefault="00EE28A7" w:rsidP="0004238B">
      <w:pPr>
        <w:pStyle w:val="Title"/>
        <w:tabs>
          <w:tab w:val="left" w:pos="5775"/>
        </w:tabs>
        <w:jc w:val="left"/>
      </w:pPr>
      <w:r>
        <w:rPr>
          <w:noProof/>
        </w:rPr>
        <w:drawing>
          <wp:anchor distT="0" distB="0" distL="114300" distR="114300" simplePos="0" relativeHeight="251667456" behindDoc="1" locked="0" layoutInCell="1" allowOverlap="1" wp14:anchorId="07792377" wp14:editId="4D5232AB">
            <wp:simplePos x="0" y="0"/>
            <wp:positionH relativeFrom="margin">
              <wp:align>left</wp:align>
            </wp:positionH>
            <wp:positionV relativeFrom="paragraph">
              <wp:posOffset>165735</wp:posOffset>
            </wp:positionV>
            <wp:extent cx="1123950" cy="1656080"/>
            <wp:effectExtent l="0" t="0" r="0" b="1270"/>
            <wp:wrapTight wrapText="bothSides">
              <wp:wrapPolygon edited="0">
                <wp:start x="9153" y="0"/>
                <wp:lineTo x="4027" y="497"/>
                <wp:lineTo x="2929" y="1242"/>
                <wp:lineTo x="3661" y="3975"/>
                <wp:lineTo x="0" y="4224"/>
                <wp:lineTo x="0" y="9690"/>
                <wp:lineTo x="3295" y="11926"/>
                <wp:lineTo x="2563" y="15902"/>
                <wp:lineTo x="0" y="17890"/>
                <wp:lineTo x="0" y="21368"/>
                <wp:lineTo x="20502" y="21368"/>
                <wp:lineTo x="21234" y="21368"/>
                <wp:lineTo x="21234" y="17890"/>
                <wp:lineTo x="18305" y="15902"/>
                <wp:lineTo x="18305" y="11926"/>
                <wp:lineTo x="21234" y="9442"/>
                <wp:lineTo x="21234" y="4969"/>
                <wp:lineTo x="20868" y="3975"/>
                <wp:lineTo x="16841" y="3975"/>
                <wp:lineTo x="18671" y="1988"/>
                <wp:lineTo x="17573" y="1242"/>
                <wp:lineTo x="11715" y="0"/>
                <wp:lineTo x="91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ONP-logomark.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656080"/>
                    </a:xfrm>
                    <a:prstGeom prst="rect">
                      <a:avLst/>
                    </a:prstGeom>
                  </pic:spPr>
                </pic:pic>
              </a:graphicData>
            </a:graphic>
            <wp14:sizeRelH relativeFrom="page">
              <wp14:pctWidth>0</wp14:pctWidth>
            </wp14:sizeRelH>
            <wp14:sizeRelV relativeFrom="page">
              <wp14:pctHeight>0</wp14:pctHeight>
            </wp14:sizeRelV>
          </wp:anchor>
        </w:drawing>
      </w:r>
    </w:p>
    <w:p w:rsidR="0004238B" w:rsidRDefault="0004238B" w:rsidP="0004238B">
      <w:pPr>
        <w:pStyle w:val="Title"/>
        <w:tabs>
          <w:tab w:val="left" w:pos="5775"/>
        </w:tabs>
        <w:ind w:left="1440"/>
        <w:jc w:val="right"/>
      </w:pPr>
    </w:p>
    <w:p w:rsidR="0004238B" w:rsidRDefault="0004238B" w:rsidP="0004238B">
      <w:pPr>
        <w:pStyle w:val="Title"/>
        <w:tabs>
          <w:tab w:val="left" w:pos="5775"/>
        </w:tabs>
        <w:ind w:left="1440"/>
      </w:pPr>
    </w:p>
    <w:p w:rsidR="0004238B" w:rsidRDefault="0004238B" w:rsidP="0004238B">
      <w:pPr>
        <w:pStyle w:val="Title"/>
        <w:tabs>
          <w:tab w:val="left" w:pos="5775"/>
        </w:tabs>
        <w:ind w:left="1440"/>
      </w:pPr>
    </w:p>
    <w:p w:rsidR="00EE28A7" w:rsidRDefault="00EE28A7" w:rsidP="005C33DB">
      <w:pPr>
        <w:pStyle w:val="Title"/>
        <w:tabs>
          <w:tab w:val="left" w:pos="5775"/>
        </w:tabs>
        <w:spacing w:before="360" w:after="240"/>
      </w:pPr>
    </w:p>
    <w:p w:rsidR="00EE28A7" w:rsidRDefault="00EE28A7" w:rsidP="005C33DB">
      <w:pPr>
        <w:pStyle w:val="Title"/>
        <w:tabs>
          <w:tab w:val="left" w:pos="5775"/>
        </w:tabs>
        <w:spacing w:before="360" w:after="240"/>
      </w:pPr>
    </w:p>
    <w:p w:rsidR="00EE28A7" w:rsidRDefault="00EE28A7" w:rsidP="005C33DB">
      <w:pPr>
        <w:pStyle w:val="Title"/>
        <w:tabs>
          <w:tab w:val="left" w:pos="5775"/>
        </w:tabs>
        <w:spacing w:before="360" w:after="240"/>
      </w:pPr>
    </w:p>
    <w:p w:rsidR="00EE28A7" w:rsidRDefault="00EE28A7" w:rsidP="007971B3">
      <w:pPr>
        <w:pStyle w:val="Title"/>
        <w:tabs>
          <w:tab w:val="left" w:pos="5775"/>
        </w:tabs>
        <w:spacing w:before="360" w:after="240"/>
        <w:jc w:val="left"/>
      </w:pPr>
      <w:bookmarkStart w:id="0" w:name="_GoBack"/>
      <w:bookmarkEnd w:id="0"/>
    </w:p>
    <w:p w:rsidR="0004238B" w:rsidRPr="007971B3" w:rsidRDefault="0004238B" w:rsidP="007971B3">
      <w:pPr>
        <w:pStyle w:val="Title"/>
        <w:tabs>
          <w:tab w:val="left" w:pos="5775"/>
        </w:tabs>
        <w:spacing w:before="360" w:after="240"/>
      </w:pPr>
      <w:r w:rsidRPr="007971B3">
        <w:t>Cultural safety f</w:t>
      </w:r>
      <w:r w:rsidR="00DD7BD2" w:rsidRPr="007971B3">
        <w:t xml:space="preserve">or Aboriginal and Torres Strait Islander </w:t>
      </w:r>
      <w:r w:rsidRPr="007971B3">
        <w:t>children and young people: A background paper to inform work on child safe organisations</w:t>
      </w:r>
    </w:p>
    <w:p w:rsidR="00EE28A7" w:rsidRPr="007971B3" w:rsidRDefault="00EE28A7" w:rsidP="007971B3">
      <w:pPr>
        <w:jc w:val="center"/>
        <w:rPr>
          <w:sz w:val="32"/>
          <w:szCs w:val="32"/>
        </w:rPr>
      </w:pPr>
    </w:p>
    <w:p w:rsidR="00EE28A7" w:rsidRPr="007971B3" w:rsidRDefault="007971B3" w:rsidP="007971B3">
      <w:pPr>
        <w:jc w:val="center"/>
        <w:rPr>
          <w:b/>
          <w:sz w:val="32"/>
          <w:szCs w:val="32"/>
        </w:rPr>
      </w:pPr>
      <w:r w:rsidRPr="007971B3">
        <w:rPr>
          <w:b/>
          <w:sz w:val="32"/>
          <w:szCs w:val="32"/>
        </w:rPr>
        <w:t>January 2018</w:t>
      </w: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7971B3" w:rsidRDefault="007971B3" w:rsidP="00482674">
      <w:pPr>
        <w:rPr>
          <w:sz w:val="28"/>
          <w:szCs w:val="28"/>
        </w:rPr>
      </w:pPr>
    </w:p>
    <w:p w:rsidR="00EE28A7" w:rsidRDefault="00EE28A7" w:rsidP="00482674">
      <w:pPr>
        <w:rPr>
          <w:sz w:val="28"/>
          <w:szCs w:val="28"/>
        </w:rPr>
      </w:pPr>
    </w:p>
    <w:p w:rsidR="00507902" w:rsidRDefault="00507902"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r>
        <w:rPr>
          <w:noProof/>
        </w:rPr>
        <w:drawing>
          <wp:anchor distT="0" distB="0" distL="114300" distR="114300" simplePos="0" relativeHeight="251665408" behindDoc="0" locked="0" layoutInCell="1" allowOverlap="1" wp14:anchorId="444DFD0A" wp14:editId="7EF14F35">
            <wp:simplePos x="0" y="0"/>
            <wp:positionH relativeFrom="margin">
              <wp:posOffset>0</wp:posOffset>
            </wp:positionH>
            <wp:positionV relativeFrom="paragraph">
              <wp:posOffset>0</wp:posOffset>
            </wp:positionV>
            <wp:extent cx="2151749" cy="852170"/>
            <wp:effectExtent l="0" t="0" r="127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stralian Human Rights Commission_1.gif"/>
                    <pic:cNvPicPr/>
                  </pic:nvPicPr>
                  <pic:blipFill>
                    <a:blip r:embed="rId9">
                      <a:extLst>
                        <a:ext uri="{28A0092B-C50C-407E-A947-70E740481C1C}">
                          <a14:useLocalDpi xmlns:a14="http://schemas.microsoft.com/office/drawing/2010/main" val="0"/>
                        </a:ext>
                      </a:extLst>
                    </a:blip>
                    <a:stretch>
                      <a:fillRect/>
                    </a:stretch>
                  </pic:blipFill>
                  <pic:spPr>
                    <a:xfrm>
                      <a:off x="0" y="0"/>
                      <a:ext cx="2151749" cy="852170"/>
                    </a:xfrm>
                    <a:prstGeom prst="rect">
                      <a:avLst/>
                    </a:prstGeom>
                  </pic:spPr>
                </pic:pic>
              </a:graphicData>
            </a:graphic>
            <wp14:sizeRelH relativeFrom="page">
              <wp14:pctWidth>0</wp14:pctWidth>
            </wp14:sizeRelH>
            <wp14:sizeRelV relativeFrom="page">
              <wp14:pctHeight>0</wp14:pctHeight>
            </wp14:sizeRelV>
          </wp:anchor>
        </w:drawing>
      </w:r>
    </w:p>
    <w:p w:rsidR="0004238B" w:rsidRDefault="005C33DB" w:rsidP="00482674">
      <w:pPr>
        <w:rPr>
          <w:sz w:val="28"/>
          <w:szCs w:val="28"/>
        </w:rPr>
      </w:pPr>
      <w:r w:rsidRPr="00435E00">
        <w:rPr>
          <w:noProof/>
          <w:sz w:val="28"/>
          <w:szCs w:val="28"/>
          <w:highlight w:val="green"/>
        </w:rPr>
        <w:lastRenderedPageBreak/>
        <mc:AlternateContent>
          <mc:Choice Requires="wps">
            <w:drawing>
              <wp:anchor distT="45720" distB="45720" distL="114300" distR="114300" simplePos="0" relativeHeight="251659264" behindDoc="0" locked="0" layoutInCell="1" allowOverlap="1">
                <wp:simplePos x="0" y="0"/>
                <wp:positionH relativeFrom="column">
                  <wp:posOffset>71120</wp:posOffset>
                </wp:positionH>
                <wp:positionV relativeFrom="paragraph">
                  <wp:posOffset>377825</wp:posOffset>
                </wp:positionV>
                <wp:extent cx="5629275" cy="3819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819525"/>
                        </a:xfrm>
                        <a:prstGeom prst="rect">
                          <a:avLst/>
                        </a:prstGeom>
                        <a:solidFill>
                          <a:srgbClr val="FFFFFF"/>
                        </a:solidFill>
                        <a:ln w="9525">
                          <a:solidFill>
                            <a:srgbClr val="000000"/>
                          </a:solidFill>
                          <a:miter lim="800000"/>
                          <a:headEnd/>
                          <a:tailEnd/>
                        </a:ln>
                      </wps:spPr>
                      <wps:txbx>
                        <w:txbxContent>
                          <w:p w:rsidR="00D121DB" w:rsidRPr="00D121DB" w:rsidRDefault="00D121DB" w:rsidP="005C33DB">
                            <w:pPr>
                              <w:rPr>
                                <w:rFonts w:cs="Arial"/>
                                <w:color w:val="000000"/>
                              </w:rPr>
                            </w:pPr>
                            <w:r w:rsidRPr="00D121DB">
                              <w:rPr>
                                <w:rFonts w:cs="Arial"/>
                                <w:color w:val="000000"/>
                              </w:rPr>
                              <w:t xml:space="preserve">As part of the Child Safe Organisations project, the </w:t>
                            </w:r>
                            <w:r w:rsidR="00C031DD">
                              <w:rPr>
                                <w:rFonts w:cs="Arial"/>
                                <w:color w:val="000000"/>
                              </w:rPr>
                              <w:t xml:space="preserve">National Children’s </w:t>
                            </w:r>
                            <w:r w:rsidRPr="00D121DB">
                              <w:rPr>
                                <w:rFonts w:cs="Arial"/>
                                <w:color w:val="000000"/>
                              </w:rPr>
                              <w:t>Commissioner</w:t>
                            </w:r>
                            <w:r w:rsidR="00C031DD">
                              <w:rPr>
                                <w:rFonts w:cs="Arial"/>
                                <w:color w:val="000000"/>
                              </w:rPr>
                              <w:t xml:space="preserve"> </w:t>
                            </w:r>
                            <w:r w:rsidRPr="00D121DB">
                              <w:rPr>
                                <w:rFonts w:cs="Arial"/>
                                <w:color w:val="000000"/>
                              </w:rPr>
                              <w:t>is leading the development of</w:t>
                            </w:r>
                            <w:r w:rsidR="00C031DD">
                              <w:rPr>
                                <w:rFonts w:cs="Arial"/>
                                <w:color w:val="000000"/>
                              </w:rPr>
                              <w:t xml:space="preserve"> a </w:t>
                            </w:r>
                            <w:r w:rsidR="00C031DD" w:rsidRPr="00D121DB">
                              <w:rPr>
                                <w:rFonts w:cs="Arial"/>
                                <w:color w:val="000000"/>
                              </w:rPr>
                              <w:t>Statement of National Principles for Child Safe Organisations</w:t>
                            </w:r>
                            <w:r w:rsidR="00C031DD">
                              <w:rPr>
                                <w:rFonts w:cs="Arial"/>
                                <w:color w:val="000000"/>
                              </w:rPr>
                              <w:t>.</w:t>
                            </w:r>
                          </w:p>
                          <w:p w:rsidR="00D121DB" w:rsidRPr="00D121DB" w:rsidRDefault="00D121DB" w:rsidP="005C33DB">
                            <w:pPr>
                              <w:rPr>
                                <w:rFonts w:cs="Arial"/>
                                <w:color w:val="000000"/>
                              </w:rPr>
                            </w:pPr>
                            <w:r w:rsidRPr="00D121DB">
                              <w:rPr>
                                <w:rFonts w:cs="Arial"/>
                                <w:color w:val="000000"/>
                              </w:rPr>
                              <w:t>This project has been commissioned by the Australian Government, with consultation from the states and territories, as part of the </w:t>
                            </w:r>
                            <w:r w:rsidRPr="00D121DB">
                              <w:rPr>
                                <w:rFonts w:cs="Arial"/>
                                <w:i/>
                                <w:iCs/>
                                <w:color w:val="000000"/>
                              </w:rPr>
                              <w:t xml:space="preserve">National Framework for Protecting Australia’s Children 2009-2020 </w:t>
                            </w:r>
                            <w:r w:rsidRPr="00D121DB">
                              <w:rPr>
                                <w:rFonts w:cs="Arial"/>
                                <w:iCs/>
                                <w:color w:val="000000"/>
                              </w:rPr>
                              <w:t xml:space="preserve">and in connection with the Royal Commission into Institutional Responses to Child Sexual Abuse. </w:t>
                            </w:r>
                          </w:p>
                          <w:p w:rsidR="00CE7248" w:rsidRPr="00D121DB" w:rsidRDefault="00CE7248" w:rsidP="005C33DB">
                            <w:pPr>
                              <w:shd w:val="clear" w:color="auto" w:fill="FFFFFF"/>
                              <w:rPr>
                                <w:rFonts w:cs="Arial"/>
                                <w:color w:val="000000"/>
                              </w:rPr>
                            </w:pPr>
                            <w:r w:rsidRPr="00D121DB">
                              <w:rPr>
                                <w:rFonts w:cs="Arial"/>
                                <w:color w:val="000000"/>
                              </w:rPr>
                              <w:t xml:space="preserve">In January 2018, the Child Safe Organisations project held a forum in Canberra on Child Safe Organisations and cultural safety for Aboriginal and Torres Strait Islander children and young people. </w:t>
                            </w:r>
                          </w:p>
                          <w:p w:rsidR="00CE7248" w:rsidRPr="00D121DB" w:rsidRDefault="00CE7248" w:rsidP="005C33DB">
                            <w:pPr>
                              <w:shd w:val="clear" w:color="auto" w:fill="FFFFFF"/>
                              <w:rPr>
                                <w:rFonts w:cs="Arial"/>
                                <w:color w:val="000000"/>
                              </w:rPr>
                            </w:pPr>
                            <w:r w:rsidRPr="00D121DB">
                              <w:rPr>
                                <w:rFonts w:cs="Arial"/>
                                <w:color w:val="000000"/>
                              </w:rPr>
                              <w:t>The forum considered this</w:t>
                            </w:r>
                            <w:r w:rsidR="00C031DD">
                              <w:rPr>
                                <w:rFonts w:cs="Arial"/>
                                <w:color w:val="000000"/>
                              </w:rPr>
                              <w:t xml:space="preserve"> background paper,</w:t>
                            </w:r>
                            <w:r w:rsidRPr="00D121DB">
                              <w:rPr>
                                <w:rFonts w:cs="Arial"/>
                                <w:color w:val="000000"/>
                              </w:rPr>
                              <w:t xml:space="preserve"> and also sought feedback on the draft National Principles from a cultural safety perspective. </w:t>
                            </w:r>
                          </w:p>
                          <w:p w:rsidR="000236E3" w:rsidRPr="00D121DB" w:rsidRDefault="00860680" w:rsidP="005C33DB">
                            <w:r>
                              <w:rPr>
                                <w:rFonts w:cs="Arial"/>
                                <w:color w:val="000000"/>
                              </w:rPr>
                              <w:t xml:space="preserve">Further information about the Child Safe Organisations project and the National Principles </w:t>
                            </w:r>
                            <w:r w:rsidR="00021519" w:rsidRPr="00D121DB">
                              <w:rPr>
                                <w:rFonts w:cs="Arial"/>
                                <w:color w:val="000000"/>
                              </w:rPr>
                              <w:t xml:space="preserve">is available on the Child Safe Organisations website at </w:t>
                            </w:r>
                            <w:hyperlink r:id="rId10" w:history="1">
                              <w:r w:rsidR="00021519" w:rsidRPr="00D121DB">
                                <w:rPr>
                                  <w:rStyle w:val="Hyperlink"/>
                                  <w:rFonts w:cs="Arial"/>
                                </w:rPr>
                                <w:t>https://www.humanrights.gov.au/our-work/childrens-rights/projects/child-safe-organisations</w:t>
                              </w:r>
                            </w:hyperlink>
                            <w:r w:rsidR="00021519" w:rsidRPr="00D121DB">
                              <w:rPr>
                                <w:rFonts w:cs="Arial"/>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29.75pt;width:443.25pt;height:30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">
                <v:textbox>
                  <w:txbxContent>
                    <w:p w:rsidR="00D121DB" w:rsidRPr="00D121DB" w:rsidRDefault="00D121DB" w:rsidP="005C33DB">
                      <w:pPr>
                        <w:rPr>
                          <w:rFonts w:cs="Arial"/>
                          <w:color w:val="000000"/>
                        </w:rPr>
                      </w:pPr>
                      <w:r w:rsidRPr="00D121DB">
                        <w:rPr>
                          <w:rFonts w:cs="Arial"/>
                          <w:color w:val="000000"/>
                        </w:rPr>
                        <w:t xml:space="preserve">As part of the Child Safe Organisations project, the </w:t>
                      </w:r>
                      <w:r w:rsidR="00C031DD">
                        <w:rPr>
                          <w:rFonts w:cs="Arial"/>
                          <w:color w:val="000000"/>
                        </w:rPr>
                        <w:t xml:space="preserve">National Children’s </w:t>
                      </w:r>
                      <w:r w:rsidRPr="00D121DB">
                        <w:rPr>
                          <w:rFonts w:cs="Arial"/>
                          <w:color w:val="000000"/>
                        </w:rPr>
                        <w:t>Commissioner</w:t>
                      </w:r>
                      <w:r w:rsidR="00C031DD">
                        <w:rPr>
                          <w:rFonts w:cs="Arial"/>
                          <w:color w:val="000000"/>
                        </w:rPr>
                        <w:t xml:space="preserve"> </w:t>
                      </w:r>
                      <w:r w:rsidRPr="00D121DB">
                        <w:rPr>
                          <w:rFonts w:cs="Arial"/>
                          <w:color w:val="000000"/>
                        </w:rPr>
                        <w:t>is leading the development of</w:t>
                      </w:r>
                      <w:r w:rsidR="00C031DD">
                        <w:rPr>
                          <w:rFonts w:cs="Arial"/>
                          <w:color w:val="000000"/>
                        </w:rPr>
                        <w:t xml:space="preserve"> a </w:t>
                      </w:r>
                      <w:r w:rsidR="00C031DD" w:rsidRPr="00D121DB">
                        <w:rPr>
                          <w:rFonts w:cs="Arial"/>
                          <w:color w:val="000000"/>
                        </w:rPr>
                        <w:t>Statement of National Principles for Child Safe Organisations</w:t>
                      </w:r>
                      <w:r w:rsidR="00C031DD">
                        <w:rPr>
                          <w:rFonts w:cs="Arial"/>
                          <w:color w:val="000000"/>
                        </w:rPr>
                        <w:t>.</w:t>
                      </w:r>
                    </w:p>
                    <w:p w:rsidR="00D121DB" w:rsidRPr="00D121DB" w:rsidRDefault="00D121DB" w:rsidP="005C33DB">
                      <w:pPr>
                        <w:rPr>
                          <w:rFonts w:cs="Arial"/>
                          <w:color w:val="000000"/>
                        </w:rPr>
                      </w:pPr>
                      <w:r w:rsidRPr="00D121DB">
                        <w:rPr>
                          <w:rFonts w:cs="Arial"/>
                          <w:color w:val="000000"/>
                        </w:rPr>
                        <w:t>This project has been commissioned by the Australian Government, with consultation from the states and territories, as part of the </w:t>
                      </w:r>
                      <w:r w:rsidRPr="00D121DB">
                        <w:rPr>
                          <w:rFonts w:cs="Arial"/>
                          <w:i/>
                          <w:iCs/>
                          <w:color w:val="000000"/>
                        </w:rPr>
                        <w:t xml:space="preserve">National Framework for Protecting Australia’s Children 2009-2020 </w:t>
                      </w:r>
                      <w:r w:rsidRPr="00D121DB">
                        <w:rPr>
                          <w:rFonts w:cs="Arial"/>
                          <w:iCs/>
                          <w:color w:val="000000"/>
                        </w:rPr>
                        <w:t xml:space="preserve">and in connection with the Royal Commission into Institutional Responses to Child Sexual Abuse. </w:t>
                      </w:r>
                    </w:p>
                    <w:p w:rsidR="00CE7248" w:rsidRPr="00D121DB" w:rsidRDefault="00CE7248" w:rsidP="005C33DB">
                      <w:pPr>
                        <w:shd w:val="clear" w:color="auto" w:fill="FFFFFF"/>
                        <w:rPr>
                          <w:rFonts w:cs="Arial"/>
                          <w:color w:val="000000"/>
                        </w:rPr>
                      </w:pPr>
                      <w:r w:rsidRPr="00D121DB">
                        <w:rPr>
                          <w:rFonts w:cs="Arial"/>
                          <w:color w:val="000000"/>
                        </w:rPr>
                        <w:t xml:space="preserve">In January 2018, the Child Safe Organisations project held a forum in Canberra on Child Safe Organisations and cultural safety for Aboriginal and Torres Strait Islander children and young people. </w:t>
                      </w:r>
                    </w:p>
                    <w:p w:rsidR="00CE7248" w:rsidRPr="00D121DB" w:rsidRDefault="00CE7248" w:rsidP="005C33DB">
                      <w:pPr>
                        <w:shd w:val="clear" w:color="auto" w:fill="FFFFFF"/>
                        <w:rPr>
                          <w:rFonts w:cs="Arial"/>
                          <w:color w:val="000000"/>
                        </w:rPr>
                      </w:pPr>
                      <w:r w:rsidRPr="00D121DB">
                        <w:rPr>
                          <w:rFonts w:cs="Arial"/>
                          <w:color w:val="000000"/>
                        </w:rPr>
                        <w:t>The forum considered this</w:t>
                      </w:r>
                      <w:r w:rsidR="00C031DD">
                        <w:rPr>
                          <w:rFonts w:cs="Arial"/>
                          <w:color w:val="000000"/>
                        </w:rPr>
                        <w:t xml:space="preserve"> background paper,</w:t>
                      </w:r>
                      <w:r w:rsidRPr="00D121DB">
                        <w:rPr>
                          <w:rFonts w:cs="Arial"/>
                          <w:color w:val="000000"/>
                        </w:rPr>
                        <w:t xml:space="preserve"> and </w:t>
                      </w:r>
                      <w:r w:rsidRPr="00D121DB">
                        <w:rPr>
                          <w:rFonts w:cs="Arial"/>
                          <w:color w:val="000000"/>
                        </w:rPr>
                        <w:t xml:space="preserve">also sought feedback on the draft National Principles from a cultural safety perspective. </w:t>
                      </w:r>
                    </w:p>
                    <w:p w:rsidR="000236E3" w:rsidRPr="00D121DB" w:rsidRDefault="00860680" w:rsidP="005C33DB">
                      <w:r>
                        <w:rPr>
                          <w:rFonts w:cs="Arial"/>
                          <w:color w:val="000000"/>
                        </w:rPr>
                        <w:t xml:space="preserve">Further information about the Child Safe Organisations project and the National Principles </w:t>
                      </w:r>
                      <w:r w:rsidR="00021519" w:rsidRPr="00D121DB">
                        <w:rPr>
                          <w:rFonts w:cs="Arial"/>
                          <w:color w:val="000000"/>
                        </w:rPr>
                        <w:t xml:space="preserve">is available on the Child Safe Organisations website at </w:t>
                      </w:r>
                      <w:hyperlink r:id="rId11" w:history="1">
                        <w:r w:rsidR="00021519" w:rsidRPr="00D121DB">
                          <w:rPr>
                            <w:rStyle w:val="Hyperlink"/>
                            <w:rFonts w:cs="Arial"/>
                          </w:rPr>
                          <w:t>https://www.humanrights.gov.au/our-work/childrens-rights/projects/child-safe-organisations</w:t>
                        </w:r>
                      </w:hyperlink>
                      <w:r w:rsidR="00021519" w:rsidRPr="00D121DB">
                        <w:rPr>
                          <w:rFonts w:cs="Arial"/>
                          <w:color w:val="000000"/>
                        </w:rPr>
                        <w:t xml:space="preserve">. </w:t>
                      </w:r>
                    </w:p>
                  </w:txbxContent>
                </v:textbox>
                <w10:wrap type="square"/>
              </v:shape>
            </w:pict>
          </mc:Fallback>
        </mc:AlternateContent>
      </w:r>
    </w:p>
    <w:p w:rsidR="00B90D6F" w:rsidRDefault="00B90D6F" w:rsidP="00482674">
      <w:pPr>
        <w:rPr>
          <w:sz w:val="28"/>
          <w:szCs w:val="28"/>
        </w:rPr>
      </w:pPr>
    </w:p>
    <w:p w:rsidR="0004238B" w:rsidRDefault="0004238B" w:rsidP="00482674">
      <w:pPr>
        <w:rPr>
          <w:sz w:val="28"/>
          <w:szCs w:val="28"/>
        </w:rPr>
      </w:pPr>
    </w:p>
    <w:p w:rsidR="0004238B" w:rsidRDefault="0004238B" w:rsidP="00482674">
      <w:pPr>
        <w:rPr>
          <w:sz w:val="28"/>
          <w:szCs w:val="28"/>
        </w:rPr>
      </w:pPr>
    </w:p>
    <w:p w:rsidR="0004238B" w:rsidRDefault="0004238B"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EE28A7" w:rsidRDefault="00EE28A7" w:rsidP="00482674">
      <w:pPr>
        <w:rPr>
          <w:sz w:val="28"/>
          <w:szCs w:val="28"/>
        </w:rPr>
      </w:pPr>
    </w:p>
    <w:p w:rsidR="0004238B" w:rsidRDefault="0004238B" w:rsidP="00482674">
      <w:pPr>
        <w:rPr>
          <w:sz w:val="28"/>
          <w:szCs w:val="28"/>
        </w:rPr>
      </w:pPr>
    </w:p>
    <w:p w:rsidR="005C33DB" w:rsidRDefault="005C33DB" w:rsidP="005C33DB">
      <w:pPr>
        <w:pStyle w:val="Title"/>
        <w:tabs>
          <w:tab w:val="left" w:pos="5775"/>
        </w:tabs>
      </w:pPr>
      <w:r>
        <w:lastRenderedPageBreak/>
        <w:t>Cultural safety for Aboriginal and Torres Strait Islander children and young people: A background paper to inform work on child safe organisations</w:t>
      </w:r>
    </w:p>
    <w:p w:rsidR="00B11FBA" w:rsidRPr="008A6636" w:rsidRDefault="00B11FBA" w:rsidP="008A6636">
      <w:pPr>
        <w:pStyle w:val="Heading1"/>
      </w:pPr>
      <w:r w:rsidRPr="008A6636">
        <w:t>Introduction</w:t>
      </w:r>
    </w:p>
    <w:p w:rsidR="00EC530C" w:rsidRPr="009E7CD0" w:rsidRDefault="00752137" w:rsidP="00CF2AB9">
      <w:pPr>
        <w:spacing w:before="0" w:after="180"/>
        <w:jc w:val="both"/>
        <w:rPr>
          <w:rFonts w:cs="Arial"/>
          <w:sz w:val="23"/>
          <w:szCs w:val="23"/>
        </w:rPr>
      </w:pPr>
      <w:r w:rsidRPr="009E7CD0">
        <w:rPr>
          <w:rFonts w:cs="Arial"/>
          <w:sz w:val="23"/>
          <w:szCs w:val="23"/>
        </w:rPr>
        <w:t xml:space="preserve">This </w:t>
      </w:r>
      <w:r w:rsidR="00A67E31" w:rsidRPr="009E7CD0">
        <w:rPr>
          <w:rFonts w:cs="Arial"/>
          <w:sz w:val="23"/>
          <w:szCs w:val="23"/>
        </w:rPr>
        <w:t xml:space="preserve">background </w:t>
      </w:r>
      <w:r w:rsidR="00805CA1" w:rsidRPr="009E7CD0">
        <w:rPr>
          <w:rFonts w:cs="Arial"/>
          <w:sz w:val="23"/>
          <w:szCs w:val="23"/>
        </w:rPr>
        <w:t>paper discusses cultural safety</w:t>
      </w:r>
      <w:r w:rsidRPr="009E7CD0">
        <w:rPr>
          <w:rFonts w:cs="Arial"/>
          <w:sz w:val="23"/>
          <w:szCs w:val="23"/>
        </w:rPr>
        <w:t xml:space="preserve"> </w:t>
      </w:r>
      <w:r w:rsidR="00A9204A" w:rsidRPr="009E7CD0">
        <w:rPr>
          <w:rFonts w:cs="Arial"/>
          <w:sz w:val="23"/>
          <w:szCs w:val="23"/>
        </w:rPr>
        <w:t xml:space="preserve">for Aboriginal and Torres Strait Islander children and young people </w:t>
      </w:r>
      <w:r w:rsidR="00A67E31" w:rsidRPr="009E7CD0">
        <w:rPr>
          <w:rFonts w:cs="Arial"/>
          <w:sz w:val="23"/>
          <w:szCs w:val="23"/>
        </w:rPr>
        <w:t>to inform</w:t>
      </w:r>
      <w:r w:rsidR="00E6693D" w:rsidRPr="009E7CD0">
        <w:rPr>
          <w:rFonts w:cs="Arial"/>
          <w:sz w:val="23"/>
          <w:szCs w:val="23"/>
        </w:rPr>
        <w:t xml:space="preserve"> work on</w:t>
      </w:r>
      <w:r w:rsidRPr="009E7CD0">
        <w:rPr>
          <w:rFonts w:cs="Arial"/>
          <w:sz w:val="23"/>
          <w:szCs w:val="23"/>
        </w:rPr>
        <w:t xml:space="preserve"> child-safe organisations in Australia. The Australian Human</w:t>
      </w:r>
      <w:r w:rsidR="00805CA1" w:rsidRPr="009E7CD0">
        <w:rPr>
          <w:rFonts w:cs="Arial"/>
          <w:sz w:val="23"/>
          <w:szCs w:val="23"/>
        </w:rPr>
        <w:t xml:space="preserve"> Rights Commission is </w:t>
      </w:r>
      <w:r w:rsidR="00C11664" w:rsidRPr="009E7CD0">
        <w:rPr>
          <w:rFonts w:cs="Arial"/>
          <w:sz w:val="23"/>
          <w:szCs w:val="23"/>
        </w:rPr>
        <w:t xml:space="preserve">leading the development of </w:t>
      </w:r>
      <w:r w:rsidRPr="009E7CD0">
        <w:rPr>
          <w:rFonts w:cs="Arial"/>
          <w:sz w:val="23"/>
          <w:szCs w:val="23"/>
        </w:rPr>
        <w:t>N</w:t>
      </w:r>
      <w:r w:rsidR="00C11664" w:rsidRPr="009E7CD0">
        <w:rPr>
          <w:rFonts w:cs="Arial"/>
          <w:sz w:val="23"/>
          <w:szCs w:val="23"/>
        </w:rPr>
        <w:t xml:space="preserve">ational </w:t>
      </w:r>
      <w:r w:rsidRPr="009E7CD0">
        <w:rPr>
          <w:rFonts w:cs="Arial"/>
          <w:sz w:val="23"/>
          <w:szCs w:val="23"/>
        </w:rPr>
        <w:t>Principles</w:t>
      </w:r>
      <w:r w:rsidR="00255513" w:rsidRPr="009E7CD0">
        <w:rPr>
          <w:rFonts w:cs="Arial"/>
          <w:sz w:val="23"/>
          <w:szCs w:val="23"/>
        </w:rPr>
        <w:t xml:space="preserve"> for Child Safe Organisations. </w:t>
      </w:r>
      <w:r w:rsidRPr="009E7CD0">
        <w:rPr>
          <w:rFonts w:cs="Arial"/>
          <w:sz w:val="23"/>
          <w:szCs w:val="23"/>
        </w:rPr>
        <w:t>This project has been commissioned by t</w:t>
      </w:r>
      <w:r w:rsidR="00A02A0C" w:rsidRPr="009E7CD0">
        <w:rPr>
          <w:rFonts w:cs="Arial"/>
          <w:sz w:val="23"/>
          <w:szCs w:val="23"/>
        </w:rPr>
        <w:t>he Commonwealth Government, in consultation with</w:t>
      </w:r>
      <w:r w:rsidRPr="009E7CD0">
        <w:rPr>
          <w:rFonts w:cs="Arial"/>
          <w:sz w:val="23"/>
          <w:szCs w:val="23"/>
        </w:rPr>
        <w:t xml:space="preserve"> states and territories, as part of the </w:t>
      </w:r>
      <w:r w:rsidR="00A02A0C" w:rsidRPr="009E7CD0">
        <w:rPr>
          <w:rFonts w:cs="Arial"/>
          <w:sz w:val="23"/>
          <w:szCs w:val="23"/>
        </w:rPr>
        <w:t xml:space="preserve">Third Action Plan (2015-2018) for the </w:t>
      </w:r>
      <w:hyperlink r:id="rId12" w:history="1">
        <w:r w:rsidRPr="009E7CD0">
          <w:rPr>
            <w:rStyle w:val="Hyperlink"/>
            <w:rFonts w:cs="Arial"/>
            <w:color w:val="auto"/>
            <w:sz w:val="23"/>
            <w:szCs w:val="23"/>
            <w:u w:val="none"/>
          </w:rPr>
          <w:t>National Framework for Protecting Australia’s Children</w:t>
        </w:r>
        <w:r w:rsidR="00A02A0C" w:rsidRPr="009E7CD0">
          <w:rPr>
            <w:rStyle w:val="Hyperlink"/>
            <w:rFonts w:cs="Arial"/>
            <w:color w:val="auto"/>
            <w:sz w:val="23"/>
            <w:szCs w:val="23"/>
            <w:u w:val="none"/>
          </w:rPr>
          <w:t>.</w:t>
        </w:r>
        <w:r w:rsidRPr="009E7CD0">
          <w:rPr>
            <w:rStyle w:val="Hyperlink"/>
            <w:rFonts w:cs="Arial"/>
            <w:color w:val="auto"/>
            <w:sz w:val="23"/>
            <w:szCs w:val="23"/>
            <w:u w:val="none"/>
          </w:rPr>
          <w:t xml:space="preserve"> </w:t>
        </w:r>
      </w:hyperlink>
      <w:r w:rsidR="00E6693D" w:rsidRPr="009E7CD0">
        <w:rPr>
          <w:rFonts w:cs="Arial"/>
          <w:sz w:val="23"/>
          <w:szCs w:val="23"/>
        </w:rPr>
        <w:t>It builds on the recent findings</w:t>
      </w:r>
      <w:r w:rsidR="00A9204A" w:rsidRPr="009E7CD0">
        <w:rPr>
          <w:rFonts w:cs="Arial"/>
          <w:sz w:val="23"/>
          <w:szCs w:val="23"/>
        </w:rPr>
        <w:t xml:space="preserve"> </w:t>
      </w:r>
      <w:r w:rsidR="00107C88" w:rsidRPr="009E7CD0">
        <w:rPr>
          <w:rFonts w:cs="Arial"/>
          <w:sz w:val="23"/>
          <w:szCs w:val="23"/>
        </w:rPr>
        <w:t xml:space="preserve">and recommendations </w:t>
      </w:r>
      <w:r w:rsidR="00A9204A" w:rsidRPr="009E7CD0">
        <w:rPr>
          <w:rFonts w:cs="Arial"/>
          <w:sz w:val="23"/>
          <w:szCs w:val="23"/>
        </w:rPr>
        <w:t xml:space="preserve">of the Royal Commission into Institutional Responses to Child Sexual Abuse. </w:t>
      </w:r>
      <w:r w:rsidR="00A67E31" w:rsidRPr="009E7CD0">
        <w:rPr>
          <w:rFonts w:cs="Arial"/>
          <w:sz w:val="23"/>
          <w:szCs w:val="23"/>
        </w:rPr>
        <w:t>G</w:t>
      </w:r>
      <w:r w:rsidR="00A9204A" w:rsidRPr="009E7CD0">
        <w:rPr>
          <w:rFonts w:cs="Arial"/>
          <w:sz w:val="23"/>
          <w:szCs w:val="23"/>
        </w:rPr>
        <w:t xml:space="preserve">uidance and resources on </w:t>
      </w:r>
      <w:r w:rsidR="00FE4144" w:rsidRPr="009E7CD0">
        <w:rPr>
          <w:rFonts w:cs="Arial"/>
          <w:sz w:val="23"/>
          <w:szCs w:val="23"/>
        </w:rPr>
        <w:t xml:space="preserve">child-safe cultures </w:t>
      </w:r>
      <w:r w:rsidR="00A02A0C" w:rsidRPr="009E7CD0">
        <w:rPr>
          <w:rFonts w:cs="Arial"/>
          <w:sz w:val="23"/>
          <w:szCs w:val="23"/>
        </w:rPr>
        <w:t xml:space="preserve">in </w:t>
      </w:r>
      <w:r w:rsidR="00FE4144" w:rsidRPr="009E7CD0">
        <w:rPr>
          <w:rFonts w:cs="Arial"/>
          <w:sz w:val="23"/>
          <w:szCs w:val="23"/>
        </w:rPr>
        <w:t>organisational settings</w:t>
      </w:r>
      <w:r w:rsidR="00107C88" w:rsidRPr="009E7CD0">
        <w:rPr>
          <w:rFonts w:cs="Arial"/>
          <w:sz w:val="23"/>
          <w:szCs w:val="23"/>
        </w:rPr>
        <w:t>, covering</w:t>
      </w:r>
      <w:r w:rsidR="008E2F6A" w:rsidRPr="009E7CD0">
        <w:rPr>
          <w:rFonts w:cs="Arial"/>
          <w:sz w:val="23"/>
          <w:szCs w:val="23"/>
        </w:rPr>
        <w:t xml:space="preserve"> both </w:t>
      </w:r>
      <w:r w:rsidR="00FE4144" w:rsidRPr="009E7CD0">
        <w:rPr>
          <w:rFonts w:cs="Arial"/>
          <w:sz w:val="23"/>
          <w:szCs w:val="23"/>
        </w:rPr>
        <w:t>small</w:t>
      </w:r>
      <w:r w:rsidR="00A96781" w:rsidRPr="009E7CD0">
        <w:rPr>
          <w:rFonts w:cs="Arial"/>
          <w:sz w:val="23"/>
          <w:szCs w:val="23"/>
        </w:rPr>
        <w:t xml:space="preserve"> </w:t>
      </w:r>
      <w:r w:rsidR="008E2F6A" w:rsidRPr="009E7CD0">
        <w:rPr>
          <w:rFonts w:cs="Arial"/>
          <w:sz w:val="23"/>
          <w:szCs w:val="23"/>
        </w:rPr>
        <w:t xml:space="preserve">scale and </w:t>
      </w:r>
      <w:r w:rsidR="00FE4144" w:rsidRPr="009E7CD0">
        <w:rPr>
          <w:rFonts w:cs="Arial"/>
          <w:sz w:val="23"/>
          <w:szCs w:val="23"/>
        </w:rPr>
        <w:t>complex organisational structures</w:t>
      </w:r>
      <w:r w:rsidR="00A67E31" w:rsidRPr="009E7CD0">
        <w:rPr>
          <w:rFonts w:cs="Arial"/>
          <w:sz w:val="23"/>
          <w:szCs w:val="23"/>
        </w:rPr>
        <w:t>, are currently being developed</w:t>
      </w:r>
      <w:r w:rsidR="008E2F6A" w:rsidRPr="009E7CD0">
        <w:rPr>
          <w:rFonts w:cs="Arial"/>
          <w:sz w:val="23"/>
          <w:szCs w:val="23"/>
        </w:rPr>
        <w:t>.</w:t>
      </w:r>
      <w:r w:rsidR="00FE4144" w:rsidRPr="009E7CD0">
        <w:rPr>
          <w:rFonts w:cs="Arial"/>
          <w:sz w:val="23"/>
          <w:szCs w:val="23"/>
        </w:rPr>
        <w:t xml:space="preserve"> </w:t>
      </w:r>
      <w:r w:rsidR="0078286F" w:rsidRPr="009E7CD0">
        <w:rPr>
          <w:rFonts w:cs="Arial"/>
          <w:sz w:val="23"/>
          <w:szCs w:val="23"/>
        </w:rPr>
        <w:t>Developing an understanding of and practical strategies to implement culturally safe environments is a key aspect of this work.</w:t>
      </w:r>
    </w:p>
    <w:p w:rsidR="00F60E47" w:rsidRPr="009E7CD0" w:rsidRDefault="009A1676" w:rsidP="00CF2AB9">
      <w:pPr>
        <w:spacing w:before="0" w:after="180"/>
        <w:jc w:val="both"/>
        <w:rPr>
          <w:rFonts w:cs="Arial"/>
          <w:sz w:val="23"/>
          <w:szCs w:val="23"/>
        </w:rPr>
      </w:pPr>
      <w:r w:rsidRPr="009E7CD0">
        <w:rPr>
          <w:rFonts w:cs="Arial"/>
          <w:sz w:val="23"/>
          <w:szCs w:val="23"/>
        </w:rPr>
        <w:t>T</w:t>
      </w:r>
      <w:r w:rsidR="000400C0" w:rsidRPr="009E7CD0">
        <w:rPr>
          <w:rFonts w:cs="Arial"/>
          <w:sz w:val="23"/>
          <w:szCs w:val="23"/>
        </w:rPr>
        <w:t>he term ‘cultural safety’ was initially developed by Maori nurses in New Zealand and the discussion about cultural safety is both mo</w:t>
      </w:r>
      <w:r w:rsidR="00495426" w:rsidRPr="009E7CD0">
        <w:rPr>
          <w:rFonts w:cs="Arial"/>
          <w:sz w:val="23"/>
          <w:szCs w:val="23"/>
        </w:rPr>
        <w:t>st rigorous and most extensive</w:t>
      </w:r>
      <w:r w:rsidR="000400C0" w:rsidRPr="009E7CD0">
        <w:rPr>
          <w:rFonts w:cs="Arial"/>
          <w:sz w:val="23"/>
          <w:szCs w:val="23"/>
        </w:rPr>
        <w:t xml:space="preserve"> </w:t>
      </w:r>
      <w:r w:rsidR="008A2BF3" w:rsidRPr="009E7CD0">
        <w:rPr>
          <w:rFonts w:cs="Arial"/>
          <w:sz w:val="23"/>
          <w:szCs w:val="23"/>
        </w:rPr>
        <w:t>within I</w:t>
      </w:r>
      <w:r w:rsidR="00B97CAA" w:rsidRPr="009E7CD0">
        <w:rPr>
          <w:rFonts w:cs="Arial"/>
          <w:sz w:val="23"/>
          <w:szCs w:val="23"/>
        </w:rPr>
        <w:t>ndigenous contexts.</w:t>
      </w:r>
      <w:r w:rsidR="000400C0" w:rsidRPr="009E7CD0">
        <w:rPr>
          <w:rFonts w:cs="Arial"/>
          <w:sz w:val="23"/>
          <w:szCs w:val="23"/>
        </w:rPr>
        <w:t xml:space="preserve"> </w:t>
      </w:r>
      <w:r w:rsidR="00E37473" w:rsidRPr="009E7CD0">
        <w:rPr>
          <w:rFonts w:cs="Arial"/>
          <w:sz w:val="23"/>
          <w:szCs w:val="23"/>
        </w:rPr>
        <w:t>This paper</w:t>
      </w:r>
      <w:r w:rsidR="00DE3E8E" w:rsidRPr="009E7CD0">
        <w:rPr>
          <w:rFonts w:cs="Arial"/>
          <w:sz w:val="23"/>
          <w:szCs w:val="23"/>
        </w:rPr>
        <w:t xml:space="preserve"> begin</w:t>
      </w:r>
      <w:r w:rsidR="00E37473" w:rsidRPr="009E7CD0">
        <w:rPr>
          <w:rFonts w:cs="Arial"/>
          <w:sz w:val="23"/>
          <w:szCs w:val="23"/>
        </w:rPr>
        <w:t>s by placing cultural safety</w:t>
      </w:r>
      <w:r w:rsidR="00DE3E8E" w:rsidRPr="009E7CD0">
        <w:rPr>
          <w:rFonts w:cs="Arial"/>
          <w:sz w:val="23"/>
          <w:szCs w:val="23"/>
        </w:rPr>
        <w:t xml:space="preserve"> in its historic context, explaining</w:t>
      </w:r>
      <w:r w:rsidR="00F1280E" w:rsidRPr="009E7CD0">
        <w:rPr>
          <w:rFonts w:cs="Arial"/>
          <w:sz w:val="23"/>
          <w:szCs w:val="23"/>
        </w:rPr>
        <w:t xml:space="preserve"> t</w:t>
      </w:r>
      <w:r w:rsidR="00E37473" w:rsidRPr="009E7CD0">
        <w:rPr>
          <w:rFonts w:cs="Arial"/>
          <w:sz w:val="23"/>
          <w:szCs w:val="23"/>
        </w:rPr>
        <w:t xml:space="preserve">he </w:t>
      </w:r>
      <w:r w:rsidR="00DE3E8E" w:rsidRPr="009E7CD0">
        <w:rPr>
          <w:rFonts w:cs="Arial"/>
          <w:sz w:val="23"/>
          <w:szCs w:val="23"/>
        </w:rPr>
        <w:t>origins of the term. A brief consideration of what is meant by ‘cultural competence’ follows, with conside</w:t>
      </w:r>
      <w:r w:rsidR="00032299" w:rsidRPr="009E7CD0">
        <w:rPr>
          <w:rFonts w:cs="Arial"/>
          <w:sz w:val="23"/>
          <w:szCs w:val="23"/>
        </w:rPr>
        <w:t>ration given to the debate on</w:t>
      </w:r>
      <w:r w:rsidR="00DE3E8E" w:rsidRPr="009E7CD0">
        <w:rPr>
          <w:rFonts w:cs="Arial"/>
          <w:sz w:val="23"/>
          <w:szCs w:val="23"/>
        </w:rPr>
        <w:t xml:space="preserve"> whether or not cultural safety and cultural competence can be </w:t>
      </w:r>
      <w:r w:rsidR="00FB64C9" w:rsidRPr="009E7CD0">
        <w:rPr>
          <w:rFonts w:cs="Arial"/>
          <w:sz w:val="23"/>
          <w:szCs w:val="23"/>
        </w:rPr>
        <w:t xml:space="preserve">thought of as </w:t>
      </w:r>
      <w:r w:rsidR="00E37473" w:rsidRPr="009E7CD0">
        <w:rPr>
          <w:rFonts w:cs="Arial"/>
          <w:sz w:val="23"/>
          <w:szCs w:val="23"/>
        </w:rPr>
        <w:t>complementary</w:t>
      </w:r>
      <w:r w:rsidR="00FB64C9" w:rsidRPr="009E7CD0">
        <w:rPr>
          <w:rFonts w:cs="Arial"/>
          <w:sz w:val="23"/>
          <w:szCs w:val="23"/>
        </w:rPr>
        <w:t xml:space="preserve"> perspectives. Current uses of </w:t>
      </w:r>
      <w:r w:rsidR="00043AB4" w:rsidRPr="009E7CD0">
        <w:rPr>
          <w:rFonts w:cs="Arial"/>
          <w:sz w:val="23"/>
          <w:szCs w:val="23"/>
        </w:rPr>
        <w:t xml:space="preserve">the concept of </w:t>
      </w:r>
      <w:r w:rsidR="00FB64C9" w:rsidRPr="009E7CD0">
        <w:rPr>
          <w:rFonts w:cs="Arial"/>
          <w:sz w:val="23"/>
          <w:szCs w:val="23"/>
        </w:rPr>
        <w:t>cu</w:t>
      </w:r>
      <w:r w:rsidR="00C22140" w:rsidRPr="009E7CD0">
        <w:rPr>
          <w:rFonts w:cs="Arial"/>
          <w:sz w:val="23"/>
          <w:szCs w:val="23"/>
        </w:rPr>
        <w:t xml:space="preserve">ltural safety in </w:t>
      </w:r>
      <w:r w:rsidR="00FB64C9" w:rsidRPr="009E7CD0">
        <w:rPr>
          <w:rFonts w:cs="Arial"/>
          <w:sz w:val="23"/>
          <w:szCs w:val="23"/>
        </w:rPr>
        <w:t xml:space="preserve">literature about Aboriginal and Torres Strait Islander </w:t>
      </w:r>
      <w:r w:rsidR="00F60E47" w:rsidRPr="009E7CD0">
        <w:rPr>
          <w:rFonts w:cs="Arial"/>
          <w:sz w:val="23"/>
          <w:szCs w:val="23"/>
        </w:rPr>
        <w:t>communities are</w:t>
      </w:r>
      <w:r w:rsidR="000143D7" w:rsidRPr="009E7CD0">
        <w:rPr>
          <w:rFonts w:cs="Arial"/>
          <w:sz w:val="23"/>
          <w:szCs w:val="23"/>
        </w:rPr>
        <w:t xml:space="preserve"> </w:t>
      </w:r>
      <w:r w:rsidR="00FB64C9" w:rsidRPr="009E7CD0">
        <w:rPr>
          <w:rFonts w:cs="Arial"/>
          <w:sz w:val="23"/>
          <w:szCs w:val="23"/>
        </w:rPr>
        <w:t>discussed</w:t>
      </w:r>
      <w:r w:rsidR="00802BFE" w:rsidRPr="009E7CD0">
        <w:rPr>
          <w:rFonts w:cs="Arial"/>
          <w:sz w:val="23"/>
          <w:szCs w:val="23"/>
        </w:rPr>
        <w:t>, with a focus</w:t>
      </w:r>
      <w:r w:rsidR="003456BB" w:rsidRPr="009E7CD0">
        <w:rPr>
          <w:rFonts w:cs="Arial"/>
          <w:sz w:val="23"/>
          <w:szCs w:val="23"/>
        </w:rPr>
        <w:t xml:space="preserve"> on</w:t>
      </w:r>
      <w:r w:rsidR="0073294C" w:rsidRPr="009E7CD0">
        <w:rPr>
          <w:rFonts w:cs="Arial"/>
          <w:sz w:val="23"/>
          <w:szCs w:val="23"/>
        </w:rPr>
        <w:t xml:space="preserve"> children and young people</w:t>
      </w:r>
      <w:r w:rsidR="003456BB" w:rsidRPr="009E7CD0">
        <w:rPr>
          <w:rFonts w:cs="Arial"/>
          <w:sz w:val="23"/>
          <w:szCs w:val="23"/>
        </w:rPr>
        <w:t xml:space="preserve"> in particular</w:t>
      </w:r>
      <w:r w:rsidR="00FB64C9" w:rsidRPr="009E7CD0">
        <w:rPr>
          <w:rFonts w:cs="Arial"/>
          <w:sz w:val="23"/>
          <w:szCs w:val="23"/>
        </w:rPr>
        <w:t>.</w:t>
      </w:r>
      <w:r w:rsidRPr="009E7CD0">
        <w:rPr>
          <w:rFonts w:cs="Arial"/>
          <w:sz w:val="23"/>
          <w:szCs w:val="23"/>
        </w:rPr>
        <w:t xml:space="preserve"> </w:t>
      </w:r>
      <w:r w:rsidR="00FB64C9" w:rsidRPr="009E7CD0">
        <w:rPr>
          <w:rFonts w:cs="Arial"/>
          <w:sz w:val="23"/>
          <w:szCs w:val="23"/>
        </w:rPr>
        <w:t xml:space="preserve"> </w:t>
      </w:r>
    </w:p>
    <w:p w:rsidR="00B64CBE" w:rsidRPr="000D1ABC" w:rsidRDefault="00043AB4" w:rsidP="000313B6">
      <w:pPr>
        <w:pStyle w:val="Heading1"/>
      </w:pPr>
      <w:r w:rsidRPr="000D1ABC">
        <w:t xml:space="preserve"> </w:t>
      </w:r>
      <w:r w:rsidR="00B11FBA" w:rsidRPr="000D1ABC">
        <w:t>The New Zealand origins of cultural safety</w:t>
      </w:r>
    </w:p>
    <w:p w:rsidR="003F7869" w:rsidRPr="009E7CD0" w:rsidRDefault="003979B9" w:rsidP="00CF2AB9">
      <w:pPr>
        <w:spacing w:before="0" w:after="180"/>
        <w:jc w:val="both"/>
        <w:rPr>
          <w:rFonts w:cs="Arial"/>
          <w:sz w:val="23"/>
          <w:szCs w:val="23"/>
        </w:rPr>
      </w:pPr>
      <w:r w:rsidRPr="009E7CD0">
        <w:rPr>
          <w:rFonts w:cs="Arial"/>
          <w:sz w:val="23"/>
          <w:szCs w:val="23"/>
        </w:rPr>
        <w:t>It is generally acknowledged that t</w:t>
      </w:r>
      <w:r w:rsidR="000D1ABC" w:rsidRPr="009E7CD0">
        <w:rPr>
          <w:rFonts w:cs="Arial"/>
          <w:sz w:val="23"/>
          <w:szCs w:val="23"/>
        </w:rPr>
        <w:t>he term cultural safety</w:t>
      </w:r>
      <w:r w:rsidR="00734FBA" w:rsidRPr="009E7CD0">
        <w:rPr>
          <w:rFonts w:cs="Arial"/>
          <w:sz w:val="23"/>
          <w:szCs w:val="23"/>
        </w:rPr>
        <w:t xml:space="preserve"> originated in New Zealand in the 1980s.</w:t>
      </w:r>
      <w:r w:rsidR="009B6127" w:rsidRPr="00154CC2">
        <w:rPr>
          <w:rStyle w:val="EndnoteReference"/>
          <w:rFonts w:cs="Arial"/>
          <w:szCs w:val="20"/>
        </w:rPr>
        <w:endnoteReference w:id="1"/>
      </w:r>
      <w:r w:rsidR="00734FBA" w:rsidRPr="009E7CD0">
        <w:rPr>
          <w:rFonts w:cs="Arial"/>
          <w:sz w:val="23"/>
          <w:szCs w:val="23"/>
        </w:rPr>
        <w:t xml:space="preserve"> The</w:t>
      </w:r>
      <w:r w:rsidR="00A90033" w:rsidRPr="009E7CD0">
        <w:rPr>
          <w:rFonts w:cs="Arial"/>
          <w:sz w:val="23"/>
          <w:szCs w:val="23"/>
        </w:rPr>
        <w:t xml:space="preserve"> concept was first proposed</w:t>
      </w:r>
      <w:r w:rsidR="00734FBA" w:rsidRPr="009E7CD0">
        <w:rPr>
          <w:rFonts w:cs="Arial"/>
          <w:sz w:val="23"/>
          <w:szCs w:val="23"/>
        </w:rPr>
        <w:t xml:space="preserve"> by Maori midwifery students in response to feeling </w:t>
      </w:r>
      <w:r w:rsidR="006A7F1E" w:rsidRPr="009E7CD0">
        <w:rPr>
          <w:rFonts w:cs="Arial"/>
          <w:sz w:val="23"/>
          <w:szCs w:val="23"/>
        </w:rPr>
        <w:t>unsafe within the</w:t>
      </w:r>
      <w:r w:rsidR="00734FBA" w:rsidRPr="009E7CD0">
        <w:rPr>
          <w:rFonts w:cs="Arial"/>
          <w:sz w:val="23"/>
          <w:szCs w:val="23"/>
        </w:rPr>
        <w:t xml:space="preserve"> predominantly Anglo </w:t>
      </w:r>
      <w:r w:rsidR="006A7F1E" w:rsidRPr="009E7CD0">
        <w:rPr>
          <w:rFonts w:cs="Arial"/>
          <w:sz w:val="23"/>
          <w:szCs w:val="23"/>
        </w:rPr>
        <w:t>(</w:t>
      </w:r>
      <w:r w:rsidR="009B6891" w:rsidRPr="009E7CD0">
        <w:rPr>
          <w:rFonts w:cs="Arial"/>
          <w:i/>
          <w:sz w:val="23"/>
          <w:szCs w:val="23"/>
        </w:rPr>
        <w:t>P</w:t>
      </w:r>
      <w:r w:rsidR="006A7F1E" w:rsidRPr="009E7CD0">
        <w:rPr>
          <w:rFonts w:cs="Arial"/>
          <w:i/>
          <w:sz w:val="23"/>
          <w:szCs w:val="23"/>
        </w:rPr>
        <w:t>akeha</w:t>
      </w:r>
      <w:r w:rsidR="006A7F1E" w:rsidRPr="009E7CD0">
        <w:rPr>
          <w:rFonts w:cs="Arial"/>
          <w:sz w:val="23"/>
          <w:szCs w:val="23"/>
        </w:rPr>
        <w:t xml:space="preserve">) </w:t>
      </w:r>
      <w:r w:rsidR="00734FBA" w:rsidRPr="009E7CD0">
        <w:rPr>
          <w:rFonts w:cs="Arial"/>
          <w:sz w:val="23"/>
          <w:szCs w:val="23"/>
        </w:rPr>
        <w:t xml:space="preserve">educational setting </w:t>
      </w:r>
      <w:r w:rsidR="006A7F1E" w:rsidRPr="009E7CD0">
        <w:rPr>
          <w:rFonts w:cs="Arial"/>
          <w:sz w:val="23"/>
          <w:szCs w:val="23"/>
        </w:rPr>
        <w:t>they were trained in. It was</w:t>
      </w:r>
      <w:r w:rsidR="00734FBA" w:rsidRPr="009E7CD0">
        <w:rPr>
          <w:rFonts w:cs="Arial"/>
          <w:sz w:val="23"/>
          <w:szCs w:val="23"/>
        </w:rPr>
        <w:t xml:space="preserve"> then further developed to provide an explanation </w:t>
      </w:r>
      <w:r w:rsidR="006A7F1E" w:rsidRPr="009E7CD0">
        <w:rPr>
          <w:rFonts w:cs="Arial"/>
          <w:sz w:val="23"/>
          <w:szCs w:val="23"/>
        </w:rPr>
        <w:t>for the poor uptake of health services by Maori in general. The writings of Indigenous scholar Irihapeti Ramsden</w:t>
      </w:r>
      <w:r w:rsidR="006443C3" w:rsidRPr="00154CC2">
        <w:rPr>
          <w:rStyle w:val="EndnoteReference"/>
          <w:rFonts w:cs="Arial"/>
          <w:szCs w:val="20"/>
        </w:rPr>
        <w:endnoteReference w:id="2"/>
      </w:r>
      <w:r w:rsidR="00AF4FB7" w:rsidRPr="009E7CD0">
        <w:rPr>
          <w:rFonts w:cs="Arial"/>
          <w:sz w:val="23"/>
          <w:szCs w:val="23"/>
        </w:rPr>
        <w:t xml:space="preserve"> </w:t>
      </w:r>
      <w:r w:rsidR="007454AA" w:rsidRPr="009E7CD0">
        <w:rPr>
          <w:rFonts w:cs="Arial"/>
          <w:sz w:val="23"/>
          <w:szCs w:val="23"/>
        </w:rPr>
        <w:t>have</w:t>
      </w:r>
      <w:r w:rsidR="006A7F1E" w:rsidRPr="009E7CD0">
        <w:rPr>
          <w:rFonts w:cs="Arial"/>
          <w:sz w:val="23"/>
          <w:szCs w:val="23"/>
        </w:rPr>
        <w:t xml:space="preserve"> been especially pivotal to the formation of this concept</w:t>
      </w:r>
      <w:r w:rsidR="00DA44BB" w:rsidRPr="009E7CD0">
        <w:rPr>
          <w:rFonts w:cs="Arial"/>
          <w:sz w:val="23"/>
          <w:szCs w:val="23"/>
        </w:rPr>
        <w:t>.</w:t>
      </w:r>
      <w:r w:rsidR="00DA44BB" w:rsidRPr="00154CC2">
        <w:rPr>
          <w:rStyle w:val="EndnoteReference"/>
          <w:rFonts w:cs="Arial"/>
          <w:szCs w:val="20"/>
        </w:rPr>
        <w:endnoteReference w:id="3"/>
      </w:r>
    </w:p>
    <w:p w:rsidR="009F52BA" w:rsidRDefault="009C0A2D" w:rsidP="00CF2AB9">
      <w:pPr>
        <w:spacing w:before="0" w:after="180"/>
        <w:jc w:val="both"/>
        <w:rPr>
          <w:rFonts w:cs="Arial"/>
          <w:sz w:val="23"/>
          <w:szCs w:val="23"/>
        </w:rPr>
        <w:sectPr w:rsidR="009F52BA" w:rsidSect="0005315D">
          <w:headerReference w:type="default" r:id="rId13"/>
          <w:footerReference w:type="default" r:id="rId14"/>
          <w:endnotePr>
            <w:numFmt w:val="decimal"/>
          </w:endnotePr>
          <w:pgSz w:w="11906" w:h="16838" w:code="9"/>
          <w:pgMar w:top="1134" w:right="1418" w:bottom="1418" w:left="1418" w:header="709" w:footer="709" w:gutter="0"/>
          <w:cols w:space="708"/>
          <w:titlePg/>
          <w:docGrid w:linePitch="360"/>
        </w:sectPr>
      </w:pPr>
      <w:r w:rsidRPr="009E7CD0">
        <w:rPr>
          <w:rFonts w:cs="Arial"/>
          <w:sz w:val="23"/>
          <w:szCs w:val="23"/>
        </w:rPr>
        <w:t>The implementation of principles of cultural safety (</w:t>
      </w:r>
      <w:r w:rsidRPr="009E7CD0">
        <w:rPr>
          <w:rFonts w:cs="Arial"/>
          <w:i/>
          <w:sz w:val="23"/>
          <w:szCs w:val="23"/>
        </w:rPr>
        <w:t>Kawa Whakaruruhau</w:t>
      </w:r>
      <w:r w:rsidRPr="009E7CD0">
        <w:rPr>
          <w:rFonts w:cs="Arial"/>
          <w:sz w:val="23"/>
          <w:szCs w:val="23"/>
        </w:rPr>
        <w:t xml:space="preserve"> </w:t>
      </w:r>
      <w:r w:rsidR="00B30913" w:rsidRPr="009E7CD0">
        <w:rPr>
          <w:rFonts w:cs="Arial"/>
          <w:sz w:val="23"/>
          <w:szCs w:val="23"/>
        </w:rPr>
        <w:t>in Maori) was primarily conceptualised as a way of</w:t>
      </w:r>
      <w:r w:rsidRPr="009E7CD0">
        <w:rPr>
          <w:rFonts w:cs="Arial"/>
          <w:sz w:val="23"/>
          <w:szCs w:val="23"/>
        </w:rPr>
        <w:t xml:space="preserve"> redress</w:t>
      </w:r>
      <w:r w:rsidR="00B30913" w:rsidRPr="009E7CD0">
        <w:rPr>
          <w:rFonts w:cs="Arial"/>
          <w:sz w:val="23"/>
          <w:szCs w:val="23"/>
        </w:rPr>
        <w:t>ing</w:t>
      </w:r>
      <w:r w:rsidRPr="009E7CD0">
        <w:rPr>
          <w:rFonts w:cs="Arial"/>
          <w:sz w:val="23"/>
          <w:szCs w:val="23"/>
        </w:rPr>
        <w:t xml:space="preserve"> Indigenous health inequities in New Zealand</w:t>
      </w:r>
      <w:r w:rsidR="005B7F1B" w:rsidRPr="009E7CD0">
        <w:rPr>
          <w:rFonts w:cs="Arial"/>
          <w:sz w:val="23"/>
          <w:szCs w:val="23"/>
        </w:rPr>
        <w:t xml:space="preserve">. Cultural safety was intended to </w:t>
      </w:r>
      <w:r w:rsidR="0058264C" w:rsidRPr="009E7CD0">
        <w:rPr>
          <w:rFonts w:cs="Arial"/>
          <w:sz w:val="23"/>
          <w:szCs w:val="23"/>
        </w:rPr>
        <w:t>reduce</w:t>
      </w:r>
      <w:r w:rsidR="00C67CC5" w:rsidRPr="009E7CD0">
        <w:rPr>
          <w:rFonts w:cs="Arial"/>
          <w:sz w:val="23"/>
          <w:szCs w:val="23"/>
        </w:rPr>
        <w:t xml:space="preserve"> alienation from existing health care services by ensuring</w:t>
      </w:r>
      <w:r w:rsidR="008C0F33" w:rsidRPr="009E7CD0">
        <w:rPr>
          <w:rFonts w:cs="Arial"/>
          <w:sz w:val="23"/>
          <w:szCs w:val="23"/>
        </w:rPr>
        <w:t xml:space="preserve"> </w:t>
      </w:r>
      <w:r w:rsidR="00C67CC5" w:rsidRPr="009E7CD0">
        <w:rPr>
          <w:rFonts w:cs="Arial"/>
          <w:sz w:val="23"/>
          <w:szCs w:val="23"/>
        </w:rPr>
        <w:t xml:space="preserve">that organisations in general, </w:t>
      </w:r>
      <w:r w:rsidR="00FC5E40" w:rsidRPr="009E7CD0">
        <w:rPr>
          <w:rFonts w:cs="Arial"/>
          <w:sz w:val="23"/>
          <w:szCs w:val="23"/>
        </w:rPr>
        <w:t>as well as individual employees:</w:t>
      </w:r>
      <w:r w:rsidR="0058264C" w:rsidRPr="009E7CD0">
        <w:rPr>
          <w:rFonts w:cs="Arial"/>
          <w:sz w:val="23"/>
          <w:szCs w:val="23"/>
        </w:rPr>
        <w:t xml:space="preserve"> </w:t>
      </w:r>
      <w:r w:rsidR="00FC5E40" w:rsidRPr="009E7CD0">
        <w:rPr>
          <w:rFonts w:cs="Arial"/>
          <w:sz w:val="23"/>
          <w:szCs w:val="23"/>
        </w:rPr>
        <w:t>understood</w:t>
      </w:r>
      <w:r w:rsidR="00C67CC5" w:rsidRPr="009E7CD0">
        <w:rPr>
          <w:rFonts w:cs="Arial"/>
          <w:sz w:val="23"/>
          <w:szCs w:val="23"/>
        </w:rPr>
        <w:t xml:space="preserve"> the broad contours of the history of colonial violence and dispossession producing </w:t>
      </w:r>
      <w:r w:rsidR="002336AA" w:rsidRPr="009E7CD0">
        <w:rPr>
          <w:rFonts w:cs="Arial"/>
          <w:sz w:val="23"/>
          <w:szCs w:val="23"/>
        </w:rPr>
        <w:t xml:space="preserve">health </w:t>
      </w:r>
      <w:r w:rsidR="00C67CC5" w:rsidRPr="009E7CD0">
        <w:rPr>
          <w:rFonts w:cs="Arial"/>
          <w:sz w:val="23"/>
          <w:szCs w:val="23"/>
        </w:rPr>
        <w:t>inequalities</w:t>
      </w:r>
      <w:r w:rsidR="00340FB0">
        <w:rPr>
          <w:rFonts w:cs="Arial"/>
          <w:sz w:val="23"/>
          <w:szCs w:val="23"/>
        </w:rPr>
        <w:t>;</w:t>
      </w:r>
      <w:r w:rsidR="00FC5E40" w:rsidRPr="009E7CD0">
        <w:rPr>
          <w:rFonts w:cs="Arial"/>
          <w:sz w:val="23"/>
          <w:szCs w:val="23"/>
        </w:rPr>
        <w:t xml:space="preserve"> </w:t>
      </w:r>
      <w:r w:rsidR="00C67CC5" w:rsidRPr="009E7CD0">
        <w:rPr>
          <w:rFonts w:cs="Arial"/>
          <w:sz w:val="23"/>
          <w:szCs w:val="23"/>
        </w:rPr>
        <w:t xml:space="preserve">and </w:t>
      </w:r>
      <w:r w:rsidR="002336AA" w:rsidRPr="009E7CD0">
        <w:rPr>
          <w:rFonts w:cs="Arial"/>
          <w:sz w:val="23"/>
          <w:szCs w:val="23"/>
        </w:rPr>
        <w:t xml:space="preserve">also </w:t>
      </w:r>
      <w:r w:rsidR="00FC5E40" w:rsidRPr="009E7CD0">
        <w:rPr>
          <w:rFonts w:cs="Arial"/>
          <w:sz w:val="23"/>
          <w:szCs w:val="23"/>
        </w:rPr>
        <w:t>undertook</w:t>
      </w:r>
      <w:r w:rsidR="00C67CC5" w:rsidRPr="009E7CD0">
        <w:rPr>
          <w:rFonts w:cs="Arial"/>
          <w:sz w:val="23"/>
          <w:szCs w:val="23"/>
        </w:rPr>
        <w:t xml:space="preserve"> to suspend their own ethnocentric views in favour of respecting </w:t>
      </w:r>
      <w:r w:rsidR="007811BC" w:rsidRPr="009E7CD0">
        <w:rPr>
          <w:rFonts w:cs="Arial"/>
          <w:sz w:val="23"/>
          <w:szCs w:val="23"/>
        </w:rPr>
        <w:t>alternative world</w:t>
      </w:r>
      <w:r w:rsidR="006B2FA3" w:rsidRPr="009E7CD0">
        <w:rPr>
          <w:rFonts w:cs="Arial"/>
          <w:sz w:val="23"/>
          <w:szCs w:val="23"/>
        </w:rPr>
        <w:t>views and cultural practices,</w:t>
      </w:r>
      <w:r w:rsidR="007811BC" w:rsidRPr="009E7CD0">
        <w:rPr>
          <w:rFonts w:cs="Arial"/>
          <w:sz w:val="23"/>
          <w:szCs w:val="23"/>
        </w:rPr>
        <w:t xml:space="preserve"> prioritising </w:t>
      </w:r>
      <w:r w:rsidR="00C67CC5" w:rsidRPr="009E7CD0">
        <w:rPr>
          <w:rFonts w:cs="Arial"/>
          <w:sz w:val="23"/>
          <w:szCs w:val="23"/>
        </w:rPr>
        <w:t>the needs and preferences of their clients</w:t>
      </w:r>
      <w:r w:rsidR="00FB200F" w:rsidRPr="009E7CD0">
        <w:rPr>
          <w:rFonts w:cs="Arial"/>
          <w:sz w:val="23"/>
          <w:szCs w:val="23"/>
        </w:rPr>
        <w:t>.</w:t>
      </w:r>
      <w:r w:rsidR="00723117" w:rsidRPr="00164C20">
        <w:rPr>
          <w:rStyle w:val="EndnoteReference"/>
          <w:rFonts w:cs="Arial"/>
          <w:szCs w:val="20"/>
        </w:rPr>
        <w:endnoteReference w:id="4"/>
      </w:r>
      <w:r w:rsidR="00255513" w:rsidRPr="009E7CD0">
        <w:rPr>
          <w:rFonts w:cs="Arial"/>
          <w:sz w:val="23"/>
          <w:szCs w:val="23"/>
        </w:rPr>
        <w:t xml:space="preserve"> </w:t>
      </w:r>
      <w:r w:rsidR="00602F59" w:rsidRPr="009E7CD0">
        <w:rPr>
          <w:rFonts w:cs="Arial"/>
          <w:sz w:val="23"/>
          <w:szCs w:val="23"/>
        </w:rPr>
        <w:t xml:space="preserve">A recognition of the power differentials inherent in service provider/client interactions remains a core component of the concept. </w:t>
      </w:r>
      <w:r w:rsidR="00850BA3" w:rsidRPr="009E7CD0">
        <w:rPr>
          <w:rFonts w:cs="Arial"/>
          <w:sz w:val="23"/>
          <w:szCs w:val="23"/>
        </w:rPr>
        <w:t>Since 1992</w:t>
      </w:r>
      <w:r w:rsidR="001B402A" w:rsidRPr="009E7CD0">
        <w:rPr>
          <w:rFonts w:cs="Arial"/>
          <w:sz w:val="23"/>
          <w:szCs w:val="23"/>
        </w:rPr>
        <w:t xml:space="preserve">, cultural safety has been integrated as a compulsory component of the New Zealand nursing curriculum. </w:t>
      </w:r>
    </w:p>
    <w:p w:rsidR="003F7869" w:rsidRPr="009E7CD0" w:rsidRDefault="0077779E" w:rsidP="00B31751">
      <w:pPr>
        <w:spacing w:before="0" w:after="180"/>
        <w:jc w:val="both"/>
        <w:rPr>
          <w:rFonts w:cs="Arial"/>
          <w:sz w:val="23"/>
          <w:szCs w:val="23"/>
        </w:rPr>
      </w:pPr>
      <w:r w:rsidRPr="009E7CD0">
        <w:rPr>
          <w:rFonts w:cs="Arial"/>
          <w:iCs/>
          <w:color w:val="000000"/>
          <w:sz w:val="23"/>
          <w:szCs w:val="23"/>
          <w:lang w:val="en"/>
        </w:rPr>
        <w:lastRenderedPageBreak/>
        <w:t xml:space="preserve">A range of terms </w:t>
      </w:r>
      <w:r w:rsidR="000E5E07" w:rsidRPr="009E7CD0">
        <w:rPr>
          <w:rFonts w:cs="Arial"/>
          <w:iCs/>
          <w:color w:val="000000"/>
          <w:sz w:val="23"/>
          <w:szCs w:val="23"/>
          <w:lang w:val="en"/>
        </w:rPr>
        <w:t>including the word ‘culture’ have been used to understand Maori health and to think about ways of tackling inequalities in access to health care and in service provision. These terms include cultural difference, cultural awareness, cultural sensitivity and biculturali</w:t>
      </w:r>
      <w:r w:rsidR="00B24C57" w:rsidRPr="009E7CD0">
        <w:rPr>
          <w:rFonts w:cs="Arial"/>
          <w:iCs/>
          <w:color w:val="000000"/>
          <w:sz w:val="23"/>
          <w:szCs w:val="23"/>
          <w:lang w:val="en"/>
        </w:rPr>
        <w:t>sm</w:t>
      </w:r>
      <w:r w:rsidR="00183D40" w:rsidRPr="009E7CD0">
        <w:rPr>
          <w:rFonts w:cs="Arial"/>
          <w:iCs/>
          <w:color w:val="000000"/>
          <w:sz w:val="23"/>
          <w:szCs w:val="23"/>
          <w:lang w:val="en"/>
        </w:rPr>
        <w:t xml:space="preserve"> (both Maori and </w:t>
      </w:r>
      <w:r w:rsidR="00183D40" w:rsidRPr="009E7CD0">
        <w:rPr>
          <w:rFonts w:cs="Arial"/>
          <w:i/>
          <w:iCs/>
          <w:color w:val="000000"/>
          <w:sz w:val="23"/>
          <w:szCs w:val="23"/>
          <w:lang w:val="en"/>
        </w:rPr>
        <w:t>Pakeha</w:t>
      </w:r>
      <w:r w:rsidR="00B661DA" w:rsidRPr="009E7CD0">
        <w:rPr>
          <w:rFonts w:cs="Arial"/>
          <w:i/>
          <w:iCs/>
          <w:color w:val="000000"/>
          <w:sz w:val="23"/>
          <w:szCs w:val="23"/>
          <w:lang w:val="en"/>
        </w:rPr>
        <w:t xml:space="preserve"> </w:t>
      </w:r>
      <w:r w:rsidR="00B661DA" w:rsidRPr="009E7CD0">
        <w:rPr>
          <w:rFonts w:cs="Arial"/>
          <w:iCs/>
          <w:color w:val="000000"/>
          <w:sz w:val="23"/>
          <w:szCs w:val="23"/>
          <w:lang w:val="en"/>
        </w:rPr>
        <w:t>contexts</w:t>
      </w:r>
      <w:r w:rsidR="00183D40" w:rsidRPr="009E7CD0">
        <w:rPr>
          <w:rFonts w:cs="Arial"/>
          <w:iCs/>
          <w:color w:val="000000"/>
          <w:sz w:val="23"/>
          <w:szCs w:val="23"/>
          <w:lang w:val="en"/>
        </w:rPr>
        <w:t>)</w:t>
      </w:r>
      <w:r w:rsidR="00B24C57" w:rsidRPr="009E7CD0">
        <w:rPr>
          <w:rFonts w:cs="Arial"/>
          <w:iCs/>
          <w:color w:val="000000"/>
          <w:sz w:val="23"/>
          <w:szCs w:val="23"/>
          <w:lang w:val="en"/>
        </w:rPr>
        <w:t>.</w:t>
      </w:r>
      <w:r w:rsidR="00183D40" w:rsidRPr="00164C20">
        <w:rPr>
          <w:rStyle w:val="EndnoteReference"/>
          <w:rFonts w:cs="Arial"/>
          <w:iCs/>
          <w:color w:val="000000"/>
          <w:szCs w:val="20"/>
          <w:lang w:val="en"/>
        </w:rPr>
        <w:endnoteReference w:id="5"/>
      </w:r>
      <w:r w:rsidR="00B24C57" w:rsidRPr="009E7CD0">
        <w:rPr>
          <w:rFonts w:cs="Arial"/>
          <w:iCs/>
          <w:color w:val="000000"/>
          <w:sz w:val="23"/>
          <w:szCs w:val="23"/>
          <w:lang w:val="en"/>
        </w:rPr>
        <w:t xml:space="preserve"> According to Ramsden</w:t>
      </w:r>
      <w:r w:rsidR="0086762B" w:rsidRPr="009E7CD0">
        <w:rPr>
          <w:rFonts w:cs="Arial"/>
          <w:iCs/>
          <w:color w:val="000000"/>
          <w:sz w:val="23"/>
          <w:szCs w:val="23"/>
          <w:lang w:val="en"/>
        </w:rPr>
        <w:t>, all of these terms are</w:t>
      </w:r>
      <w:r w:rsidR="000E5E07" w:rsidRPr="009E7CD0">
        <w:rPr>
          <w:rFonts w:cs="Arial"/>
          <w:iCs/>
          <w:color w:val="000000"/>
          <w:sz w:val="23"/>
          <w:szCs w:val="23"/>
          <w:lang w:val="en"/>
        </w:rPr>
        <w:t xml:space="preserve"> inadequate to the task of addressing the polit</w:t>
      </w:r>
      <w:r w:rsidR="00520867" w:rsidRPr="009E7CD0">
        <w:rPr>
          <w:rFonts w:cs="Arial"/>
          <w:iCs/>
          <w:color w:val="000000"/>
          <w:sz w:val="23"/>
          <w:szCs w:val="23"/>
          <w:lang w:val="en"/>
        </w:rPr>
        <w:t xml:space="preserve">ical context in which Maori </w:t>
      </w:r>
      <w:r w:rsidR="000E5E07" w:rsidRPr="009E7CD0">
        <w:rPr>
          <w:rFonts w:cs="Arial"/>
          <w:iCs/>
          <w:color w:val="000000"/>
          <w:sz w:val="23"/>
          <w:szCs w:val="23"/>
          <w:lang w:val="en"/>
        </w:rPr>
        <w:t>health</w:t>
      </w:r>
      <w:r w:rsidR="00520867" w:rsidRPr="009E7CD0">
        <w:rPr>
          <w:rFonts w:cs="Arial"/>
          <w:iCs/>
          <w:color w:val="000000"/>
          <w:sz w:val="23"/>
          <w:szCs w:val="23"/>
          <w:lang w:val="en"/>
        </w:rPr>
        <w:t>care</w:t>
      </w:r>
      <w:r w:rsidR="0086762B" w:rsidRPr="009E7CD0">
        <w:rPr>
          <w:rFonts w:cs="Arial"/>
          <w:iCs/>
          <w:color w:val="000000"/>
          <w:sz w:val="23"/>
          <w:szCs w:val="23"/>
          <w:lang w:val="en"/>
        </w:rPr>
        <w:t xml:space="preserve"> is situated</w:t>
      </w:r>
      <w:r w:rsidR="000E5E07" w:rsidRPr="009E7CD0">
        <w:rPr>
          <w:rFonts w:cs="Arial"/>
          <w:iCs/>
          <w:color w:val="000000"/>
          <w:sz w:val="23"/>
          <w:szCs w:val="23"/>
          <w:lang w:val="en"/>
        </w:rPr>
        <w:t>.</w:t>
      </w:r>
      <w:r w:rsidR="0051337D" w:rsidRPr="00164C20">
        <w:rPr>
          <w:rStyle w:val="EndnoteReference"/>
          <w:rFonts w:cs="Arial"/>
          <w:iCs/>
          <w:color w:val="000000"/>
          <w:szCs w:val="20"/>
          <w:lang w:val="en"/>
        </w:rPr>
        <w:endnoteReference w:id="6"/>
      </w:r>
      <w:r w:rsidR="00CF1A27" w:rsidRPr="009E7CD0">
        <w:rPr>
          <w:rFonts w:cs="Arial"/>
          <w:iCs/>
          <w:color w:val="000000"/>
          <w:sz w:val="23"/>
          <w:szCs w:val="23"/>
          <w:lang w:val="en"/>
        </w:rPr>
        <w:t xml:space="preserve"> </w:t>
      </w:r>
      <w:r w:rsidR="000E5E07" w:rsidRPr="009E7CD0">
        <w:rPr>
          <w:rFonts w:cs="Arial"/>
          <w:iCs/>
          <w:color w:val="000000"/>
          <w:sz w:val="23"/>
          <w:szCs w:val="23"/>
          <w:lang w:val="en"/>
        </w:rPr>
        <w:t>Cultural saf</w:t>
      </w:r>
      <w:r w:rsidR="00CF1A27" w:rsidRPr="009E7CD0">
        <w:rPr>
          <w:rFonts w:cs="Arial"/>
          <w:iCs/>
          <w:color w:val="000000"/>
          <w:sz w:val="23"/>
          <w:szCs w:val="23"/>
          <w:lang w:val="en"/>
        </w:rPr>
        <w:t>et</w:t>
      </w:r>
      <w:r w:rsidR="000E5E07" w:rsidRPr="009E7CD0">
        <w:rPr>
          <w:rFonts w:cs="Arial"/>
          <w:iCs/>
          <w:color w:val="000000"/>
          <w:sz w:val="23"/>
          <w:szCs w:val="23"/>
          <w:lang w:val="en"/>
        </w:rPr>
        <w:t>y was conceived as a way of</w:t>
      </w:r>
      <w:r w:rsidR="00CF1A27" w:rsidRPr="009E7CD0">
        <w:rPr>
          <w:rFonts w:cs="Arial"/>
          <w:iCs/>
          <w:color w:val="000000"/>
          <w:sz w:val="23"/>
          <w:szCs w:val="23"/>
          <w:lang w:val="en"/>
        </w:rPr>
        <w:t xml:space="preserve"> moving the conversation away from deficit-based discourses and the associated individualising</w:t>
      </w:r>
      <w:r w:rsidR="000E5E07" w:rsidRPr="009E7CD0">
        <w:rPr>
          <w:rFonts w:cs="Arial"/>
          <w:iCs/>
          <w:color w:val="000000"/>
          <w:sz w:val="23"/>
          <w:szCs w:val="23"/>
          <w:lang w:val="en"/>
        </w:rPr>
        <w:t xml:space="preserve"> </w:t>
      </w:r>
      <w:r w:rsidR="00B05E69" w:rsidRPr="009E7CD0">
        <w:rPr>
          <w:rFonts w:cs="Arial"/>
          <w:iCs/>
          <w:color w:val="000000"/>
          <w:sz w:val="23"/>
          <w:szCs w:val="23"/>
          <w:lang w:val="en"/>
        </w:rPr>
        <w:t>of health concerns toward</w:t>
      </w:r>
      <w:r w:rsidR="00CF1A27" w:rsidRPr="009E7CD0">
        <w:rPr>
          <w:rFonts w:cs="Arial"/>
          <w:iCs/>
          <w:color w:val="000000"/>
          <w:sz w:val="23"/>
          <w:szCs w:val="23"/>
          <w:lang w:val="en"/>
        </w:rPr>
        <w:t xml:space="preserve"> a recognition that processes of colonisation, including the loss or attenuation of traditional beliefs, practices and language, needed to be taken into account in any explanation o</w:t>
      </w:r>
      <w:r w:rsidR="00F10628" w:rsidRPr="009E7CD0">
        <w:rPr>
          <w:rFonts w:cs="Arial"/>
          <w:iCs/>
          <w:color w:val="000000"/>
          <w:sz w:val="23"/>
          <w:szCs w:val="23"/>
          <w:lang w:val="en"/>
        </w:rPr>
        <w:t xml:space="preserve">f, and attempt to improve, </w:t>
      </w:r>
      <w:r w:rsidR="00CF1A27" w:rsidRPr="009E7CD0">
        <w:rPr>
          <w:rFonts w:cs="Arial"/>
          <w:iCs/>
          <w:color w:val="000000"/>
          <w:sz w:val="23"/>
          <w:szCs w:val="23"/>
          <w:lang w:val="en"/>
        </w:rPr>
        <w:t>health outcomes for Indigenous peoples.</w:t>
      </w:r>
      <w:r w:rsidR="004D711E" w:rsidRPr="00164C20">
        <w:rPr>
          <w:rStyle w:val="EndnoteReference"/>
          <w:rFonts w:cs="Arial"/>
          <w:iCs/>
          <w:color w:val="000000"/>
          <w:szCs w:val="20"/>
          <w:lang w:val="en"/>
        </w:rPr>
        <w:endnoteReference w:id="7"/>
      </w:r>
    </w:p>
    <w:p w:rsidR="00410CA6" w:rsidRDefault="00410CA6" w:rsidP="00B31751">
      <w:pPr>
        <w:spacing w:before="0" w:after="180"/>
        <w:jc w:val="both"/>
        <w:rPr>
          <w:rFonts w:cs="Arial"/>
          <w:sz w:val="23"/>
          <w:szCs w:val="23"/>
        </w:rPr>
      </w:pPr>
      <w:r w:rsidRPr="009E7CD0">
        <w:rPr>
          <w:rFonts w:cs="Arial"/>
          <w:sz w:val="23"/>
          <w:szCs w:val="23"/>
        </w:rPr>
        <w:t>Cultural safety provides a framework for understanding how health policies and practices create situations of risk for Indigeno</w:t>
      </w:r>
      <w:r w:rsidR="008A2626" w:rsidRPr="009E7CD0">
        <w:rPr>
          <w:rFonts w:cs="Arial"/>
          <w:sz w:val="23"/>
          <w:szCs w:val="23"/>
        </w:rPr>
        <w:t>us peoples, in part because these policies and practices</w:t>
      </w:r>
      <w:r w:rsidRPr="009E7CD0">
        <w:rPr>
          <w:rFonts w:cs="Arial"/>
          <w:sz w:val="23"/>
          <w:szCs w:val="23"/>
        </w:rPr>
        <w:t xml:space="preserve"> do not respond adequately to intergenerational trauma. </w:t>
      </w:r>
      <w:r w:rsidR="001E3C51" w:rsidRPr="009E7CD0">
        <w:rPr>
          <w:rFonts w:cs="Arial"/>
          <w:sz w:val="23"/>
          <w:szCs w:val="23"/>
        </w:rPr>
        <w:t xml:space="preserve">This approach </w:t>
      </w:r>
      <w:r w:rsidR="00A93F8C" w:rsidRPr="009E7CD0">
        <w:rPr>
          <w:rFonts w:cs="Arial"/>
          <w:sz w:val="23"/>
          <w:szCs w:val="23"/>
        </w:rPr>
        <w:t xml:space="preserve">has </w:t>
      </w:r>
      <w:r w:rsidR="00EF2DB9" w:rsidRPr="009E7CD0">
        <w:rPr>
          <w:rFonts w:cs="Arial"/>
          <w:sz w:val="23"/>
          <w:szCs w:val="23"/>
        </w:rPr>
        <w:t xml:space="preserve">primarily </w:t>
      </w:r>
      <w:r w:rsidR="00A93F8C" w:rsidRPr="009E7CD0">
        <w:rPr>
          <w:rFonts w:cs="Arial"/>
          <w:sz w:val="23"/>
          <w:szCs w:val="23"/>
        </w:rPr>
        <w:t>been taken up</w:t>
      </w:r>
      <w:r w:rsidR="001E3C51" w:rsidRPr="009E7CD0">
        <w:rPr>
          <w:rFonts w:cs="Arial"/>
          <w:sz w:val="23"/>
          <w:szCs w:val="23"/>
        </w:rPr>
        <w:t xml:space="preserve"> in </w:t>
      </w:r>
      <w:r w:rsidR="00EF2DB9" w:rsidRPr="009E7CD0">
        <w:rPr>
          <w:rFonts w:cs="Arial"/>
          <w:sz w:val="23"/>
          <w:szCs w:val="23"/>
        </w:rPr>
        <w:t>countries,</w:t>
      </w:r>
      <w:r w:rsidR="001E3C51" w:rsidRPr="009E7CD0">
        <w:rPr>
          <w:rFonts w:cs="Arial"/>
          <w:sz w:val="23"/>
          <w:szCs w:val="23"/>
        </w:rPr>
        <w:t xml:space="preserve"> including Canada, </w:t>
      </w:r>
      <w:r w:rsidR="00EF2DB9" w:rsidRPr="009E7CD0">
        <w:rPr>
          <w:rFonts w:cs="Arial"/>
          <w:sz w:val="23"/>
          <w:szCs w:val="23"/>
        </w:rPr>
        <w:t>to address the inequalities experienced by ‘First Nations’ peoples</w:t>
      </w:r>
      <w:r w:rsidR="00A93F8C" w:rsidRPr="009E7CD0">
        <w:rPr>
          <w:rFonts w:cs="Arial"/>
          <w:sz w:val="23"/>
          <w:szCs w:val="23"/>
        </w:rPr>
        <w:t>.</w:t>
      </w:r>
      <w:r w:rsidR="00032179" w:rsidRPr="00164C20">
        <w:rPr>
          <w:rStyle w:val="EndnoteReference"/>
          <w:rFonts w:cs="Arial"/>
          <w:szCs w:val="20"/>
        </w:rPr>
        <w:endnoteReference w:id="8"/>
      </w:r>
      <w:r w:rsidRPr="009E7CD0">
        <w:rPr>
          <w:rFonts w:cs="Arial"/>
          <w:sz w:val="23"/>
          <w:szCs w:val="23"/>
        </w:rPr>
        <w:t xml:space="preserve"> </w:t>
      </w:r>
      <w:r w:rsidR="00EF2DB9" w:rsidRPr="009E7CD0">
        <w:rPr>
          <w:rFonts w:cs="Arial"/>
          <w:sz w:val="23"/>
          <w:szCs w:val="23"/>
        </w:rPr>
        <w:t xml:space="preserve">The concept of cultural safety has </w:t>
      </w:r>
      <w:r w:rsidR="006C5DF4" w:rsidRPr="009E7CD0">
        <w:rPr>
          <w:rFonts w:cs="Arial"/>
          <w:sz w:val="23"/>
          <w:szCs w:val="23"/>
        </w:rPr>
        <w:t>also been widely used in Australia, with Aboriginal and Torres Strait Islander scholars</w:t>
      </w:r>
      <w:r w:rsidR="007B7052" w:rsidRPr="009E7CD0">
        <w:rPr>
          <w:rFonts w:cs="Arial"/>
          <w:sz w:val="23"/>
          <w:szCs w:val="23"/>
        </w:rPr>
        <w:t xml:space="preserve"> adapting the concept to fit their</w:t>
      </w:r>
      <w:r w:rsidR="006C5DF4" w:rsidRPr="009E7CD0">
        <w:rPr>
          <w:rFonts w:cs="Arial"/>
          <w:sz w:val="23"/>
          <w:szCs w:val="23"/>
        </w:rPr>
        <w:t xml:space="preserve"> particular sociocultural and historical circumstances. </w:t>
      </w:r>
    </w:p>
    <w:p w:rsidR="00B2139D" w:rsidRPr="009E7CD0" w:rsidRDefault="00B2139D" w:rsidP="00B31751">
      <w:pPr>
        <w:spacing w:before="0" w:after="180"/>
        <w:jc w:val="both"/>
        <w:rPr>
          <w:rFonts w:cs="Arial"/>
          <w:sz w:val="23"/>
          <w:szCs w:val="23"/>
        </w:rPr>
      </w:pPr>
    </w:p>
    <w:tbl>
      <w:tblPr>
        <w:tblStyle w:val="TableGrid"/>
        <w:tblW w:w="9067" w:type="dxa"/>
        <w:tblLook w:val="04A0" w:firstRow="1" w:lastRow="0" w:firstColumn="1" w:lastColumn="0" w:noHBand="0" w:noVBand="1"/>
      </w:tblPr>
      <w:tblGrid>
        <w:gridCol w:w="9067"/>
      </w:tblGrid>
      <w:tr w:rsidR="003979B9" w:rsidTr="00BB703B">
        <w:trPr>
          <w:trHeight w:val="1698"/>
        </w:trPr>
        <w:tc>
          <w:tcPr>
            <w:tcW w:w="9067" w:type="dxa"/>
          </w:tcPr>
          <w:p w:rsidR="003979B9" w:rsidRPr="003979B9" w:rsidRDefault="003979B9" w:rsidP="00B31751">
            <w:pPr>
              <w:spacing w:before="0" w:after="180"/>
              <w:jc w:val="both"/>
              <w:rPr>
                <w:rFonts w:cs="Arial"/>
                <w:b/>
                <w:sz w:val="23"/>
                <w:szCs w:val="23"/>
              </w:rPr>
            </w:pPr>
            <w:r w:rsidRPr="003979B9">
              <w:rPr>
                <w:rFonts w:cs="Arial"/>
                <w:b/>
                <w:sz w:val="23"/>
                <w:szCs w:val="23"/>
              </w:rPr>
              <w:t>Summary</w:t>
            </w:r>
          </w:p>
          <w:p w:rsidR="00BB703B" w:rsidRPr="00FC3DDC" w:rsidRDefault="00BB703B" w:rsidP="00BB703B">
            <w:pPr>
              <w:pStyle w:val="ListParagraph"/>
              <w:numPr>
                <w:ilvl w:val="0"/>
                <w:numId w:val="33"/>
              </w:numPr>
              <w:spacing w:before="0"/>
              <w:jc w:val="both"/>
              <w:rPr>
                <w:rFonts w:cs="Arial"/>
                <w:sz w:val="23"/>
                <w:szCs w:val="23"/>
              </w:rPr>
            </w:pPr>
            <w:r>
              <w:rPr>
                <w:rFonts w:cs="Arial"/>
                <w:sz w:val="23"/>
                <w:szCs w:val="23"/>
              </w:rPr>
              <w:t>T</w:t>
            </w:r>
            <w:r w:rsidRPr="00FC3DDC">
              <w:rPr>
                <w:rFonts w:cs="Arial"/>
                <w:sz w:val="23"/>
                <w:szCs w:val="23"/>
              </w:rPr>
              <w:t>he concept of cultural safety originated in New Zealand in the 1980s as a way to redress Maori health inequities</w:t>
            </w:r>
            <w:r>
              <w:rPr>
                <w:rFonts w:cs="Arial"/>
                <w:sz w:val="23"/>
                <w:szCs w:val="23"/>
              </w:rPr>
              <w:t>.</w:t>
            </w:r>
          </w:p>
          <w:p w:rsidR="003979B9" w:rsidRPr="00BB703B" w:rsidRDefault="00BB703B" w:rsidP="00B31751">
            <w:pPr>
              <w:pStyle w:val="ListParagraph"/>
              <w:numPr>
                <w:ilvl w:val="0"/>
                <w:numId w:val="33"/>
              </w:numPr>
              <w:spacing w:before="0" w:after="180"/>
              <w:jc w:val="both"/>
              <w:rPr>
                <w:rFonts w:cs="Arial"/>
                <w:sz w:val="23"/>
                <w:szCs w:val="23"/>
              </w:rPr>
            </w:pPr>
            <w:r>
              <w:rPr>
                <w:rFonts w:cs="Arial"/>
                <w:sz w:val="23"/>
                <w:szCs w:val="23"/>
              </w:rPr>
              <w:t>A</w:t>
            </w:r>
            <w:r w:rsidRPr="00FC3DDC">
              <w:rPr>
                <w:rFonts w:cs="Arial"/>
                <w:sz w:val="23"/>
                <w:szCs w:val="23"/>
              </w:rPr>
              <w:t>cknowledging the negative and ongoing impacts of colonisation on Indigenous peoples</w:t>
            </w:r>
            <w:r>
              <w:rPr>
                <w:rFonts w:cs="Arial"/>
                <w:sz w:val="23"/>
                <w:szCs w:val="23"/>
              </w:rPr>
              <w:t xml:space="preserve"> is a central component of cultural safety</w:t>
            </w:r>
            <w:r w:rsidRPr="00FC3DDC">
              <w:rPr>
                <w:rFonts w:cs="Arial"/>
                <w:sz w:val="23"/>
                <w:szCs w:val="23"/>
              </w:rPr>
              <w:t xml:space="preserve">. </w:t>
            </w:r>
          </w:p>
        </w:tc>
      </w:tr>
    </w:tbl>
    <w:p w:rsidR="003979B9" w:rsidRDefault="003979B9" w:rsidP="00B31751">
      <w:pPr>
        <w:spacing w:before="0" w:after="180"/>
        <w:jc w:val="both"/>
        <w:rPr>
          <w:rFonts w:cs="Arial"/>
          <w:sz w:val="23"/>
          <w:szCs w:val="23"/>
        </w:rPr>
      </w:pPr>
    </w:p>
    <w:p w:rsidR="00B027A5" w:rsidRPr="00FC3DDC" w:rsidRDefault="00611A76" w:rsidP="000313B6">
      <w:pPr>
        <w:pStyle w:val="Heading1"/>
      </w:pPr>
      <w:r w:rsidRPr="00FC3DDC">
        <w:t xml:space="preserve">Cultural safety and </w:t>
      </w:r>
      <w:r w:rsidR="00B027A5" w:rsidRPr="00FC3DDC">
        <w:t>cultural competence</w:t>
      </w:r>
    </w:p>
    <w:p w:rsidR="00611A76" w:rsidRPr="00F255FB" w:rsidRDefault="00805CA1" w:rsidP="00B31751">
      <w:pPr>
        <w:spacing w:before="0" w:after="120"/>
        <w:jc w:val="both"/>
        <w:rPr>
          <w:rFonts w:cs="Arial"/>
          <w:sz w:val="23"/>
          <w:szCs w:val="23"/>
        </w:rPr>
      </w:pPr>
      <w:r w:rsidRPr="00F255FB">
        <w:rPr>
          <w:rFonts w:cs="Arial"/>
          <w:sz w:val="23"/>
          <w:szCs w:val="23"/>
        </w:rPr>
        <w:t>T</w:t>
      </w:r>
      <w:r w:rsidR="00DF0656" w:rsidRPr="00F255FB">
        <w:rPr>
          <w:rFonts w:cs="Arial"/>
          <w:sz w:val="23"/>
          <w:szCs w:val="23"/>
        </w:rPr>
        <w:t>he word ‘culture’ is used in diverse ways in policy</w:t>
      </w:r>
      <w:r w:rsidR="006551CD" w:rsidRPr="00F255FB">
        <w:rPr>
          <w:rFonts w:cs="Arial"/>
          <w:sz w:val="23"/>
          <w:szCs w:val="23"/>
        </w:rPr>
        <w:t>, service delivery</w:t>
      </w:r>
      <w:r w:rsidR="00DF0656" w:rsidRPr="00F255FB">
        <w:rPr>
          <w:rFonts w:cs="Arial"/>
          <w:sz w:val="23"/>
          <w:szCs w:val="23"/>
        </w:rPr>
        <w:t xml:space="preserve"> and organisational contexts. </w:t>
      </w:r>
      <w:r w:rsidR="00A763B9" w:rsidRPr="00F255FB">
        <w:rPr>
          <w:rFonts w:cs="Arial"/>
          <w:sz w:val="23"/>
          <w:szCs w:val="23"/>
        </w:rPr>
        <w:t xml:space="preserve">Ramsden </w:t>
      </w:r>
      <w:r w:rsidR="006551CD" w:rsidRPr="00F255FB">
        <w:rPr>
          <w:rFonts w:cs="Arial"/>
          <w:sz w:val="23"/>
          <w:szCs w:val="23"/>
        </w:rPr>
        <w:t>proposed a progression towards culturally safe practice in three steps:</w:t>
      </w:r>
    </w:p>
    <w:p w:rsidR="006551CD" w:rsidRPr="00F255FB" w:rsidRDefault="006551CD" w:rsidP="00CF2AB9">
      <w:pPr>
        <w:pStyle w:val="ListParagraph"/>
        <w:numPr>
          <w:ilvl w:val="0"/>
          <w:numId w:val="30"/>
        </w:numPr>
        <w:spacing w:before="0" w:after="0"/>
        <w:jc w:val="both"/>
        <w:rPr>
          <w:rFonts w:cs="Arial"/>
          <w:sz w:val="23"/>
          <w:szCs w:val="23"/>
        </w:rPr>
      </w:pPr>
      <w:r w:rsidRPr="00F255FB">
        <w:rPr>
          <w:rFonts w:cs="Arial"/>
          <w:sz w:val="23"/>
          <w:szCs w:val="23"/>
        </w:rPr>
        <w:t>cultural awareness, defined as understanding that difference</w:t>
      </w:r>
      <w:r w:rsidR="00392FA9" w:rsidRPr="00F255FB">
        <w:rPr>
          <w:rFonts w:cs="Arial"/>
          <w:sz w:val="23"/>
          <w:szCs w:val="23"/>
        </w:rPr>
        <w:t>s exist</w:t>
      </w:r>
    </w:p>
    <w:p w:rsidR="006551CD" w:rsidRPr="00F255FB" w:rsidRDefault="006551CD" w:rsidP="00CF2AB9">
      <w:pPr>
        <w:pStyle w:val="ListParagraph"/>
        <w:numPr>
          <w:ilvl w:val="0"/>
          <w:numId w:val="30"/>
        </w:numPr>
        <w:spacing w:before="0" w:after="0"/>
        <w:jc w:val="both"/>
        <w:rPr>
          <w:rFonts w:cs="Arial"/>
          <w:sz w:val="23"/>
          <w:szCs w:val="23"/>
        </w:rPr>
      </w:pPr>
      <w:r w:rsidRPr="00F255FB">
        <w:rPr>
          <w:rFonts w:cs="Arial"/>
          <w:sz w:val="23"/>
          <w:szCs w:val="23"/>
        </w:rPr>
        <w:t xml:space="preserve">cultural sensitivity, defined as </w:t>
      </w:r>
      <w:r w:rsidR="00392FA9" w:rsidRPr="00F255FB">
        <w:rPr>
          <w:rFonts w:cs="Arial"/>
          <w:sz w:val="23"/>
          <w:szCs w:val="23"/>
        </w:rPr>
        <w:t xml:space="preserve">accepting the legitimacy of difference </w:t>
      </w:r>
      <w:r w:rsidR="00D65098" w:rsidRPr="00F255FB">
        <w:rPr>
          <w:rFonts w:cs="Arial"/>
          <w:sz w:val="23"/>
          <w:szCs w:val="23"/>
        </w:rPr>
        <w:t>and reflecting</w:t>
      </w:r>
      <w:r w:rsidRPr="00F255FB">
        <w:rPr>
          <w:rFonts w:cs="Arial"/>
          <w:sz w:val="23"/>
          <w:szCs w:val="23"/>
        </w:rPr>
        <w:t xml:space="preserve"> on the </w:t>
      </w:r>
      <w:r w:rsidR="007F2566" w:rsidRPr="00F255FB">
        <w:rPr>
          <w:rFonts w:cs="Arial"/>
          <w:sz w:val="23"/>
          <w:szCs w:val="23"/>
        </w:rPr>
        <w:t xml:space="preserve">impact of the </w:t>
      </w:r>
      <w:r w:rsidRPr="00F255FB">
        <w:rPr>
          <w:rFonts w:cs="Arial"/>
          <w:sz w:val="23"/>
          <w:szCs w:val="23"/>
        </w:rPr>
        <w:t xml:space="preserve">service provider’s </w:t>
      </w:r>
      <w:r w:rsidR="00392FA9" w:rsidRPr="00F255FB">
        <w:rPr>
          <w:rFonts w:cs="Arial"/>
          <w:sz w:val="23"/>
          <w:szCs w:val="23"/>
        </w:rPr>
        <w:t xml:space="preserve">life experience and </w:t>
      </w:r>
      <w:r w:rsidRPr="00F255FB">
        <w:rPr>
          <w:rFonts w:cs="Arial"/>
          <w:sz w:val="23"/>
          <w:szCs w:val="23"/>
        </w:rPr>
        <w:t>positioning</w:t>
      </w:r>
      <w:r w:rsidR="00392FA9" w:rsidRPr="00F255FB">
        <w:rPr>
          <w:rFonts w:cs="Arial"/>
          <w:sz w:val="23"/>
          <w:szCs w:val="23"/>
        </w:rPr>
        <w:t xml:space="preserve"> on others</w:t>
      </w:r>
    </w:p>
    <w:p w:rsidR="00126221" w:rsidRPr="00F255FB" w:rsidRDefault="006551CD" w:rsidP="00CF2AB9">
      <w:pPr>
        <w:pStyle w:val="ListParagraph"/>
        <w:numPr>
          <w:ilvl w:val="0"/>
          <w:numId w:val="30"/>
        </w:numPr>
        <w:spacing w:before="0"/>
        <w:jc w:val="both"/>
        <w:rPr>
          <w:rFonts w:cs="Arial"/>
          <w:sz w:val="23"/>
          <w:szCs w:val="23"/>
        </w:rPr>
      </w:pPr>
      <w:r w:rsidRPr="00F255FB">
        <w:rPr>
          <w:rFonts w:cs="Arial"/>
          <w:sz w:val="23"/>
          <w:szCs w:val="23"/>
        </w:rPr>
        <w:t>cultural safety, as defined by recipients of care or services.</w:t>
      </w:r>
      <w:r w:rsidR="00BC2B5B" w:rsidRPr="00164C20">
        <w:rPr>
          <w:rStyle w:val="EndnoteReference"/>
          <w:rFonts w:cs="Arial"/>
          <w:szCs w:val="20"/>
        </w:rPr>
        <w:endnoteReference w:id="9"/>
      </w:r>
    </w:p>
    <w:p w:rsidR="00EF77B8" w:rsidRPr="00F255FB" w:rsidRDefault="00535F49" w:rsidP="00EF77B8">
      <w:pPr>
        <w:spacing w:before="0" w:after="180"/>
        <w:jc w:val="both"/>
        <w:rPr>
          <w:rFonts w:cs="Arial"/>
          <w:sz w:val="23"/>
          <w:szCs w:val="23"/>
        </w:rPr>
      </w:pPr>
      <w:r w:rsidRPr="00F255FB">
        <w:rPr>
          <w:rFonts w:cs="Arial"/>
          <w:sz w:val="23"/>
          <w:szCs w:val="23"/>
        </w:rPr>
        <w:t>T</w:t>
      </w:r>
      <w:r w:rsidR="00EF77B8" w:rsidRPr="00F255FB">
        <w:rPr>
          <w:rFonts w:cs="Arial"/>
          <w:sz w:val="23"/>
          <w:szCs w:val="23"/>
        </w:rPr>
        <w:t>his three-step model incorporates a number of different ‘culture’ terms w</w:t>
      </w:r>
      <w:r w:rsidRPr="00F255FB">
        <w:rPr>
          <w:rFonts w:cs="Arial"/>
          <w:sz w:val="23"/>
          <w:szCs w:val="23"/>
        </w:rPr>
        <w:t xml:space="preserve">ithin an overarching framework and suggests a degree of </w:t>
      </w:r>
      <w:r w:rsidR="00EF77B8" w:rsidRPr="00F255FB">
        <w:rPr>
          <w:rFonts w:cs="Arial"/>
          <w:sz w:val="23"/>
          <w:szCs w:val="23"/>
        </w:rPr>
        <w:t>co</w:t>
      </w:r>
      <w:r w:rsidRPr="00F255FB">
        <w:rPr>
          <w:rFonts w:cs="Arial"/>
          <w:sz w:val="23"/>
          <w:szCs w:val="23"/>
        </w:rPr>
        <w:t>mpatibility.</w:t>
      </w:r>
      <w:r w:rsidR="00EF77B8" w:rsidRPr="00F255FB">
        <w:rPr>
          <w:rFonts w:cs="Arial"/>
          <w:sz w:val="23"/>
          <w:szCs w:val="23"/>
        </w:rPr>
        <w:t xml:space="preserve"> </w:t>
      </w:r>
      <w:r w:rsidRPr="00F255FB">
        <w:rPr>
          <w:rFonts w:cs="Arial"/>
          <w:sz w:val="23"/>
          <w:szCs w:val="23"/>
        </w:rPr>
        <w:t xml:space="preserve">However, </w:t>
      </w:r>
      <w:r w:rsidR="00EF77B8" w:rsidRPr="00F255FB">
        <w:rPr>
          <w:rFonts w:cs="Arial"/>
          <w:sz w:val="23"/>
          <w:szCs w:val="23"/>
        </w:rPr>
        <w:t>other conceptualisations have emphasised the philosophical incompatibility of cultural safety with some of these other terms.</w:t>
      </w:r>
      <w:r w:rsidR="00EF77B8" w:rsidRPr="00164C20">
        <w:rPr>
          <w:rStyle w:val="EndnoteReference"/>
          <w:rFonts w:cs="Arial"/>
          <w:szCs w:val="20"/>
        </w:rPr>
        <w:endnoteReference w:id="10"/>
      </w:r>
      <w:r w:rsidR="00EF77B8" w:rsidRPr="00F255FB">
        <w:rPr>
          <w:rFonts w:cs="Arial"/>
          <w:sz w:val="23"/>
          <w:szCs w:val="23"/>
        </w:rPr>
        <w:t xml:space="preserve"> In particular, cultural safety is often contrasted (both negatively and positively) with cultural competence. </w:t>
      </w:r>
    </w:p>
    <w:p w:rsidR="00326B9D" w:rsidRPr="00F255FB" w:rsidRDefault="00326B9D" w:rsidP="00326B9D">
      <w:pPr>
        <w:spacing w:before="0" w:after="180"/>
        <w:jc w:val="both"/>
        <w:rPr>
          <w:rFonts w:cs="Arial"/>
          <w:sz w:val="23"/>
          <w:szCs w:val="23"/>
        </w:rPr>
      </w:pPr>
      <w:r w:rsidRPr="00F255FB">
        <w:rPr>
          <w:rFonts w:cs="Arial"/>
          <w:sz w:val="23"/>
          <w:szCs w:val="23"/>
        </w:rPr>
        <w:t>New Zealand proponents of the cultural safety movement have distanced themselves from cultural competence, a concept originally developed in the United States in the field of Transcultural Nursing.</w:t>
      </w:r>
      <w:r w:rsidRPr="00164C20">
        <w:rPr>
          <w:rStyle w:val="EndnoteReference"/>
          <w:rFonts w:cs="Arial"/>
          <w:szCs w:val="20"/>
        </w:rPr>
        <w:endnoteReference w:id="11"/>
      </w:r>
      <w:r w:rsidRPr="00F255FB">
        <w:rPr>
          <w:rFonts w:cs="Arial"/>
          <w:sz w:val="23"/>
          <w:szCs w:val="23"/>
        </w:rPr>
        <w:t xml:space="preserve"> </w:t>
      </w:r>
      <w:r w:rsidR="007D18FB" w:rsidRPr="00F255FB">
        <w:rPr>
          <w:rFonts w:cs="Arial"/>
          <w:sz w:val="23"/>
          <w:szCs w:val="23"/>
        </w:rPr>
        <w:t>Cultural competence has been defined as ‘the ability of systems to provide care to patients with diverse values, beliefs and behaviours, including tailoring delivery to meet patients’ social, cultural and linguistic needs’.</w:t>
      </w:r>
      <w:r w:rsidR="007D18FB" w:rsidRPr="00164C20">
        <w:rPr>
          <w:rStyle w:val="EndnoteReference"/>
          <w:rFonts w:cs="Arial"/>
          <w:szCs w:val="20"/>
        </w:rPr>
        <w:endnoteReference w:id="12"/>
      </w:r>
      <w:r w:rsidR="007D18FB" w:rsidRPr="00F255FB">
        <w:rPr>
          <w:rFonts w:cs="Arial"/>
          <w:sz w:val="23"/>
          <w:szCs w:val="23"/>
        </w:rPr>
        <w:t xml:space="preserve"> </w:t>
      </w:r>
      <w:r w:rsidRPr="00F255FB">
        <w:rPr>
          <w:rFonts w:cs="Arial"/>
          <w:sz w:val="23"/>
          <w:szCs w:val="23"/>
        </w:rPr>
        <w:t>Critics of cultural competence have argued that the concept is more suited to a</w:t>
      </w:r>
      <w:r w:rsidR="008C7A8A" w:rsidRPr="00F255FB">
        <w:rPr>
          <w:rFonts w:cs="Arial"/>
          <w:sz w:val="23"/>
          <w:szCs w:val="23"/>
        </w:rPr>
        <w:t xml:space="preserve"> multicultural context than an I</w:t>
      </w:r>
      <w:r w:rsidRPr="00F255FB">
        <w:rPr>
          <w:rFonts w:cs="Arial"/>
          <w:sz w:val="23"/>
          <w:szCs w:val="23"/>
        </w:rPr>
        <w:t>ndigenous one.</w:t>
      </w:r>
      <w:r w:rsidRPr="00164C20">
        <w:rPr>
          <w:rStyle w:val="EndnoteReference"/>
          <w:rFonts w:cs="Arial"/>
          <w:szCs w:val="20"/>
        </w:rPr>
        <w:endnoteReference w:id="13"/>
      </w:r>
      <w:r w:rsidRPr="00F255FB">
        <w:rPr>
          <w:rFonts w:cs="Arial"/>
          <w:sz w:val="23"/>
          <w:szCs w:val="23"/>
        </w:rPr>
        <w:t xml:space="preserve"> Others have gone further, s</w:t>
      </w:r>
      <w:r w:rsidR="007D18FB" w:rsidRPr="00F255FB">
        <w:rPr>
          <w:rFonts w:cs="Arial"/>
          <w:sz w:val="23"/>
          <w:szCs w:val="23"/>
        </w:rPr>
        <w:t>eeing cultural competence as a potentially</w:t>
      </w:r>
      <w:r w:rsidR="00CA286C" w:rsidRPr="00F255FB">
        <w:rPr>
          <w:rFonts w:cs="Arial"/>
          <w:sz w:val="23"/>
          <w:szCs w:val="23"/>
        </w:rPr>
        <w:t xml:space="preserve"> reductive </w:t>
      </w:r>
      <w:r w:rsidRPr="00F255FB">
        <w:rPr>
          <w:rFonts w:cs="Arial"/>
          <w:sz w:val="23"/>
          <w:szCs w:val="23"/>
        </w:rPr>
        <w:t xml:space="preserve">paradigm, focused on superficial understandings of cultural traditions rather </w:t>
      </w:r>
      <w:r w:rsidR="00CA286C" w:rsidRPr="00F255FB">
        <w:rPr>
          <w:rFonts w:cs="Arial"/>
          <w:sz w:val="23"/>
          <w:szCs w:val="23"/>
        </w:rPr>
        <w:t xml:space="preserve">than on an understanding of </w:t>
      </w:r>
      <w:r w:rsidR="008C7A8A" w:rsidRPr="00F255FB">
        <w:rPr>
          <w:rFonts w:cs="Arial"/>
          <w:sz w:val="23"/>
          <w:szCs w:val="23"/>
        </w:rPr>
        <w:t>the factors</w:t>
      </w:r>
      <w:r w:rsidR="00CA286C" w:rsidRPr="00F255FB">
        <w:rPr>
          <w:rFonts w:cs="Arial"/>
          <w:sz w:val="23"/>
          <w:szCs w:val="23"/>
        </w:rPr>
        <w:t xml:space="preserve"> that produce and maintain inequalities</w:t>
      </w:r>
      <w:r w:rsidRPr="00F255FB">
        <w:rPr>
          <w:rFonts w:cs="Arial"/>
          <w:sz w:val="23"/>
          <w:szCs w:val="23"/>
        </w:rPr>
        <w:t>.</w:t>
      </w:r>
      <w:r w:rsidRPr="00164C20">
        <w:rPr>
          <w:rStyle w:val="EndnoteReference"/>
          <w:rFonts w:cs="Arial"/>
          <w:szCs w:val="20"/>
        </w:rPr>
        <w:endnoteReference w:id="14"/>
      </w:r>
      <w:r w:rsidRPr="00F255FB">
        <w:rPr>
          <w:rFonts w:cs="Arial"/>
          <w:sz w:val="23"/>
          <w:szCs w:val="23"/>
        </w:rPr>
        <w:t xml:space="preserve"> </w:t>
      </w:r>
    </w:p>
    <w:p w:rsidR="001F1124" w:rsidRPr="001F1124" w:rsidRDefault="00002941" w:rsidP="00454C6E">
      <w:pPr>
        <w:spacing w:before="0"/>
        <w:jc w:val="center"/>
        <w:rPr>
          <w:rFonts w:cs="Arial"/>
        </w:rPr>
      </w:pPr>
      <w:r>
        <w:rPr>
          <w:rFonts w:cs="Arial"/>
          <w:noProof/>
        </w:rPr>
        <w:lastRenderedPageBreak/>
        <w:drawing>
          <wp:inline distT="0" distB="0" distL="0" distR="0">
            <wp:extent cx="4933950" cy="288607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7712C" w:rsidRDefault="00D7712C" w:rsidP="00454C6E">
      <w:pPr>
        <w:spacing w:before="0" w:after="180"/>
        <w:jc w:val="center"/>
        <w:rPr>
          <w:rFonts w:cs="Arial"/>
        </w:rPr>
      </w:pPr>
      <w:r w:rsidRPr="00FC3DDC">
        <w:rPr>
          <w:rFonts w:cs="Arial"/>
          <w:sz w:val="23"/>
          <w:szCs w:val="23"/>
        </w:rPr>
        <w:t>Figure 1. The process t</w:t>
      </w:r>
      <w:r w:rsidR="00A763B9" w:rsidRPr="00FC3DDC">
        <w:rPr>
          <w:rFonts w:cs="Arial"/>
          <w:sz w:val="23"/>
          <w:szCs w:val="23"/>
        </w:rPr>
        <w:t>oward achieving Cultural Safety</w:t>
      </w:r>
      <w:r w:rsidRPr="00FC3DDC">
        <w:rPr>
          <w:rFonts w:cs="Arial"/>
          <w:sz w:val="23"/>
          <w:szCs w:val="23"/>
        </w:rPr>
        <w:t>.</w:t>
      </w:r>
      <w:r w:rsidR="00A763B9">
        <w:rPr>
          <w:rStyle w:val="EndnoteReference"/>
          <w:rFonts w:cs="Arial"/>
        </w:rPr>
        <w:endnoteReference w:id="15"/>
      </w:r>
    </w:p>
    <w:p w:rsidR="00E47CAE" w:rsidRDefault="006E3FD1" w:rsidP="002A7840">
      <w:pPr>
        <w:spacing w:before="0" w:after="180"/>
        <w:jc w:val="both"/>
        <w:rPr>
          <w:rFonts w:cs="Arial"/>
          <w:sz w:val="23"/>
          <w:szCs w:val="23"/>
        </w:rPr>
      </w:pPr>
      <w:r w:rsidRPr="00F255FB">
        <w:rPr>
          <w:rFonts w:cs="Arial"/>
          <w:sz w:val="23"/>
          <w:szCs w:val="23"/>
          <w:lang w:val="en"/>
        </w:rPr>
        <w:t>In practice, however, cultural safety and cultural competence are often blended together as complementary approaches. Cultural competence has been expanded to include elements originally associated with cultural safety, such as considering how one’s own cultural positioning impacts on service provision and acknowledging the negative impacts of colonial history, including dispossession and institution</w:t>
      </w:r>
      <w:r w:rsidR="00861DE5" w:rsidRPr="00F255FB">
        <w:rPr>
          <w:rFonts w:cs="Arial"/>
          <w:sz w:val="23"/>
          <w:szCs w:val="23"/>
          <w:lang w:val="en"/>
        </w:rPr>
        <w:t xml:space="preserve">alisation. </w:t>
      </w:r>
      <w:r w:rsidR="00E973F4" w:rsidRPr="00F255FB">
        <w:rPr>
          <w:rFonts w:cs="Arial"/>
          <w:sz w:val="23"/>
          <w:szCs w:val="23"/>
          <w:lang w:val="en"/>
        </w:rPr>
        <w:t xml:space="preserve">Ruth </w:t>
      </w:r>
      <w:r w:rsidR="00861DE5" w:rsidRPr="00F255FB">
        <w:rPr>
          <w:rFonts w:cs="Arial"/>
          <w:sz w:val="23"/>
          <w:szCs w:val="23"/>
          <w:lang w:val="en"/>
        </w:rPr>
        <w:t>DeSouza</w:t>
      </w:r>
      <w:r w:rsidR="00041EEF" w:rsidRPr="00F255FB">
        <w:rPr>
          <w:rFonts w:cs="Arial"/>
          <w:sz w:val="23"/>
          <w:szCs w:val="23"/>
          <w:lang w:val="en"/>
        </w:rPr>
        <w:t>, a New Zeala</w:t>
      </w:r>
      <w:r w:rsidR="00E47CAE" w:rsidRPr="00F255FB">
        <w:rPr>
          <w:rFonts w:cs="Arial"/>
          <w:sz w:val="23"/>
          <w:szCs w:val="23"/>
          <w:lang w:val="en"/>
        </w:rPr>
        <w:t>nd nursing clinician and educator</w:t>
      </w:r>
      <w:r w:rsidR="00041EEF" w:rsidRPr="00F255FB">
        <w:rPr>
          <w:rFonts w:cs="Arial"/>
          <w:sz w:val="23"/>
          <w:szCs w:val="23"/>
          <w:lang w:val="en"/>
        </w:rPr>
        <w:t>,</w:t>
      </w:r>
      <w:r w:rsidRPr="00F255FB">
        <w:rPr>
          <w:rFonts w:cs="Arial"/>
          <w:sz w:val="23"/>
          <w:szCs w:val="23"/>
          <w:lang w:val="en"/>
        </w:rPr>
        <w:t xml:space="preserve"> has made a case that both ‘</w:t>
      </w:r>
      <w:r w:rsidRPr="00F255FB">
        <w:rPr>
          <w:rFonts w:cs="Arial"/>
          <w:sz w:val="23"/>
          <w:szCs w:val="23"/>
        </w:rPr>
        <w:t>paradigms have value in providing practical and theoretical mechanisms for enhancing and advancing the wellbeing of communities’.</w:t>
      </w:r>
      <w:r w:rsidR="00C36BDE" w:rsidRPr="00164C20">
        <w:rPr>
          <w:rStyle w:val="EndnoteReference"/>
          <w:rFonts w:cs="Arial"/>
          <w:szCs w:val="20"/>
        </w:rPr>
        <w:endnoteReference w:id="16"/>
      </w:r>
      <w:r w:rsidRPr="00F255FB">
        <w:rPr>
          <w:rFonts w:cs="Arial"/>
          <w:sz w:val="23"/>
          <w:szCs w:val="23"/>
        </w:rPr>
        <w:t xml:space="preserve"> We now </w:t>
      </w:r>
      <w:r w:rsidR="00E973F4" w:rsidRPr="00F255FB">
        <w:rPr>
          <w:rFonts w:cs="Arial"/>
          <w:sz w:val="23"/>
          <w:szCs w:val="23"/>
        </w:rPr>
        <w:t xml:space="preserve">frequently </w:t>
      </w:r>
      <w:r w:rsidRPr="00F255FB">
        <w:rPr>
          <w:rFonts w:cs="Arial"/>
          <w:sz w:val="23"/>
          <w:szCs w:val="23"/>
        </w:rPr>
        <w:t>see work in the field of cultural competence that incorporates aspects of the social justice perspective that originally defined cultural safety</w:t>
      </w:r>
      <w:r w:rsidR="00B332DD" w:rsidRPr="00F255FB">
        <w:rPr>
          <w:rFonts w:cs="Arial"/>
          <w:sz w:val="23"/>
          <w:szCs w:val="23"/>
        </w:rPr>
        <w:t>.</w:t>
      </w:r>
    </w:p>
    <w:p w:rsidR="00B2139D" w:rsidRPr="00F255FB" w:rsidRDefault="00B2139D" w:rsidP="002A7840">
      <w:pPr>
        <w:spacing w:before="0" w:after="180"/>
        <w:jc w:val="both"/>
        <w:rPr>
          <w:rFonts w:cs="Arial"/>
          <w:sz w:val="23"/>
          <w:szCs w:val="23"/>
        </w:rPr>
      </w:pPr>
    </w:p>
    <w:tbl>
      <w:tblPr>
        <w:tblStyle w:val="TableGrid"/>
        <w:tblW w:w="9067" w:type="dxa"/>
        <w:tblLook w:val="04A0" w:firstRow="1" w:lastRow="0" w:firstColumn="1" w:lastColumn="0" w:noHBand="0" w:noVBand="1"/>
      </w:tblPr>
      <w:tblGrid>
        <w:gridCol w:w="9067"/>
      </w:tblGrid>
      <w:tr w:rsidR="00E47CAE" w:rsidTr="00C977B9">
        <w:trPr>
          <w:trHeight w:val="1766"/>
        </w:trPr>
        <w:tc>
          <w:tcPr>
            <w:tcW w:w="9067" w:type="dxa"/>
          </w:tcPr>
          <w:p w:rsidR="00E47CAE" w:rsidRPr="00751319" w:rsidRDefault="00E47CAE" w:rsidP="002A7840">
            <w:pPr>
              <w:spacing w:before="0" w:after="180"/>
              <w:jc w:val="both"/>
              <w:rPr>
                <w:rFonts w:cs="Arial"/>
                <w:b/>
                <w:sz w:val="23"/>
                <w:szCs w:val="23"/>
              </w:rPr>
            </w:pPr>
            <w:r w:rsidRPr="00751319">
              <w:rPr>
                <w:rFonts w:cs="Arial"/>
                <w:b/>
                <w:sz w:val="23"/>
                <w:szCs w:val="23"/>
              </w:rPr>
              <w:t>Summary</w:t>
            </w:r>
          </w:p>
          <w:p w:rsidR="002E1DB6" w:rsidRDefault="002E1DB6" w:rsidP="00751319">
            <w:pPr>
              <w:pStyle w:val="ListParagraph"/>
              <w:numPr>
                <w:ilvl w:val="0"/>
                <w:numId w:val="43"/>
              </w:numPr>
              <w:spacing w:before="0" w:after="180"/>
              <w:jc w:val="both"/>
              <w:rPr>
                <w:rFonts w:cs="Arial"/>
                <w:sz w:val="23"/>
                <w:szCs w:val="23"/>
              </w:rPr>
            </w:pPr>
            <w:r>
              <w:rPr>
                <w:rFonts w:cs="Arial"/>
                <w:sz w:val="23"/>
                <w:szCs w:val="23"/>
              </w:rPr>
              <w:t xml:space="preserve">Cultural safety is </w:t>
            </w:r>
            <w:r w:rsidR="00196671">
              <w:rPr>
                <w:rFonts w:cs="Arial"/>
                <w:sz w:val="23"/>
                <w:szCs w:val="23"/>
              </w:rPr>
              <w:t>usually</w:t>
            </w:r>
            <w:r w:rsidR="005A0EC1">
              <w:rPr>
                <w:rFonts w:cs="Arial"/>
                <w:sz w:val="23"/>
                <w:szCs w:val="23"/>
              </w:rPr>
              <w:t xml:space="preserve"> </w:t>
            </w:r>
            <w:r>
              <w:rPr>
                <w:rFonts w:cs="Arial"/>
                <w:sz w:val="23"/>
                <w:szCs w:val="23"/>
              </w:rPr>
              <w:t xml:space="preserve">seen as encompassing </w:t>
            </w:r>
            <w:r w:rsidR="00000C25">
              <w:rPr>
                <w:rFonts w:cs="Arial"/>
                <w:sz w:val="23"/>
                <w:szCs w:val="23"/>
              </w:rPr>
              <w:t xml:space="preserve">both </w:t>
            </w:r>
            <w:r>
              <w:rPr>
                <w:rFonts w:cs="Arial"/>
                <w:sz w:val="23"/>
                <w:szCs w:val="23"/>
              </w:rPr>
              <w:t>cultural awareness and cultural sensitivity.</w:t>
            </w:r>
          </w:p>
          <w:p w:rsidR="00751319" w:rsidRDefault="00196671" w:rsidP="00751319">
            <w:pPr>
              <w:pStyle w:val="ListParagraph"/>
              <w:numPr>
                <w:ilvl w:val="0"/>
                <w:numId w:val="43"/>
              </w:numPr>
              <w:spacing w:before="0" w:after="180"/>
              <w:jc w:val="both"/>
              <w:rPr>
                <w:rFonts w:cs="Arial"/>
                <w:sz w:val="23"/>
                <w:szCs w:val="23"/>
              </w:rPr>
            </w:pPr>
            <w:r>
              <w:rPr>
                <w:rFonts w:cs="Arial"/>
                <w:sz w:val="23"/>
                <w:szCs w:val="23"/>
              </w:rPr>
              <w:t>Cultural safety is often</w:t>
            </w:r>
            <w:r w:rsidR="00751319">
              <w:rPr>
                <w:rFonts w:cs="Arial"/>
                <w:sz w:val="23"/>
                <w:szCs w:val="23"/>
              </w:rPr>
              <w:t xml:space="preserve"> contrasted with cultural competence, with some researchers arguing that cultural safety is a more robust term with a stronger focus on</w:t>
            </w:r>
            <w:r w:rsidR="00C366BE">
              <w:rPr>
                <w:rFonts w:cs="Arial"/>
                <w:sz w:val="23"/>
                <w:szCs w:val="23"/>
              </w:rPr>
              <w:t xml:space="preserve"> the causes of</w:t>
            </w:r>
            <w:r w:rsidR="00751319">
              <w:rPr>
                <w:rFonts w:cs="Arial"/>
                <w:sz w:val="23"/>
                <w:szCs w:val="23"/>
              </w:rPr>
              <w:t xml:space="preserve"> inequality.</w:t>
            </w:r>
          </w:p>
          <w:p w:rsidR="002E1DB6" w:rsidRPr="00751319" w:rsidRDefault="002E1DB6" w:rsidP="00751319">
            <w:pPr>
              <w:pStyle w:val="ListParagraph"/>
              <w:numPr>
                <w:ilvl w:val="0"/>
                <w:numId w:val="43"/>
              </w:numPr>
              <w:spacing w:before="0" w:after="180"/>
              <w:jc w:val="both"/>
              <w:rPr>
                <w:rFonts w:cs="Arial"/>
                <w:sz w:val="23"/>
                <w:szCs w:val="23"/>
              </w:rPr>
            </w:pPr>
            <w:r>
              <w:rPr>
                <w:rFonts w:cs="Arial"/>
                <w:sz w:val="23"/>
                <w:szCs w:val="23"/>
              </w:rPr>
              <w:t>In practice, cultural safety and cu</w:t>
            </w:r>
            <w:r w:rsidR="00BF0DA7">
              <w:rPr>
                <w:rFonts w:cs="Arial"/>
                <w:sz w:val="23"/>
                <w:szCs w:val="23"/>
              </w:rPr>
              <w:t>ltural competence are often treated</w:t>
            </w:r>
            <w:r>
              <w:rPr>
                <w:rFonts w:cs="Arial"/>
                <w:sz w:val="23"/>
                <w:szCs w:val="23"/>
              </w:rPr>
              <w:t xml:space="preserve"> as complementary</w:t>
            </w:r>
            <w:r w:rsidR="005A0EC1">
              <w:rPr>
                <w:rFonts w:cs="Arial"/>
                <w:sz w:val="23"/>
                <w:szCs w:val="23"/>
              </w:rPr>
              <w:t xml:space="preserve"> appr</w:t>
            </w:r>
            <w:r w:rsidR="00C366BE">
              <w:rPr>
                <w:rFonts w:cs="Arial"/>
                <w:sz w:val="23"/>
                <w:szCs w:val="23"/>
              </w:rPr>
              <w:t>o</w:t>
            </w:r>
            <w:r w:rsidR="005A0EC1">
              <w:rPr>
                <w:rFonts w:cs="Arial"/>
                <w:sz w:val="23"/>
                <w:szCs w:val="23"/>
              </w:rPr>
              <w:t>a</w:t>
            </w:r>
            <w:r w:rsidR="00C366BE">
              <w:rPr>
                <w:rFonts w:cs="Arial"/>
                <w:sz w:val="23"/>
                <w:szCs w:val="23"/>
              </w:rPr>
              <w:t>ches</w:t>
            </w:r>
            <w:r>
              <w:rPr>
                <w:rFonts w:cs="Arial"/>
                <w:sz w:val="23"/>
                <w:szCs w:val="23"/>
              </w:rPr>
              <w:t>.</w:t>
            </w:r>
          </w:p>
        </w:tc>
      </w:tr>
    </w:tbl>
    <w:p w:rsidR="008810AD" w:rsidRDefault="00B332DD" w:rsidP="002A7840">
      <w:pPr>
        <w:spacing w:before="0" w:after="180"/>
        <w:jc w:val="both"/>
        <w:rPr>
          <w:rFonts w:cs="Arial"/>
          <w:sz w:val="23"/>
          <w:szCs w:val="23"/>
        </w:rPr>
      </w:pPr>
      <w:r w:rsidRPr="003A2C9D">
        <w:rPr>
          <w:rFonts w:cs="Arial"/>
          <w:sz w:val="23"/>
          <w:szCs w:val="23"/>
        </w:rPr>
        <w:t xml:space="preserve"> </w:t>
      </w:r>
    </w:p>
    <w:p w:rsidR="00ED32BF" w:rsidRPr="003A2C9D" w:rsidRDefault="00FC0093" w:rsidP="000313B6">
      <w:pPr>
        <w:pStyle w:val="Heading1"/>
      </w:pPr>
      <w:r w:rsidRPr="003A2C9D">
        <w:t>Cultural safety for Aboriginal and Torres Strait Islander peoples</w:t>
      </w:r>
    </w:p>
    <w:p w:rsidR="00DD0387" w:rsidRDefault="003D3A81" w:rsidP="002A7840">
      <w:pPr>
        <w:spacing w:before="0" w:after="180"/>
        <w:jc w:val="both"/>
        <w:rPr>
          <w:rFonts w:cs="Arial"/>
          <w:sz w:val="23"/>
          <w:szCs w:val="23"/>
        </w:rPr>
      </w:pPr>
      <w:r w:rsidRPr="00F255FB">
        <w:rPr>
          <w:rFonts w:cs="Arial"/>
          <w:sz w:val="23"/>
          <w:szCs w:val="23"/>
        </w:rPr>
        <w:t>The value of a cultural safety framework has been increasingly recognised in Aust</w:t>
      </w:r>
      <w:r w:rsidR="0029418B" w:rsidRPr="00F255FB">
        <w:rPr>
          <w:rFonts w:cs="Arial"/>
          <w:sz w:val="23"/>
          <w:szCs w:val="23"/>
        </w:rPr>
        <w:t>ralia, especially by</w:t>
      </w:r>
      <w:r w:rsidRPr="00F255FB">
        <w:rPr>
          <w:rFonts w:cs="Arial"/>
          <w:sz w:val="23"/>
          <w:szCs w:val="23"/>
        </w:rPr>
        <w:t xml:space="preserve"> organisations that either represent </w:t>
      </w:r>
      <w:r w:rsidR="0088371E" w:rsidRPr="00F255FB">
        <w:rPr>
          <w:rFonts w:cs="Arial"/>
          <w:sz w:val="23"/>
          <w:szCs w:val="23"/>
        </w:rPr>
        <w:t>and/</w:t>
      </w:r>
      <w:r w:rsidRPr="00F255FB">
        <w:rPr>
          <w:rFonts w:cs="Arial"/>
          <w:sz w:val="23"/>
          <w:szCs w:val="23"/>
        </w:rPr>
        <w:t>or provide services to Aborig</w:t>
      </w:r>
      <w:r w:rsidR="0029418B" w:rsidRPr="00F255FB">
        <w:rPr>
          <w:rFonts w:cs="Arial"/>
          <w:sz w:val="23"/>
          <w:szCs w:val="23"/>
        </w:rPr>
        <w:t>inal and Torres Strait Islander peoples</w:t>
      </w:r>
      <w:r w:rsidRPr="00F255FB">
        <w:rPr>
          <w:rFonts w:cs="Arial"/>
          <w:sz w:val="23"/>
          <w:szCs w:val="23"/>
        </w:rPr>
        <w:t xml:space="preserve">. </w:t>
      </w:r>
      <w:r w:rsidR="00D27FF1" w:rsidRPr="00D27FF1">
        <w:rPr>
          <w:rFonts w:cs="Arial"/>
          <w:sz w:val="23"/>
          <w:szCs w:val="23"/>
        </w:rPr>
        <w:t xml:space="preserve">In his </w:t>
      </w:r>
      <w:r w:rsidR="00D27FF1" w:rsidRPr="00D27FF1">
        <w:rPr>
          <w:rFonts w:cs="Arial"/>
          <w:i/>
          <w:sz w:val="23"/>
          <w:szCs w:val="23"/>
        </w:rPr>
        <w:t>Native Title Report 2011</w:t>
      </w:r>
      <w:r w:rsidR="00D27FF1" w:rsidRPr="00D27FF1">
        <w:rPr>
          <w:rFonts w:cs="Arial"/>
          <w:sz w:val="23"/>
          <w:szCs w:val="23"/>
        </w:rPr>
        <w:t>, former Aboriginal and Torres Strait Islander Social Justice Commissioner, Mick Gooda, recommended: ‘That Aboriginal and Torres Strait Islander communities and their organisations work together to develop engagement and governance frameworks that promote cultural safety</w:t>
      </w:r>
      <w:r w:rsidR="00724376">
        <w:rPr>
          <w:rFonts w:cs="Arial"/>
          <w:sz w:val="23"/>
          <w:szCs w:val="23"/>
        </w:rPr>
        <w:t>’</w:t>
      </w:r>
      <w:r w:rsidR="00D27FF1" w:rsidRPr="00D27FF1">
        <w:rPr>
          <w:rFonts w:cs="Arial"/>
          <w:sz w:val="23"/>
          <w:szCs w:val="23"/>
        </w:rPr>
        <w:t xml:space="preserve"> </w:t>
      </w:r>
      <w:r w:rsidR="0093789D">
        <w:rPr>
          <w:rFonts w:cs="Arial"/>
          <w:sz w:val="23"/>
          <w:szCs w:val="23"/>
        </w:rPr>
        <w:t xml:space="preserve">thereby </w:t>
      </w:r>
      <w:r w:rsidR="00B16537">
        <w:rPr>
          <w:rFonts w:cs="Arial"/>
          <w:sz w:val="23"/>
          <w:szCs w:val="23"/>
        </w:rPr>
        <w:lastRenderedPageBreak/>
        <w:t>ensuring consistency</w:t>
      </w:r>
      <w:r w:rsidR="00D27FF1" w:rsidRPr="00D27FF1">
        <w:rPr>
          <w:rFonts w:cs="Arial"/>
          <w:sz w:val="23"/>
          <w:szCs w:val="23"/>
        </w:rPr>
        <w:t xml:space="preserve"> with the </w:t>
      </w:r>
      <w:r w:rsidR="00D27FF1" w:rsidRPr="00987104">
        <w:rPr>
          <w:rFonts w:cs="Arial"/>
          <w:sz w:val="23"/>
          <w:szCs w:val="23"/>
        </w:rPr>
        <w:t>United Nations</w:t>
      </w:r>
      <w:r w:rsidR="00D27FF1" w:rsidRPr="00D27FF1">
        <w:rPr>
          <w:rFonts w:cs="Arial"/>
          <w:i/>
          <w:sz w:val="23"/>
          <w:szCs w:val="23"/>
        </w:rPr>
        <w:t xml:space="preserve"> Declaration on the Rights of Indigenous Peoples</w:t>
      </w:r>
      <w:r w:rsidR="00724376">
        <w:rPr>
          <w:rFonts w:cs="Arial"/>
          <w:sz w:val="23"/>
          <w:szCs w:val="23"/>
        </w:rPr>
        <w:t xml:space="preserve"> (</w:t>
      </w:r>
      <w:r w:rsidR="00144AA9">
        <w:rPr>
          <w:rFonts w:cs="Arial"/>
          <w:sz w:val="23"/>
          <w:szCs w:val="23"/>
        </w:rPr>
        <w:t>the Declaration</w:t>
      </w:r>
      <w:r w:rsidR="00724376">
        <w:rPr>
          <w:rFonts w:cs="Arial"/>
          <w:sz w:val="23"/>
          <w:szCs w:val="23"/>
        </w:rPr>
        <w:t>)</w:t>
      </w:r>
      <w:r w:rsidR="00D27FF1" w:rsidRPr="00D27FF1">
        <w:rPr>
          <w:rFonts w:cs="Arial"/>
          <w:sz w:val="23"/>
          <w:szCs w:val="23"/>
        </w:rPr>
        <w:t>.</w:t>
      </w:r>
      <w:r w:rsidR="00F77994">
        <w:rPr>
          <w:rStyle w:val="EndnoteReference"/>
          <w:rFonts w:cs="Arial"/>
          <w:szCs w:val="23"/>
        </w:rPr>
        <w:endnoteReference w:id="17"/>
      </w:r>
      <w:r w:rsidR="003B7DB0">
        <w:rPr>
          <w:rFonts w:cs="Arial"/>
          <w:sz w:val="23"/>
          <w:szCs w:val="23"/>
        </w:rPr>
        <w:t xml:space="preserve"> </w:t>
      </w:r>
      <w:r w:rsidR="0093789D">
        <w:rPr>
          <w:rFonts w:cs="Arial"/>
          <w:sz w:val="23"/>
          <w:szCs w:val="23"/>
        </w:rPr>
        <w:t xml:space="preserve">The </w:t>
      </w:r>
      <w:r w:rsidR="00144AA9">
        <w:rPr>
          <w:rFonts w:cs="Arial"/>
          <w:sz w:val="23"/>
          <w:szCs w:val="23"/>
        </w:rPr>
        <w:t>Declaration</w:t>
      </w:r>
      <w:r w:rsidR="0093789D">
        <w:rPr>
          <w:rFonts w:cs="Arial"/>
          <w:sz w:val="23"/>
          <w:szCs w:val="23"/>
        </w:rPr>
        <w:t xml:space="preserve"> recognises the need to respect, promote</w:t>
      </w:r>
      <w:r w:rsidR="000446B5">
        <w:rPr>
          <w:rFonts w:cs="Arial"/>
          <w:sz w:val="23"/>
          <w:szCs w:val="23"/>
        </w:rPr>
        <w:t xml:space="preserve"> and strengthen I</w:t>
      </w:r>
      <w:r w:rsidR="0093789D">
        <w:rPr>
          <w:rFonts w:cs="Arial"/>
          <w:sz w:val="23"/>
          <w:szCs w:val="23"/>
        </w:rPr>
        <w:t>ndigenous cultures and traditions, including ‘the right not to be subjected to forced assimilation or destruction of their culture’</w:t>
      </w:r>
      <w:r w:rsidR="00144AA9">
        <w:rPr>
          <w:rStyle w:val="EndnoteReference"/>
          <w:rFonts w:cs="Arial"/>
          <w:szCs w:val="23"/>
        </w:rPr>
        <w:endnoteReference w:id="18"/>
      </w:r>
      <w:r w:rsidR="00C45137">
        <w:rPr>
          <w:rFonts w:cs="Arial"/>
          <w:sz w:val="23"/>
          <w:szCs w:val="23"/>
        </w:rPr>
        <w:t xml:space="preserve"> </w:t>
      </w:r>
      <w:r w:rsidR="008A01F9">
        <w:rPr>
          <w:rFonts w:cs="Arial"/>
          <w:sz w:val="23"/>
          <w:szCs w:val="23"/>
        </w:rPr>
        <w:t>and ‘the right to practice and revitalize their cultural traditions and customs’.</w:t>
      </w:r>
      <w:r w:rsidR="00C45137">
        <w:rPr>
          <w:rStyle w:val="EndnoteReference"/>
          <w:rFonts w:cs="Arial"/>
          <w:szCs w:val="23"/>
        </w:rPr>
        <w:endnoteReference w:id="19"/>
      </w:r>
    </w:p>
    <w:p w:rsidR="00AE4FE6" w:rsidRDefault="003D3A81" w:rsidP="002A7840">
      <w:pPr>
        <w:spacing w:before="0" w:after="180"/>
        <w:jc w:val="both"/>
        <w:rPr>
          <w:rFonts w:cs="Arial"/>
        </w:rPr>
      </w:pPr>
      <w:r w:rsidRPr="00F255FB">
        <w:rPr>
          <w:rFonts w:cs="Arial"/>
          <w:sz w:val="23"/>
          <w:szCs w:val="23"/>
        </w:rPr>
        <w:t xml:space="preserve">As is the case in New Zealand, in Australia cultural safety has been most extensively used in the health sector. </w:t>
      </w:r>
      <w:r w:rsidR="00AE4FE6" w:rsidRPr="00AE4FE6">
        <w:rPr>
          <w:rFonts w:cs="Arial"/>
          <w:sz w:val="23"/>
          <w:szCs w:val="23"/>
        </w:rPr>
        <w:t>Literature on the effects of intergenerational trauma on Aboriginal and Torres Strait Islander children and families has contributed to our understanding of the ongoing negati</w:t>
      </w:r>
      <w:r w:rsidR="00984DDB">
        <w:rPr>
          <w:rFonts w:cs="Arial"/>
          <w:sz w:val="23"/>
          <w:szCs w:val="23"/>
        </w:rPr>
        <w:t xml:space="preserve">ve impacts of previous </w:t>
      </w:r>
      <w:r w:rsidR="00AE4FE6" w:rsidRPr="00AE4FE6">
        <w:rPr>
          <w:rFonts w:cs="Arial"/>
          <w:sz w:val="23"/>
          <w:szCs w:val="23"/>
        </w:rPr>
        <w:t>policies and practices</w:t>
      </w:r>
      <w:r w:rsidR="00AE4FE6">
        <w:rPr>
          <w:rFonts w:cs="Arial"/>
          <w:sz w:val="23"/>
          <w:szCs w:val="23"/>
        </w:rPr>
        <w:t xml:space="preserve"> as well as the importance of trauma and healing informed practices</w:t>
      </w:r>
      <w:r w:rsidR="00AE4FE6" w:rsidRPr="00AE4FE6">
        <w:rPr>
          <w:rFonts w:cs="Arial"/>
          <w:sz w:val="23"/>
          <w:szCs w:val="23"/>
        </w:rPr>
        <w:t>. As the Bringing Them Home Report noted, ‘the actions of the past resonate in the present and will continue to do so in the future’.</w:t>
      </w:r>
      <w:r w:rsidR="00AE4FE6">
        <w:rPr>
          <w:rStyle w:val="EndnoteReference"/>
          <w:rFonts w:cs="Arial"/>
        </w:rPr>
        <w:endnoteReference w:id="20"/>
      </w:r>
      <w:r w:rsidR="00AE4FE6">
        <w:rPr>
          <w:rFonts w:cs="Arial"/>
        </w:rPr>
        <w:t xml:space="preserve"> </w:t>
      </w:r>
    </w:p>
    <w:p w:rsidR="00F800D8" w:rsidRPr="00F255FB" w:rsidRDefault="00B80F5B" w:rsidP="002A7840">
      <w:pPr>
        <w:spacing w:before="0" w:after="180"/>
        <w:jc w:val="both"/>
        <w:rPr>
          <w:rFonts w:cs="Arial"/>
          <w:sz w:val="23"/>
          <w:szCs w:val="23"/>
        </w:rPr>
      </w:pPr>
      <w:r w:rsidRPr="00F255FB">
        <w:rPr>
          <w:rFonts w:cs="Arial"/>
          <w:sz w:val="23"/>
          <w:szCs w:val="23"/>
        </w:rPr>
        <w:t>The Congress of Aboriginal and Torres Strait Islander Nurses and Midwives (CATSINaM), a national peak body founded in 1997, endorses cultural safety as an approach</w:t>
      </w:r>
      <w:r w:rsidR="00AE4FE6">
        <w:rPr>
          <w:rFonts w:cs="Arial"/>
          <w:sz w:val="23"/>
          <w:szCs w:val="23"/>
        </w:rPr>
        <w:t xml:space="preserve"> that </w:t>
      </w:r>
      <w:r w:rsidR="00F15708">
        <w:rPr>
          <w:rFonts w:cs="Arial"/>
          <w:sz w:val="23"/>
          <w:szCs w:val="23"/>
        </w:rPr>
        <w:t>aims to address</w:t>
      </w:r>
      <w:r w:rsidR="00AE4FE6">
        <w:rPr>
          <w:rFonts w:cs="Arial"/>
          <w:sz w:val="23"/>
          <w:szCs w:val="23"/>
        </w:rPr>
        <w:t xml:space="preserve"> these issues</w:t>
      </w:r>
      <w:r w:rsidRPr="00F255FB">
        <w:rPr>
          <w:rFonts w:cs="Arial"/>
          <w:sz w:val="23"/>
          <w:szCs w:val="23"/>
        </w:rPr>
        <w:t>.</w:t>
      </w:r>
      <w:r w:rsidR="00601228" w:rsidRPr="00F255FB">
        <w:rPr>
          <w:rFonts w:cs="Arial"/>
          <w:sz w:val="23"/>
          <w:szCs w:val="23"/>
        </w:rPr>
        <w:t xml:space="preserve"> Cultural safet</w:t>
      </w:r>
      <w:r w:rsidR="00200D02" w:rsidRPr="00F255FB">
        <w:rPr>
          <w:rFonts w:cs="Arial"/>
          <w:sz w:val="23"/>
          <w:szCs w:val="23"/>
        </w:rPr>
        <w:t>y is viewed by CATSINaM</w:t>
      </w:r>
      <w:r w:rsidR="00F800D8" w:rsidRPr="00F255FB">
        <w:rPr>
          <w:rFonts w:cs="Arial"/>
          <w:sz w:val="23"/>
          <w:szCs w:val="23"/>
        </w:rPr>
        <w:t xml:space="preserve"> ‘</w:t>
      </w:r>
      <w:r w:rsidR="00601228" w:rsidRPr="00F255FB">
        <w:rPr>
          <w:rFonts w:cs="Arial"/>
          <w:sz w:val="23"/>
          <w:szCs w:val="23"/>
        </w:rPr>
        <w:t>as the final step on a continuum of nursing and/or midwifery care that includes cultural awareness, cultural sensitivity, cultural knowledge, cultural respect and cultural competence’.</w:t>
      </w:r>
      <w:r w:rsidR="00BA24C7" w:rsidRPr="00164C20">
        <w:rPr>
          <w:rStyle w:val="EndnoteReference"/>
          <w:rFonts w:cs="Arial"/>
          <w:szCs w:val="20"/>
        </w:rPr>
        <w:endnoteReference w:id="21"/>
      </w:r>
      <w:r w:rsidR="00601228" w:rsidRPr="00F255FB">
        <w:rPr>
          <w:rFonts w:cs="Arial"/>
          <w:sz w:val="23"/>
          <w:szCs w:val="23"/>
        </w:rPr>
        <w:t xml:space="preserve"> </w:t>
      </w:r>
    </w:p>
    <w:p w:rsidR="006D397F" w:rsidRPr="00F255FB" w:rsidRDefault="00601228" w:rsidP="002A7840">
      <w:pPr>
        <w:spacing w:before="0" w:after="180"/>
        <w:jc w:val="both"/>
        <w:rPr>
          <w:rFonts w:cs="Arial"/>
          <w:sz w:val="23"/>
          <w:szCs w:val="23"/>
        </w:rPr>
      </w:pPr>
      <w:r w:rsidRPr="00F255FB">
        <w:rPr>
          <w:rFonts w:cs="Arial"/>
          <w:sz w:val="23"/>
          <w:szCs w:val="23"/>
        </w:rPr>
        <w:t xml:space="preserve">The Australian Indigenous Doctors’ Association (AIDA) also endorse cultural safety. </w:t>
      </w:r>
      <w:r w:rsidR="00464E66" w:rsidRPr="00F255FB">
        <w:rPr>
          <w:rFonts w:cs="Arial"/>
          <w:sz w:val="23"/>
          <w:szCs w:val="23"/>
        </w:rPr>
        <w:t>AIDA’s 2013 position paper on cultural safety adopts a hierarchical</w:t>
      </w:r>
      <w:r w:rsidR="00C32B65" w:rsidRPr="00F255FB">
        <w:rPr>
          <w:rFonts w:cs="Arial"/>
          <w:sz w:val="23"/>
          <w:szCs w:val="23"/>
        </w:rPr>
        <w:t xml:space="preserve"> model of cultural frameworks</w:t>
      </w:r>
      <w:r w:rsidR="00464E66" w:rsidRPr="00F255FB">
        <w:rPr>
          <w:rFonts w:cs="Arial"/>
          <w:sz w:val="23"/>
          <w:szCs w:val="23"/>
        </w:rPr>
        <w:t>, positioning cultural safety at the top of a continuum</w:t>
      </w:r>
      <w:r w:rsidR="00CC3B15" w:rsidRPr="00F255FB">
        <w:rPr>
          <w:rFonts w:cs="Arial"/>
          <w:sz w:val="23"/>
          <w:szCs w:val="23"/>
        </w:rPr>
        <w:t xml:space="preserve"> </w:t>
      </w:r>
      <w:r w:rsidR="00464E66" w:rsidRPr="00F255FB">
        <w:rPr>
          <w:rFonts w:cs="Arial"/>
          <w:sz w:val="23"/>
          <w:szCs w:val="23"/>
        </w:rPr>
        <w:t>with cultural awareness at the bottom.</w:t>
      </w:r>
      <w:r w:rsidR="00264C86" w:rsidRPr="00F255FB">
        <w:rPr>
          <w:rFonts w:cs="Arial"/>
          <w:sz w:val="23"/>
          <w:szCs w:val="23"/>
        </w:rPr>
        <w:t xml:space="preserve"> Their advocacy embraces the twin aims of </w:t>
      </w:r>
      <w:r w:rsidR="00464E66" w:rsidRPr="00F255FB">
        <w:rPr>
          <w:rFonts w:cs="Arial"/>
          <w:sz w:val="23"/>
          <w:szCs w:val="23"/>
        </w:rPr>
        <w:t xml:space="preserve">promoting </w:t>
      </w:r>
      <w:r w:rsidR="00264C86" w:rsidRPr="00F255FB">
        <w:rPr>
          <w:rFonts w:cs="Arial"/>
          <w:sz w:val="23"/>
          <w:szCs w:val="23"/>
        </w:rPr>
        <w:t xml:space="preserve">culturally safe learning environments for Aboriginal and </w:t>
      </w:r>
      <w:r w:rsidR="00C32B65" w:rsidRPr="00F255FB">
        <w:rPr>
          <w:rFonts w:cs="Arial"/>
          <w:sz w:val="23"/>
          <w:szCs w:val="23"/>
        </w:rPr>
        <w:t>Torres Strait Islander medical students and</w:t>
      </w:r>
      <w:r w:rsidR="00264C86" w:rsidRPr="00F255FB">
        <w:rPr>
          <w:rFonts w:cs="Arial"/>
          <w:sz w:val="23"/>
          <w:szCs w:val="23"/>
        </w:rPr>
        <w:t xml:space="preserve"> doctors</w:t>
      </w:r>
      <w:r w:rsidR="0029418B" w:rsidRPr="00F255FB">
        <w:rPr>
          <w:rFonts w:cs="Arial"/>
          <w:sz w:val="23"/>
          <w:szCs w:val="23"/>
        </w:rPr>
        <w:t xml:space="preserve">; and </w:t>
      </w:r>
      <w:r w:rsidR="00264C86" w:rsidRPr="00F255FB">
        <w:rPr>
          <w:rFonts w:cs="Arial"/>
          <w:sz w:val="23"/>
          <w:szCs w:val="23"/>
        </w:rPr>
        <w:t>culturally safe service delivery to patients.</w:t>
      </w:r>
      <w:r w:rsidR="006D397F" w:rsidRPr="00164C20">
        <w:rPr>
          <w:rStyle w:val="EndnoteReference"/>
          <w:rFonts w:cs="Arial"/>
          <w:szCs w:val="20"/>
        </w:rPr>
        <w:endnoteReference w:id="22"/>
      </w:r>
      <w:r w:rsidR="00B04854" w:rsidRPr="00F255FB">
        <w:rPr>
          <w:rFonts w:cs="Arial"/>
          <w:sz w:val="23"/>
          <w:szCs w:val="23"/>
        </w:rPr>
        <w:t xml:space="preserve"> </w:t>
      </w:r>
    </w:p>
    <w:p w:rsidR="003A016E" w:rsidRPr="00F255FB" w:rsidRDefault="008856DD" w:rsidP="002A7840">
      <w:pPr>
        <w:spacing w:before="0" w:after="180"/>
        <w:jc w:val="both"/>
        <w:rPr>
          <w:rFonts w:cs="Arial"/>
          <w:sz w:val="23"/>
          <w:szCs w:val="23"/>
        </w:rPr>
      </w:pPr>
      <w:r w:rsidRPr="00F255FB">
        <w:rPr>
          <w:rFonts w:cs="Arial"/>
          <w:sz w:val="23"/>
          <w:szCs w:val="23"/>
        </w:rPr>
        <w:t>The National Aboriginal and Torres Strait Islander Health Work</w:t>
      </w:r>
      <w:r w:rsidR="000752B5" w:rsidRPr="00F255FB">
        <w:rPr>
          <w:rFonts w:cs="Arial"/>
          <w:sz w:val="23"/>
          <w:szCs w:val="23"/>
        </w:rPr>
        <w:t xml:space="preserve">ers Association (NATSHIWA) </w:t>
      </w:r>
      <w:r w:rsidR="003A2C9D" w:rsidRPr="00F255FB">
        <w:rPr>
          <w:rFonts w:cs="Arial"/>
          <w:sz w:val="23"/>
          <w:szCs w:val="23"/>
        </w:rPr>
        <w:t xml:space="preserve">have </w:t>
      </w:r>
      <w:r w:rsidRPr="00F255FB">
        <w:rPr>
          <w:rFonts w:cs="Arial"/>
          <w:sz w:val="23"/>
          <w:szCs w:val="23"/>
        </w:rPr>
        <w:t>developed a cultural safety framework</w:t>
      </w:r>
      <w:r w:rsidR="003F25FE" w:rsidRPr="00F255FB">
        <w:rPr>
          <w:rFonts w:cs="Arial"/>
          <w:sz w:val="23"/>
          <w:szCs w:val="23"/>
        </w:rPr>
        <w:t>, comprising</w:t>
      </w:r>
      <w:r w:rsidR="003A2C9D" w:rsidRPr="00F255FB">
        <w:rPr>
          <w:rFonts w:cs="Arial"/>
          <w:sz w:val="23"/>
          <w:szCs w:val="23"/>
        </w:rPr>
        <w:t xml:space="preserve"> eight interrelated domains</w:t>
      </w:r>
      <w:r w:rsidRPr="00F255FB">
        <w:rPr>
          <w:rFonts w:cs="Arial"/>
          <w:sz w:val="23"/>
          <w:szCs w:val="23"/>
        </w:rPr>
        <w:t>.</w:t>
      </w:r>
      <w:r w:rsidR="001A7EBD" w:rsidRPr="00164C20">
        <w:rPr>
          <w:rStyle w:val="EndnoteReference"/>
          <w:rFonts w:cs="Arial"/>
          <w:szCs w:val="20"/>
        </w:rPr>
        <w:endnoteReference w:id="23"/>
      </w:r>
    </w:p>
    <w:p w:rsidR="00A30C75" w:rsidRDefault="000634B0" w:rsidP="00454C6E">
      <w:pPr>
        <w:spacing w:before="0" w:after="0"/>
        <w:jc w:val="center"/>
        <w:rPr>
          <w:rFonts w:cs="Arial"/>
        </w:rPr>
      </w:pPr>
      <w:r>
        <w:rPr>
          <w:rFonts w:cs="Arial"/>
          <w:noProof/>
        </w:rPr>
        <w:drawing>
          <wp:inline distT="0" distB="0" distL="0" distR="0">
            <wp:extent cx="2956005" cy="2686050"/>
            <wp:effectExtent l="0" t="0" r="0" b="0"/>
            <wp:docPr id="2" name="Picture 2" descr="\\fileshare\users\Rose.Lilley\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users\Rose.Lilley\Desktop\Capt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747" cy="2726706"/>
                    </a:xfrm>
                    <a:prstGeom prst="rect">
                      <a:avLst/>
                    </a:prstGeom>
                    <a:noFill/>
                    <a:ln>
                      <a:noFill/>
                    </a:ln>
                  </pic:spPr>
                </pic:pic>
              </a:graphicData>
            </a:graphic>
          </wp:inline>
        </w:drawing>
      </w:r>
    </w:p>
    <w:p w:rsidR="00C75E64" w:rsidRDefault="00C75E64" w:rsidP="00C75E64">
      <w:pPr>
        <w:spacing w:before="0" w:after="0"/>
        <w:jc w:val="both"/>
        <w:rPr>
          <w:rFonts w:cs="Arial"/>
          <w:sz w:val="23"/>
          <w:szCs w:val="23"/>
        </w:rPr>
      </w:pPr>
    </w:p>
    <w:p w:rsidR="000634B0" w:rsidRDefault="00C75E64" w:rsidP="00454C6E">
      <w:pPr>
        <w:spacing w:before="0" w:after="180"/>
        <w:jc w:val="center"/>
        <w:rPr>
          <w:rFonts w:cs="Arial"/>
        </w:rPr>
      </w:pPr>
      <w:r>
        <w:rPr>
          <w:rFonts w:cs="Arial"/>
          <w:sz w:val="23"/>
          <w:szCs w:val="23"/>
        </w:rPr>
        <w:t>F</w:t>
      </w:r>
      <w:r w:rsidR="000634B0" w:rsidRPr="003A2C9D">
        <w:rPr>
          <w:rFonts w:cs="Arial"/>
          <w:sz w:val="23"/>
          <w:szCs w:val="23"/>
        </w:rPr>
        <w:t>igure 2. NATSHIWA’s eight domains of Cultural Safety.</w:t>
      </w:r>
      <w:r w:rsidR="00E50B79">
        <w:rPr>
          <w:rStyle w:val="EndnoteReference"/>
          <w:rFonts w:cs="Arial"/>
        </w:rPr>
        <w:endnoteReference w:id="24"/>
      </w:r>
    </w:p>
    <w:p w:rsidR="00FF68B7" w:rsidRPr="00F1327F" w:rsidRDefault="00212EB8" w:rsidP="00CF2AB9">
      <w:pPr>
        <w:spacing w:before="0" w:after="0"/>
        <w:jc w:val="both"/>
        <w:rPr>
          <w:rFonts w:cs="Arial"/>
          <w:sz w:val="23"/>
          <w:szCs w:val="23"/>
          <w:lang w:val="en"/>
        </w:rPr>
      </w:pPr>
      <w:r w:rsidRPr="00F1327F">
        <w:rPr>
          <w:rFonts w:cs="Arial"/>
          <w:sz w:val="23"/>
          <w:szCs w:val="23"/>
        </w:rPr>
        <w:t>T</w:t>
      </w:r>
      <w:r w:rsidR="00795349" w:rsidRPr="00F1327F">
        <w:rPr>
          <w:rFonts w:cs="Arial"/>
          <w:sz w:val="23"/>
          <w:szCs w:val="23"/>
        </w:rPr>
        <w:t xml:space="preserve">he </w:t>
      </w:r>
      <w:r w:rsidR="00795349" w:rsidRPr="00F1327F">
        <w:rPr>
          <w:rFonts w:cs="Arial"/>
          <w:sz w:val="23"/>
          <w:szCs w:val="23"/>
          <w:lang w:val="en"/>
        </w:rPr>
        <w:t>Victorian Aboriginal Community Controlle</w:t>
      </w:r>
      <w:r w:rsidRPr="00F1327F">
        <w:rPr>
          <w:rFonts w:cs="Arial"/>
          <w:sz w:val="23"/>
          <w:szCs w:val="23"/>
          <w:lang w:val="en"/>
        </w:rPr>
        <w:t>d Health Organisation (VACCHO)</w:t>
      </w:r>
      <w:r w:rsidR="00F1327F" w:rsidRPr="00F1327F">
        <w:rPr>
          <w:rFonts w:cs="Arial"/>
          <w:sz w:val="23"/>
          <w:szCs w:val="23"/>
          <w:lang w:val="en"/>
        </w:rPr>
        <w:t xml:space="preserve"> </w:t>
      </w:r>
      <w:r w:rsidR="00795349" w:rsidRPr="00F1327F">
        <w:rPr>
          <w:rFonts w:cs="Arial"/>
          <w:sz w:val="23"/>
          <w:szCs w:val="23"/>
        </w:rPr>
        <w:t xml:space="preserve">offer cultural safety training, which </w:t>
      </w:r>
      <w:r w:rsidR="00795349" w:rsidRPr="00F1327F">
        <w:rPr>
          <w:rFonts w:cs="Arial"/>
          <w:sz w:val="23"/>
          <w:szCs w:val="23"/>
          <w:lang w:val="en"/>
        </w:rPr>
        <w:t xml:space="preserve">aims to enhance the health sector’s capacity to improve program policy design and delivery of culturally safe health services to Aboriginal </w:t>
      </w:r>
      <w:r w:rsidR="00792A3F" w:rsidRPr="00F1327F">
        <w:rPr>
          <w:rFonts w:cs="Arial"/>
          <w:sz w:val="23"/>
          <w:szCs w:val="23"/>
          <w:lang w:val="en"/>
        </w:rPr>
        <w:t xml:space="preserve">and Torres Strait Islander </w:t>
      </w:r>
      <w:r w:rsidR="00795349" w:rsidRPr="00F1327F">
        <w:rPr>
          <w:rFonts w:cs="Arial"/>
          <w:sz w:val="23"/>
          <w:szCs w:val="23"/>
          <w:lang w:val="en"/>
        </w:rPr>
        <w:t>people</w:t>
      </w:r>
      <w:r w:rsidR="00912BA8" w:rsidRPr="00F1327F">
        <w:rPr>
          <w:rFonts w:cs="Arial"/>
          <w:sz w:val="23"/>
          <w:szCs w:val="23"/>
          <w:lang w:val="en"/>
        </w:rPr>
        <w:t>s</w:t>
      </w:r>
      <w:r w:rsidR="00795349" w:rsidRPr="00F1327F">
        <w:rPr>
          <w:rFonts w:cs="Arial"/>
          <w:sz w:val="23"/>
          <w:szCs w:val="23"/>
          <w:lang w:val="en"/>
        </w:rPr>
        <w:t xml:space="preserve">. </w:t>
      </w:r>
      <w:r w:rsidR="00FD7AE9" w:rsidRPr="00F1327F">
        <w:rPr>
          <w:rFonts w:cs="Arial"/>
          <w:sz w:val="23"/>
          <w:szCs w:val="23"/>
          <w:lang w:val="en"/>
        </w:rPr>
        <w:t xml:space="preserve">VACCHO offers the following definition of cultural safety: </w:t>
      </w:r>
    </w:p>
    <w:p w:rsidR="00FD7AE9" w:rsidRDefault="00FD7AE9" w:rsidP="002A7840">
      <w:pPr>
        <w:spacing w:before="120" w:after="180"/>
        <w:ind w:left="567" w:right="567"/>
        <w:jc w:val="both"/>
        <w:rPr>
          <w:rFonts w:cs="Arial"/>
          <w:sz w:val="22"/>
          <w:szCs w:val="22"/>
          <w:lang w:val="en"/>
        </w:rPr>
      </w:pPr>
      <w:r w:rsidRPr="00D80D0A">
        <w:rPr>
          <w:rFonts w:cs="Arial"/>
          <w:sz w:val="22"/>
          <w:szCs w:val="22"/>
          <w:lang w:val="en"/>
        </w:rPr>
        <w:t xml:space="preserve">Cultural Safety is being acceptable to difference, having the ability to analyse power imbalances, institutional discrimination, colonisation and relationships with </w:t>
      </w:r>
      <w:r w:rsidRPr="00D80D0A">
        <w:rPr>
          <w:rFonts w:cs="Arial"/>
          <w:sz w:val="22"/>
          <w:szCs w:val="22"/>
          <w:lang w:val="en"/>
        </w:rPr>
        <w:lastRenderedPageBreak/>
        <w:t>settlers. Cultural safety is about providing quality health care</w:t>
      </w:r>
      <w:r w:rsidR="00536460" w:rsidRPr="00D80D0A">
        <w:rPr>
          <w:rFonts w:cs="Arial"/>
          <w:sz w:val="22"/>
          <w:szCs w:val="22"/>
          <w:lang w:val="en"/>
        </w:rPr>
        <w:t xml:space="preserve"> that fits with the familiar cultural values and norms of the person accessing the service, that may differ from your o</w:t>
      </w:r>
      <w:r w:rsidR="00986904">
        <w:rPr>
          <w:rFonts w:cs="Arial"/>
          <w:sz w:val="22"/>
          <w:szCs w:val="22"/>
          <w:lang w:val="en"/>
        </w:rPr>
        <w:t>wn and/or the dominant culture.</w:t>
      </w:r>
      <w:r w:rsidR="00860D20">
        <w:rPr>
          <w:rStyle w:val="EndnoteReference"/>
          <w:rFonts w:cs="Arial"/>
          <w:szCs w:val="22"/>
          <w:lang w:val="en"/>
        </w:rPr>
        <w:endnoteReference w:id="25"/>
      </w:r>
    </w:p>
    <w:p w:rsidR="00F618EC" w:rsidRPr="00F255FB" w:rsidRDefault="00F618EC" w:rsidP="00587F49">
      <w:pPr>
        <w:spacing w:before="120" w:after="180"/>
        <w:ind w:right="-2"/>
        <w:jc w:val="both"/>
        <w:rPr>
          <w:rFonts w:cs="Arial"/>
          <w:sz w:val="23"/>
          <w:szCs w:val="23"/>
          <w:lang w:val="en"/>
        </w:rPr>
      </w:pPr>
      <w:r w:rsidRPr="00F255FB">
        <w:rPr>
          <w:rFonts w:cs="Arial"/>
          <w:sz w:val="23"/>
          <w:szCs w:val="23"/>
          <w:lang w:val="en"/>
        </w:rPr>
        <w:t>The Aboriginal Health Council of Western Australia also offers cultural safety training to improve the quality of service delivered by health care providers and the experience of those services for Aboriginal and Torres Strait Islander peoples.</w:t>
      </w:r>
      <w:r w:rsidRPr="00164C20">
        <w:rPr>
          <w:rStyle w:val="EndnoteReference"/>
          <w:rFonts w:cs="Arial"/>
          <w:szCs w:val="20"/>
          <w:lang w:val="en"/>
        </w:rPr>
        <w:endnoteReference w:id="26"/>
      </w:r>
    </w:p>
    <w:p w:rsidR="00A936C3" w:rsidRPr="00F255FB" w:rsidRDefault="00A936C3" w:rsidP="00587F49">
      <w:pPr>
        <w:spacing w:before="120" w:after="180"/>
        <w:ind w:right="-2"/>
        <w:jc w:val="both"/>
        <w:rPr>
          <w:rFonts w:cs="Arial"/>
          <w:sz w:val="23"/>
          <w:szCs w:val="23"/>
          <w:lang w:val="en"/>
        </w:rPr>
      </w:pPr>
      <w:r w:rsidRPr="00F255FB">
        <w:rPr>
          <w:rFonts w:cs="Arial"/>
          <w:sz w:val="23"/>
          <w:szCs w:val="23"/>
          <w:lang w:val="en"/>
        </w:rPr>
        <w:t xml:space="preserve">Indigenous Allied Health Australia (IAHA) developed a framework, </w:t>
      </w:r>
      <w:r w:rsidR="000048BD" w:rsidRPr="00F255FB">
        <w:rPr>
          <w:rFonts w:cs="Arial"/>
          <w:sz w:val="23"/>
          <w:szCs w:val="23"/>
          <w:lang w:val="en"/>
        </w:rPr>
        <w:t xml:space="preserve">launched in 2015 </w:t>
      </w:r>
      <w:r w:rsidRPr="00F255FB">
        <w:rPr>
          <w:rFonts w:cs="Arial"/>
          <w:sz w:val="23"/>
          <w:szCs w:val="23"/>
          <w:lang w:val="en"/>
        </w:rPr>
        <w:t>using the term ‘cultural responsiveness’, to meet the need for practical strategies to build cultural safety using strengths-based and action-oriented approaches.</w:t>
      </w:r>
      <w:r w:rsidR="000048BD" w:rsidRPr="00F255FB">
        <w:rPr>
          <w:rFonts w:cs="Arial"/>
          <w:sz w:val="23"/>
          <w:szCs w:val="23"/>
          <w:lang w:val="en"/>
        </w:rPr>
        <w:t xml:space="preserve"> The six key capabilities identified in the IAHA Framework </w:t>
      </w:r>
      <w:r w:rsidR="007727A4">
        <w:rPr>
          <w:rFonts w:cs="Arial"/>
          <w:sz w:val="23"/>
          <w:szCs w:val="23"/>
          <w:lang w:val="en"/>
        </w:rPr>
        <w:t>detail ways of enhancing</w:t>
      </w:r>
      <w:r w:rsidR="005903A0" w:rsidRPr="00F255FB">
        <w:rPr>
          <w:rFonts w:cs="Arial"/>
          <w:sz w:val="23"/>
          <w:szCs w:val="23"/>
          <w:lang w:val="en"/>
        </w:rPr>
        <w:t xml:space="preserve"> cultural responsiveness. These capabilities </w:t>
      </w:r>
      <w:r w:rsidR="000048BD" w:rsidRPr="00F255FB">
        <w:rPr>
          <w:rFonts w:cs="Arial"/>
          <w:sz w:val="23"/>
          <w:szCs w:val="23"/>
          <w:lang w:val="en"/>
        </w:rPr>
        <w:t>are</w:t>
      </w:r>
      <w:r w:rsidR="007727A4">
        <w:rPr>
          <w:rFonts w:cs="Arial"/>
          <w:sz w:val="23"/>
          <w:szCs w:val="23"/>
          <w:lang w:val="en"/>
        </w:rPr>
        <w:t>:</w:t>
      </w:r>
      <w:r w:rsidR="000048BD" w:rsidRPr="00F255FB">
        <w:rPr>
          <w:rFonts w:cs="Arial"/>
          <w:sz w:val="23"/>
          <w:szCs w:val="23"/>
          <w:lang w:val="en"/>
        </w:rPr>
        <w:t xml:space="preserve"> re</w:t>
      </w:r>
      <w:r w:rsidR="007727A4">
        <w:rPr>
          <w:rFonts w:cs="Arial"/>
          <w:sz w:val="23"/>
          <w:szCs w:val="23"/>
          <w:lang w:val="en"/>
        </w:rPr>
        <w:t>spect for centrality of culture; self-awareness; proactivity; incl</w:t>
      </w:r>
      <w:r w:rsidR="00986904">
        <w:rPr>
          <w:rFonts w:cs="Arial"/>
          <w:sz w:val="23"/>
          <w:szCs w:val="23"/>
          <w:lang w:val="en"/>
        </w:rPr>
        <w:t>usive engagement; leadership</w:t>
      </w:r>
      <w:r w:rsidR="007727A4">
        <w:rPr>
          <w:rFonts w:cs="Arial"/>
          <w:sz w:val="23"/>
          <w:szCs w:val="23"/>
          <w:lang w:val="en"/>
        </w:rPr>
        <w:t xml:space="preserve">; </w:t>
      </w:r>
      <w:r w:rsidR="00986904">
        <w:rPr>
          <w:rFonts w:cs="Arial"/>
          <w:sz w:val="23"/>
          <w:szCs w:val="23"/>
          <w:lang w:val="en"/>
        </w:rPr>
        <w:t xml:space="preserve">and </w:t>
      </w:r>
      <w:r w:rsidR="000048BD" w:rsidRPr="00F255FB">
        <w:rPr>
          <w:rFonts w:cs="Arial"/>
          <w:sz w:val="23"/>
          <w:szCs w:val="23"/>
          <w:lang w:val="en"/>
        </w:rPr>
        <w:t>responsibility and accountability.</w:t>
      </w:r>
      <w:r w:rsidR="005F41D4" w:rsidRPr="00164C20">
        <w:rPr>
          <w:rStyle w:val="EndnoteReference"/>
          <w:rFonts w:cs="Arial"/>
          <w:szCs w:val="20"/>
          <w:lang w:val="en"/>
        </w:rPr>
        <w:endnoteReference w:id="27"/>
      </w:r>
    </w:p>
    <w:p w:rsidR="00207A1C" w:rsidRPr="00F255FB" w:rsidRDefault="00207A1C" w:rsidP="00207A1C">
      <w:pPr>
        <w:spacing w:before="0" w:after="180"/>
        <w:jc w:val="both"/>
        <w:rPr>
          <w:sz w:val="23"/>
          <w:szCs w:val="23"/>
        </w:rPr>
      </w:pPr>
      <w:r w:rsidRPr="00F255FB">
        <w:rPr>
          <w:sz w:val="23"/>
          <w:szCs w:val="23"/>
        </w:rPr>
        <w:t>The Royal Australian College of General Practitioners (RACGP) draws a distinction between ‘cultural awareness education’ and ‘cultural safety training’, considering the former as the first building block towards cultural safety with the latter having a clear focus on outcomes for health services and their patients. In other words, cultural safety training aims to produce behavioural changes which, in turn, lead to practice improvements. RACGP offers an online introduction to Aboriginal and Torres Strait Islander cultural awareness and recommends participation in accredited cultural safety training.</w:t>
      </w:r>
      <w:r w:rsidR="009C5110" w:rsidRPr="00164C20">
        <w:rPr>
          <w:rStyle w:val="EndnoteReference"/>
          <w:szCs w:val="20"/>
        </w:rPr>
        <w:endnoteReference w:id="28"/>
      </w:r>
    </w:p>
    <w:p w:rsidR="00376036" w:rsidRPr="00F255FB" w:rsidRDefault="00070795" w:rsidP="002A7840">
      <w:pPr>
        <w:spacing w:before="0" w:after="180"/>
        <w:jc w:val="both"/>
        <w:rPr>
          <w:rFonts w:cs="Arial"/>
          <w:sz w:val="23"/>
          <w:szCs w:val="23"/>
        </w:rPr>
      </w:pPr>
      <w:r w:rsidRPr="00F255FB">
        <w:rPr>
          <w:rFonts w:cs="Arial"/>
          <w:sz w:val="23"/>
          <w:szCs w:val="23"/>
        </w:rPr>
        <w:t xml:space="preserve">The fundamental link between culture and wellbeing has been </w:t>
      </w:r>
      <w:r w:rsidR="00D211EB" w:rsidRPr="00F255FB">
        <w:rPr>
          <w:rFonts w:cs="Arial"/>
          <w:sz w:val="23"/>
          <w:szCs w:val="23"/>
        </w:rPr>
        <w:t>explicitly recognised in the Australian Government’s National Aboriginal and Torres Strait Islander Health Plan 2013-2023.</w:t>
      </w:r>
      <w:r w:rsidR="00493623" w:rsidRPr="00164C20">
        <w:rPr>
          <w:rStyle w:val="EndnoteReference"/>
          <w:rFonts w:cs="Arial"/>
          <w:szCs w:val="20"/>
        </w:rPr>
        <w:endnoteReference w:id="29"/>
      </w:r>
      <w:r w:rsidR="00D211EB" w:rsidRPr="00F255FB">
        <w:rPr>
          <w:rFonts w:cs="Arial"/>
          <w:sz w:val="23"/>
          <w:szCs w:val="23"/>
        </w:rPr>
        <w:t xml:space="preserve"> The delivery of clinically appropriate care that is culturally safe, responsive and accessible for all Aboriginal and Torres Strait Islander people </w:t>
      </w:r>
      <w:r w:rsidR="00976832" w:rsidRPr="00F255FB">
        <w:rPr>
          <w:rFonts w:cs="Arial"/>
          <w:sz w:val="23"/>
          <w:szCs w:val="23"/>
        </w:rPr>
        <w:t>is identified as a key goal</w:t>
      </w:r>
      <w:r w:rsidR="00821E4A" w:rsidRPr="00F255FB">
        <w:rPr>
          <w:rFonts w:cs="Arial"/>
          <w:sz w:val="23"/>
          <w:szCs w:val="23"/>
        </w:rPr>
        <w:t xml:space="preserve"> within this Plan</w:t>
      </w:r>
      <w:r w:rsidR="00B66822" w:rsidRPr="00F255FB">
        <w:rPr>
          <w:rFonts w:cs="Arial"/>
          <w:sz w:val="23"/>
          <w:szCs w:val="23"/>
        </w:rPr>
        <w:t>.</w:t>
      </w:r>
      <w:r w:rsidR="001526D4" w:rsidRPr="00164C20">
        <w:rPr>
          <w:rStyle w:val="EndnoteReference"/>
          <w:rFonts w:cs="Arial"/>
          <w:szCs w:val="20"/>
        </w:rPr>
        <w:endnoteReference w:id="30"/>
      </w:r>
      <w:r w:rsidR="009F0926" w:rsidRPr="00164C20">
        <w:rPr>
          <w:rFonts w:cs="Arial"/>
          <w:sz w:val="20"/>
          <w:szCs w:val="20"/>
        </w:rPr>
        <w:t xml:space="preserve"> </w:t>
      </w:r>
    </w:p>
    <w:p w:rsidR="0005359C" w:rsidRPr="00F255FB" w:rsidRDefault="00FE2A1B" w:rsidP="0005359C">
      <w:pPr>
        <w:spacing w:before="0" w:after="180"/>
        <w:jc w:val="both"/>
        <w:rPr>
          <w:rFonts w:cs="Arial"/>
          <w:sz w:val="23"/>
          <w:szCs w:val="23"/>
        </w:rPr>
      </w:pPr>
      <w:r w:rsidRPr="00F255FB">
        <w:rPr>
          <w:rFonts w:cs="Arial"/>
          <w:sz w:val="23"/>
          <w:szCs w:val="23"/>
        </w:rPr>
        <w:t xml:space="preserve">Martin </w:t>
      </w:r>
      <w:r w:rsidR="00F1327F" w:rsidRPr="00F255FB">
        <w:rPr>
          <w:rFonts w:cs="Arial"/>
          <w:sz w:val="23"/>
          <w:szCs w:val="23"/>
        </w:rPr>
        <w:t xml:space="preserve">Laverty, </w:t>
      </w:r>
      <w:r w:rsidRPr="00F255FB">
        <w:rPr>
          <w:rFonts w:cs="Arial"/>
          <w:sz w:val="23"/>
          <w:szCs w:val="23"/>
        </w:rPr>
        <w:t xml:space="preserve">Dennis </w:t>
      </w:r>
      <w:r w:rsidR="00F1327F" w:rsidRPr="00F255FB">
        <w:rPr>
          <w:rFonts w:cs="Arial"/>
          <w:sz w:val="23"/>
          <w:szCs w:val="23"/>
        </w:rPr>
        <w:t xml:space="preserve">McDermott and </w:t>
      </w:r>
      <w:r w:rsidRPr="00F255FB">
        <w:rPr>
          <w:rFonts w:cs="Arial"/>
          <w:sz w:val="23"/>
          <w:szCs w:val="23"/>
        </w:rPr>
        <w:t xml:space="preserve">Tom </w:t>
      </w:r>
      <w:r w:rsidR="0066210D" w:rsidRPr="00F255FB">
        <w:rPr>
          <w:rFonts w:cs="Arial"/>
          <w:sz w:val="23"/>
          <w:szCs w:val="23"/>
        </w:rPr>
        <w:t>Calma have recently argued that there is an urgent need for collaboration ‘on a systematic revision of standards to embed culturally safe practice and develop health settings free of racism’.</w:t>
      </w:r>
      <w:r w:rsidR="003245BA" w:rsidRPr="00164C20">
        <w:rPr>
          <w:rStyle w:val="EndnoteReference"/>
          <w:rFonts w:cs="Arial"/>
          <w:szCs w:val="20"/>
        </w:rPr>
        <w:endnoteReference w:id="31"/>
      </w:r>
      <w:r w:rsidR="0066210D" w:rsidRPr="00F255FB">
        <w:rPr>
          <w:rFonts w:cs="Arial"/>
          <w:sz w:val="23"/>
          <w:szCs w:val="23"/>
        </w:rPr>
        <w:t xml:space="preserve"> Peak Indigenous health bodies have consistently put the case that increasing the likelihood of culturally safe clinical care </w:t>
      </w:r>
      <w:r w:rsidR="00420A4E" w:rsidRPr="00F255FB">
        <w:rPr>
          <w:rFonts w:cs="Arial"/>
          <w:sz w:val="23"/>
          <w:szCs w:val="23"/>
        </w:rPr>
        <w:t xml:space="preserve">may contribute to substantial health improvements for Aboriginal and </w:t>
      </w:r>
      <w:r w:rsidR="00986904">
        <w:rPr>
          <w:rFonts w:cs="Arial"/>
          <w:sz w:val="23"/>
          <w:szCs w:val="23"/>
        </w:rPr>
        <w:t xml:space="preserve">Torres Strait Islander peoples. </w:t>
      </w:r>
      <w:r w:rsidR="0005359C" w:rsidRPr="00F255FB">
        <w:rPr>
          <w:rFonts w:cs="Arial"/>
          <w:sz w:val="23"/>
          <w:szCs w:val="23"/>
        </w:rPr>
        <w:t>In 2017, the Australian Commission on Safety and Quality in Health Care (ACSQHC) defined six actions that specifically meet the needs of Aboriginal and Torres Strait Islander people within the National Safety and Quality Health Service Standards. In meeting the Clinical Governance Standard, health service organisations should</w:t>
      </w:r>
      <w:r w:rsidR="0096037E">
        <w:rPr>
          <w:rFonts w:cs="Arial"/>
          <w:sz w:val="23"/>
          <w:szCs w:val="23"/>
        </w:rPr>
        <w:t>:</w:t>
      </w:r>
      <w:r w:rsidR="0005359C" w:rsidRPr="00F255FB">
        <w:rPr>
          <w:rFonts w:cs="Arial"/>
          <w:sz w:val="23"/>
          <w:szCs w:val="23"/>
        </w:rPr>
        <w:t xml:space="preserve"> demonstrate a welcoming environment that recognises the importance of</w:t>
      </w:r>
      <w:r w:rsidR="0096037E">
        <w:rPr>
          <w:rFonts w:cs="Arial"/>
          <w:sz w:val="23"/>
          <w:szCs w:val="23"/>
        </w:rPr>
        <w:t xml:space="preserve"> cultural beliefs and practices;</w:t>
      </w:r>
      <w:r w:rsidR="0005359C" w:rsidRPr="00F255FB">
        <w:rPr>
          <w:rFonts w:cs="Arial"/>
          <w:sz w:val="23"/>
          <w:szCs w:val="23"/>
        </w:rPr>
        <w:t xml:space="preserve"> improve the cultural awareness and cultural competency of their workforce</w:t>
      </w:r>
      <w:r w:rsidR="0096037E">
        <w:rPr>
          <w:rFonts w:cs="Arial"/>
          <w:sz w:val="23"/>
          <w:szCs w:val="23"/>
        </w:rPr>
        <w:t>;</w:t>
      </w:r>
      <w:r w:rsidR="0005359C" w:rsidRPr="00F255FB">
        <w:rPr>
          <w:rFonts w:cs="Arial"/>
          <w:sz w:val="23"/>
          <w:szCs w:val="23"/>
        </w:rPr>
        <w:t xml:space="preserve"> and ensure that appropriate safety and quality priorities are established, implemented and monitored.</w:t>
      </w:r>
      <w:r w:rsidR="0005359C" w:rsidRPr="00164C20">
        <w:rPr>
          <w:rStyle w:val="EndnoteReference"/>
          <w:rFonts w:cs="Arial"/>
          <w:szCs w:val="20"/>
        </w:rPr>
        <w:endnoteReference w:id="32"/>
      </w:r>
      <w:r w:rsidR="0005359C" w:rsidRPr="00164C20">
        <w:rPr>
          <w:rFonts w:cs="Arial"/>
          <w:sz w:val="20"/>
          <w:szCs w:val="20"/>
        </w:rPr>
        <w:t xml:space="preserve"> </w:t>
      </w:r>
    </w:p>
    <w:p w:rsidR="00A47341" w:rsidRPr="00F255FB" w:rsidRDefault="00976832" w:rsidP="002A7840">
      <w:pPr>
        <w:spacing w:before="0" w:after="180"/>
        <w:jc w:val="both"/>
        <w:rPr>
          <w:rFonts w:cs="Arial"/>
          <w:sz w:val="23"/>
          <w:szCs w:val="23"/>
        </w:rPr>
      </w:pPr>
      <w:r w:rsidRPr="00F255FB">
        <w:rPr>
          <w:rFonts w:cs="Arial"/>
          <w:sz w:val="23"/>
          <w:szCs w:val="23"/>
        </w:rPr>
        <w:t>The link betwee</w:t>
      </w:r>
      <w:r w:rsidR="00FB0789" w:rsidRPr="00F255FB">
        <w:rPr>
          <w:rFonts w:cs="Arial"/>
          <w:sz w:val="23"/>
          <w:szCs w:val="23"/>
        </w:rPr>
        <w:t xml:space="preserve">n culture and wellbeing is </w:t>
      </w:r>
      <w:r w:rsidR="0062495F" w:rsidRPr="00F255FB">
        <w:rPr>
          <w:rFonts w:cs="Arial"/>
          <w:sz w:val="23"/>
          <w:szCs w:val="23"/>
        </w:rPr>
        <w:t xml:space="preserve">affirmed by </w:t>
      </w:r>
      <w:r w:rsidR="00070795" w:rsidRPr="00F255FB">
        <w:rPr>
          <w:rFonts w:cs="Arial"/>
          <w:sz w:val="23"/>
          <w:szCs w:val="23"/>
        </w:rPr>
        <w:t>research demonstrating that interventions that include opportunities for expression of cultural identities can have beneficial effects for Aboriginal and Torres Strait Islander peoples, and are associated with measurable impr</w:t>
      </w:r>
      <w:r w:rsidR="00E2718B" w:rsidRPr="00F255FB">
        <w:rPr>
          <w:rFonts w:cs="Arial"/>
          <w:sz w:val="23"/>
          <w:szCs w:val="23"/>
        </w:rPr>
        <w:t>ovements in health</w:t>
      </w:r>
      <w:r w:rsidR="00070795" w:rsidRPr="00F255FB">
        <w:rPr>
          <w:rFonts w:cs="Arial"/>
          <w:sz w:val="23"/>
          <w:szCs w:val="23"/>
        </w:rPr>
        <w:t xml:space="preserve">. Activities such as actively learning Indigenous languages, connecting to Country and expressing cultural identity through art and performance were all found </w:t>
      </w:r>
      <w:r w:rsidR="001F4DF0" w:rsidRPr="00F255FB">
        <w:rPr>
          <w:rFonts w:cs="Arial"/>
          <w:sz w:val="23"/>
          <w:szCs w:val="23"/>
        </w:rPr>
        <w:t xml:space="preserve">to </w:t>
      </w:r>
      <w:r w:rsidR="00070795" w:rsidRPr="00F255FB">
        <w:rPr>
          <w:rFonts w:cs="Arial"/>
          <w:sz w:val="23"/>
          <w:szCs w:val="23"/>
        </w:rPr>
        <w:t>have measurably beneficial effects in the first ever Australian systematic review of quantitative outcomes of cultural interventions designed to improve Indigenous health and wellbeing.</w:t>
      </w:r>
      <w:r w:rsidR="005D681D" w:rsidRPr="00164C20">
        <w:rPr>
          <w:rStyle w:val="EndnoteReference"/>
          <w:rFonts w:cs="Arial"/>
          <w:szCs w:val="20"/>
        </w:rPr>
        <w:endnoteReference w:id="33"/>
      </w:r>
    </w:p>
    <w:p w:rsidR="00B2139D" w:rsidRPr="00F255FB" w:rsidRDefault="008E0BD0" w:rsidP="002A7840">
      <w:pPr>
        <w:spacing w:before="0" w:after="180"/>
        <w:jc w:val="both"/>
        <w:rPr>
          <w:rFonts w:cs="Arial"/>
          <w:sz w:val="23"/>
          <w:szCs w:val="23"/>
        </w:rPr>
      </w:pPr>
      <w:r w:rsidRPr="00F255FB">
        <w:rPr>
          <w:rFonts w:cs="Arial"/>
          <w:sz w:val="23"/>
          <w:szCs w:val="23"/>
        </w:rPr>
        <w:t xml:space="preserve">Alfred </w:t>
      </w:r>
      <w:r w:rsidR="00D05C50" w:rsidRPr="00F255FB">
        <w:rPr>
          <w:rFonts w:cs="Arial"/>
          <w:sz w:val="23"/>
          <w:szCs w:val="23"/>
        </w:rPr>
        <w:t>Dockery</w:t>
      </w:r>
      <w:r w:rsidR="00070795" w:rsidRPr="00F255FB">
        <w:rPr>
          <w:rFonts w:cs="Arial"/>
          <w:sz w:val="23"/>
          <w:szCs w:val="23"/>
        </w:rPr>
        <w:t>, using data from the Australian Bureau of Statistic’s 2002 National Aboriginal and Torres Strait Islander Social Survey (NATSISS), found that strong attachment to traditional culture seems to be statistically associated with better outcomes across a diverse range of dimensions of socio-eco</w:t>
      </w:r>
      <w:r w:rsidR="008B00EF" w:rsidRPr="00F255FB">
        <w:rPr>
          <w:rFonts w:cs="Arial"/>
          <w:sz w:val="23"/>
          <w:szCs w:val="23"/>
        </w:rPr>
        <w:t>nomic</w:t>
      </w:r>
      <w:r w:rsidR="00070795" w:rsidRPr="00F255FB">
        <w:rPr>
          <w:rFonts w:cs="Arial"/>
          <w:sz w:val="23"/>
          <w:szCs w:val="23"/>
        </w:rPr>
        <w:t xml:space="preserve"> wellbeing, including educational </w:t>
      </w:r>
      <w:r w:rsidR="00070795" w:rsidRPr="00F255FB">
        <w:rPr>
          <w:rFonts w:cs="Arial"/>
          <w:sz w:val="23"/>
          <w:szCs w:val="23"/>
        </w:rPr>
        <w:lastRenderedPageBreak/>
        <w:t>attainment.</w:t>
      </w:r>
      <w:r w:rsidR="00C6135E" w:rsidRPr="00164C20">
        <w:rPr>
          <w:rStyle w:val="EndnoteReference"/>
          <w:rFonts w:cs="Arial"/>
          <w:szCs w:val="20"/>
        </w:rPr>
        <w:endnoteReference w:id="34"/>
      </w:r>
      <w:r w:rsidR="00070795" w:rsidRPr="00F255FB">
        <w:rPr>
          <w:rFonts w:cs="Arial"/>
          <w:sz w:val="23"/>
          <w:szCs w:val="23"/>
        </w:rPr>
        <w:t xml:space="preserve"> </w:t>
      </w:r>
      <w:r w:rsidR="00F06253" w:rsidRPr="00F255FB">
        <w:rPr>
          <w:rFonts w:cs="Arial"/>
          <w:sz w:val="23"/>
          <w:szCs w:val="23"/>
        </w:rPr>
        <w:t>Recovering and reclaiming traditional cultural practices in the context of a history of dispossession</w:t>
      </w:r>
      <w:r w:rsidR="003A36C4" w:rsidRPr="00F255FB">
        <w:rPr>
          <w:rFonts w:cs="Arial"/>
          <w:sz w:val="23"/>
          <w:szCs w:val="23"/>
        </w:rPr>
        <w:t xml:space="preserve"> and assimilation </w:t>
      </w:r>
      <w:r w:rsidR="00F06253" w:rsidRPr="00F255FB">
        <w:rPr>
          <w:rFonts w:cs="Arial"/>
          <w:sz w:val="23"/>
          <w:szCs w:val="23"/>
        </w:rPr>
        <w:t xml:space="preserve">remains an ongoing challenge. </w:t>
      </w:r>
      <w:r w:rsidR="00F1327F" w:rsidRPr="00F255FB">
        <w:rPr>
          <w:rFonts w:cs="Arial"/>
          <w:sz w:val="23"/>
          <w:szCs w:val="23"/>
        </w:rPr>
        <w:t xml:space="preserve">Scholarship on the link between </w:t>
      </w:r>
      <w:r w:rsidR="003A36C4" w:rsidRPr="00F255FB">
        <w:rPr>
          <w:rFonts w:cs="Arial"/>
          <w:sz w:val="23"/>
          <w:szCs w:val="23"/>
        </w:rPr>
        <w:t xml:space="preserve">cultural safety </w:t>
      </w:r>
      <w:r w:rsidR="00D910C4" w:rsidRPr="00F255FB">
        <w:rPr>
          <w:rFonts w:cs="Arial"/>
          <w:sz w:val="23"/>
          <w:szCs w:val="23"/>
        </w:rPr>
        <w:t xml:space="preserve">and health </w:t>
      </w:r>
      <w:r w:rsidR="00070795" w:rsidRPr="00F255FB">
        <w:rPr>
          <w:rFonts w:cs="Arial"/>
          <w:sz w:val="23"/>
          <w:szCs w:val="23"/>
        </w:rPr>
        <w:t>provide</w:t>
      </w:r>
      <w:r w:rsidR="009F0926" w:rsidRPr="00F255FB">
        <w:rPr>
          <w:rFonts w:cs="Arial"/>
          <w:sz w:val="23"/>
          <w:szCs w:val="23"/>
        </w:rPr>
        <w:t>s</w:t>
      </w:r>
      <w:r w:rsidR="00070795" w:rsidRPr="00F255FB">
        <w:rPr>
          <w:rFonts w:cs="Arial"/>
          <w:sz w:val="23"/>
          <w:szCs w:val="23"/>
        </w:rPr>
        <w:t xml:space="preserve"> support to the more general argumen</w:t>
      </w:r>
      <w:r w:rsidR="00F06253" w:rsidRPr="00F255FB">
        <w:rPr>
          <w:rFonts w:cs="Arial"/>
          <w:sz w:val="23"/>
          <w:szCs w:val="23"/>
        </w:rPr>
        <w:t xml:space="preserve">t that </w:t>
      </w:r>
      <w:r w:rsidR="00070795" w:rsidRPr="00F255FB">
        <w:rPr>
          <w:rFonts w:cs="Arial"/>
          <w:sz w:val="23"/>
          <w:szCs w:val="23"/>
        </w:rPr>
        <w:t>culture</w:t>
      </w:r>
      <w:r w:rsidR="00F06253" w:rsidRPr="00F255FB">
        <w:rPr>
          <w:rFonts w:cs="Arial"/>
          <w:sz w:val="23"/>
          <w:szCs w:val="23"/>
        </w:rPr>
        <w:t xml:space="preserve"> </w:t>
      </w:r>
      <w:r w:rsidR="003A36C4" w:rsidRPr="00F255FB">
        <w:rPr>
          <w:rFonts w:cs="Arial"/>
          <w:sz w:val="23"/>
          <w:szCs w:val="23"/>
        </w:rPr>
        <w:t>is not the problem; rather, it is essential to wellbeing</w:t>
      </w:r>
      <w:r w:rsidR="00070795" w:rsidRPr="00F255FB">
        <w:rPr>
          <w:rFonts w:cs="Arial"/>
          <w:sz w:val="23"/>
          <w:szCs w:val="23"/>
        </w:rPr>
        <w:t>.</w:t>
      </w:r>
    </w:p>
    <w:tbl>
      <w:tblPr>
        <w:tblStyle w:val="TableGrid"/>
        <w:tblW w:w="8926" w:type="dxa"/>
        <w:tblLook w:val="04A0" w:firstRow="1" w:lastRow="0" w:firstColumn="1" w:lastColumn="0" w:noHBand="0" w:noVBand="1"/>
      </w:tblPr>
      <w:tblGrid>
        <w:gridCol w:w="8926"/>
      </w:tblGrid>
      <w:tr w:rsidR="001E4044" w:rsidTr="00180DE0">
        <w:trPr>
          <w:trHeight w:val="538"/>
        </w:trPr>
        <w:tc>
          <w:tcPr>
            <w:tcW w:w="8926" w:type="dxa"/>
          </w:tcPr>
          <w:p w:rsidR="001E4044" w:rsidRPr="00C977B9" w:rsidRDefault="001E4044" w:rsidP="002A7840">
            <w:pPr>
              <w:spacing w:before="0" w:after="180"/>
              <w:jc w:val="both"/>
              <w:rPr>
                <w:rFonts w:cs="Arial"/>
                <w:b/>
                <w:sz w:val="23"/>
                <w:szCs w:val="23"/>
              </w:rPr>
            </w:pPr>
            <w:r w:rsidRPr="00C977B9">
              <w:rPr>
                <w:rFonts w:cs="Arial"/>
                <w:b/>
                <w:sz w:val="23"/>
                <w:szCs w:val="23"/>
              </w:rPr>
              <w:t>Summary</w:t>
            </w:r>
          </w:p>
          <w:p w:rsidR="001E4044" w:rsidRDefault="00BB0F31" w:rsidP="00C977B9">
            <w:pPr>
              <w:pStyle w:val="ListParagraph"/>
              <w:numPr>
                <w:ilvl w:val="0"/>
                <w:numId w:val="44"/>
              </w:numPr>
              <w:spacing w:before="0" w:after="180"/>
              <w:jc w:val="both"/>
              <w:rPr>
                <w:rFonts w:cs="Arial"/>
                <w:sz w:val="23"/>
                <w:szCs w:val="23"/>
              </w:rPr>
            </w:pPr>
            <w:r>
              <w:rPr>
                <w:rFonts w:cs="Arial"/>
                <w:sz w:val="23"/>
                <w:szCs w:val="23"/>
              </w:rPr>
              <w:t>C</w:t>
            </w:r>
            <w:r w:rsidRPr="003A2C9D">
              <w:rPr>
                <w:rFonts w:cs="Arial"/>
                <w:sz w:val="23"/>
                <w:szCs w:val="23"/>
              </w:rPr>
              <w:t>ultural safety is increasingly used in organisations representing and/or providing services to Aboriginal and Torres Strait Islander peoples, especially in the health sector</w:t>
            </w:r>
            <w:r>
              <w:rPr>
                <w:rFonts w:cs="Arial"/>
                <w:sz w:val="23"/>
                <w:szCs w:val="23"/>
              </w:rPr>
              <w:t>.</w:t>
            </w:r>
          </w:p>
          <w:p w:rsidR="00BB0F31" w:rsidRDefault="00BB0F31" w:rsidP="00C977B9">
            <w:pPr>
              <w:pStyle w:val="ListParagraph"/>
              <w:numPr>
                <w:ilvl w:val="0"/>
                <w:numId w:val="44"/>
              </w:numPr>
              <w:spacing w:before="0" w:after="180"/>
              <w:jc w:val="both"/>
              <w:rPr>
                <w:rFonts w:cs="Arial"/>
                <w:sz w:val="23"/>
                <w:szCs w:val="23"/>
              </w:rPr>
            </w:pPr>
            <w:r w:rsidRPr="003A2C9D">
              <w:rPr>
                <w:rFonts w:cs="Arial"/>
                <w:sz w:val="23"/>
                <w:szCs w:val="23"/>
              </w:rPr>
              <w:t xml:space="preserve">Aboriginal and Torres Strait Islander scholars have adapted cultural safety </w:t>
            </w:r>
            <w:r w:rsidR="002F5063">
              <w:rPr>
                <w:rFonts w:cs="Arial"/>
                <w:sz w:val="23"/>
                <w:szCs w:val="23"/>
              </w:rPr>
              <w:t xml:space="preserve">concepts developed in New Zealand </w:t>
            </w:r>
            <w:r w:rsidRPr="003A2C9D">
              <w:rPr>
                <w:rFonts w:cs="Arial"/>
                <w:sz w:val="23"/>
                <w:szCs w:val="23"/>
              </w:rPr>
              <w:t>to fit Australian circumstances, emphasising the negative legacy of colonisation and dispossession</w:t>
            </w:r>
            <w:r w:rsidR="002F5063">
              <w:rPr>
                <w:rFonts w:cs="Arial"/>
                <w:sz w:val="23"/>
                <w:szCs w:val="23"/>
              </w:rPr>
              <w:t>,</w:t>
            </w:r>
            <w:r w:rsidRPr="003A2C9D">
              <w:rPr>
                <w:rFonts w:cs="Arial"/>
                <w:sz w:val="23"/>
                <w:szCs w:val="23"/>
              </w:rPr>
              <w:t xml:space="preserve"> as well as the positive impact of learning about and fostering identification with Indigenous culture</w:t>
            </w:r>
            <w:r>
              <w:rPr>
                <w:rFonts w:cs="Arial"/>
                <w:sz w:val="23"/>
                <w:szCs w:val="23"/>
              </w:rPr>
              <w:t>.</w:t>
            </w:r>
          </w:p>
          <w:p w:rsidR="00BB0F31" w:rsidRPr="00C977B9" w:rsidRDefault="00BB0F31" w:rsidP="00C977B9">
            <w:pPr>
              <w:pStyle w:val="ListParagraph"/>
              <w:numPr>
                <w:ilvl w:val="0"/>
                <w:numId w:val="44"/>
              </w:numPr>
              <w:spacing w:before="0" w:after="180"/>
              <w:jc w:val="both"/>
              <w:rPr>
                <w:rFonts w:cs="Arial"/>
                <w:sz w:val="23"/>
                <w:szCs w:val="23"/>
              </w:rPr>
            </w:pPr>
            <w:r>
              <w:rPr>
                <w:rFonts w:cs="Arial"/>
                <w:sz w:val="23"/>
                <w:szCs w:val="23"/>
              </w:rPr>
              <w:t>Research indicates a robust link between culture and wellbeing.</w:t>
            </w:r>
          </w:p>
        </w:tc>
      </w:tr>
    </w:tbl>
    <w:p w:rsidR="00BC36B0" w:rsidRPr="00FE772E" w:rsidRDefault="00BC36B0" w:rsidP="000313B6">
      <w:pPr>
        <w:pStyle w:val="Heading1"/>
      </w:pPr>
      <w:r w:rsidRPr="00FE772E">
        <w:t>Cultural safety for Aboriginal and Torres Strait Islander children and you</w:t>
      </w:r>
      <w:r w:rsidR="00320F5F">
        <w:t>ng people</w:t>
      </w:r>
    </w:p>
    <w:p w:rsidR="001F50C7" w:rsidRPr="00021A4A" w:rsidRDefault="002C6179" w:rsidP="001F50C7">
      <w:pPr>
        <w:spacing w:before="0" w:after="180"/>
        <w:jc w:val="both"/>
        <w:rPr>
          <w:rFonts w:cs="Arial"/>
          <w:sz w:val="23"/>
          <w:szCs w:val="23"/>
        </w:rPr>
      </w:pPr>
      <w:r w:rsidRPr="00F255FB">
        <w:rPr>
          <w:rFonts w:cs="Arial"/>
          <w:sz w:val="23"/>
          <w:szCs w:val="23"/>
        </w:rPr>
        <w:t>The concept of cultural safety is now</w:t>
      </w:r>
      <w:r w:rsidR="00A83707" w:rsidRPr="00F255FB">
        <w:rPr>
          <w:rFonts w:cs="Arial"/>
          <w:sz w:val="23"/>
          <w:szCs w:val="23"/>
        </w:rPr>
        <w:t xml:space="preserve"> increasingly</w:t>
      </w:r>
      <w:r w:rsidRPr="00F255FB">
        <w:rPr>
          <w:rFonts w:cs="Arial"/>
          <w:sz w:val="23"/>
          <w:szCs w:val="23"/>
        </w:rPr>
        <w:t xml:space="preserve"> accepted in many areas of policy and service provision</w:t>
      </w:r>
      <w:r w:rsidR="005C188F" w:rsidRPr="00F255FB">
        <w:rPr>
          <w:rFonts w:cs="Arial"/>
          <w:sz w:val="23"/>
          <w:szCs w:val="23"/>
        </w:rPr>
        <w:t xml:space="preserve"> that impact on Aboriginal and Torres Strait Islander children and you</w:t>
      </w:r>
      <w:r w:rsidR="00D113CB" w:rsidRPr="00F255FB">
        <w:rPr>
          <w:rFonts w:cs="Arial"/>
          <w:sz w:val="23"/>
          <w:szCs w:val="23"/>
        </w:rPr>
        <w:t>ng people</w:t>
      </w:r>
      <w:r w:rsidRPr="00F255FB">
        <w:rPr>
          <w:rFonts w:cs="Arial"/>
          <w:sz w:val="23"/>
          <w:szCs w:val="23"/>
        </w:rPr>
        <w:t xml:space="preserve">. </w:t>
      </w:r>
      <w:r w:rsidR="00021A4A" w:rsidRPr="00021A4A">
        <w:rPr>
          <w:rFonts w:cs="Arial"/>
          <w:sz w:val="23"/>
          <w:szCs w:val="23"/>
        </w:rPr>
        <w:t xml:space="preserve">Australia </w:t>
      </w:r>
      <w:r w:rsidR="00021A4A">
        <w:rPr>
          <w:rFonts w:cs="Arial"/>
          <w:sz w:val="23"/>
          <w:szCs w:val="23"/>
        </w:rPr>
        <w:t xml:space="preserve">has </w:t>
      </w:r>
      <w:r w:rsidR="001F50C7" w:rsidRPr="00021A4A">
        <w:rPr>
          <w:rFonts w:cs="Arial"/>
          <w:sz w:val="23"/>
          <w:szCs w:val="23"/>
        </w:rPr>
        <w:t xml:space="preserve">obligations under </w:t>
      </w:r>
      <w:r w:rsidR="00C144E0">
        <w:rPr>
          <w:rFonts w:cs="Arial"/>
          <w:sz w:val="23"/>
          <w:szCs w:val="23"/>
        </w:rPr>
        <w:t>both the Declaration</w:t>
      </w:r>
      <w:r w:rsidR="003F469C">
        <w:rPr>
          <w:rStyle w:val="EndnoteReference"/>
          <w:rFonts w:cs="Arial"/>
          <w:szCs w:val="23"/>
        </w:rPr>
        <w:endnoteReference w:id="35"/>
      </w:r>
      <w:r w:rsidR="00C144E0">
        <w:rPr>
          <w:rFonts w:cs="Arial"/>
          <w:sz w:val="23"/>
          <w:szCs w:val="23"/>
        </w:rPr>
        <w:t xml:space="preserve"> and </w:t>
      </w:r>
      <w:r w:rsidR="001F50C7" w:rsidRPr="00021A4A">
        <w:rPr>
          <w:rFonts w:cs="Arial"/>
          <w:sz w:val="23"/>
          <w:szCs w:val="23"/>
        </w:rPr>
        <w:t xml:space="preserve">the United Nations Convention on the Rights of the Child </w:t>
      </w:r>
      <w:r w:rsidR="00990C09">
        <w:rPr>
          <w:rFonts w:cs="Arial"/>
          <w:sz w:val="23"/>
          <w:szCs w:val="23"/>
        </w:rPr>
        <w:t>(the Convention)</w:t>
      </w:r>
      <w:r w:rsidR="002D1B39">
        <w:rPr>
          <w:rStyle w:val="EndnoteReference"/>
          <w:rFonts w:cs="Arial"/>
          <w:szCs w:val="23"/>
        </w:rPr>
        <w:endnoteReference w:id="36"/>
      </w:r>
      <w:r w:rsidR="00990C09">
        <w:rPr>
          <w:rFonts w:cs="Arial"/>
          <w:sz w:val="23"/>
          <w:szCs w:val="23"/>
        </w:rPr>
        <w:t xml:space="preserve"> </w:t>
      </w:r>
      <w:r w:rsidR="001F50C7" w:rsidRPr="00021A4A">
        <w:rPr>
          <w:rFonts w:cs="Arial"/>
          <w:sz w:val="23"/>
          <w:szCs w:val="23"/>
        </w:rPr>
        <w:t xml:space="preserve">to protect </w:t>
      </w:r>
      <w:r w:rsidR="001F50C7" w:rsidRPr="00021A4A">
        <w:rPr>
          <w:rStyle w:val="A4"/>
          <w:rFonts w:cs="Arial"/>
          <w:sz w:val="23"/>
          <w:szCs w:val="23"/>
        </w:rPr>
        <w:t>children’s connections to culture and community as a means of fostering a strong sense of personal identity and belonging.</w:t>
      </w:r>
      <w:r w:rsidR="00021A4A">
        <w:rPr>
          <w:rStyle w:val="A4"/>
          <w:rFonts w:cs="Arial"/>
          <w:sz w:val="23"/>
          <w:szCs w:val="23"/>
        </w:rPr>
        <w:t xml:space="preserve"> These include Article 29(c), referring to respect for cultural identity as integral to education </w:t>
      </w:r>
      <w:r w:rsidR="00990C09">
        <w:rPr>
          <w:rStyle w:val="A4"/>
          <w:rFonts w:cs="Arial"/>
          <w:sz w:val="23"/>
          <w:szCs w:val="23"/>
        </w:rPr>
        <w:t xml:space="preserve">and Article </w:t>
      </w:r>
      <w:r w:rsidR="000446B5">
        <w:rPr>
          <w:rStyle w:val="A4"/>
          <w:rFonts w:cs="Arial"/>
          <w:sz w:val="23"/>
          <w:szCs w:val="23"/>
        </w:rPr>
        <w:t>30, which states that I</w:t>
      </w:r>
      <w:r w:rsidR="00990C09">
        <w:rPr>
          <w:rStyle w:val="A4"/>
          <w:rFonts w:cs="Arial"/>
          <w:sz w:val="23"/>
          <w:szCs w:val="23"/>
        </w:rPr>
        <w:t>ndigenous children shall not be denied the right to enjoy their own cultu</w:t>
      </w:r>
      <w:r w:rsidR="00E0668E">
        <w:rPr>
          <w:rStyle w:val="A4"/>
          <w:rFonts w:cs="Arial"/>
          <w:sz w:val="23"/>
          <w:szCs w:val="23"/>
        </w:rPr>
        <w:t xml:space="preserve">re. </w:t>
      </w:r>
      <w:r w:rsidR="000446B5">
        <w:rPr>
          <w:rStyle w:val="A4"/>
          <w:rFonts w:cs="Arial"/>
          <w:sz w:val="23"/>
          <w:szCs w:val="23"/>
        </w:rPr>
        <w:t>The specific references to I</w:t>
      </w:r>
      <w:r w:rsidR="00990C09">
        <w:rPr>
          <w:rStyle w:val="A4"/>
          <w:rFonts w:cs="Arial"/>
          <w:sz w:val="23"/>
          <w:szCs w:val="23"/>
        </w:rPr>
        <w:t xml:space="preserve">ndigenous children in the Convention are indicative of the recognition that they require special measures in order to fully enjoy their </w:t>
      </w:r>
      <w:r w:rsidR="00E0668E">
        <w:rPr>
          <w:rStyle w:val="A4"/>
          <w:rFonts w:cs="Arial"/>
          <w:sz w:val="23"/>
          <w:szCs w:val="23"/>
        </w:rPr>
        <w:t xml:space="preserve">cultural rights. </w:t>
      </w:r>
      <w:r w:rsidR="0050245D">
        <w:rPr>
          <w:rStyle w:val="A4"/>
          <w:rFonts w:cs="Arial"/>
          <w:sz w:val="23"/>
          <w:szCs w:val="23"/>
        </w:rPr>
        <w:t>In part</w:t>
      </w:r>
      <w:r w:rsidR="00005C58">
        <w:rPr>
          <w:rStyle w:val="A4"/>
          <w:rFonts w:cs="Arial"/>
          <w:sz w:val="23"/>
          <w:szCs w:val="23"/>
        </w:rPr>
        <w:t>icular, States parties are</w:t>
      </w:r>
      <w:r w:rsidR="0050245D">
        <w:rPr>
          <w:rStyle w:val="A4"/>
          <w:rFonts w:cs="Arial"/>
          <w:sz w:val="23"/>
          <w:szCs w:val="23"/>
        </w:rPr>
        <w:t xml:space="preserve"> urged to </w:t>
      </w:r>
      <w:r w:rsidR="00B16824">
        <w:rPr>
          <w:rStyle w:val="A4"/>
          <w:rFonts w:cs="Arial"/>
          <w:sz w:val="23"/>
          <w:szCs w:val="23"/>
        </w:rPr>
        <w:t xml:space="preserve">eliminate discriminatory attitudes and practices, including racism, and to </w:t>
      </w:r>
      <w:r w:rsidR="000446B5">
        <w:rPr>
          <w:rStyle w:val="A4"/>
          <w:rFonts w:cs="Arial"/>
          <w:sz w:val="23"/>
          <w:szCs w:val="23"/>
        </w:rPr>
        <w:t>ensure that I</w:t>
      </w:r>
      <w:r w:rsidR="0050245D">
        <w:rPr>
          <w:rStyle w:val="A4"/>
          <w:rFonts w:cs="Arial"/>
          <w:sz w:val="23"/>
          <w:szCs w:val="23"/>
        </w:rPr>
        <w:t>ndigenous children have access to culturally appropriate services in the areas of health, education, recreation and sports, social services and juvenile justice.</w:t>
      </w:r>
      <w:r w:rsidR="00B16824">
        <w:rPr>
          <w:rStyle w:val="EndnoteReference"/>
          <w:rFonts w:cs="Arial"/>
          <w:color w:val="000000"/>
          <w:szCs w:val="23"/>
        </w:rPr>
        <w:endnoteReference w:id="37"/>
      </w:r>
    </w:p>
    <w:p w:rsidR="0057782D" w:rsidRPr="00F255FB" w:rsidRDefault="0050245D" w:rsidP="00423C16">
      <w:pPr>
        <w:spacing w:before="0" w:after="180"/>
        <w:jc w:val="both"/>
        <w:rPr>
          <w:rFonts w:cs="Arial"/>
          <w:sz w:val="23"/>
          <w:szCs w:val="23"/>
        </w:rPr>
      </w:pPr>
      <w:r>
        <w:rPr>
          <w:rFonts w:cs="Arial"/>
          <w:sz w:val="23"/>
          <w:szCs w:val="23"/>
        </w:rPr>
        <w:t xml:space="preserve">In the Australian context, </w:t>
      </w:r>
      <w:r w:rsidR="00324A48" w:rsidRPr="00F255FB">
        <w:rPr>
          <w:rFonts w:cs="Arial"/>
          <w:sz w:val="23"/>
          <w:szCs w:val="23"/>
        </w:rPr>
        <w:t xml:space="preserve">Daryl </w:t>
      </w:r>
      <w:r w:rsidR="00C4316F" w:rsidRPr="00F255FB">
        <w:rPr>
          <w:rFonts w:cs="Arial"/>
          <w:sz w:val="23"/>
          <w:szCs w:val="23"/>
        </w:rPr>
        <w:t>Higgins</w:t>
      </w:r>
      <w:r>
        <w:rPr>
          <w:rFonts w:cs="Arial"/>
          <w:sz w:val="23"/>
          <w:szCs w:val="23"/>
        </w:rPr>
        <w:t xml:space="preserve"> </w:t>
      </w:r>
      <w:r w:rsidR="0077789D" w:rsidRPr="00F255FB">
        <w:rPr>
          <w:rFonts w:cs="Arial"/>
          <w:sz w:val="23"/>
          <w:szCs w:val="23"/>
        </w:rPr>
        <w:t xml:space="preserve">has </w:t>
      </w:r>
      <w:r w:rsidR="006424DD" w:rsidRPr="00F255FB">
        <w:rPr>
          <w:rFonts w:cs="Arial"/>
          <w:sz w:val="23"/>
          <w:szCs w:val="23"/>
        </w:rPr>
        <w:t xml:space="preserve">argued </w:t>
      </w:r>
      <w:r w:rsidR="0077789D" w:rsidRPr="00F255FB">
        <w:rPr>
          <w:rFonts w:cs="Arial"/>
          <w:sz w:val="23"/>
          <w:szCs w:val="23"/>
        </w:rPr>
        <w:t>that, in order to be effective, child safety must be treated as a societal issue</w:t>
      </w:r>
      <w:r w:rsidR="00324A48" w:rsidRPr="00F255FB">
        <w:rPr>
          <w:rFonts w:cs="Arial"/>
          <w:sz w:val="23"/>
          <w:szCs w:val="23"/>
        </w:rPr>
        <w:t xml:space="preserve">, adopting </w:t>
      </w:r>
      <w:r w:rsidR="00A14563" w:rsidRPr="00F255FB">
        <w:rPr>
          <w:rFonts w:cs="Arial"/>
          <w:sz w:val="23"/>
          <w:szCs w:val="23"/>
        </w:rPr>
        <w:t xml:space="preserve">holistic family </w:t>
      </w:r>
      <w:r w:rsidR="00324A48" w:rsidRPr="00F255FB">
        <w:rPr>
          <w:rFonts w:cs="Arial"/>
          <w:sz w:val="23"/>
          <w:szCs w:val="23"/>
        </w:rPr>
        <w:t xml:space="preserve">support </w:t>
      </w:r>
      <w:r w:rsidR="0077789D" w:rsidRPr="00F255FB">
        <w:rPr>
          <w:rFonts w:cs="Arial"/>
          <w:sz w:val="23"/>
          <w:szCs w:val="23"/>
        </w:rPr>
        <w:t>that recognise</w:t>
      </w:r>
      <w:r w:rsidR="00A14563" w:rsidRPr="00F255FB">
        <w:rPr>
          <w:rFonts w:cs="Arial"/>
          <w:sz w:val="23"/>
          <w:szCs w:val="23"/>
        </w:rPr>
        <w:t>s</w:t>
      </w:r>
      <w:r w:rsidR="0077789D" w:rsidRPr="00F255FB">
        <w:rPr>
          <w:rFonts w:cs="Arial"/>
          <w:sz w:val="23"/>
          <w:szCs w:val="23"/>
        </w:rPr>
        <w:t xml:space="preserve"> the</w:t>
      </w:r>
      <w:r w:rsidR="008E6C8E" w:rsidRPr="00F255FB">
        <w:rPr>
          <w:rFonts w:cs="Arial"/>
          <w:sz w:val="23"/>
          <w:szCs w:val="23"/>
        </w:rPr>
        <w:t xml:space="preserve"> fundamental</w:t>
      </w:r>
      <w:r w:rsidR="0077789D" w:rsidRPr="00F255FB">
        <w:rPr>
          <w:rFonts w:cs="Arial"/>
          <w:sz w:val="23"/>
          <w:szCs w:val="23"/>
        </w:rPr>
        <w:t xml:space="preserve"> importance of cultural safety</w:t>
      </w:r>
      <w:r w:rsidR="00A14563" w:rsidRPr="00F255FB">
        <w:rPr>
          <w:rFonts w:cs="Arial"/>
          <w:sz w:val="23"/>
          <w:szCs w:val="23"/>
        </w:rPr>
        <w:t>.</w:t>
      </w:r>
      <w:r w:rsidR="00776B0D" w:rsidRPr="00164C20">
        <w:rPr>
          <w:rStyle w:val="EndnoteReference"/>
          <w:rFonts w:cs="Arial"/>
          <w:szCs w:val="20"/>
        </w:rPr>
        <w:endnoteReference w:id="38"/>
      </w:r>
      <w:r w:rsidR="0077789D" w:rsidRPr="00F255FB">
        <w:rPr>
          <w:rFonts w:cs="Arial"/>
          <w:sz w:val="23"/>
          <w:szCs w:val="23"/>
        </w:rPr>
        <w:t xml:space="preserve"> </w:t>
      </w:r>
      <w:r w:rsidR="009F590E" w:rsidRPr="00F255FB">
        <w:rPr>
          <w:rFonts w:cs="Arial"/>
          <w:sz w:val="23"/>
          <w:szCs w:val="23"/>
        </w:rPr>
        <w:t xml:space="preserve">A broadly </w:t>
      </w:r>
      <w:r w:rsidR="00DE5FE7" w:rsidRPr="00F255FB">
        <w:rPr>
          <w:rFonts w:cs="Arial"/>
          <w:sz w:val="23"/>
          <w:szCs w:val="23"/>
        </w:rPr>
        <w:t>similar view has been advocated</w:t>
      </w:r>
      <w:r w:rsidR="009F590E" w:rsidRPr="00F255FB">
        <w:rPr>
          <w:rFonts w:cs="Arial"/>
          <w:sz w:val="23"/>
          <w:szCs w:val="23"/>
        </w:rPr>
        <w:t xml:space="preserve"> </w:t>
      </w:r>
      <w:r w:rsidR="00C22140" w:rsidRPr="00F255FB">
        <w:rPr>
          <w:rFonts w:cs="Arial"/>
          <w:sz w:val="23"/>
          <w:szCs w:val="23"/>
        </w:rPr>
        <w:t xml:space="preserve">in </w:t>
      </w:r>
      <w:r w:rsidR="00C41D6E" w:rsidRPr="00F255FB">
        <w:rPr>
          <w:rFonts w:cs="Arial"/>
          <w:sz w:val="23"/>
          <w:szCs w:val="23"/>
        </w:rPr>
        <w:t xml:space="preserve">the Family Matters </w:t>
      </w:r>
      <w:r w:rsidR="00FE772E" w:rsidRPr="00F255FB">
        <w:rPr>
          <w:rFonts w:cs="Arial"/>
          <w:sz w:val="23"/>
          <w:szCs w:val="23"/>
        </w:rPr>
        <w:t xml:space="preserve">campaign, which </w:t>
      </w:r>
      <w:r w:rsidR="00532D4B" w:rsidRPr="00F255FB">
        <w:rPr>
          <w:rFonts w:cs="Arial"/>
          <w:sz w:val="23"/>
          <w:szCs w:val="23"/>
        </w:rPr>
        <w:t>is calling fo</w:t>
      </w:r>
      <w:r w:rsidR="003B60DC" w:rsidRPr="00F255FB">
        <w:rPr>
          <w:rFonts w:cs="Arial"/>
          <w:sz w:val="23"/>
          <w:szCs w:val="23"/>
        </w:rPr>
        <w:t xml:space="preserve">r </w:t>
      </w:r>
      <w:r w:rsidR="00532D4B" w:rsidRPr="00F255FB">
        <w:rPr>
          <w:rFonts w:cs="Arial"/>
          <w:sz w:val="23"/>
          <w:szCs w:val="23"/>
        </w:rPr>
        <w:t xml:space="preserve">a national strategy </w:t>
      </w:r>
      <w:r w:rsidR="00FE772E" w:rsidRPr="00F255FB">
        <w:rPr>
          <w:rFonts w:cs="Arial"/>
          <w:sz w:val="23"/>
          <w:szCs w:val="23"/>
        </w:rPr>
        <w:t>to improve the safety and well</w:t>
      </w:r>
      <w:r w:rsidR="00532D4B" w:rsidRPr="00F255FB">
        <w:rPr>
          <w:rFonts w:cs="Arial"/>
          <w:sz w:val="23"/>
          <w:szCs w:val="23"/>
        </w:rPr>
        <w:t xml:space="preserve">being of Aboriginal and Torres Strait Islander children, </w:t>
      </w:r>
      <w:r w:rsidR="009B24D3" w:rsidRPr="00F255FB">
        <w:rPr>
          <w:rFonts w:cs="Arial"/>
          <w:sz w:val="23"/>
          <w:szCs w:val="23"/>
        </w:rPr>
        <w:t xml:space="preserve">and </w:t>
      </w:r>
      <w:r w:rsidR="00532D4B" w:rsidRPr="00F255FB">
        <w:rPr>
          <w:rFonts w:cs="Arial"/>
          <w:sz w:val="23"/>
          <w:szCs w:val="23"/>
        </w:rPr>
        <w:t>eliminating their over-representation in out-of-home care</w:t>
      </w:r>
      <w:r w:rsidR="00153D92" w:rsidRPr="00F255FB">
        <w:rPr>
          <w:rFonts w:cs="Arial"/>
          <w:sz w:val="23"/>
          <w:szCs w:val="23"/>
        </w:rPr>
        <w:t xml:space="preserve"> (OOHC)</w:t>
      </w:r>
      <w:r w:rsidR="00C41D6E" w:rsidRPr="00F255FB">
        <w:rPr>
          <w:rFonts w:cs="Arial"/>
          <w:sz w:val="23"/>
          <w:szCs w:val="23"/>
        </w:rPr>
        <w:t>.</w:t>
      </w:r>
      <w:r w:rsidR="00054252" w:rsidRPr="00164C20">
        <w:rPr>
          <w:rStyle w:val="EndnoteReference"/>
          <w:rFonts w:cs="Arial"/>
          <w:szCs w:val="20"/>
        </w:rPr>
        <w:endnoteReference w:id="39"/>
      </w:r>
      <w:r w:rsidR="0057782D" w:rsidRPr="00F255FB">
        <w:rPr>
          <w:rFonts w:cs="Arial"/>
          <w:sz w:val="23"/>
          <w:szCs w:val="23"/>
        </w:rPr>
        <w:t xml:space="preserve"> SNAICC offer the following definition of cultural safety for Aboriginal and Torres Strait Isl</w:t>
      </w:r>
      <w:r w:rsidR="009B24D3" w:rsidRPr="00F255FB">
        <w:rPr>
          <w:rFonts w:cs="Arial"/>
          <w:sz w:val="23"/>
          <w:szCs w:val="23"/>
        </w:rPr>
        <w:t>ander children</w:t>
      </w:r>
      <w:r w:rsidR="0057782D" w:rsidRPr="00F255FB">
        <w:rPr>
          <w:rFonts w:cs="Arial"/>
          <w:sz w:val="23"/>
          <w:szCs w:val="23"/>
        </w:rPr>
        <w:t xml:space="preserve">: </w:t>
      </w:r>
    </w:p>
    <w:p w:rsidR="003E4F90" w:rsidRDefault="003E4F90" w:rsidP="002A7840">
      <w:pPr>
        <w:pStyle w:val="NormalWeb"/>
        <w:shd w:val="clear" w:color="auto" w:fill="FFFFFF"/>
        <w:spacing w:before="120" w:after="180"/>
        <w:ind w:left="567" w:right="567"/>
        <w:jc w:val="both"/>
        <w:rPr>
          <w:rFonts w:ascii="Arial" w:hAnsi="Arial" w:cs="Arial"/>
          <w:sz w:val="22"/>
          <w:szCs w:val="22"/>
        </w:rPr>
      </w:pPr>
      <w:r>
        <w:rPr>
          <w:rFonts w:ascii="Arial" w:hAnsi="Arial" w:cs="Arial"/>
          <w:sz w:val="22"/>
          <w:szCs w:val="22"/>
        </w:rPr>
        <w:t>…</w:t>
      </w:r>
      <w:r w:rsidR="0057782D" w:rsidRPr="00FE772E">
        <w:rPr>
          <w:rFonts w:ascii="Arial" w:hAnsi="Arial" w:cs="Arial"/>
          <w:sz w:val="22"/>
          <w:szCs w:val="22"/>
        </w:rPr>
        <w:t>cultural safety encompasses the child being provided with a safe, nurturing and positive environment where they are comfortable with being themselves, expressing their culture…their spiritual and belief systems, and they are suppo</w:t>
      </w:r>
      <w:r w:rsidR="00E0668E">
        <w:rPr>
          <w:rFonts w:ascii="Arial" w:hAnsi="Arial" w:cs="Arial"/>
          <w:sz w:val="22"/>
          <w:szCs w:val="22"/>
        </w:rPr>
        <w:t xml:space="preserve">rted by the carer and family. </w:t>
      </w:r>
    </w:p>
    <w:p w:rsidR="0057782D" w:rsidRPr="00FE772E" w:rsidRDefault="00E0668E" w:rsidP="002A7840">
      <w:pPr>
        <w:pStyle w:val="NormalWeb"/>
        <w:shd w:val="clear" w:color="auto" w:fill="FFFFFF"/>
        <w:spacing w:before="120" w:after="180"/>
        <w:ind w:left="567" w:right="567"/>
        <w:jc w:val="both"/>
        <w:rPr>
          <w:rFonts w:ascii="Arial" w:hAnsi="Arial" w:cs="Arial"/>
          <w:sz w:val="23"/>
          <w:szCs w:val="23"/>
        </w:rPr>
      </w:pPr>
      <w:r>
        <w:rPr>
          <w:rFonts w:ascii="Arial" w:hAnsi="Arial" w:cs="Arial"/>
          <w:sz w:val="22"/>
          <w:szCs w:val="22"/>
        </w:rPr>
        <w:t>…</w:t>
      </w:r>
      <w:r w:rsidR="0057782D" w:rsidRPr="00FE772E">
        <w:rPr>
          <w:rFonts w:ascii="Arial" w:hAnsi="Arial" w:cs="Arial"/>
          <w:sz w:val="22"/>
          <w:szCs w:val="22"/>
        </w:rPr>
        <w:t>cultural safety is when you as the carer provide the child with a safe home, which respects their Aboriginality and therefore encourages their sense of self and identity.</w:t>
      </w:r>
      <w:r w:rsidR="0057782D" w:rsidRPr="00FE772E">
        <w:rPr>
          <w:rStyle w:val="EndnoteReference"/>
          <w:rFonts w:cs="Arial"/>
          <w:szCs w:val="20"/>
        </w:rPr>
        <w:endnoteReference w:id="40"/>
      </w:r>
    </w:p>
    <w:p w:rsidR="00923C99" w:rsidRPr="00F255FB" w:rsidRDefault="00923C99" w:rsidP="00423C16">
      <w:pPr>
        <w:spacing w:before="0" w:after="180"/>
        <w:jc w:val="both"/>
        <w:rPr>
          <w:rFonts w:cs="Arial"/>
          <w:sz w:val="23"/>
          <w:szCs w:val="23"/>
        </w:rPr>
      </w:pPr>
      <w:r w:rsidRPr="00F255FB">
        <w:rPr>
          <w:rFonts w:cs="Arial"/>
          <w:sz w:val="23"/>
          <w:szCs w:val="23"/>
        </w:rPr>
        <w:t>Muriel Bamblett</w:t>
      </w:r>
      <w:r w:rsidR="00F744A6" w:rsidRPr="00F255FB">
        <w:rPr>
          <w:rFonts w:cs="Arial"/>
          <w:sz w:val="23"/>
          <w:szCs w:val="23"/>
        </w:rPr>
        <w:t xml:space="preserve">, CEO of the Victorian Aboriginal Child Care Agency, </w:t>
      </w:r>
      <w:r w:rsidRPr="00F255FB">
        <w:rPr>
          <w:rFonts w:cs="Arial"/>
          <w:sz w:val="23"/>
          <w:szCs w:val="23"/>
        </w:rPr>
        <w:t xml:space="preserve">has evoked the metaphor of culture as a possum skin cloak, providing warmth and connection to ancestors, creator spirits and the land, as part of her view that programmes must seek to </w:t>
      </w:r>
      <w:r w:rsidRPr="00F255FB">
        <w:rPr>
          <w:rFonts w:cs="Arial"/>
          <w:sz w:val="23"/>
          <w:szCs w:val="23"/>
        </w:rPr>
        <w:lastRenderedPageBreak/>
        <w:t>strengthen the safety, wellbeing and cultural connectedness of Aboriginal and Torres Strait Islander children, individuals and families. In discussing the work of the Victorian Aboriginal Child Care Agency, Bamblett posits culture as a vital protective factor, promoting resilience.</w:t>
      </w:r>
      <w:r w:rsidRPr="00164C20">
        <w:rPr>
          <w:rStyle w:val="EndnoteReference"/>
          <w:rFonts w:cs="Arial"/>
          <w:szCs w:val="20"/>
        </w:rPr>
        <w:endnoteReference w:id="41"/>
      </w:r>
      <w:r w:rsidRPr="00F255FB">
        <w:rPr>
          <w:rFonts w:cs="Arial"/>
          <w:sz w:val="23"/>
          <w:szCs w:val="23"/>
        </w:rPr>
        <w:t xml:space="preserve"> </w:t>
      </w:r>
    </w:p>
    <w:p w:rsidR="00394A86" w:rsidRPr="00F255FB" w:rsidRDefault="00923C99" w:rsidP="00394A86">
      <w:pPr>
        <w:autoSpaceDE w:val="0"/>
        <w:autoSpaceDN w:val="0"/>
        <w:adjustRightInd w:val="0"/>
        <w:spacing w:before="0" w:after="180"/>
        <w:jc w:val="both"/>
        <w:rPr>
          <w:rFonts w:cs="Arial"/>
          <w:sz w:val="23"/>
          <w:szCs w:val="23"/>
          <w:lang w:val="en"/>
        </w:rPr>
      </w:pPr>
      <w:r w:rsidRPr="00F255FB">
        <w:rPr>
          <w:rFonts w:cs="Arial"/>
          <w:sz w:val="23"/>
          <w:szCs w:val="23"/>
        </w:rPr>
        <w:t>The</w:t>
      </w:r>
      <w:r w:rsidR="005341D2" w:rsidRPr="00F255FB">
        <w:rPr>
          <w:rFonts w:cs="Arial"/>
          <w:sz w:val="23"/>
          <w:szCs w:val="23"/>
        </w:rPr>
        <w:t xml:space="preserve"> First 1000 Days Australia </w:t>
      </w:r>
      <w:r w:rsidR="003E4F90">
        <w:rPr>
          <w:rFonts w:cs="Arial"/>
          <w:sz w:val="23"/>
          <w:szCs w:val="23"/>
        </w:rPr>
        <w:t xml:space="preserve">movement </w:t>
      </w:r>
      <w:r w:rsidR="005341D2" w:rsidRPr="00F255FB">
        <w:rPr>
          <w:rFonts w:cs="Arial"/>
          <w:sz w:val="23"/>
          <w:szCs w:val="23"/>
        </w:rPr>
        <w:t>calls</w:t>
      </w:r>
      <w:r w:rsidR="00CC492B" w:rsidRPr="00F255FB">
        <w:rPr>
          <w:rFonts w:cs="Arial"/>
          <w:sz w:val="23"/>
          <w:szCs w:val="23"/>
        </w:rPr>
        <w:t xml:space="preserve"> for increased action and investment in improving the first two years</w:t>
      </w:r>
      <w:r w:rsidR="005341D2" w:rsidRPr="00F255FB">
        <w:rPr>
          <w:rFonts w:cs="Arial"/>
          <w:sz w:val="23"/>
          <w:szCs w:val="23"/>
        </w:rPr>
        <w:t xml:space="preserve"> of children’s lives.</w:t>
      </w:r>
      <w:r w:rsidR="00CC492B" w:rsidRPr="00F255FB">
        <w:rPr>
          <w:rFonts w:cs="Arial"/>
          <w:sz w:val="23"/>
          <w:szCs w:val="23"/>
        </w:rPr>
        <w:t xml:space="preserve"> </w:t>
      </w:r>
      <w:r w:rsidR="005341D2" w:rsidRPr="00F255FB">
        <w:rPr>
          <w:rFonts w:cs="Arial"/>
          <w:sz w:val="23"/>
          <w:szCs w:val="23"/>
        </w:rPr>
        <w:t xml:space="preserve">It </w:t>
      </w:r>
      <w:r w:rsidR="000217E2" w:rsidRPr="00F255FB">
        <w:rPr>
          <w:rFonts w:cs="Arial"/>
          <w:sz w:val="23"/>
          <w:szCs w:val="23"/>
        </w:rPr>
        <w:t>provides a further example of the pivotal link between culture and wellbeing for Aboriginal and Torres Strait Islander children</w:t>
      </w:r>
      <w:r w:rsidRPr="00F255FB">
        <w:rPr>
          <w:rFonts w:cs="Arial"/>
          <w:sz w:val="23"/>
          <w:szCs w:val="23"/>
        </w:rPr>
        <w:t>.</w:t>
      </w:r>
      <w:r w:rsidRPr="00164C20">
        <w:rPr>
          <w:rStyle w:val="EndnoteReference"/>
          <w:rFonts w:cs="Arial"/>
          <w:szCs w:val="20"/>
        </w:rPr>
        <w:endnoteReference w:id="42"/>
      </w:r>
      <w:r w:rsidRPr="00F255FB">
        <w:rPr>
          <w:rFonts w:cs="Arial"/>
          <w:sz w:val="23"/>
          <w:szCs w:val="23"/>
        </w:rPr>
        <w:t xml:space="preserve"> </w:t>
      </w:r>
      <w:r w:rsidR="005341D2" w:rsidRPr="00F255FB">
        <w:rPr>
          <w:rFonts w:cs="Arial"/>
          <w:sz w:val="23"/>
          <w:szCs w:val="23"/>
        </w:rPr>
        <w:t xml:space="preserve">Kerry </w:t>
      </w:r>
      <w:r w:rsidR="005C0B91" w:rsidRPr="00F255FB">
        <w:rPr>
          <w:rFonts w:cs="Arial"/>
          <w:sz w:val="23"/>
          <w:szCs w:val="23"/>
          <w:lang w:val="en"/>
        </w:rPr>
        <w:t xml:space="preserve">Arabena, </w:t>
      </w:r>
      <w:r w:rsidR="00833E4D" w:rsidRPr="00F255FB">
        <w:rPr>
          <w:rFonts w:cs="Arial"/>
          <w:sz w:val="23"/>
          <w:szCs w:val="23"/>
          <w:lang w:val="en"/>
        </w:rPr>
        <w:t xml:space="preserve">Stacey </w:t>
      </w:r>
      <w:r w:rsidR="005C0B91" w:rsidRPr="00F255FB">
        <w:rPr>
          <w:rFonts w:cs="Arial"/>
          <w:sz w:val="23"/>
          <w:szCs w:val="23"/>
          <w:lang w:val="en"/>
        </w:rPr>
        <w:t xml:space="preserve">Panozzo and </w:t>
      </w:r>
      <w:r w:rsidR="00833E4D" w:rsidRPr="00F255FB">
        <w:rPr>
          <w:rFonts w:cs="Arial"/>
          <w:sz w:val="23"/>
          <w:szCs w:val="23"/>
          <w:lang w:val="en"/>
        </w:rPr>
        <w:t xml:space="preserve">Rebecca </w:t>
      </w:r>
      <w:r w:rsidR="005C0B91" w:rsidRPr="00F255FB">
        <w:rPr>
          <w:rFonts w:cs="Arial"/>
          <w:sz w:val="23"/>
          <w:szCs w:val="23"/>
          <w:lang w:val="en"/>
        </w:rPr>
        <w:t xml:space="preserve">Ritte, writing about their experience of the Australian </w:t>
      </w:r>
      <w:r w:rsidR="003E4F90">
        <w:rPr>
          <w:rFonts w:cs="Arial"/>
          <w:sz w:val="23"/>
          <w:szCs w:val="23"/>
          <w:lang w:val="en"/>
        </w:rPr>
        <w:t xml:space="preserve">First </w:t>
      </w:r>
      <w:r w:rsidR="005C0B91" w:rsidRPr="00F255FB">
        <w:rPr>
          <w:rFonts w:cs="Arial"/>
          <w:sz w:val="23"/>
          <w:szCs w:val="23"/>
          <w:lang w:val="en"/>
        </w:rPr>
        <w:t>1000 Days movement, point to the need to incorporate strong community governance processes, respectfully engaging community and incorporating local priorities and strengths.</w:t>
      </w:r>
      <w:r w:rsidR="005C0B91" w:rsidRPr="00E41188">
        <w:rPr>
          <w:rStyle w:val="EndnoteReference"/>
          <w:rFonts w:cs="Arial"/>
          <w:szCs w:val="20"/>
          <w:lang w:val="en"/>
        </w:rPr>
        <w:endnoteReference w:id="43"/>
      </w:r>
      <w:r w:rsidR="005C0B91" w:rsidRPr="00F255FB">
        <w:rPr>
          <w:rFonts w:cs="Arial"/>
          <w:sz w:val="23"/>
          <w:szCs w:val="23"/>
          <w:lang w:val="en"/>
        </w:rPr>
        <w:t xml:space="preserve"> They also highlight the importance of recognising the heterogeneity evident throughout urban, regional/rural and remote settings, a diversity that is sometimes masked by the use of ‘culture’ in the singular.</w:t>
      </w:r>
      <w:r w:rsidR="005C0B91" w:rsidRPr="00E41188">
        <w:rPr>
          <w:rStyle w:val="EndnoteReference"/>
          <w:rFonts w:cs="Arial"/>
          <w:szCs w:val="20"/>
          <w:lang w:val="en"/>
        </w:rPr>
        <w:endnoteReference w:id="44"/>
      </w:r>
      <w:r w:rsidR="00912D1D">
        <w:rPr>
          <w:rFonts w:cs="Arial"/>
          <w:sz w:val="23"/>
          <w:szCs w:val="23"/>
          <w:lang w:val="en"/>
        </w:rPr>
        <w:t xml:space="preserve"> The </w:t>
      </w:r>
      <w:r w:rsidR="00BD7E2D">
        <w:rPr>
          <w:rFonts w:cs="Arial"/>
          <w:sz w:val="23"/>
          <w:szCs w:val="23"/>
          <w:lang w:val="en"/>
        </w:rPr>
        <w:t xml:space="preserve">reference to ‘cultures’ </w:t>
      </w:r>
      <w:r w:rsidR="00C54FDF">
        <w:rPr>
          <w:rFonts w:cs="Arial"/>
          <w:sz w:val="23"/>
          <w:szCs w:val="23"/>
          <w:lang w:val="en"/>
        </w:rPr>
        <w:t xml:space="preserve">here </w:t>
      </w:r>
      <w:r w:rsidR="00BD7E2D">
        <w:rPr>
          <w:rFonts w:cs="Arial"/>
          <w:sz w:val="23"/>
          <w:szCs w:val="23"/>
          <w:lang w:val="en"/>
        </w:rPr>
        <w:t>serves as</w:t>
      </w:r>
      <w:r w:rsidR="00985A1D">
        <w:rPr>
          <w:rFonts w:cs="Arial"/>
          <w:sz w:val="23"/>
          <w:szCs w:val="23"/>
          <w:lang w:val="en"/>
        </w:rPr>
        <w:t xml:space="preserve"> a</w:t>
      </w:r>
      <w:r w:rsidR="00BD7E2D">
        <w:rPr>
          <w:rFonts w:cs="Arial"/>
          <w:sz w:val="23"/>
          <w:szCs w:val="23"/>
          <w:lang w:val="en"/>
        </w:rPr>
        <w:t xml:space="preserve"> reminder that </w:t>
      </w:r>
      <w:r w:rsidR="00005C58">
        <w:rPr>
          <w:rFonts w:cs="Arial"/>
          <w:sz w:val="23"/>
          <w:szCs w:val="23"/>
          <w:lang w:val="en"/>
        </w:rPr>
        <w:t>research now indicates</w:t>
      </w:r>
      <w:r w:rsidR="00EE5A46">
        <w:rPr>
          <w:rFonts w:cs="Arial"/>
          <w:sz w:val="23"/>
          <w:szCs w:val="23"/>
          <w:lang w:val="en"/>
        </w:rPr>
        <w:t xml:space="preserve"> that </w:t>
      </w:r>
      <w:r w:rsidR="00912D1D">
        <w:rPr>
          <w:rFonts w:cs="Arial"/>
          <w:sz w:val="23"/>
          <w:szCs w:val="23"/>
          <w:lang w:val="en"/>
        </w:rPr>
        <w:t>Aboriginal and Torres Strait Islander children</w:t>
      </w:r>
      <w:r w:rsidR="00BD7E2D">
        <w:rPr>
          <w:rFonts w:cs="Arial"/>
          <w:sz w:val="23"/>
          <w:szCs w:val="23"/>
          <w:lang w:val="en"/>
        </w:rPr>
        <w:t xml:space="preserve"> have different needs and variable access to services</w:t>
      </w:r>
      <w:r w:rsidR="00912D1D">
        <w:rPr>
          <w:rFonts w:cs="Arial"/>
          <w:sz w:val="23"/>
          <w:szCs w:val="23"/>
          <w:lang w:val="en"/>
        </w:rPr>
        <w:t>, depending on whether they live in urban, regional or remote locations</w:t>
      </w:r>
      <w:r w:rsidR="00BD7E2D">
        <w:rPr>
          <w:rFonts w:cs="Arial"/>
          <w:sz w:val="23"/>
          <w:szCs w:val="23"/>
          <w:lang w:val="en"/>
        </w:rPr>
        <w:t>.</w:t>
      </w:r>
      <w:r w:rsidR="00EE5A46">
        <w:rPr>
          <w:rStyle w:val="EndnoteReference"/>
          <w:rFonts w:cs="Arial"/>
          <w:szCs w:val="23"/>
          <w:lang w:val="en"/>
        </w:rPr>
        <w:endnoteReference w:id="45"/>
      </w:r>
    </w:p>
    <w:p w:rsidR="00457069" w:rsidRPr="00F255FB" w:rsidRDefault="00457069" w:rsidP="00394A86">
      <w:pPr>
        <w:autoSpaceDE w:val="0"/>
        <w:autoSpaceDN w:val="0"/>
        <w:adjustRightInd w:val="0"/>
        <w:spacing w:before="0" w:after="180"/>
        <w:jc w:val="both"/>
        <w:rPr>
          <w:rFonts w:cs="Arial"/>
          <w:sz w:val="23"/>
          <w:szCs w:val="23"/>
          <w:lang w:val="en"/>
        </w:rPr>
      </w:pPr>
      <w:r w:rsidRPr="00F255FB">
        <w:rPr>
          <w:rFonts w:cs="Arial"/>
          <w:sz w:val="23"/>
          <w:szCs w:val="23"/>
        </w:rPr>
        <w:t xml:space="preserve">In 2017, the ongoing dislocation of Aboriginal and Torres Strait Islander children </w:t>
      </w:r>
      <w:r w:rsidR="00B446DB" w:rsidRPr="00F255FB">
        <w:rPr>
          <w:rFonts w:cs="Arial"/>
          <w:sz w:val="23"/>
          <w:szCs w:val="23"/>
        </w:rPr>
        <w:t>from family and culture was</w:t>
      </w:r>
      <w:r w:rsidRPr="00F255FB">
        <w:rPr>
          <w:rFonts w:cs="Arial"/>
          <w:sz w:val="23"/>
          <w:szCs w:val="23"/>
        </w:rPr>
        <w:t xml:space="preserve"> highlighted in the Report of the Royal Commission and Board of Inquiry into the Protection and Detention of Children in the Northern Territory</w:t>
      </w:r>
      <w:r w:rsidR="00DC077E" w:rsidRPr="00F255FB">
        <w:rPr>
          <w:rFonts w:cs="Arial"/>
          <w:sz w:val="23"/>
          <w:szCs w:val="23"/>
        </w:rPr>
        <w:t xml:space="preserve"> (NT)</w:t>
      </w:r>
      <w:r w:rsidRPr="00F255FB">
        <w:rPr>
          <w:rFonts w:cs="Arial"/>
          <w:sz w:val="23"/>
          <w:szCs w:val="23"/>
        </w:rPr>
        <w:t xml:space="preserve">. </w:t>
      </w:r>
      <w:r w:rsidR="00DC077E" w:rsidRPr="00F255FB">
        <w:rPr>
          <w:rFonts w:cs="Arial"/>
          <w:sz w:val="23"/>
          <w:szCs w:val="23"/>
        </w:rPr>
        <w:t xml:space="preserve">The NT </w:t>
      </w:r>
      <w:r w:rsidR="00237E1E" w:rsidRPr="00F255FB">
        <w:rPr>
          <w:rFonts w:cs="Arial"/>
          <w:sz w:val="23"/>
          <w:szCs w:val="23"/>
        </w:rPr>
        <w:t xml:space="preserve">Royal </w:t>
      </w:r>
      <w:r w:rsidR="00CE3809" w:rsidRPr="00F255FB">
        <w:rPr>
          <w:rFonts w:cs="Arial"/>
          <w:sz w:val="23"/>
          <w:szCs w:val="23"/>
        </w:rPr>
        <w:t xml:space="preserve">Commission </w:t>
      </w:r>
      <w:r w:rsidR="00DC077E" w:rsidRPr="00F255FB">
        <w:rPr>
          <w:rFonts w:cs="Arial"/>
          <w:sz w:val="23"/>
          <w:szCs w:val="23"/>
        </w:rPr>
        <w:t xml:space="preserve">found that youth detention services failed to support the rights of Aboriginal children and young people to build and maintain their connection to culture </w:t>
      </w:r>
      <w:r w:rsidR="00C84040" w:rsidRPr="00F255FB">
        <w:rPr>
          <w:rFonts w:cs="Arial"/>
          <w:sz w:val="23"/>
          <w:szCs w:val="23"/>
        </w:rPr>
        <w:t xml:space="preserve">and language, recommending </w:t>
      </w:r>
      <w:r w:rsidR="00DC077E" w:rsidRPr="00F255FB">
        <w:rPr>
          <w:rFonts w:cs="Arial"/>
          <w:sz w:val="23"/>
          <w:szCs w:val="23"/>
        </w:rPr>
        <w:t xml:space="preserve">an approach to youth detention ‘that recognises and </w:t>
      </w:r>
      <w:r w:rsidR="00A30DEA" w:rsidRPr="00F255FB">
        <w:rPr>
          <w:rFonts w:cs="Arial"/>
          <w:sz w:val="23"/>
          <w:szCs w:val="23"/>
        </w:rPr>
        <w:t>uses the v</w:t>
      </w:r>
      <w:r w:rsidR="00086259" w:rsidRPr="00F255FB">
        <w:rPr>
          <w:rFonts w:cs="Arial"/>
          <w:sz w:val="23"/>
          <w:szCs w:val="23"/>
        </w:rPr>
        <w:t>alue of connection to culture’.</w:t>
      </w:r>
      <w:r w:rsidR="00501B61" w:rsidRPr="00E41188">
        <w:rPr>
          <w:rStyle w:val="EndnoteReference"/>
          <w:rFonts w:cs="Arial"/>
          <w:szCs w:val="20"/>
        </w:rPr>
        <w:endnoteReference w:id="46"/>
      </w:r>
    </w:p>
    <w:p w:rsidR="00BE2208" w:rsidRPr="00F255FB" w:rsidRDefault="0055687C" w:rsidP="002A7840">
      <w:pPr>
        <w:autoSpaceDE w:val="0"/>
        <w:autoSpaceDN w:val="0"/>
        <w:adjustRightInd w:val="0"/>
        <w:spacing w:before="0" w:after="180"/>
        <w:jc w:val="both"/>
        <w:rPr>
          <w:rFonts w:cs="Arial"/>
          <w:sz w:val="23"/>
          <w:szCs w:val="23"/>
        </w:rPr>
      </w:pPr>
      <w:r w:rsidRPr="00F255FB">
        <w:rPr>
          <w:rFonts w:cs="Arial"/>
          <w:sz w:val="23"/>
          <w:szCs w:val="23"/>
        </w:rPr>
        <w:t xml:space="preserve">The final report of the Royal Commission into Institutional Responses to Child Sexual Abuse (the Royal Commission), released in December 2017, made a number of recommendations about the importance of cultural safety for </w:t>
      </w:r>
      <w:r w:rsidR="00833E4D" w:rsidRPr="00F255FB">
        <w:rPr>
          <w:rFonts w:cs="Arial"/>
          <w:sz w:val="23"/>
          <w:szCs w:val="23"/>
        </w:rPr>
        <w:t xml:space="preserve">Aboriginal and Torres Strait Islander </w:t>
      </w:r>
      <w:r w:rsidR="00E444E8" w:rsidRPr="00F255FB">
        <w:rPr>
          <w:rFonts w:cs="Arial"/>
          <w:sz w:val="23"/>
          <w:szCs w:val="23"/>
        </w:rPr>
        <w:t>children. These include</w:t>
      </w:r>
      <w:r w:rsidR="00BE2208" w:rsidRPr="00F255FB">
        <w:rPr>
          <w:rFonts w:cs="Arial"/>
          <w:sz w:val="23"/>
          <w:szCs w:val="23"/>
        </w:rPr>
        <w:t>:</w:t>
      </w:r>
    </w:p>
    <w:p w:rsidR="00BE2208" w:rsidRPr="00F255FB" w:rsidRDefault="00E444E8" w:rsidP="002A7840">
      <w:pPr>
        <w:pStyle w:val="ListParagraph"/>
        <w:numPr>
          <w:ilvl w:val="0"/>
          <w:numId w:val="42"/>
        </w:numPr>
        <w:autoSpaceDE w:val="0"/>
        <w:autoSpaceDN w:val="0"/>
        <w:adjustRightInd w:val="0"/>
        <w:spacing w:before="0" w:after="180"/>
        <w:jc w:val="both"/>
        <w:rPr>
          <w:rFonts w:cs="Arial"/>
          <w:sz w:val="23"/>
          <w:szCs w:val="23"/>
        </w:rPr>
      </w:pPr>
      <w:r w:rsidRPr="00F255FB">
        <w:rPr>
          <w:rFonts w:cs="Arial"/>
          <w:sz w:val="23"/>
          <w:szCs w:val="23"/>
        </w:rPr>
        <w:t>the funding of</w:t>
      </w:r>
      <w:r w:rsidR="00085A6B" w:rsidRPr="00F255FB">
        <w:rPr>
          <w:rFonts w:cs="Arial"/>
          <w:sz w:val="23"/>
          <w:szCs w:val="23"/>
        </w:rPr>
        <w:t xml:space="preserve"> Aboriginal and Torres Strait Islander healing approaches for victims and survivors of child sexual abuse (Recommendation 9.2)</w:t>
      </w:r>
    </w:p>
    <w:p w:rsidR="00BE2208" w:rsidRPr="00F255FB" w:rsidRDefault="00BC1890" w:rsidP="002A7840">
      <w:pPr>
        <w:pStyle w:val="ListParagraph"/>
        <w:numPr>
          <w:ilvl w:val="0"/>
          <w:numId w:val="42"/>
        </w:numPr>
        <w:autoSpaceDE w:val="0"/>
        <w:autoSpaceDN w:val="0"/>
        <w:adjustRightInd w:val="0"/>
        <w:spacing w:before="0" w:after="180"/>
        <w:jc w:val="both"/>
        <w:rPr>
          <w:rFonts w:cs="Arial"/>
          <w:sz w:val="23"/>
          <w:szCs w:val="23"/>
        </w:rPr>
      </w:pPr>
      <w:r w:rsidRPr="00F255FB">
        <w:rPr>
          <w:rFonts w:cs="Arial"/>
          <w:sz w:val="23"/>
          <w:szCs w:val="23"/>
        </w:rPr>
        <w:t xml:space="preserve">the </w:t>
      </w:r>
      <w:r w:rsidR="00466AE5" w:rsidRPr="00F255FB">
        <w:rPr>
          <w:rFonts w:cs="Arial"/>
          <w:sz w:val="23"/>
          <w:szCs w:val="23"/>
        </w:rPr>
        <w:t>develop</w:t>
      </w:r>
      <w:r w:rsidRPr="00F255FB">
        <w:rPr>
          <w:rFonts w:cs="Arial"/>
          <w:sz w:val="23"/>
          <w:szCs w:val="23"/>
        </w:rPr>
        <w:t>ment</w:t>
      </w:r>
      <w:r w:rsidR="00466AE5" w:rsidRPr="00F255FB">
        <w:rPr>
          <w:rFonts w:cs="Arial"/>
          <w:sz w:val="23"/>
          <w:szCs w:val="23"/>
        </w:rPr>
        <w:t xml:space="preserve"> and implement</w:t>
      </w:r>
      <w:r w:rsidRPr="00F255FB">
        <w:rPr>
          <w:rFonts w:cs="Arial"/>
          <w:sz w:val="23"/>
          <w:szCs w:val="23"/>
        </w:rPr>
        <w:t>ation of</w:t>
      </w:r>
      <w:r w:rsidR="00466AE5" w:rsidRPr="00F255FB">
        <w:rPr>
          <w:rFonts w:cs="Arial"/>
          <w:sz w:val="23"/>
          <w:szCs w:val="23"/>
        </w:rPr>
        <w:t xml:space="preserve"> plans to fully implement the Aboriginal and Torres Strait Islander Child Placement Principle (Recommendation </w:t>
      </w:r>
      <w:r w:rsidR="00BE233A" w:rsidRPr="00F255FB">
        <w:rPr>
          <w:rFonts w:cs="Arial"/>
          <w:sz w:val="23"/>
          <w:szCs w:val="23"/>
        </w:rPr>
        <w:t>12.20)</w:t>
      </w:r>
      <w:r w:rsidR="00466AE5" w:rsidRPr="00F255FB">
        <w:rPr>
          <w:rFonts w:cs="Arial"/>
          <w:sz w:val="23"/>
          <w:szCs w:val="23"/>
        </w:rPr>
        <w:t xml:space="preserve"> </w:t>
      </w:r>
    </w:p>
    <w:p w:rsidR="00BE2208" w:rsidRPr="00F255FB" w:rsidRDefault="00177509" w:rsidP="002A7840">
      <w:pPr>
        <w:pStyle w:val="ListParagraph"/>
        <w:numPr>
          <w:ilvl w:val="0"/>
          <w:numId w:val="42"/>
        </w:numPr>
        <w:autoSpaceDE w:val="0"/>
        <w:autoSpaceDN w:val="0"/>
        <w:adjustRightInd w:val="0"/>
        <w:spacing w:before="0" w:after="180"/>
        <w:jc w:val="both"/>
        <w:rPr>
          <w:rFonts w:cs="Arial"/>
          <w:sz w:val="23"/>
          <w:szCs w:val="23"/>
        </w:rPr>
      </w:pPr>
      <w:r w:rsidRPr="00F255FB">
        <w:rPr>
          <w:rFonts w:cs="Arial"/>
          <w:sz w:val="23"/>
          <w:szCs w:val="23"/>
        </w:rPr>
        <w:t>t</w:t>
      </w:r>
      <w:r w:rsidR="00F27C59">
        <w:rPr>
          <w:rFonts w:cs="Arial"/>
          <w:sz w:val="23"/>
          <w:szCs w:val="23"/>
        </w:rPr>
        <w:t>he need for s</w:t>
      </w:r>
      <w:r w:rsidR="00324187" w:rsidRPr="00F255FB">
        <w:rPr>
          <w:rFonts w:cs="Arial"/>
          <w:sz w:val="23"/>
          <w:szCs w:val="23"/>
        </w:rPr>
        <w:t xml:space="preserve">tate and territory </w:t>
      </w:r>
      <w:r w:rsidRPr="00F255FB">
        <w:rPr>
          <w:rFonts w:cs="Arial"/>
          <w:sz w:val="23"/>
          <w:szCs w:val="23"/>
        </w:rPr>
        <w:t>governments to consider further strategies for the cultural safety of Aboriginal and Torres Strait Islander children in youth detention including recruiting and developing Aboriginal and Torres Strait Islander staff, providing access to interpreters, facilitating detainees</w:t>
      </w:r>
      <w:r w:rsidR="00F27C59">
        <w:rPr>
          <w:rFonts w:cs="Arial"/>
          <w:sz w:val="23"/>
          <w:szCs w:val="23"/>
        </w:rPr>
        <w:t>’</w:t>
      </w:r>
      <w:r w:rsidRPr="00F255FB">
        <w:rPr>
          <w:rFonts w:cs="Arial"/>
          <w:sz w:val="23"/>
          <w:szCs w:val="23"/>
        </w:rPr>
        <w:t xml:space="preserve"> connections with family, community and culture, having policies and procedures in place that respect the cultural practices of different clan groups</w:t>
      </w:r>
      <w:r w:rsidR="00BE2208" w:rsidRPr="00F255FB">
        <w:rPr>
          <w:rFonts w:cs="Arial"/>
          <w:sz w:val="23"/>
          <w:szCs w:val="23"/>
        </w:rPr>
        <w:t xml:space="preserve"> and</w:t>
      </w:r>
      <w:r w:rsidR="00BC1890" w:rsidRPr="00F255FB">
        <w:rPr>
          <w:rFonts w:cs="Arial"/>
          <w:sz w:val="23"/>
          <w:szCs w:val="23"/>
        </w:rPr>
        <w:t xml:space="preserve"> building professional capacity in cultural competence for staff</w:t>
      </w:r>
      <w:r w:rsidR="00BE2208" w:rsidRPr="00F255FB">
        <w:rPr>
          <w:rFonts w:cs="Arial"/>
          <w:sz w:val="23"/>
          <w:szCs w:val="23"/>
        </w:rPr>
        <w:t xml:space="preserve"> (Recommendation 15.5)</w:t>
      </w:r>
      <w:r w:rsidR="00BC1890" w:rsidRPr="00F255FB">
        <w:rPr>
          <w:rFonts w:cs="Arial"/>
          <w:sz w:val="23"/>
          <w:szCs w:val="23"/>
        </w:rPr>
        <w:t>.</w:t>
      </w:r>
      <w:r w:rsidR="0035224B" w:rsidRPr="00E41188">
        <w:rPr>
          <w:rStyle w:val="EndnoteReference"/>
          <w:rFonts w:cs="Arial"/>
          <w:szCs w:val="20"/>
        </w:rPr>
        <w:endnoteReference w:id="47"/>
      </w:r>
      <w:r w:rsidR="00324187" w:rsidRPr="00F255FB">
        <w:rPr>
          <w:rFonts w:cs="Arial"/>
          <w:sz w:val="23"/>
          <w:szCs w:val="23"/>
        </w:rPr>
        <w:t xml:space="preserve"> </w:t>
      </w:r>
    </w:p>
    <w:p w:rsidR="004434B1" w:rsidRPr="00F255FB" w:rsidRDefault="00D448E2" w:rsidP="002A7840">
      <w:pPr>
        <w:autoSpaceDE w:val="0"/>
        <w:autoSpaceDN w:val="0"/>
        <w:adjustRightInd w:val="0"/>
        <w:spacing w:before="0" w:after="180"/>
        <w:jc w:val="both"/>
        <w:rPr>
          <w:rFonts w:cs="Arial"/>
          <w:color w:val="000000" w:themeColor="text1"/>
          <w:sz w:val="23"/>
          <w:szCs w:val="23"/>
        </w:rPr>
      </w:pPr>
      <w:r w:rsidRPr="00F255FB">
        <w:rPr>
          <w:rFonts w:cs="Arial"/>
          <w:color w:val="000000" w:themeColor="text1"/>
          <w:sz w:val="23"/>
          <w:szCs w:val="23"/>
        </w:rPr>
        <w:t>T</w:t>
      </w:r>
      <w:r w:rsidR="00324187" w:rsidRPr="00F255FB">
        <w:rPr>
          <w:rFonts w:cs="Arial"/>
          <w:color w:val="000000" w:themeColor="text1"/>
          <w:sz w:val="23"/>
          <w:szCs w:val="23"/>
        </w:rPr>
        <w:t xml:space="preserve">he </w:t>
      </w:r>
      <w:r w:rsidR="00027CE9" w:rsidRPr="00F255FB">
        <w:rPr>
          <w:rFonts w:cs="Arial"/>
          <w:i/>
          <w:color w:val="000000" w:themeColor="text1"/>
          <w:sz w:val="23"/>
          <w:szCs w:val="23"/>
        </w:rPr>
        <w:t>Criminal J</w:t>
      </w:r>
      <w:r w:rsidRPr="00F255FB">
        <w:rPr>
          <w:rFonts w:cs="Arial"/>
          <w:i/>
          <w:color w:val="000000" w:themeColor="text1"/>
          <w:sz w:val="23"/>
          <w:szCs w:val="23"/>
        </w:rPr>
        <w:t>ustice</w:t>
      </w:r>
      <w:r w:rsidRPr="00F255FB">
        <w:rPr>
          <w:rFonts w:cs="Arial"/>
          <w:color w:val="000000" w:themeColor="text1"/>
          <w:sz w:val="23"/>
          <w:szCs w:val="23"/>
        </w:rPr>
        <w:t xml:space="preserve"> report, released by the Royal Commission in August 2017, </w:t>
      </w:r>
      <w:r w:rsidR="00F27C59">
        <w:rPr>
          <w:rFonts w:cs="Arial"/>
          <w:color w:val="000000" w:themeColor="text1"/>
          <w:sz w:val="23"/>
          <w:szCs w:val="23"/>
        </w:rPr>
        <w:t>highlighted</w:t>
      </w:r>
      <w:r w:rsidRPr="00F255FB">
        <w:rPr>
          <w:rFonts w:cs="Arial"/>
          <w:color w:val="000000" w:themeColor="text1"/>
          <w:sz w:val="23"/>
          <w:szCs w:val="23"/>
        </w:rPr>
        <w:t xml:space="preserve"> the </w:t>
      </w:r>
      <w:r w:rsidR="00324187" w:rsidRPr="00F255FB">
        <w:rPr>
          <w:rFonts w:cs="Arial"/>
          <w:color w:val="000000" w:themeColor="text1"/>
          <w:sz w:val="23"/>
          <w:szCs w:val="23"/>
        </w:rPr>
        <w:t xml:space="preserve">need </w:t>
      </w:r>
      <w:r w:rsidRPr="00F255FB">
        <w:rPr>
          <w:rFonts w:cs="Arial"/>
          <w:color w:val="000000" w:themeColor="text1"/>
          <w:sz w:val="23"/>
          <w:szCs w:val="23"/>
        </w:rPr>
        <w:t xml:space="preserve">to take account of </w:t>
      </w:r>
      <w:r w:rsidR="00324187" w:rsidRPr="00F255FB">
        <w:rPr>
          <w:rFonts w:cs="Arial"/>
          <w:color w:val="000000" w:themeColor="text1"/>
          <w:sz w:val="23"/>
          <w:szCs w:val="23"/>
        </w:rPr>
        <w:t>any relevant cultural safety issues in police responses to reports of child sexual abuse</w:t>
      </w:r>
      <w:r w:rsidR="00947FE5" w:rsidRPr="00F255FB">
        <w:rPr>
          <w:rFonts w:cs="Arial"/>
          <w:color w:val="000000" w:themeColor="text1"/>
          <w:sz w:val="23"/>
          <w:szCs w:val="23"/>
        </w:rPr>
        <w:t xml:space="preserve"> (Recommendations </w:t>
      </w:r>
      <w:r w:rsidR="00BC2F5E" w:rsidRPr="00F255FB">
        <w:rPr>
          <w:rFonts w:cs="Arial"/>
          <w:color w:val="000000" w:themeColor="text1"/>
          <w:sz w:val="23"/>
          <w:szCs w:val="23"/>
        </w:rPr>
        <w:t>3.b.ii</w:t>
      </w:r>
      <w:r w:rsidR="00947FE5" w:rsidRPr="00F255FB">
        <w:rPr>
          <w:rFonts w:cs="Arial"/>
          <w:color w:val="000000" w:themeColor="text1"/>
          <w:sz w:val="23"/>
          <w:szCs w:val="23"/>
        </w:rPr>
        <w:t xml:space="preserve"> and 12.a</w:t>
      </w:r>
      <w:r w:rsidR="00BC2F5E" w:rsidRPr="00F255FB">
        <w:rPr>
          <w:rFonts w:cs="Arial"/>
          <w:color w:val="000000" w:themeColor="text1"/>
          <w:sz w:val="23"/>
          <w:szCs w:val="23"/>
        </w:rPr>
        <w:t>).</w:t>
      </w:r>
      <w:r w:rsidR="00BB2594" w:rsidRPr="00E41188">
        <w:rPr>
          <w:rStyle w:val="EndnoteReference"/>
          <w:rFonts w:cs="Arial"/>
          <w:color w:val="000000" w:themeColor="text1"/>
          <w:szCs w:val="20"/>
        </w:rPr>
        <w:endnoteReference w:id="48"/>
      </w:r>
      <w:r w:rsidR="003133FB" w:rsidRPr="00F255FB">
        <w:rPr>
          <w:rFonts w:cs="Arial"/>
          <w:color w:val="000000" w:themeColor="text1"/>
          <w:sz w:val="23"/>
          <w:szCs w:val="23"/>
        </w:rPr>
        <w:t xml:space="preserve"> </w:t>
      </w:r>
    </w:p>
    <w:p w:rsidR="00376663" w:rsidRDefault="003133FB" w:rsidP="002A7840">
      <w:pPr>
        <w:autoSpaceDE w:val="0"/>
        <w:autoSpaceDN w:val="0"/>
        <w:adjustRightInd w:val="0"/>
        <w:spacing w:before="0" w:after="180"/>
        <w:jc w:val="both"/>
        <w:rPr>
          <w:rFonts w:cs="Arial"/>
          <w:color w:val="000000" w:themeColor="text1"/>
          <w:sz w:val="23"/>
          <w:szCs w:val="23"/>
        </w:rPr>
      </w:pPr>
      <w:r w:rsidRPr="00F255FB">
        <w:rPr>
          <w:rFonts w:cs="Arial"/>
          <w:color w:val="000000" w:themeColor="text1"/>
          <w:sz w:val="23"/>
          <w:szCs w:val="23"/>
        </w:rPr>
        <w:t>More broadly</w:t>
      </w:r>
      <w:r w:rsidR="0078193A" w:rsidRPr="00F255FB">
        <w:rPr>
          <w:rFonts w:cs="Arial"/>
          <w:color w:val="000000" w:themeColor="text1"/>
          <w:sz w:val="23"/>
          <w:szCs w:val="23"/>
        </w:rPr>
        <w:t xml:space="preserve">, the Royal Commission concluded that cultural safety </w:t>
      </w:r>
      <w:r w:rsidRPr="00F255FB">
        <w:rPr>
          <w:rFonts w:cs="Arial"/>
          <w:color w:val="000000" w:themeColor="text1"/>
          <w:sz w:val="23"/>
          <w:szCs w:val="23"/>
        </w:rPr>
        <w:t xml:space="preserve">is </w:t>
      </w:r>
      <w:r w:rsidR="0027539F" w:rsidRPr="00F255FB">
        <w:rPr>
          <w:rFonts w:cs="Arial"/>
          <w:color w:val="000000" w:themeColor="text1"/>
          <w:sz w:val="23"/>
          <w:szCs w:val="23"/>
        </w:rPr>
        <w:t>an important element of</w:t>
      </w:r>
      <w:r w:rsidR="003721C2" w:rsidRPr="00F255FB">
        <w:rPr>
          <w:rFonts w:cs="Arial"/>
          <w:color w:val="000000" w:themeColor="text1"/>
          <w:sz w:val="23"/>
          <w:szCs w:val="23"/>
        </w:rPr>
        <w:t xml:space="preserve"> </w:t>
      </w:r>
      <w:r w:rsidR="0027539F" w:rsidRPr="00F255FB">
        <w:rPr>
          <w:rFonts w:cs="Arial"/>
          <w:color w:val="000000" w:themeColor="text1"/>
          <w:sz w:val="23"/>
          <w:szCs w:val="23"/>
        </w:rPr>
        <w:t xml:space="preserve">Standard 4: </w:t>
      </w:r>
      <w:r w:rsidR="007041D2" w:rsidRPr="00F255FB">
        <w:rPr>
          <w:rFonts w:cs="Arial"/>
          <w:color w:val="000000" w:themeColor="text1"/>
          <w:sz w:val="23"/>
          <w:szCs w:val="23"/>
        </w:rPr>
        <w:t>‘</w:t>
      </w:r>
      <w:r w:rsidR="0027539F" w:rsidRPr="00F255FB">
        <w:rPr>
          <w:rFonts w:cs="Arial"/>
          <w:color w:val="000000" w:themeColor="text1"/>
          <w:sz w:val="23"/>
          <w:szCs w:val="23"/>
        </w:rPr>
        <w:t>Equity is upheld and diverse needs are taken into account</w:t>
      </w:r>
      <w:r w:rsidR="007041D2" w:rsidRPr="00F255FB">
        <w:rPr>
          <w:rFonts w:cs="Arial"/>
          <w:color w:val="000000" w:themeColor="text1"/>
          <w:sz w:val="23"/>
          <w:szCs w:val="23"/>
        </w:rPr>
        <w:t>’</w:t>
      </w:r>
      <w:r w:rsidR="002A7CA2" w:rsidRPr="00F255FB">
        <w:rPr>
          <w:rFonts w:cs="Arial"/>
          <w:color w:val="000000" w:themeColor="text1"/>
          <w:sz w:val="23"/>
          <w:szCs w:val="23"/>
        </w:rPr>
        <w:t>, which is</w:t>
      </w:r>
      <w:r w:rsidR="008B452C" w:rsidRPr="00F255FB">
        <w:rPr>
          <w:rFonts w:cs="Arial"/>
          <w:color w:val="000000" w:themeColor="text1"/>
          <w:sz w:val="23"/>
          <w:szCs w:val="23"/>
        </w:rPr>
        <w:t xml:space="preserve"> one of ten</w:t>
      </w:r>
      <w:r w:rsidR="0027539F" w:rsidRPr="00F255FB">
        <w:rPr>
          <w:rFonts w:cs="Arial"/>
          <w:color w:val="000000" w:themeColor="text1"/>
          <w:sz w:val="23"/>
          <w:szCs w:val="23"/>
        </w:rPr>
        <w:t xml:space="preserve"> Child Safe Standards.</w:t>
      </w:r>
      <w:r w:rsidR="002A7CA2" w:rsidRPr="00E41188">
        <w:rPr>
          <w:rStyle w:val="EndnoteReference"/>
          <w:rFonts w:cs="Arial"/>
          <w:color w:val="000000" w:themeColor="text1"/>
          <w:szCs w:val="20"/>
        </w:rPr>
        <w:endnoteReference w:id="49"/>
      </w:r>
      <w:r w:rsidR="0027539F" w:rsidRPr="00F255FB">
        <w:rPr>
          <w:rFonts w:cs="Arial"/>
          <w:color w:val="000000" w:themeColor="text1"/>
          <w:sz w:val="23"/>
          <w:szCs w:val="23"/>
        </w:rPr>
        <w:t xml:space="preserve"> </w:t>
      </w:r>
      <w:r w:rsidR="00154CC2">
        <w:rPr>
          <w:rFonts w:cs="Arial"/>
          <w:color w:val="000000" w:themeColor="text1"/>
          <w:sz w:val="23"/>
          <w:szCs w:val="23"/>
        </w:rPr>
        <w:t>The Royal Commission propose</w:t>
      </w:r>
      <w:r w:rsidR="00F27C59">
        <w:rPr>
          <w:rFonts w:cs="Arial"/>
          <w:color w:val="000000" w:themeColor="text1"/>
          <w:sz w:val="23"/>
          <w:szCs w:val="23"/>
        </w:rPr>
        <w:t xml:space="preserve">d that </w:t>
      </w:r>
      <w:r w:rsidR="00154CC2">
        <w:rPr>
          <w:rFonts w:cs="Arial"/>
          <w:color w:val="000000" w:themeColor="text1"/>
          <w:sz w:val="23"/>
          <w:szCs w:val="23"/>
        </w:rPr>
        <w:t xml:space="preserve">these safety standards be made mandatory and </w:t>
      </w:r>
      <w:r w:rsidR="00F27C59">
        <w:rPr>
          <w:rFonts w:cs="Arial"/>
          <w:color w:val="000000" w:themeColor="text1"/>
          <w:sz w:val="23"/>
          <w:szCs w:val="23"/>
        </w:rPr>
        <w:t xml:space="preserve">be </w:t>
      </w:r>
      <w:r w:rsidR="00154CC2">
        <w:rPr>
          <w:rFonts w:cs="Arial"/>
          <w:color w:val="000000" w:themeColor="text1"/>
          <w:sz w:val="23"/>
          <w:szCs w:val="23"/>
        </w:rPr>
        <w:t xml:space="preserve">adopted by all organisations working with and for children. </w:t>
      </w:r>
      <w:r w:rsidR="002A7CA2" w:rsidRPr="00F255FB">
        <w:rPr>
          <w:rFonts w:cs="Arial"/>
          <w:color w:val="000000" w:themeColor="text1"/>
          <w:sz w:val="23"/>
          <w:szCs w:val="23"/>
        </w:rPr>
        <w:t>The Royal Commission specifically noted</w:t>
      </w:r>
      <w:r w:rsidR="00CB7838" w:rsidRPr="00F255FB">
        <w:rPr>
          <w:rFonts w:cs="Arial"/>
          <w:color w:val="000000" w:themeColor="text1"/>
          <w:sz w:val="23"/>
          <w:szCs w:val="23"/>
        </w:rPr>
        <w:t xml:space="preserve"> that Aboriginal and Torres Strait Islander children may be less likely to disclose abuse for fear of authorities intruding into their family and community, based on historic experiences of systemic racism.</w:t>
      </w:r>
      <w:r w:rsidR="004434B1" w:rsidRPr="00F255FB">
        <w:rPr>
          <w:rFonts w:cs="Arial"/>
          <w:color w:val="000000" w:themeColor="text1"/>
          <w:sz w:val="23"/>
          <w:szCs w:val="23"/>
        </w:rPr>
        <w:t xml:space="preserve"> Access to trusted Aboriginal adults who understand the child’s cultural context</w:t>
      </w:r>
      <w:r w:rsidR="003721C2" w:rsidRPr="00F255FB">
        <w:rPr>
          <w:rFonts w:cs="Arial"/>
          <w:color w:val="000000" w:themeColor="text1"/>
          <w:sz w:val="23"/>
          <w:szCs w:val="23"/>
        </w:rPr>
        <w:t xml:space="preserve">, a strong connection </w:t>
      </w:r>
      <w:r w:rsidR="003721C2" w:rsidRPr="00F255FB">
        <w:rPr>
          <w:rFonts w:cs="Arial"/>
          <w:color w:val="000000" w:themeColor="text1"/>
          <w:sz w:val="23"/>
          <w:szCs w:val="23"/>
        </w:rPr>
        <w:lastRenderedPageBreak/>
        <w:t>to culture and positive relationships with family were</w:t>
      </w:r>
      <w:r w:rsidR="004434B1" w:rsidRPr="00F255FB">
        <w:rPr>
          <w:rFonts w:cs="Arial"/>
          <w:color w:val="000000" w:themeColor="text1"/>
          <w:sz w:val="23"/>
          <w:szCs w:val="23"/>
        </w:rPr>
        <w:t xml:space="preserve"> </w:t>
      </w:r>
      <w:r w:rsidR="003721C2" w:rsidRPr="00F255FB">
        <w:rPr>
          <w:rFonts w:cs="Arial"/>
          <w:color w:val="000000" w:themeColor="text1"/>
          <w:sz w:val="23"/>
          <w:szCs w:val="23"/>
        </w:rPr>
        <w:t xml:space="preserve">identified as salient factors in </w:t>
      </w:r>
      <w:r w:rsidR="002A7CA2" w:rsidRPr="00F255FB">
        <w:rPr>
          <w:rFonts w:cs="Arial"/>
          <w:color w:val="000000" w:themeColor="text1"/>
          <w:sz w:val="23"/>
          <w:szCs w:val="23"/>
        </w:rPr>
        <w:t xml:space="preserve">these </w:t>
      </w:r>
      <w:r w:rsidR="004434B1" w:rsidRPr="00F255FB">
        <w:rPr>
          <w:rFonts w:cs="Arial"/>
          <w:color w:val="000000" w:themeColor="text1"/>
          <w:sz w:val="23"/>
          <w:szCs w:val="23"/>
        </w:rPr>
        <w:t>children’s safety</w:t>
      </w:r>
      <w:r w:rsidR="0078193A" w:rsidRPr="00F255FB">
        <w:rPr>
          <w:rFonts w:cs="Arial"/>
          <w:color w:val="000000" w:themeColor="text1"/>
          <w:sz w:val="23"/>
          <w:szCs w:val="23"/>
        </w:rPr>
        <w:t>.</w:t>
      </w:r>
      <w:r w:rsidR="00E61E09" w:rsidRPr="00E41188">
        <w:rPr>
          <w:rStyle w:val="EndnoteReference"/>
          <w:rFonts w:cs="Arial"/>
          <w:color w:val="000000" w:themeColor="text1"/>
          <w:szCs w:val="20"/>
        </w:rPr>
        <w:endnoteReference w:id="50"/>
      </w:r>
    </w:p>
    <w:tbl>
      <w:tblPr>
        <w:tblStyle w:val="TableGrid"/>
        <w:tblW w:w="0" w:type="auto"/>
        <w:tblLook w:val="04A0" w:firstRow="1" w:lastRow="0" w:firstColumn="1" w:lastColumn="0" w:noHBand="0" w:noVBand="1"/>
      </w:tblPr>
      <w:tblGrid>
        <w:gridCol w:w="9060"/>
      </w:tblGrid>
      <w:tr w:rsidR="00912F7C" w:rsidTr="00912F7C">
        <w:tc>
          <w:tcPr>
            <w:tcW w:w="9060" w:type="dxa"/>
          </w:tcPr>
          <w:p w:rsidR="00912F7C" w:rsidRPr="00912F7C" w:rsidRDefault="00912F7C" w:rsidP="002A7840">
            <w:pPr>
              <w:autoSpaceDE w:val="0"/>
              <w:autoSpaceDN w:val="0"/>
              <w:adjustRightInd w:val="0"/>
              <w:spacing w:before="0" w:after="180"/>
              <w:jc w:val="both"/>
              <w:rPr>
                <w:rFonts w:cs="Arial"/>
                <w:b/>
                <w:color w:val="000000" w:themeColor="text1"/>
                <w:sz w:val="23"/>
                <w:szCs w:val="23"/>
              </w:rPr>
            </w:pPr>
            <w:r w:rsidRPr="00912F7C">
              <w:rPr>
                <w:rFonts w:cs="Arial"/>
                <w:b/>
                <w:color w:val="000000" w:themeColor="text1"/>
                <w:sz w:val="23"/>
                <w:szCs w:val="23"/>
              </w:rPr>
              <w:t>Summary</w:t>
            </w:r>
          </w:p>
          <w:p w:rsidR="00912F7C" w:rsidRPr="008A0994" w:rsidRDefault="008A0994" w:rsidP="008A0994">
            <w:pPr>
              <w:pStyle w:val="ListParagraph"/>
              <w:numPr>
                <w:ilvl w:val="0"/>
                <w:numId w:val="45"/>
              </w:numPr>
              <w:autoSpaceDE w:val="0"/>
              <w:autoSpaceDN w:val="0"/>
              <w:adjustRightInd w:val="0"/>
              <w:spacing w:before="0" w:after="180"/>
              <w:jc w:val="both"/>
              <w:rPr>
                <w:rFonts w:cs="Arial"/>
                <w:color w:val="000000" w:themeColor="text1"/>
                <w:sz w:val="23"/>
                <w:szCs w:val="23"/>
              </w:rPr>
            </w:pPr>
            <w:r>
              <w:rPr>
                <w:rFonts w:cs="Arial"/>
                <w:sz w:val="23"/>
                <w:szCs w:val="23"/>
              </w:rPr>
              <w:t>Cultural safety is increasingly</w:t>
            </w:r>
            <w:r w:rsidRPr="00FE772E">
              <w:rPr>
                <w:rFonts w:cs="Arial"/>
                <w:sz w:val="23"/>
                <w:szCs w:val="23"/>
              </w:rPr>
              <w:t xml:space="preserve"> accepted in many areas of policy and service provision that impact on Aboriginal and Torres Strait Islander children and youth</w:t>
            </w:r>
            <w:r>
              <w:rPr>
                <w:rFonts w:cs="Arial"/>
                <w:sz w:val="23"/>
                <w:szCs w:val="23"/>
              </w:rPr>
              <w:t>.</w:t>
            </w:r>
          </w:p>
          <w:p w:rsidR="008A0994" w:rsidRPr="00BB0A8F" w:rsidRDefault="00BB0A8F" w:rsidP="008A0994">
            <w:pPr>
              <w:pStyle w:val="ListParagraph"/>
              <w:numPr>
                <w:ilvl w:val="0"/>
                <w:numId w:val="45"/>
              </w:numPr>
              <w:autoSpaceDE w:val="0"/>
              <w:autoSpaceDN w:val="0"/>
              <w:adjustRightInd w:val="0"/>
              <w:spacing w:before="0" w:after="180"/>
              <w:jc w:val="both"/>
              <w:rPr>
                <w:rFonts w:cs="Arial"/>
                <w:color w:val="000000" w:themeColor="text1"/>
                <w:sz w:val="23"/>
                <w:szCs w:val="23"/>
              </w:rPr>
            </w:pPr>
            <w:r w:rsidRPr="00FE772E">
              <w:rPr>
                <w:rFonts w:cs="Arial"/>
                <w:sz w:val="23"/>
                <w:szCs w:val="23"/>
              </w:rPr>
              <w:t xml:space="preserve">The NT Royal </w:t>
            </w:r>
            <w:r w:rsidRPr="00883945">
              <w:rPr>
                <w:rFonts w:cs="Arial"/>
                <w:sz w:val="23"/>
                <w:szCs w:val="23"/>
              </w:rPr>
              <w:t>Commission</w:t>
            </w:r>
            <w:r w:rsidRPr="00FE772E">
              <w:rPr>
                <w:rFonts w:cs="Arial"/>
                <w:sz w:val="23"/>
                <w:szCs w:val="23"/>
              </w:rPr>
              <w:t xml:space="preserve"> </w:t>
            </w:r>
            <w:r>
              <w:rPr>
                <w:rFonts w:cs="Arial"/>
                <w:sz w:val="23"/>
                <w:szCs w:val="23"/>
              </w:rPr>
              <w:t xml:space="preserve">(2017) </w:t>
            </w:r>
            <w:r w:rsidRPr="00FE772E">
              <w:rPr>
                <w:rFonts w:cs="Arial"/>
                <w:sz w:val="23"/>
                <w:szCs w:val="23"/>
              </w:rPr>
              <w:t>found that youth detention services failed to support the rights of Aboriginal children and young people to build and maintain their connection to culture and language</w:t>
            </w:r>
            <w:r>
              <w:rPr>
                <w:rFonts w:cs="Arial"/>
                <w:sz w:val="23"/>
                <w:szCs w:val="23"/>
              </w:rPr>
              <w:t>.</w:t>
            </w:r>
          </w:p>
          <w:p w:rsidR="00BB0A8F" w:rsidRPr="008A0994" w:rsidRDefault="00154CC2" w:rsidP="00154CC2">
            <w:pPr>
              <w:pStyle w:val="ListParagraph"/>
              <w:numPr>
                <w:ilvl w:val="0"/>
                <w:numId w:val="45"/>
              </w:numPr>
              <w:autoSpaceDE w:val="0"/>
              <w:autoSpaceDN w:val="0"/>
              <w:adjustRightInd w:val="0"/>
              <w:spacing w:before="0" w:after="180"/>
              <w:jc w:val="both"/>
              <w:rPr>
                <w:rFonts w:cs="Arial"/>
                <w:color w:val="000000" w:themeColor="text1"/>
                <w:sz w:val="23"/>
                <w:szCs w:val="23"/>
              </w:rPr>
            </w:pPr>
            <w:r>
              <w:rPr>
                <w:rFonts w:cs="Arial"/>
                <w:sz w:val="23"/>
                <w:szCs w:val="23"/>
              </w:rPr>
              <w:t xml:space="preserve">The Royal Commission </w:t>
            </w:r>
            <w:r w:rsidR="00EC1C5D">
              <w:rPr>
                <w:rFonts w:cs="Arial"/>
                <w:sz w:val="23"/>
                <w:szCs w:val="23"/>
              </w:rPr>
              <w:t xml:space="preserve">into Institutional Responses to Child Sexual Abuse </w:t>
            </w:r>
            <w:r w:rsidR="001D274D">
              <w:rPr>
                <w:rFonts w:cs="Arial"/>
                <w:sz w:val="23"/>
                <w:szCs w:val="23"/>
              </w:rPr>
              <w:t xml:space="preserve">(2017) </w:t>
            </w:r>
            <w:r w:rsidR="00115E85" w:rsidRPr="00394A86">
              <w:rPr>
                <w:rFonts w:cs="Arial"/>
                <w:sz w:val="23"/>
                <w:szCs w:val="23"/>
              </w:rPr>
              <w:t>made a number of recommen</w:t>
            </w:r>
            <w:r w:rsidR="00115E85">
              <w:rPr>
                <w:rFonts w:cs="Arial"/>
                <w:sz w:val="23"/>
                <w:szCs w:val="23"/>
              </w:rPr>
              <w:t xml:space="preserve">dations about </w:t>
            </w:r>
            <w:r w:rsidR="00115E85" w:rsidRPr="00394A86">
              <w:rPr>
                <w:rFonts w:cs="Arial"/>
                <w:sz w:val="23"/>
                <w:szCs w:val="23"/>
              </w:rPr>
              <w:t xml:space="preserve">cultural safety for </w:t>
            </w:r>
            <w:r w:rsidR="00115E85">
              <w:rPr>
                <w:rFonts w:cs="Arial"/>
                <w:sz w:val="23"/>
                <w:szCs w:val="23"/>
              </w:rPr>
              <w:t xml:space="preserve">Aboriginal and Torres Strait Islander </w:t>
            </w:r>
            <w:r w:rsidR="00115E85" w:rsidRPr="00394A86">
              <w:rPr>
                <w:rFonts w:cs="Arial"/>
                <w:sz w:val="23"/>
                <w:szCs w:val="23"/>
              </w:rPr>
              <w:t>children</w:t>
            </w:r>
            <w:r w:rsidR="00115E85">
              <w:rPr>
                <w:rFonts w:cs="Arial"/>
                <w:sz w:val="23"/>
                <w:szCs w:val="23"/>
              </w:rPr>
              <w:t xml:space="preserve"> and underscored </w:t>
            </w:r>
            <w:r w:rsidR="00115E85">
              <w:rPr>
                <w:rFonts w:cs="Arial"/>
                <w:color w:val="000000" w:themeColor="text1"/>
                <w:sz w:val="23"/>
                <w:szCs w:val="23"/>
              </w:rPr>
              <w:t>the importance of cultural safety in implementing Standard 4: ‘Equity is upheld and diverse</w:t>
            </w:r>
            <w:r>
              <w:rPr>
                <w:rFonts w:cs="Arial"/>
                <w:color w:val="000000" w:themeColor="text1"/>
                <w:sz w:val="23"/>
                <w:szCs w:val="23"/>
              </w:rPr>
              <w:t xml:space="preserve"> needs are taken into account’.</w:t>
            </w:r>
          </w:p>
        </w:tc>
      </w:tr>
    </w:tbl>
    <w:p w:rsidR="00912F7C" w:rsidRDefault="00912F7C" w:rsidP="002A7840">
      <w:pPr>
        <w:autoSpaceDE w:val="0"/>
        <w:autoSpaceDN w:val="0"/>
        <w:adjustRightInd w:val="0"/>
        <w:spacing w:before="0" w:after="180"/>
        <w:jc w:val="both"/>
        <w:rPr>
          <w:rFonts w:cs="Arial"/>
          <w:color w:val="000000" w:themeColor="text1"/>
          <w:sz w:val="23"/>
          <w:szCs w:val="23"/>
        </w:rPr>
      </w:pPr>
    </w:p>
    <w:p w:rsidR="00BE37BF" w:rsidRPr="00883945" w:rsidRDefault="00BE37BF" w:rsidP="000313B6">
      <w:pPr>
        <w:pStyle w:val="Heading1"/>
      </w:pPr>
      <w:r w:rsidRPr="00883945">
        <w:t>Conclusion</w:t>
      </w:r>
    </w:p>
    <w:p w:rsidR="00E904CE" w:rsidRDefault="00DA56B6" w:rsidP="00A7501F">
      <w:pPr>
        <w:spacing w:before="0" w:after="180"/>
        <w:jc w:val="both"/>
        <w:rPr>
          <w:rFonts w:cs="Arial"/>
          <w:color w:val="000000" w:themeColor="text1"/>
          <w:sz w:val="23"/>
          <w:szCs w:val="23"/>
        </w:rPr>
      </w:pPr>
      <w:r w:rsidRPr="00883945">
        <w:rPr>
          <w:rFonts w:cs="Arial"/>
          <w:color w:val="000000" w:themeColor="text1"/>
          <w:sz w:val="23"/>
          <w:szCs w:val="23"/>
        </w:rPr>
        <w:t>Australia</w:t>
      </w:r>
      <w:r w:rsidR="006C0D4C">
        <w:rPr>
          <w:rFonts w:cs="Arial"/>
          <w:color w:val="000000" w:themeColor="text1"/>
          <w:sz w:val="23"/>
          <w:szCs w:val="23"/>
        </w:rPr>
        <w:t>n Indigenous scholars</w:t>
      </w:r>
      <w:r w:rsidR="00ED5F3A" w:rsidRPr="00883945">
        <w:rPr>
          <w:rFonts w:cs="Arial"/>
          <w:color w:val="000000" w:themeColor="text1"/>
          <w:sz w:val="23"/>
          <w:szCs w:val="23"/>
        </w:rPr>
        <w:t xml:space="preserve">, </w:t>
      </w:r>
      <w:r w:rsidR="008868D0" w:rsidRPr="00883945">
        <w:rPr>
          <w:rFonts w:cs="Arial"/>
          <w:color w:val="000000" w:themeColor="text1"/>
          <w:sz w:val="23"/>
          <w:szCs w:val="23"/>
        </w:rPr>
        <w:t xml:space="preserve">advocates </w:t>
      </w:r>
      <w:r w:rsidR="00ED5F3A" w:rsidRPr="00883945">
        <w:rPr>
          <w:rFonts w:cs="Arial"/>
          <w:color w:val="000000" w:themeColor="text1"/>
          <w:sz w:val="23"/>
          <w:szCs w:val="23"/>
        </w:rPr>
        <w:t xml:space="preserve">and activists </w:t>
      </w:r>
      <w:r w:rsidR="008868D0" w:rsidRPr="00883945">
        <w:rPr>
          <w:rFonts w:cs="Arial"/>
          <w:color w:val="000000" w:themeColor="text1"/>
          <w:sz w:val="23"/>
          <w:szCs w:val="23"/>
        </w:rPr>
        <w:t xml:space="preserve">have adopted the </w:t>
      </w:r>
      <w:r w:rsidR="006C0D4C">
        <w:rPr>
          <w:rFonts w:cs="Arial"/>
          <w:color w:val="000000" w:themeColor="text1"/>
          <w:sz w:val="23"/>
          <w:szCs w:val="23"/>
        </w:rPr>
        <w:t>concept of cultural safety</w:t>
      </w:r>
      <w:r w:rsidR="007F7E2C" w:rsidRPr="00883945">
        <w:rPr>
          <w:rFonts w:cs="Arial"/>
          <w:color w:val="000000" w:themeColor="text1"/>
          <w:sz w:val="23"/>
          <w:szCs w:val="23"/>
        </w:rPr>
        <w:t>, fitting it to their particular socio</w:t>
      </w:r>
      <w:r w:rsidR="00D92F6D" w:rsidRPr="00883945">
        <w:rPr>
          <w:rFonts w:cs="Arial"/>
          <w:color w:val="000000" w:themeColor="text1"/>
          <w:sz w:val="23"/>
          <w:szCs w:val="23"/>
        </w:rPr>
        <w:t>-</w:t>
      </w:r>
      <w:r w:rsidR="007F7E2C" w:rsidRPr="00883945">
        <w:rPr>
          <w:rFonts w:cs="Arial"/>
          <w:color w:val="000000" w:themeColor="text1"/>
          <w:sz w:val="23"/>
          <w:szCs w:val="23"/>
        </w:rPr>
        <w:t>historical circumstances,</w:t>
      </w:r>
      <w:r w:rsidR="008868D0" w:rsidRPr="00883945">
        <w:rPr>
          <w:rFonts w:cs="Arial"/>
          <w:color w:val="000000" w:themeColor="text1"/>
          <w:sz w:val="23"/>
          <w:szCs w:val="23"/>
        </w:rPr>
        <w:t xml:space="preserve"> </w:t>
      </w:r>
      <w:r w:rsidR="003F6A54">
        <w:rPr>
          <w:rFonts w:cs="Arial"/>
          <w:color w:val="000000" w:themeColor="text1"/>
          <w:sz w:val="23"/>
          <w:szCs w:val="23"/>
        </w:rPr>
        <w:t xml:space="preserve">activities, </w:t>
      </w:r>
      <w:r w:rsidR="008868D0" w:rsidRPr="00883945">
        <w:rPr>
          <w:rFonts w:cs="Arial"/>
          <w:color w:val="000000" w:themeColor="text1"/>
          <w:sz w:val="23"/>
          <w:szCs w:val="23"/>
        </w:rPr>
        <w:t>c</w:t>
      </w:r>
      <w:r w:rsidR="008F4CA8" w:rsidRPr="00883945">
        <w:rPr>
          <w:rFonts w:cs="Arial"/>
          <w:color w:val="000000" w:themeColor="text1"/>
          <w:sz w:val="23"/>
          <w:szCs w:val="23"/>
        </w:rPr>
        <w:t xml:space="preserve">oncerns and goals. The importance </w:t>
      </w:r>
      <w:r w:rsidR="008868D0" w:rsidRPr="00883945">
        <w:rPr>
          <w:rFonts w:cs="Arial"/>
          <w:color w:val="000000" w:themeColor="text1"/>
          <w:sz w:val="23"/>
          <w:szCs w:val="23"/>
        </w:rPr>
        <w:t xml:space="preserve">of cultural safety </w:t>
      </w:r>
      <w:r w:rsidR="008F4CA8" w:rsidRPr="00883945">
        <w:rPr>
          <w:rFonts w:cs="Arial"/>
          <w:color w:val="000000" w:themeColor="text1"/>
          <w:sz w:val="23"/>
          <w:szCs w:val="23"/>
        </w:rPr>
        <w:t>for Aboriginal and Torres St</w:t>
      </w:r>
      <w:r w:rsidR="003F6A54">
        <w:rPr>
          <w:rFonts w:cs="Arial"/>
          <w:color w:val="000000" w:themeColor="text1"/>
          <w:sz w:val="23"/>
          <w:szCs w:val="23"/>
        </w:rPr>
        <w:t>rait Islander children and young people</w:t>
      </w:r>
      <w:r w:rsidR="008F4CA8" w:rsidRPr="00883945">
        <w:rPr>
          <w:rFonts w:cs="Arial"/>
          <w:color w:val="000000" w:themeColor="text1"/>
          <w:sz w:val="23"/>
          <w:szCs w:val="23"/>
        </w:rPr>
        <w:t xml:space="preserve"> </w:t>
      </w:r>
      <w:r w:rsidR="008868D0" w:rsidRPr="00883945">
        <w:rPr>
          <w:rFonts w:cs="Arial"/>
          <w:color w:val="000000" w:themeColor="text1"/>
          <w:sz w:val="23"/>
          <w:szCs w:val="23"/>
        </w:rPr>
        <w:t>is attested to by this scholarship</w:t>
      </w:r>
      <w:r w:rsidR="008F4CA8" w:rsidRPr="00883945">
        <w:rPr>
          <w:rFonts w:cs="Arial"/>
          <w:color w:val="000000" w:themeColor="text1"/>
          <w:sz w:val="23"/>
          <w:szCs w:val="23"/>
        </w:rPr>
        <w:t>, by policy work in a range of contexts</w:t>
      </w:r>
      <w:r w:rsidR="008868D0" w:rsidRPr="00883945">
        <w:rPr>
          <w:rFonts w:cs="Arial"/>
          <w:color w:val="000000" w:themeColor="text1"/>
          <w:sz w:val="23"/>
          <w:szCs w:val="23"/>
        </w:rPr>
        <w:t xml:space="preserve"> and by</w:t>
      </w:r>
      <w:r w:rsidR="009236D0" w:rsidRPr="00883945">
        <w:rPr>
          <w:rFonts w:cs="Arial"/>
          <w:color w:val="000000" w:themeColor="text1"/>
          <w:sz w:val="23"/>
          <w:szCs w:val="23"/>
        </w:rPr>
        <w:t xml:space="preserve"> recent Royal Commission recommendations</w:t>
      </w:r>
      <w:r w:rsidR="003F6A54">
        <w:rPr>
          <w:rFonts w:cs="Arial"/>
          <w:color w:val="000000" w:themeColor="text1"/>
          <w:sz w:val="23"/>
          <w:szCs w:val="23"/>
        </w:rPr>
        <w:t xml:space="preserve"> and Child Safe Standards, some of </w:t>
      </w:r>
      <w:r w:rsidR="008868D0" w:rsidRPr="00883945">
        <w:rPr>
          <w:rFonts w:cs="Arial"/>
          <w:color w:val="000000" w:themeColor="text1"/>
          <w:sz w:val="23"/>
          <w:szCs w:val="23"/>
        </w:rPr>
        <w:t xml:space="preserve">which </w:t>
      </w:r>
      <w:r w:rsidR="007F7E2C" w:rsidRPr="00883945">
        <w:rPr>
          <w:rFonts w:cs="Arial"/>
          <w:color w:val="000000" w:themeColor="text1"/>
          <w:sz w:val="23"/>
          <w:szCs w:val="23"/>
        </w:rPr>
        <w:t xml:space="preserve">directly </w:t>
      </w:r>
      <w:r w:rsidR="008868D0" w:rsidRPr="00883945">
        <w:rPr>
          <w:rFonts w:cs="Arial"/>
          <w:color w:val="000000" w:themeColor="text1"/>
          <w:sz w:val="23"/>
          <w:szCs w:val="23"/>
        </w:rPr>
        <w:t xml:space="preserve">address the need for and benefits of cultural safety. </w:t>
      </w:r>
    </w:p>
    <w:p w:rsidR="006C7A50" w:rsidRDefault="003F6A54" w:rsidP="00A7501F">
      <w:pPr>
        <w:spacing w:before="0" w:after="180"/>
        <w:jc w:val="both"/>
        <w:rPr>
          <w:rFonts w:cs="Arial"/>
          <w:color w:val="000000" w:themeColor="text1"/>
          <w:sz w:val="23"/>
          <w:szCs w:val="23"/>
        </w:rPr>
      </w:pPr>
      <w:r>
        <w:rPr>
          <w:rFonts w:cs="Arial"/>
          <w:color w:val="000000" w:themeColor="text1"/>
          <w:sz w:val="23"/>
          <w:szCs w:val="23"/>
        </w:rPr>
        <w:t xml:space="preserve">The challenge now is to </w:t>
      </w:r>
      <w:r w:rsidR="00E904CE">
        <w:rPr>
          <w:rFonts w:cs="Arial"/>
          <w:color w:val="000000" w:themeColor="text1"/>
          <w:sz w:val="23"/>
          <w:szCs w:val="23"/>
        </w:rPr>
        <w:t>identify</w:t>
      </w:r>
      <w:r>
        <w:rPr>
          <w:rFonts w:cs="Arial"/>
          <w:color w:val="000000" w:themeColor="text1"/>
          <w:sz w:val="23"/>
          <w:szCs w:val="23"/>
        </w:rPr>
        <w:t xml:space="preserve"> how concepts of cultural safety can be best understood in the contexts of all organisations, Indigenous and non-Indigenous, providing services to Aboriginal and Torres Strait Islander children, as well as the practical assistance and guidance required to embed </w:t>
      </w:r>
      <w:r w:rsidR="00A011D0">
        <w:rPr>
          <w:rFonts w:cs="Arial"/>
          <w:color w:val="000000" w:themeColor="text1"/>
          <w:sz w:val="23"/>
          <w:szCs w:val="23"/>
        </w:rPr>
        <w:t>and sustain policy and practice change.</w:t>
      </w: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Default="00E3685E" w:rsidP="00A7501F">
      <w:pPr>
        <w:spacing w:before="0" w:after="180"/>
        <w:jc w:val="both"/>
        <w:rPr>
          <w:rFonts w:cs="Arial"/>
          <w:color w:val="000000" w:themeColor="text1"/>
          <w:sz w:val="23"/>
          <w:szCs w:val="23"/>
        </w:rPr>
      </w:pPr>
    </w:p>
    <w:p w:rsidR="00E3685E" w:rsidRPr="00883945" w:rsidRDefault="00E3685E" w:rsidP="00A7501F">
      <w:pPr>
        <w:spacing w:before="0" w:after="180"/>
        <w:jc w:val="both"/>
        <w:rPr>
          <w:rFonts w:cs="Arial"/>
          <w:color w:val="000000" w:themeColor="text1"/>
          <w:sz w:val="23"/>
          <w:szCs w:val="23"/>
        </w:rPr>
      </w:pPr>
    </w:p>
    <w:p w:rsidR="003D7E47" w:rsidRPr="00BE1189" w:rsidRDefault="003D7E47" w:rsidP="00CF2AB9">
      <w:pPr>
        <w:spacing w:before="0" w:after="120"/>
        <w:jc w:val="both"/>
        <w:rPr>
          <w:rFonts w:cs="Arial"/>
          <w:b/>
        </w:rPr>
      </w:pPr>
    </w:p>
    <w:sectPr w:rsidR="003D7E47" w:rsidRPr="00BE1189" w:rsidSect="00FB51C5">
      <w:headerReference w:type="default" r:id="rId21"/>
      <w:endnotePr>
        <w:numFmt w:val="decimal"/>
      </w:endnotePr>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5E" w:rsidRDefault="00C6135E" w:rsidP="00F14C6D">
      <w:r>
        <w:separator/>
      </w:r>
    </w:p>
  </w:endnote>
  <w:endnote w:type="continuationSeparator" w:id="0">
    <w:p w:rsidR="00C6135E" w:rsidRDefault="00C6135E" w:rsidP="00F14C6D">
      <w:r>
        <w:continuationSeparator/>
      </w:r>
    </w:p>
  </w:endnote>
  <w:endnote w:id="1">
    <w:p w:rsidR="00C6135E" w:rsidRPr="00962A3A" w:rsidRDefault="00C6135E" w:rsidP="00D23B49">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Elaine Papps and Irihapeti Ramsden, ‘Cultural Safety in Nursing: The New Zealand Experience’ (1996) 8(5) </w:t>
      </w:r>
      <w:r w:rsidRPr="00962A3A">
        <w:rPr>
          <w:rFonts w:cs="Arial"/>
          <w:i/>
          <w:iCs/>
          <w:sz w:val="19"/>
          <w:szCs w:val="19"/>
        </w:rPr>
        <w:t>International Journal for Quality in Health Care</w:t>
      </w:r>
      <w:r w:rsidRPr="00962A3A">
        <w:rPr>
          <w:rFonts w:cs="Arial"/>
          <w:sz w:val="19"/>
          <w:szCs w:val="19"/>
        </w:rPr>
        <w:t xml:space="preserve"> 491.</w:t>
      </w:r>
    </w:p>
  </w:endnote>
  <w:endnote w:id="2">
    <w:p w:rsidR="00C6135E" w:rsidRPr="00962A3A" w:rsidRDefault="00C6135E" w:rsidP="001F65B2">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See, for example Irihapeti Ramsden, ‘Cultural Safety in Nursing Education in Aotearoa (New Zealand)’ (1993) 8(3) </w:t>
      </w:r>
      <w:r w:rsidRPr="00962A3A">
        <w:rPr>
          <w:rFonts w:cs="Arial"/>
          <w:i/>
          <w:iCs/>
          <w:sz w:val="19"/>
          <w:szCs w:val="19"/>
        </w:rPr>
        <w:t>Nursing Praxis in New Zealand</w:t>
      </w:r>
      <w:r w:rsidRPr="00962A3A">
        <w:rPr>
          <w:rFonts w:cs="Arial"/>
          <w:sz w:val="19"/>
          <w:szCs w:val="19"/>
        </w:rPr>
        <w:t xml:space="preserve"> 4; Irihapeti Ramsden, ‘Cultural safety/Kawa Whakaruruhau Ten Years On: A Personal Overview’ 2000 15(1) </w:t>
      </w:r>
      <w:r w:rsidRPr="00962A3A">
        <w:rPr>
          <w:rFonts w:cs="Arial"/>
          <w:i/>
          <w:iCs/>
          <w:sz w:val="19"/>
          <w:szCs w:val="19"/>
        </w:rPr>
        <w:t>Nursing Praxis in New Zealand</w:t>
      </w:r>
      <w:r w:rsidRPr="00962A3A">
        <w:rPr>
          <w:rFonts w:cs="Arial"/>
          <w:sz w:val="19"/>
          <w:szCs w:val="19"/>
        </w:rPr>
        <w:t xml:space="preserve"> 4.</w:t>
      </w:r>
    </w:p>
  </w:endnote>
  <w:endnote w:id="3">
    <w:p w:rsidR="00C6135E" w:rsidRPr="00962A3A" w:rsidRDefault="00C6135E" w:rsidP="00D23B49">
      <w:pPr>
        <w:spacing w:before="0" w:after="0"/>
        <w:rPr>
          <w:rFonts w:eastAsia="Calibri" w:cs="Arial"/>
          <w:spacing w:val="-1"/>
          <w:sz w:val="19"/>
          <w:szCs w:val="19"/>
        </w:rPr>
      </w:pPr>
      <w:r w:rsidRPr="00962A3A">
        <w:rPr>
          <w:rStyle w:val="EndnoteReference"/>
          <w:rFonts w:cs="Arial"/>
          <w:sz w:val="19"/>
          <w:szCs w:val="19"/>
        </w:rPr>
        <w:endnoteRef/>
      </w:r>
      <w:r w:rsidRPr="00962A3A">
        <w:rPr>
          <w:rFonts w:cs="Arial"/>
          <w:sz w:val="19"/>
          <w:szCs w:val="19"/>
        </w:rPr>
        <w:t xml:space="preserve"> Kerry </w:t>
      </w:r>
      <w:r w:rsidRPr="00962A3A">
        <w:rPr>
          <w:rFonts w:eastAsia="Calibri" w:cs="Arial"/>
          <w:spacing w:val="-1"/>
          <w:sz w:val="19"/>
          <w:szCs w:val="19"/>
        </w:rPr>
        <w:t xml:space="preserve">Taylor and Pauline Guerin, </w:t>
      </w:r>
      <w:r w:rsidRPr="00962A3A">
        <w:rPr>
          <w:rFonts w:eastAsia="Calibri" w:cs="Arial"/>
          <w:i/>
          <w:spacing w:val="-1"/>
          <w:sz w:val="19"/>
          <w:szCs w:val="19"/>
        </w:rPr>
        <w:t>Health Care and Indigenous Australians: Cultural Safety in Practice</w:t>
      </w:r>
      <w:r w:rsidRPr="00962A3A">
        <w:rPr>
          <w:rFonts w:eastAsia="Calibri" w:cs="Arial"/>
          <w:spacing w:val="-1"/>
          <w:sz w:val="19"/>
          <w:szCs w:val="19"/>
        </w:rPr>
        <w:t xml:space="preserve"> (Palgrave Macmillan, 2010) 14.</w:t>
      </w:r>
    </w:p>
  </w:endnote>
  <w:endnote w:id="4">
    <w:p w:rsidR="00C6135E" w:rsidRPr="00962A3A" w:rsidRDefault="00C6135E" w:rsidP="00D23B49">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Daryl Higgins</w:t>
      </w:r>
      <w:r w:rsidRPr="00962A3A">
        <w:rPr>
          <w:rFonts w:cs="Arial"/>
          <w:i/>
          <w:sz w:val="19"/>
          <w:szCs w:val="19"/>
        </w:rPr>
        <w:t>, Community Development Approaches to Safety and Wellbeing of Indigenous Children</w:t>
      </w:r>
      <w:r w:rsidRPr="00962A3A">
        <w:rPr>
          <w:rFonts w:cs="Arial"/>
          <w:sz w:val="19"/>
          <w:szCs w:val="19"/>
        </w:rPr>
        <w:t xml:space="preserve"> (June 2010) Resource Sheet 1, Australia</w:t>
      </w:r>
      <w:r w:rsidR="00255513" w:rsidRPr="00962A3A">
        <w:rPr>
          <w:rFonts w:cs="Arial"/>
          <w:sz w:val="19"/>
          <w:szCs w:val="19"/>
        </w:rPr>
        <w:t xml:space="preserve">n Institute of Family Studies. </w:t>
      </w:r>
      <w:r w:rsidRPr="00962A3A">
        <w:rPr>
          <w:rFonts w:cs="Arial"/>
          <w:sz w:val="19"/>
          <w:szCs w:val="19"/>
        </w:rPr>
        <w:t xml:space="preserve">At </w:t>
      </w:r>
      <w:hyperlink r:id="rId1" w:history="1">
        <w:r w:rsidRPr="00962A3A">
          <w:rPr>
            <w:rStyle w:val="Hyperlink"/>
            <w:rFonts w:cs="Arial"/>
            <w:sz w:val="19"/>
            <w:szCs w:val="19"/>
          </w:rPr>
          <w:t>https://aifs.gov.au/publications/community-development-approaches-safety-and-wellbeing-indigenous-children</w:t>
        </w:r>
      </w:hyperlink>
      <w:r w:rsidRPr="00962A3A">
        <w:rPr>
          <w:rFonts w:cs="Arial"/>
          <w:color w:val="222222"/>
          <w:sz w:val="19"/>
          <w:szCs w:val="19"/>
        </w:rPr>
        <w:t xml:space="preserve"> </w:t>
      </w:r>
      <w:r w:rsidRPr="00962A3A">
        <w:rPr>
          <w:rFonts w:cs="Arial"/>
          <w:sz w:val="19"/>
          <w:szCs w:val="19"/>
        </w:rPr>
        <w:t xml:space="preserve">(viewed 28 November 2017); Irihapeti Ramsden, ‘Towards Cultural Safety’ in Dianne Wepa (ed), </w:t>
      </w:r>
      <w:r w:rsidRPr="00962A3A">
        <w:rPr>
          <w:rFonts w:cs="Arial"/>
          <w:i/>
          <w:sz w:val="19"/>
          <w:szCs w:val="19"/>
        </w:rPr>
        <w:t>Cultural Safety in Aotearoa New Zealand</w:t>
      </w:r>
      <w:r w:rsidRPr="00962A3A">
        <w:rPr>
          <w:rFonts w:cs="Arial"/>
          <w:sz w:val="19"/>
          <w:szCs w:val="19"/>
        </w:rPr>
        <w:t xml:space="preserve"> (Pearson Education New Zealand 2005) 2; Sandy </w:t>
      </w:r>
      <w:r w:rsidR="00557F3E" w:rsidRPr="00962A3A">
        <w:rPr>
          <w:rFonts w:cs="Arial"/>
          <w:sz w:val="19"/>
          <w:szCs w:val="19"/>
        </w:rPr>
        <w:t xml:space="preserve">Richardson, </w:t>
      </w:r>
      <w:r w:rsidRPr="00962A3A">
        <w:rPr>
          <w:rFonts w:cs="Arial"/>
          <w:sz w:val="19"/>
          <w:szCs w:val="19"/>
        </w:rPr>
        <w:t xml:space="preserve">‘Aoteaoroa/New Zealand Nursing: From Eugenics To Cultural Safety’ (2004) 11(1) </w:t>
      </w:r>
      <w:r w:rsidRPr="00962A3A">
        <w:rPr>
          <w:rFonts w:cs="Arial"/>
          <w:i/>
          <w:iCs/>
          <w:sz w:val="19"/>
          <w:szCs w:val="19"/>
        </w:rPr>
        <w:t>Nursing Inquiry</w:t>
      </w:r>
      <w:r w:rsidRPr="00962A3A">
        <w:rPr>
          <w:rFonts w:cs="Arial"/>
          <w:sz w:val="19"/>
          <w:szCs w:val="19"/>
        </w:rPr>
        <w:t xml:space="preserve"> 35.</w:t>
      </w:r>
    </w:p>
  </w:endnote>
  <w:endnote w:id="5">
    <w:p w:rsidR="00183D40" w:rsidRPr="00962A3A" w:rsidRDefault="00183D40">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Sandy Richardson, ‘Aoteaoroa/New Zealand Nursing: From Eugenics to Cultural Safety’ (2004) 11(1) </w:t>
      </w:r>
      <w:r w:rsidRPr="00962A3A">
        <w:rPr>
          <w:rFonts w:cs="Arial"/>
          <w:i/>
          <w:iCs/>
          <w:sz w:val="19"/>
          <w:szCs w:val="19"/>
        </w:rPr>
        <w:t>Nursing Inquiry</w:t>
      </w:r>
      <w:r w:rsidRPr="00962A3A">
        <w:rPr>
          <w:rFonts w:cs="Arial"/>
          <w:sz w:val="19"/>
          <w:szCs w:val="19"/>
        </w:rPr>
        <w:t xml:space="preserve"> 35, 36.</w:t>
      </w:r>
    </w:p>
  </w:endnote>
  <w:endnote w:id="6">
    <w:p w:rsidR="00C6135E" w:rsidRPr="00962A3A" w:rsidRDefault="00C6135E" w:rsidP="004D711E">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Irihapeti Ramsden, ‘Towards Cultural Safety’ in Dianne Wepa (ed), </w:t>
      </w:r>
      <w:r w:rsidRPr="00962A3A">
        <w:rPr>
          <w:rFonts w:cs="Arial"/>
          <w:i/>
          <w:sz w:val="19"/>
          <w:szCs w:val="19"/>
        </w:rPr>
        <w:t>Cultural Safety in Aotearoa New Zealand</w:t>
      </w:r>
      <w:r w:rsidRPr="00962A3A">
        <w:rPr>
          <w:rFonts w:cs="Arial"/>
          <w:sz w:val="19"/>
          <w:szCs w:val="19"/>
        </w:rPr>
        <w:t xml:space="preserve"> (Pearson Education New Zealand, 2005) 2, 6.</w:t>
      </w:r>
    </w:p>
  </w:endnote>
  <w:endnote w:id="7">
    <w:p w:rsidR="00C6135E" w:rsidRPr="00962A3A" w:rsidRDefault="00C6135E" w:rsidP="00AA2535">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Ruth DeSouza, ‘Wellness for All: The Possibilities of Cultural Safety and Cultural Competence in New Zealand’ (2008) 13(2) </w:t>
      </w:r>
      <w:r w:rsidRPr="00962A3A">
        <w:rPr>
          <w:rFonts w:cs="Arial"/>
          <w:i/>
          <w:iCs/>
          <w:sz w:val="19"/>
          <w:szCs w:val="19"/>
        </w:rPr>
        <w:t>Journal of Research in Nursing</w:t>
      </w:r>
      <w:r w:rsidRPr="00962A3A">
        <w:rPr>
          <w:rFonts w:cs="Arial"/>
          <w:sz w:val="19"/>
          <w:szCs w:val="19"/>
        </w:rPr>
        <w:t xml:space="preserve"> 125, 130; Sandy Richardson, ‘Aoteaoroa/New Zealand Nursing: From Eugenic</w:t>
      </w:r>
      <w:r w:rsidR="00CE4402" w:rsidRPr="00962A3A">
        <w:rPr>
          <w:rFonts w:cs="Arial"/>
          <w:sz w:val="19"/>
          <w:szCs w:val="19"/>
        </w:rPr>
        <w:t>s t</w:t>
      </w:r>
      <w:r w:rsidRPr="00962A3A">
        <w:rPr>
          <w:rFonts w:cs="Arial"/>
          <w:sz w:val="19"/>
          <w:szCs w:val="19"/>
        </w:rPr>
        <w:t xml:space="preserve">o Cultural Safety’ (2004) 11(1) </w:t>
      </w:r>
      <w:r w:rsidRPr="00962A3A">
        <w:rPr>
          <w:rFonts w:cs="Arial"/>
          <w:i/>
          <w:iCs/>
          <w:sz w:val="19"/>
          <w:szCs w:val="19"/>
        </w:rPr>
        <w:t>Nursing Inquiry</w:t>
      </w:r>
      <w:r w:rsidRPr="00962A3A">
        <w:rPr>
          <w:rFonts w:cs="Arial"/>
          <w:sz w:val="19"/>
          <w:szCs w:val="19"/>
        </w:rPr>
        <w:t xml:space="preserve"> 35, 37.</w:t>
      </w:r>
    </w:p>
  </w:endnote>
  <w:endnote w:id="8">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Annette Browne, Colleen Varcoe, Victoria Smye, Sheryl Reimer</w:t>
      </w:r>
      <w:r w:rsidRPr="00962A3A">
        <w:rPr>
          <w:rFonts w:ascii="Cambria Math" w:hAnsi="Cambria Math" w:cs="Cambria Math"/>
          <w:sz w:val="19"/>
          <w:szCs w:val="19"/>
        </w:rPr>
        <w:t>‐</w:t>
      </w:r>
      <w:r w:rsidRPr="00962A3A">
        <w:rPr>
          <w:rFonts w:cs="Arial"/>
          <w:sz w:val="19"/>
          <w:szCs w:val="19"/>
        </w:rPr>
        <w:t xml:space="preserve">Kirkham, Judith Lynam and Sabrina Wong, ‘Cultural safety and the Challenges of Translating Critically Oriented Knowledge in Practice’ (2009) 10(3) </w:t>
      </w:r>
      <w:r w:rsidRPr="00962A3A">
        <w:rPr>
          <w:rFonts w:cs="Arial"/>
          <w:i/>
          <w:iCs/>
          <w:sz w:val="19"/>
          <w:szCs w:val="19"/>
        </w:rPr>
        <w:t>Nursing Philosophy</w:t>
      </w:r>
      <w:r w:rsidRPr="00962A3A">
        <w:rPr>
          <w:rFonts w:cs="Arial"/>
          <w:sz w:val="19"/>
          <w:szCs w:val="19"/>
        </w:rPr>
        <w:t xml:space="preserve"> 167.</w:t>
      </w:r>
    </w:p>
  </w:endnote>
  <w:endnote w:id="9">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Irihapeti Ramsden, </w:t>
      </w:r>
      <w:r w:rsidRPr="00962A3A">
        <w:rPr>
          <w:rFonts w:cs="Arial"/>
          <w:i/>
          <w:sz w:val="19"/>
          <w:szCs w:val="19"/>
        </w:rPr>
        <w:t>Cultural Safety and Nursing Education in Aotearoa and Te Waipounamu</w:t>
      </w:r>
      <w:r w:rsidRPr="00962A3A">
        <w:rPr>
          <w:rFonts w:cs="Arial"/>
          <w:sz w:val="19"/>
          <w:szCs w:val="19"/>
        </w:rPr>
        <w:t xml:space="preserve"> (PhD Thesis, Victoria University Wellington, 2002) 117.</w:t>
      </w:r>
    </w:p>
  </w:endnote>
  <w:endnote w:id="10">
    <w:p w:rsidR="00EF77B8" w:rsidRPr="00962A3A" w:rsidRDefault="00EF77B8" w:rsidP="00EF77B8">
      <w:pPr>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Ruth DeSouza, ‘Wellness for All: The Possibilities of Cultural Safety and Cultural Competence in New Zealand’ (2008) 13(2) </w:t>
      </w:r>
      <w:r w:rsidRPr="00962A3A">
        <w:rPr>
          <w:rFonts w:cs="Arial"/>
          <w:i/>
          <w:iCs/>
          <w:sz w:val="19"/>
          <w:szCs w:val="19"/>
        </w:rPr>
        <w:t>Journal of Research in Nursing</w:t>
      </w:r>
      <w:r w:rsidRPr="00962A3A">
        <w:rPr>
          <w:rFonts w:cs="Arial"/>
          <w:sz w:val="19"/>
          <w:szCs w:val="19"/>
        </w:rPr>
        <w:t xml:space="preserve"> 125, 133.</w:t>
      </w:r>
    </w:p>
  </w:endnote>
  <w:endnote w:id="11">
    <w:p w:rsidR="00326B9D" w:rsidRPr="00962A3A" w:rsidRDefault="00326B9D" w:rsidP="00326B9D">
      <w:pPr>
        <w:autoSpaceDE w:val="0"/>
        <w:autoSpaceDN w:val="0"/>
        <w:adjustRightInd w:val="0"/>
        <w:spacing w:before="0" w:after="0"/>
        <w:rPr>
          <w:rFonts w:cs="Arial"/>
          <w:sz w:val="19"/>
          <w:szCs w:val="19"/>
        </w:rPr>
      </w:pPr>
      <w:r w:rsidRPr="00962A3A">
        <w:rPr>
          <w:rStyle w:val="EndnoteReference"/>
          <w:rFonts w:cs="Arial"/>
          <w:sz w:val="19"/>
          <w:szCs w:val="19"/>
        </w:rPr>
        <w:endnoteRef/>
      </w:r>
      <w:r w:rsidRPr="00962A3A">
        <w:rPr>
          <w:rFonts w:cs="Arial"/>
          <w:sz w:val="19"/>
          <w:szCs w:val="19"/>
        </w:rPr>
        <w:t xml:space="preserve"> See Madeleine Leininger, ‘What is Transcultural Nursing and Culturally Competent Care?’ (1999) 10(1) </w:t>
      </w:r>
      <w:r w:rsidRPr="00962A3A">
        <w:rPr>
          <w:rFonts w:cs="Arial"/>
          <w:i/>
          <w:iCs/>
          <w:sz w:val="19"/>
          <w:szCs w:val="19"/>
        </w:rPr>
        <w:t>Journal of Transcultural Nursing</w:t>
      </w:r>
      <w:r w:rsidRPr="00962A3A">
        <w:rPr>
          <w:rFonts w:cs="Arial"/>
          <w:sz w:val="19"/>
          <w:szCs w:val="19"/>
        </w:rPr>
        <w:t xml:space="preserve"> 9.</w:t>
      </w:r>
    </w:p>
  </w:endnote>
  <w:endnote w:id="12">
    <w:p w:rsidR="007D18FB" w:rsidRPr="00962A3A" w:rsidRDefault="007D18FB" w:rsidP="007D18FB">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Joseph Betancourt, Alexander Green and J. Emilio Carrillo, </w:t>
      </w:r>
      <w:r w:rsidRPr="00962A3A">
        <w:rPr>
          <w:rFonts w:cs="Arial"/>
          <w:i/>
          <w:sz w:val="19"/>
          <w:szCs w:val="19"/>
        </w:rPr>
        <w:t>Cultural Competence in Health Care: Emerging Frameworks and Practical Approaches</w:t>
      </w:r>
      <w:r w:rsidRPr="00962A3A">
        <w:rPr>
          <w:rFonts w:cs="Arial"/>
          <w:sz w:val="19"/>
          <w:szCs w:val="19"/>
        </w:rPr>
        <w:t xml:space="preserve">. </w:t>
      </w:r>
      <w:r w:rsidRPr="00962A3A">
        <w:rPr>
          <w:rFonts w:cs="Arial"/>
          <w:i/>
          <w:sz w:val="19"/>
          <w:szCs w:val="19"/>
        </w:rPr>
        <w:t>Field Report</w:t>
      </w:r>
      <w:r w:rsidRPr="00962A3A">
        <w:rPr>
          <w:rFonts w:cs="Arial"/>
          <w:sz w:val="19"/>
          <w:szCs w:val="19"/>
        </w:rPr>
        <w:t xml:space="preserve"> (The Commonwealth Fund, 2002) v.; cited in Ruth DeSouza, ‘Wellness for All: The Possibilities of Cultural Safety and Cultural Competence in New Zealand’ (2008) 13(2) </w:t>
      </w:r>
      <w:r w:rsidRPr="00962A3A">
        <w:rPr>
          <w:rFonts w:cs="Arial"/>
          <w:i/>
          <w:iCs/>
          <w:sz w:val="19"/>
          <w:szCs w:val="19"/>
        </w:rPr>
        <w:t>Journal of Research in Nursing</w:t>
      </w:r>
      <w:r w:rsidRPr="00962A3A">
        <w:rPr>
          <w:rFonts w:cs="Arial"/>
          <w:sz w:val="19"/>
          <w:szCs w:val="19"/>
        </w:rPr>
        <w:t xml:space="preserve"> 125, 131.</w:t>
      </w:r>
    </w:p>
  </w:endnote>
  <w:endnote w:id="13">
    <w:p w:rsidR="00326B9D" w:rsidRPr="00962A3A" w:rsidRDefault="00326B9D" w:rsidP="00326B9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Ruth DeSouza, ‘Wellness for All: The Possibilities of Cultural Safety and Cultural Competence in New Zealand’ (2008) 13(2) </w:t>
      </w:r>
      <w:r w:rsidRPr="00962A3A">
        <w:rPr>
          <w:rFonts w:cs="Arial"/>
          <w:i/>
          <w:iCs/>
          <w:sz w:val="19"/>
          <w:szCs w:val="19"/>
        </w:rPr>
        <w:t>Journal of Research in Nursing</w:t>
      </w:r>
      <w:r w:rsidRPr="00962A3A">
        <w:rPr>
          <w:rFonts w:cs="Arial"/>
          <w:sz w:val="19"/>
          <w:szCs w:val="19"/>
        </w:rPr>
        <w:t xml:space="preserve"> 125, 125.</w:t>
      </w:r>
    </w:p>
  </w:endnote>
  <w:endnote w:id="14">
    <w:p w:rsidR="00326B9D" w:rsidRPr="00962A3A" w:rsidRDefault="00326B9D" w:rsidP="00326B9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For example Anne Coup, ‘Cultural safety and Culturally Congruent Care: A Comparative Analysis of Irihapeti Ramsden’s and Madeleine Leininger’s Educational Projects for Practice’ (1996) 11(1) </w:t>
      </w:r>
      <w:r w:rsidRPr="00962A3A">
        <w:rPr>
          <w:rFonts w:cs="Arial"/>
          <w:i/>
          <w:iCs/>
          <w:sz w:val="19"/>
          <w:szCs w:val="19"/>
        </w:rPr>
        <w:t>Nursing Praxis in New Zealand</w:t>
      </w:r>
      <w:r w:rsidRPr="00962A3A">
        <w:rPr>
          <w:rFonts w:cs="Arial"/>
          <w:iCs/>
          <w:sz w:val="19"/>
          <w:szCs w:val="19"/>
        </w:rPr>
        <w:t xml:space="preserve"> 4; Sandy </w:t>
      </w:r>
      <w:r w:rsidRPr="00962A3A">
        <w:rPr>
          <w:rFonts w:cs="Arial"/>
          <w:sz w:val="19"/>
          <w:szCs w:val="19"/>
        </w:rPr>
        <w:t xml:space="preserve">Richardson, ‘Aoteaoroa/New Zealand Nursing: From Eugenics to Cultural Safety’ (2004) 11(1) </w:t>
      </w:r>
      <w:r w:rsidRPr="00962A3A">
        <w:rPr>
          <w:rFonts w:cs="Arial"/>
          <w:i/>
          <w:iCs/>
          <w:sz w:val="19"/>
          <w:szCs w:val="19"/>
        </w:rPr>
        <w:t>Nursing Inquiry</w:t>
      </w:r>
      <w:r w:rsidRPr="00962A3A">
        <w:rPr>
          <w:rFonts w:cs="Arial"/>
          <w:sz w:val="19"/>
          <w:szCs w:val="19"/>
        </w:rPr>
        <w:t xml:space="preserve"> 35, 38.</w:t>
      </w:r>
    </w:p>
  </w:endnote>
  <w:endnote w:id="15">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Adapted from Irihapeti Ramsden, </w:t>
      </w:r>
      <w:r w:rsidRPr="00962A3A">
        <w:rPr>
          <w:rFonts w:cs="Arial"/>
          <w:i/>
          <w:sz w:val="19"/>
          <w:szCs w:val="19"/>
        </w:rPr>
        <w:t>Cultural Safety and Nursing Education in Aotearoa and Te Waipounamu</w:t>
      </w:r>
      <w:r w:rsidRPr="00962A3A">
        <w:rPr>
          <w:rFonts w:cs="Arial"/>
          <w:sz w:val="19"/>
          <w:szCs w:val="19"/>
        </w:rPr>
        <w:t xml:space="preserve"> (PhD Thesis, Victoria University Wellington, 2002) 117.</w:t>
      </w:r>
    </w:p>
  </w:endnote>
  <w:endnote w:id="16">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Ruth DeSouza, ‘Wellness for All: The Possibilities of Cultural Safety and Cultural Competence in New Zealand’ (2008) 13(2) </w:t>
      </w:r>
      <w:r w:rsidRPr="00962A3A">
        <w:rPr>
          <w:rFonts w:cs="Arial"/>
          <w:i/>
          <w:iCs/>
          <w:sz w:val="19"/>
          <w:szCs w:val="19"/>
        </w:rPr>
        <w:t>Journal of Research in Nursing</w:t>
      </w:r>
      <w:r w:rsidRPr="00962A3A">
        <w:rPr>
          <w:rFonts w:cs="Arial"/>
          <w:sz w:val="19"/>
          <w:szCs w:val="19"/>
        </w:rPr>
        <w:t xml:space="preserve"> 125, 133-4.</w:t>
      </w:r>
    </w:p>
  </w:endnote>
  <w:endnote w:id="17">
    <w:p w:rsidR="00F77994" w:rsidRPr="00962A3A" w:rsidRDefault="00F77994">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Mick Gooda, </w:t>
      </w:r>
      <w:r w:rsidRPr="00962A3A">
        <w:rPr>
          <w:rFonts w:cs="Arial"/>
          <w:i/>
          <w:sz w:val="19"/>
          <w:szCs w:val="19"/>
        </w:rPr>
        <w:t>Native Title Report 2011, Australian Human Rights Commission</w:t>
      </w:r>
      <w:r w:rsidRPr="00962A3A">
        <w:rPr>
          <w:rFonts w:cs="Arial"/>
          <w:sz w:val="19"/>
          <w:szCs w:val="19"/>
        </w:rPr>
        <w:t>, Recommendation 7.</w:t>
      </w:r>
    </w:p>
  </w:endnote>
  <w:endnote w:id="18">
    <w:p w:rsidR="00144AA9" w:rsidRPr="00962A3A" w:rsidRDefault="00144AA9">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00733536" w:rsidRPr="00962A3A">
        <w:rPr>
          <w:rFonts w:cs="Arial"/>
          <w:sz w:val="19"/>
          <w:szCs w:val="19"/>
        </w:rPr>
        <w:t>United Nations Declaration on the Rights of Indigenous Peoples, GA Resolution 61/295, UN Doc A/61/L.67 (2007) art 8(1).</w:t>
      </w:r>
      <w:r w:rsidR="001F2701" w:rsidRPr="00962A3A">
        <w:rPr>
          <w:rFonts w:cs="Arial"/>
          <w:sz w:val="19"/>
          <w:szCs w:val="19"/>
        </w:rPr>
        <w:t xml:space="preserve"> </w:t>
      </w:r>
    </w:p>
  </w:endnote>
  <w:endnote w:id="19">
    <w:p w:rsidR="00C45137" w:rsidRPr="00962A3A" w:rsidRDefault="00C45137" w:rsidP="00C45137">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United Nations Declaration on the Rights of Indigenous Peoples, GA Resolution 61/295, UN Doc A/61/L.67 (2007) art 11(1).</w:t>
      </w:r>
    </w:p>
  </w:endnote>
  <w:endnote w:id="20">
    <w:p w:rsidR="00AE4FE6" w:rsidRPr="00962A3A" w:rsidRDefault="00AE4FE6" w:rsidP="00AE4FE6">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Human Rights and Equal Opportunity Commission, </w:t>
      </w:r>
      <w:r w:rsidRPr="00962A3A">
        <w:rPr>
          <w:rFonts w:cs="Arial"/>
          <w:i/>
          <w:sz w:val="19"/>
          <w:szCs w:val="19"/>
        </w:rPr>
        <w:t>Bringing Them Home: Report of the National Inquiry into the Separation of Aboriginal and Torres Strait Islander Children from Their Families</w:t>
      </w:r>
      <w:r w:rsidRPr="00962A3A">
        <w:rPr>
          <w:rFonts w:cs="Arial"/>
          <w:sz w:val="19"/>
          <w:szCs w:val="19"/>
        </w:rPr>
        <w:t xml:space="preserve"> (1997) 4.</w:t>
      </w:r>
    </w:p>
  </w:endnote>
  <w:endnote w:id="21">
    <w:p w:rsidR="00C6135E" w:rsidRPr="00962A3A" w:rsidRDefault="00C6135E" w:rsidP="004013F9">
      <w:pPr>
        <w:spacing w:before="0" w:after="0"/>
        <w:rPr>
          <w:rFonts w:cs="Arial"/>
          <w:iCs/>
          <w:sz w:val="19"/>
          <w:szCs w:val="19"/>
        </w:rPr>
      </w:pPr>
      <w:r w:rsidRPr="00962A3A">
        <w:rPr>
          <w:rStyle w:val="EndnoteReference"/>
          <w:rFonts w:cs="Arial"/>
          <w:sz w:val="19"/>
          <w:szCs w:val="19"/>
        </w:rPr>
        <w:endnoteRef/>
      </w:r>
      <w:r w:rsidRPr="00962A3A">
        <w:rPr>
          <w:rFonts w:cs="Arial"/>
          <w:sz w:val="19"/>
          <w:szCs w:val="19"/>
        </w:rPr>
        <w:t xml:space="preserve"> Congress of Aboriginal and Torres Strait Islander Nurses and Midwives, </w:t>
      </w:r>
      <w:r w:rsidRPr="00962A3A">
        <w:rPr>
          <w:rFonts w:cs="Arial"/>
          <w:i/>
          <w:sz w:val="19"/>
          <w:szCs w:val="19"/>
        </w:rPr>
        <w:t>Cultural Safety Position Statement</w:t>
      </w:r>
      <w:r w:rsidRPr="00962A3A">
        <w:rPr>
          <w:rFonts w:cs="Arial"/>
          <w:sz w:val="19"/>
          <w:szCs w:val="19"/>
        </w:rPr>
        <w:t xml:space="preserve"> (2014). At </w:t>
      </w:r>
      <w:r w:rsidRPr="00962A3A">
        <w:rPr>
          <w:rFonts w:cs="Arial"/>
          <w:iCs/>
          <w:sz w:val="19"/>
          <w:szCs w:val="19"/>
        </w:rPr>
        <w:t>catsinam.org.au/static/.../files/cultural-safety-endorsed-march-2014-wfginzphsxbz.pdf (viewed 21 November 2017).</w:t>
      </w:r>
    </w:p>
  </w:endnote>
  <w:endnote w:id="22">
    <w:p w:rsidR="006D397F" w:rsidRPr="00962A3A" w:rsidRDefault="006D397F">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Australian Indigenous Doctors’ Association, </w:t>
      </w:r>
      <w:r w:rsidRPr="00962A3A">
        <w:rPr>
          <w:rFonts w:cs="Arial"/>
          <w:i/>
          <w:sz w:val="19"/>
          <w:szCs w:val="19"/>
        </w:rPr>
        <w:t>Cultural Safety for Aboriginal and Torres Strait Islander Doctors, Medical Students and Patients, Position Paper</w:t>
      </w:r>
      <w:r w:rsidRPr="00962A3A">
        <w:rPr>
          <w:rFonts w:cs="Arial"/>
          <w:sz w:val="19"/>
          <w:szCs w:val="19"/>
        </w:rPr>
        <w:t xml:space="preserve"> (2013). At </w:t>
      </w:r>
      <w:hyperlink r:id="rId2" w:history="1">
        <w:r w:rsidRPr="00962A3A">
          <w:rPr>
            <w:rStyle w:val="Hyperlink"/>
            <w:rFonts w:cs="Arial"/>
            <w:sz w:val="19"/>
            <w:szCs w:val="19"/>
          </w:rPr>
          <w:t>https://www.aida.org.au/wp-content/uploads/2015/03/Cultural_Safety.pdf</w:t>
        </w:r>
      </w:hyperlink>
      <w:r w:rsidRPr="00962A3A">
        <w:rPr>
          <w:rFonts w:cs="Arial"/>
          <w:sz w:val="19"/>
          <w:szCs w:val="19"/>
        </w:rPr>
        <w:t xml:space="preserve"> (viewed 21 November 2017).</w:t>
      </w:r>
    </w:p>
  </w:endnote>
  <w:endnote w:id="23">
    <w:p w:rsidR="001A7EBD" w:rsidRPr="00962A3A" w:rsidRDefault="001A7EB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National Aboriginal and Torres Strait Islander Health Worker Association</w:t>
      </w:r>
      <w:r w:rsidR="00717DD5" w:rsidRPr="00962A3A">
        <w:rPr>
          <w:rFonts w:cs="Arial"/>
          <w:sz w:val="19"/>
          <w:szCs w:val="19"/>
        </w:rPr>
        <w:t xml:space="preserve">, </w:t>
      </w:r>
      <w:r w:rsidR="00717DD5" w:rsidRPr="00962A3A">
        <w:rPr>
          <w:rFonts w:cs="Arial"/>
          <w:i/>
          <w:sz w:val="19"/>
          <w:szCs w:val="19"/>
        </w:rPr>
        <w:t>Cultural Safety Framework</w:t>
      </w:r>
      <w:r w:rsidR="00717DD5" w:rsidRPr="00962A3A">
        <w:rPr>
          <w:rFonts w:cs="Arial"/>
          <w:sz w:val="19"/>
          <w:szCs w:val="19"/>
        </w:rPr>
        <w:t xml:space="preserve">. At </w:t>
      </w:r>
      <w:hyperlink r:id="rId3" w:history="1">
        <w:r w:rsidR="00717DD5" w:rsidRPr="00962A3A">
          <w:rPr>
            <w:rStyle w:val="Hyperlink"/>
            <w:rFonts w:cs="Arial"/>
            <w:sz w:val="19"/>
            <w:szCs w:val="19"/>
          </w:rPr>
          <w:t>http://www.natsihwa.org.au/sites/default/</w:t>
        </w:r>
        <w:r w:rsidR="00717DD5" w:rsidRPr="00962A3A">
          <w:rPr>
            <w:rStyle w:val="Hyperlink"/>
            <w:rFonts w:cs="Arial"/>
            <w:color w:val="365F91" w:themeColor="accent1" w:themeShade="BF"/>
            <w:sz w:val="19"/>
            <w:szCs w:val="19"/>
          </w:rPr>
          <w:t>files</w:t>
        </w:r>
        <w:r w:rsidR="00717DD5" w:rsidRPr="00962A3A">
          <w:rPr>
            <w:rStyle w:val="Hyperlink"/>
            <w:rFonts w:cs="Arial"/>
            <w:sz w:val="19"/>
            <w:szCs w:val="19"/>
          </w:rPr>
          <w:t>/publications/NATSIHWA-Cultural%20Safety-Framework%20Summary.pdf</w:t>
        </w:r>
      </w:hyperlink>
      <w:r w:rsidR="00717DD5" w:rsidRPr="00962A3A">
        <w:rPr>
          <w:rFonts w:cs="Arial"/>
          <w:sz w:val="19"/>
          <w:szCs w:val="19"/>
        </w:rPr>
        <w:t xml:space="preserve"> (viewed 12 December 2017).</w:t>
      </w:r>
    </w:p>
  </w:endnote>
  <w:endnote w:id="24">
    <w:p w:rsidR="00E50B79" w:rsidRPr="00962A3A" w:rsidRDefault="00E50B79">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National Aboriginal and Torres Strait Islander Health Worker Association, </w:t>
      </w:r>
      <w:r w:rsidRPr="00962A3A">
        <w:rPr>
          <w:rFonts w:cs="Arial"/>
          <w:i/>
          <w:sz w:val="19"/>
          <w:szCs w:val="19"/>
        </w:rPr>
        <w:t>Cultural Safety Framework</w:t>
      </w:r>
      <w:r w:rsidRPr="00962A3A">
        <w:rPr>
          <w:rFonts w:cs="Arial"/>
          <w:sz w:val="19"/>
          <w:szCs w:val="19"/>
        </w:rPr>
        <w:t xml:space="preserve">. At </w:t>
      </w:r>
      <w:hyperlink r:id="rId4" w:history="1">
        <w:r w:rsidRPr="00962A3A">
          <w:rPr>
            <w:rStyle w:val="Hyperlink"/>
            <w:rFonts w:cs="Arial"/>
            <w:sz w:val="19"/>
            <w:szCs w:val="19"/>
          </w:rPr>
          <w:t>http://www.natsihwa.org.au/sites/default/files/publications/NATSIHWA-Cultural%20Safety-Framework%20Summary.pdf</w:t>
        </w:r>
      </w:hyperlink>
      <w:r w:rsidRPr="00962A3A">
        <w:rPr>
          <w:rFonts w:cs="Arial"/>
          <w:sz w:val="19"/>
          <w:szCs w:val="19"/>
        </w:rPr>
        <w:t xml:space="preserve"> (viewed 12 December 2017), 7.</w:t>
      </w:r>
    </w:p>
  </w:endnote>
  <w:endnote w:id="25">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Pr="00962A3A">
        <w:rPr>
          <w:rFonts w:cs="Arial"/>
          <w:sz w:val="19"/>
          <w:szCs w:val="19"/>
          <w:lang w:val="en"/>
        </w:rPr>
        <w:t xml:space="preserve">Victorian Aboriginal Community Controlled Health Organisation, </w:t>
      </w:r>
      <w:r w:rsidRPr="00962A3A">
        <w:rPr>
          <w:rFonts w:cs="Arial"/>
          <w:i/>
          <w:sz w:val="19"/>
          <w:szCs w:val="19"/>
          <w:lang w:val="en"/>
        </w:rPr>
        <w:t>An Introduction to Cultural Safety in Aboriginal Health</w:t>
      </w:r>
      <w:r w:rsidRPr="00962A3A">
        <w:rPr>
          <w:rFonts w:cs="Arial"/>
          <w:sz w:val="19"/>
          <w:szCs w:val="19"/>
          <w:lang w:val="en"/>
        </w:rPr>
        <w:t xml:space="preserve">. At </w:t>
      </w:r>
      <w:hyperlink r:id="rId5" w:history="1">
        <w:r w:rsidRPr="00962A3A">
          <w:rPr>
            <w:rStyle w:val="Hyperlink"/>
            <w:rFonts w:cs="Arial"/>
            <w:sz w:val="19"/>
            <w:szCs w:val="19"/>
            <w:lang w:val="en"/>
          </w:rPr>
          <w:t>http://www.vaccho.org.au/assets/01-RESOURCES/TOPIC-AREA/CULTURAL-SAFETY/CS-4-HOURS.pdf</w:t>
        </w:r>
      </w:hyperlink>
      <w:r w:rsidRPr="00962A3A">
        <w:rPr>
          <w:rFonts w:cs="Arial"/>
          <w:sz w:val="19"/>
          <w:szCs w:val="19"/>
          <w:lang w:val="en"/>
        </w:rPr>
        <w:t xml:space="preserve"> (viewed 21 November 2017).</w:t>
      </w:r>
    </w:p>
  </w:endnote>
  <w:endnote w:id="26">
    <w:p w:rsidR="00F618EC" w:rsidRPr="00962A3A" w:rsidRDefault="00F618EC">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The Aboriginal Health Council of Western Australia, </w:t>
      </w:r>
      <w:r w:rsidRPr="00962A3A">
        <w:rPr>
          <w:rFonts w:cs="Arial"/>
          <w:i/>
          <w:sz w:val="19"/>
          <w:szCs w:val="19"/>
        </w:rPr>
        <w:t>Cultural Safety Training</w:t>
      </w:r>
      <w:r w:rsidR="001A3556" w:rsidRPr="00962A3A">
        <w:rPr>
          <w:rFonts w:cs="Arial"/>
          <w:sz w:val="19"/>
          <w:szCs w:val="19"/>
        </w:rPr>
        <w:t xml:space="preserve"> (2018). At </w:t>
      </w:r>
      <w:hyperlink r:id="rId6" w:history="1">
        <w:r w:rsidR="001A3556" w:rsidRPr="00962A3A">
          <w:rPr>
            <w:rStyle w:val="Hyperlink"/>
            <w:rFonts w:cs="Arial"/>
            <w:sz w:val="19"/>
            <w:szCs w:val="19"/>
          </w:rPr>
          <w:t>https://www.ahcwa.org.au/cst</w:t>
        </w:r>
      </w:hyperlink>
      <w:r w:rsidR="001A3556" w:rsidRPr="00962A3A">
        <w:rPr>
          <w:rFonts w:cs="Arial"/>
          <w:sz w:val="19"/>
          <w:szCs w:val="19"/>
        </w:rPr>
        <w:t xml:space="preserve"> (viewed 16 January 2018).</w:t>
      </w:r>
    </w:p>
  </w:endnote>
  <w:endnote w:id="27">
    <w:p w:rsidR="005F41D4" w:rsidRPr="00962A3A" w:rsidRDefault="005F41D4">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Indigenous Allied Health Australia, </w:t>
      </w:r>
      <w:r w:rsidRPr="00962A3A">
        <w:rPr>
          <w:rFonts w:cs="Arial"/>
          <w:i/>
          <w:sz w:val="19"/>
          <w:szCs w:val="19"/>
        </w:rPr>
        <w:t>Cultural Responsiveness in Action: An IAHA Framework</w:t>
      </w:r>
      <w:r w:rsidRPr="00962A3A">
        <w:rPr>
          <w:rFonts w:cs="Arial"/>
          <w:sz w:val="19"/>
          <w:szCs w:val="19"/>
        </w:rPr>
        <w:t xml:space="preserve"> (2015). At </w:t>
      </w:r>
      <w:hyperlink r:id="rId7" w:history="1">
        <w:r w:rsidRPr="00962A3A">
          <w:rPr>
            <w:rStyle w:val="Hyperlink"/>
            <w:rFonts w:cs="Arial"/>
            <w:sz w:val="19"/>
            <w:szCs w:val="19"/>
          </w:rPr>
          <w:t>http://iaha.com.au/policy/cultural-responsiveness/</w:t>
        </w:r>
      </w:hyperlink>
      <w:r w:rsidRPr="00962A3A">
        <w:rPr>
          <w:rFonts w:cs="Arial"/>
          <w:sz w:val="19"/>
          <w:szCs w:val="19"/>
        </w:rPr>
        <w:t xml:space="preserve"> (viewed 16 January 2018).</w:t>
      </w:r>
    </w:p>
  </w:endnote>
  <w:endnote w:id="28">
    <w:p w:rsidR="009C5110" w:rsidRPr="00962A3A" w:rsidRDefault="009C5110">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Royal Australian College of General Practitioners, Aboriginal and Torres Strait Islander Health, </w:t>
      </w:r>
      <w:r w:rsidRPr="00962A3A">
        <w:rPr>
          <w:rFonts w:cs="Arial"/>
          <w:i/>
          <w:sz w:val="19"/>
          <w:szCs w:val="19"/>
        </w:rPr>
        <w:t>Cultural Awareness Education and Cultural Safety Training</w:t>
      </w:r>
      <w:r w:rsidR="00EE62B7" w:rsidRPr="00962A3A">
        <w:rPr>
          <w:rFonts w:cs="Arial"/>
          <w:sz w:val="19"/>
          <w:szCs w:val="19"/>
        </w:rPr>
        <w:t xml:space="preserve"> (2011)</w:t>
      </w:r>
      <w:r w:rsidR="006F51B4" w:rsidRPr="00962A3A">
        <w:rPr>
          <w:rFonts w:cs="Arial"/>
          <w:sz w:val="19"/>
          <w:szCs w:val="19"/>
        </w:rPr>
        <w:t xml:space="preserve">. At </w:t>
      </w:r>
      <w:hyperlink r:id="rId8" w:history="1">
        <w:r w:rsidR="006F51B4" w:rsidRPr="00962A3A">
          <w:rPr>
            <w:rStyle w:val="Hyperlink"/>
            <w:rFonts w:cs="Arial"/>
            <w:sz w:val="19"/>
            <w:szCs w:val="19"/>
          </w:rPr>
          <w:t>https://www.racgp.org.au/download/Documents/AHU/NFATSIH-Cultural-awareness-and-safety-training.PDF</w:t>
        </w:r>
      </w:hyperlink>
      <w:r w:rsidR="006F51B4" w:rsidRPr="00962A3A">
        <w:rPr>
          <w:rFonts w:cs="Arial"/>
          <w:sz w:val="19"/>
          <w:szCs w:val="19"/>
        </w:rPr>
        <w:t xml:space="preserve"> (viewed 16 January 2018).</w:t>
      </w:r>
    </w:p>
  </w:endnote>
  <w:endnote w:id="29">
    <w:p w:rsidR="00493623" w:rsidRPr="00962A3A" w:rsidRDefault="00493623">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007A644D" w:rsidRPr="00962A3A">
        <w:rPr>
          <w:rFonts w:cs="Arial"/>
          <w:sz w:val="19"/>
          <w:szCs w:val="19"/>
        </w:rPr>
        <w:t xml:space="preserve">Australian Government, </w:t>
      </w:r>
      <w:r w:rsidR="007A644D" w:rsidRPr="00962A3A">
        <w:rPr>
          <w:rFonts w:cs="Arial"/>
          <w:i/>
          <w:sz w:val="19"/>
          <w:szCs w:val="19"/>
        </w:rPr>
        <w:t xml:space="preserve">National Aboriginal and Torres Strait Islander Health Plan 2013-2023 </w:t>
      </w:r>
      <w:r w:rsidR="007A644D" w:rsidRPr="00962A3A">
        <w:rPr>
          <w:rFonts w:cs="Arial"/>
          <w:sz w:val="19"/>
          <w:szCs w:val="19"/>
        </w:rPr>
        <w:t xml:space="preserve">(2013). At </w:t>
      </w:r>
      <w:hyperlink r:id="rId9" w:history="1">
        <w:r w:rsidR="007A644D" w:rsidRPr="00962A3A">
          <w:rPr>
            <w:rStyle w:val="Hyperlink"/>
            <w:rFonts w:cs="Arial"/>
            <w:sz w:val="19"/>
            <w:szCs w:val="19"/>
          </w:rPr>
          <w:t>http://www.health.gov.au/natsihp</w:t>
        </w:r>
      </w:hyperlink>
      <w:r w:rsidR="007A644D" w:rsidRPr="00962A3A">
        <w:rPr>
          <w:rFonts w:cs="Arial"/>
          <w:sz w:val="19"/>
          <w:szCs w:val="19"/>
        </w:rPr>
        <w:t xml:space="preserve"> (viewed 12 December 2017).</w:t>
      </w:r>
    </w:p>
  </w:endnote>
  <w:endnote w:id="30">
    <w:p w:rsidR="001526D4" w:rsidRPr="00962A3A" w:rsidRDefault="001526D4">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Australian Government, </w:t>
      </w:r>
      <w:r w:rsidRPr="00962A3A">
        <w:rPr>
          <w:rFonts w:cs="Arial"/>
          <w:i/>
          <w:sz w:val="19"/>
          <w:szCs w:val="19"/>
        </w:rPr>
        <w:t xml:space="preserve">National Aboriginal and Torres Strait Islander Health Plan 2013-2023 </w:t>
      </w:r>
      <w:r w:rsidRPr="00962A3A">
        <w:rPr>
          <w:rFonts w:cs="Arial"/>
          <w:sz w:val="19"/>
          <w:szCs w:val="19"/>
        </w:rPr>
        <w:t xml:space="preserve">(2013). At </w:t>
      </w:r>
      <w:hyperlink r:id="rId10" w:history="1">
        <w:r w:rsidRPr="00962A3A">
          <w:rPr>
            <w:rStyle w:val="Hyperlink"/>
            <w:rFonts w:cs="Arial"/>
            <w:sz w:val="19"/>
            <w:szCs w:val="19"/>
          </w:rPr>
          <w:t>http://www.health.gov.au/natsihp</w:t>
        </w:r>
      </w:hyperlink>
      <w:r w:rsidRPr="00962A3A">
        <w:rPr>
          <w:rFonts w:cs="Arial"/>
          <w:sz w:val="19"/>
          <w:szCs w:val="19"/>
        </w:rPr>
        <w:t xml:space="preserve"> (viewed 12 December 2017), 16.</w:t>
      </w:r>
    </w:p>
  </w:endnote>
  <w:endnote w:id="31">
    <w:p w:rsidR="003245BA" w:rsidRPr="00962A3A" w:rsidRDefault="003245BA">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Martin Laverty, Dennis McDermott and Tom Calma, ‘Embedding Cultural Safety in Australia’s Main Health Care Standards’ (2017) 207(1) </w:t>
      </w:r>
      <w:r w:rsidRPr="00962A3A">
        <w:rPr>
          <w:rFonts w:cs="Arial"/>
          <w:i/>
          <w:sz w:val="19"/>
          <w:szCs w:val="19"/>
        </w:rPr>
        <w:t>Medical Journal of Australia</w:t>
      </w:r>
      <w:r w:rsidRPr="00962A3A">
        <w:rPr>
          <w:rFonts w:cs="Arial"/>
          <w:sz w:val="19"/>
          <w:szCs w:val="19"/>
        </w:rPr>
        <w:t xml:space="preserve"> 15</w:t>
      </w:r>
      <w:r w:rsidR="008B2149" w:rsidRPr="00962A3A">
        <w:rPr>
          <w:rFonts w:cs="Arial"/>
          <w:sz w:val="19"/>
          <w:szCs w:val="19"/>
        </w:rPr>
        <w:t>, 16</w:t>
      </w:r>
      <w:r w:rsidRPr="00962A3A">
        <w:rPr>
          <w:rFonts w:cs="Arial"/>
          <w:sz w:val="19"/>
          <w:szCs w:val="19"/>
        </w:rPr>
        <w:t>.</w:t>
      </w:r>
    </w:p>
  </w:endnote>
  <w:endnote w:id="32">
    <w:p w:rsidR="0005359C" w:rsidRPr="00962A3A" w:rsidRDefault="0005359C">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Australian Commission on Safety and Quality in Health Care. </w:t>
      </w:r>
      <w:r w:rsidRPr="00962A3A">
        <w:rPr>
          <w:rFonts w:cs="Arial"/>
          <w:i/>
          <w:sz w:val="19"/>
          <w:szCs w:val="19"/>
        </w:rPr>
        <w:t>National Safety and Quality Health Service Standards. User Guide For Aboriginal and Torres Strait Isl</w:t>
      </w:r>
      <w:r w:rsidR="002A723B" w:rsidRPr="00962A3A">
        <w:rPr>
          <w:rFonts w:cs="Arial"/>
          <w:i/>
          <w:sz w:val="19"/>
          <w:szCs w:val="19"/>
        </w:rPr>
        <w:t>ander Health</w:t>
      </w:r>
      <w:r w:rsidR="002A723B" w:rsidRPr="00962A3A">
        <w:rPr>
          <w:rFonts w:cs="Arial"/>
          <w:sz w:val="19"/>
          <w:szCs w:val="19"/>
        </w:rPr>
        <w:t xml:space="preserve"> (2017), 3. At </w:t>
      </w:r>
      <w:hyperlink r:id="rId11" w:history="1">
        <w:r w:rsidR="002A723B" w:rsidRPr="00962A3A">
          <w:rPr>
            <w:rStyle w:val="Hyperlink"/>
            <w:rFonts w:cs="Arial"/>
            <w:sz w:val="19"/>
            <w:szCs w:val="19"/>
          </w:rPr>
          <w:t>https://www.safetyandquality.gov.au/wp-content/uploads/2017/12/National-Safety-and-Quality-Health-Service-Standards-User-Guide-for-Aboriginal-and-Torres-Strait-Islander-Health.pdf</w:t>
        </w:r>
      </w:hyperlink>
      <w:r w:rsidR="002A723B" w:rsidRPr="00962A3A">
        <w:rPr>
          <w:rFonts w:cs="Arial"/>
          <w:sz w:val="19"/>
          <w:szCs w:val="19"/>
        </w:rPr>
        <w:t xml:space="preserve"> (viewed 16 January 2018).</w:t>
      </w:r>
    </w:p>
  </w:endnote>
  <w:endnote w:id="33">
    <w:p w:rsidR="005D681D" w:rsidRPr="00962A3A" w:rsidRDefault="005D681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Sarah MacLean, Rebecca Ritte, Alister Thorpe, Shaun Ewen and Kerry Arabena, ‘Health and Wellbeing Outcomes of Programs for Indigenous Australians That Include Strategies to Enable the Expression of Cultural Identities: A Systematic Review’ (2017) 23(4) </w:t>
      </w:r>
      <w:r w:rsidRPr="00962A3A">
        <w:rPr>
          <w:rFonts w:cs="Arial"/>
          <w:i/>
          <w:iCs/>
          <w:sz w:val="19"/>
          <w:szCs w:val="19"/>
        </w:rPr>
        <w:t>Australian Journal of Primary Health</w:t>
      </w:r>
      <w:r w:rsidRPr="00962A3A">
        <w:rPr>
          <w:rFonts w:cs="Arial"/>
          <w:sz w:val="19"/>
          <w:szCs w:val="19"/>
        </w:rPr>
        <w:t xml:space="preserve"> 309.</w:t>
      </w:r>
    </w:p>
  </w:endnote>
  <w:endnote w:id="34">
    <w:p w:rsidR="00C6135E" w:rsidRPr="00962A3A" w:rsidRDefault="00C6135E">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00B93CB7" w:rsidRPr="00962A3A">
        <w:rPr>
          <w:rFonts w:cs="Arial"/>
          <w:sz w:val="19"/>
          <w:szCs w:val="19"/>
        </w:rPr>
        <w:t xml:space="preserve">Alfred Dockery, ‘Culture and Wellbeing: The Case of Indigenous Australians’ (2010) 99(2) </w:t>
      </w:r>
      <w:r w:rsidR="00B93CB7" w:rsidRPr="00962A3A">
        <w:rPr>
          <w:rFonts w:cs="Arial"/>
          <w:i/>
          <w:iCs/>
          <w:sz w:val="19"/>
          <w:szCs w:val="19"/>
        </w:rPr>
        <w:t xml:space="preserve">Social Indicators Research </w:t>
      </w:r>
      <w:r w:rsidR="00B93CB7" w:rsidRPr="00962A3A">
        <w:rPr>
          <w:rFonts w:cs="Arial"/>
          <w:sz w:val="19"/>
          <w:szCs w:val="19"/>
        </w:rPr>
        <w:t>315.</w:t>
      </w:r>
    </w:p>
  </w:endnote>
  <w:endnote w:id="35">
    <w:p w:rsidR="003F469C" w:rsidRPr="00962A3A" w:rsidRDefault="003F469C">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United Nations Declaration on the Rights of Indigenous Peoples, GA Resolution 61/295, UN Doc A/61/L.67 (2007).</w:t>
      </w:r>
    </w:p>
  </w:endnote>
  <w:endnote w:id="36">
    <w:p w:rsidR="002D1B39" w:rsidRPr="00962A3A" w:rsidRDefault="002D1B39">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Pr="00962A3A">
        <w:rPr>
          <w:rFonts w:cs="Arial"/>
          <w:i/>
          <w:iCs/>
          <w:sz w:val="19"/>
          <w:szCs w:val="19"/>
        </w:rPr>
        <w:t>Convention on the Rights of the Child</w:t>
      </w:r>
      <w:r w:rsidRPr="00962A3A">
        <w:rPr>
          <w:rFonts w:cs="Arial"/>
          <w:sz w:val="19"/>
          <w:szCs w:val="19"/>
        </w:rPr>
        <w:t>, opened for signature 20 November 1989, 1577 UNTS 3 (entered into force 2 September 1990).</w:t>
      </w:r>
    </w:p>
  </w:endnote>
  <w:endnote w:id="37">
    <w:p w:rsidR="00B16824" w:rsidRPr="00962A3A" w:rsidRDefault="00B16824">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Committee on the Rights of the Child, United Nations Convention on the Rights of the Child, General Comment No. 11, Indigenous children and their rights under the Convention (2009). At </w:t>
      </w:r>
      <w:hyperlink r:id="rId12" w:history="1">
        <w:r w:rsidR="0088510A" w:rsidRPr="00962A3A">
          <w:rPr>
            <w:rStyle w:val="Hyperlink"/>
            <w:rFonts w:cs="Arial"/>
            <w:sz w:val="19"/>
            <w:szCs w:val="19"/>
          </w:rPr>
          <w:t>http://tbinternet.ohchr.org/_layouts/treatybodyexternal/Download.aspx?symbolno=CRC%2fC%2fGC%2f11&amp;Lang=en</w:t>
        </w:r>
      </w:hyperlink>
      <w:r w:rsidR="0088510A" w:rsidRPr="00962A3A">
        <w:rPr>
          <w:rFonts w:cs="Arial"/>
          <w:sz w:val="19"/>
          <w:szCs w:val="19"/>
        </w:rPr>
        <w:t xml:space="preserve"> (viewed 23 January 2018).</w:t>
      </w:r>
    </w:p>
  </w:endnote>
  <w:endnote w:id="38">
    <w:p w:rsidR="00776B0D" w:rsidRPr="00962A3A" w:rsidRDefault="00776B0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Daryl Higgins</w:t>
      </w:r>
      <w:r w:rsidRPr="00962A3A">
        <w:rPr>
          <w:rFonts w:cs="Arial"/>
          <w:i/>
          <w:sz w:val="19"/>
          <w:szCs w:val="19"/>
        </w:rPr>
        <w:t>, Community Development Approaches to Safety and Wellbeing of Indigenous Children</w:t>
      </w:r>
      <w:r w:rsidRPr="00962A3A">
        <w:rPr>
          <w:rFonts w:cs="Arial"/>
          <w:sz w:val="19"/>
          <w:szCs w:val="19"/>
        </w:rPr>
        <w:t xml:space="preserve"> (June 2010) Resource Sheet 1, Australia</w:t>
      </w:r>
      <w:r w:rsidR="00255513" w:rsidRPr="00962A3A">
        <w:rPr>
          <w:rFonts w:cs="Arial"/>
          <w:sz w:val="19"/>
          <w:szCs w:val="19"/>
        </w:rPr>
        <w:t xml:space="preserve">n Institute of Family Studies. </w:t>
      </w:r>
      <w:r w:rsidRPr="00962A3A">
        <w:rPr>
          <w:rFonts w:cs="Arial"/>
          <w:sz w:val="19"/>
          <w:szCs w:val="19"/>
        </w:rPr>
        <w:t xml:space="preserve">At </w:t>
      </w:r>
      <w:hyperlink r:id="rId13" w:history="1">
        <w:r w:rsidRPr="00962A3A">
          <w:rPr>
            <w:rStyle w:val="Hyperlink"/>
            <w:rFonts w:cs="Arial"/>
            <w:sz w:val="19"/>
            <w:szCs w:val="19"/>
          </w:rPr>
          <w:t>https://aifs.gov.au/publications/community-development-approaches-safety-and-wellbeing-indigenous-children</w:t>
        </w:r>
      </w:hyperlink>
      <w:r w:rsidRPr="00962A3A">
        <w:rPr>
          <w:rFonts w:cs="Arial"/>
          <w:color w:val="222222"/>
          <w:sz w:val="19"/>
          <w:szCs w:val="19"/>
        </w:rPr>
        <w:t xml:space="preserve"> </w:t>
      </w:r>
      <w:r w:rsidRPr="00962A3A">
        <w:rPr>
          <w:rFonts w:cs="Arial"/>
          <w:sz w:val="19"/>
          <w:szCs w:val="19"/>
        </w:rPr>
        <w:t>(viewed 28 November 2017).</w:t>
      </w:r>
    </w:p>
  </w:endnote>
  <w:endnote w:id="39">
    <w:p w:rsidR="00054252" w:rsidRPr="00962A3A" w:rsidRDefault="00054252">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SNAICC, Save the Children Australia, University of Melbourne, Centre for Evidence and Implementation</w:t>
      </w:r>
      <w:r w:rsidR="006062ED" w:rsidRPr="00962A3A">
        <w:rPr>
          <w:rFonts w:cs="Arial"/>
          <w:sz w:val="19"/>
          <w:szCs w:val="19"/>
        </w:rPr>
        <w:t xml:space="preserve">, </w:t>
      </w:r>
      <w:r w:rsidRPr="00962A3A">
        <w:rPr>
          <w:rFonts w:cs="Arial"/>
          <w:i/>
          <w:sz w:val="19"/>
          <w:szCs w:val="19"/>
        </w:rPr>
        <w:t>The Family Matters Report: Measuring Trends to Turn the Tide on Aboriginal and Torres Strait Islander Child Safety and Removal</w:t>
      </w:r>
      <w:r w:rsidRPr="00962A3A">
        <w:rPr>
          <w:rFonts w:cs="Arial"/>
          <w:sz w:val="19"/>
          <w:szCs w:val="19"/>
        </w:rPr>
        <w:t xml:space="preserve"> (2016).</w:t>
      </w:r>
      <w:r w:rsidR="00F15B07" w:rsidRPr="00962A3A">
        <w:rPr>
          <w:rFonts w:cs="Arial"/>
          <w:sz w:val="19"/>
          <w:szCs w:val="19"/>
        </w:rPr>
        <w:t xml:space="preserve"> At</w:t>
      </w:r>
      <w:r w:rsidRPr="00962A3A">
        <w:rPr>
          <w:rFonts w:cs="Arial"/>
          <w:sz w:val="19"/>
          <w:szCs w:val="19"/>
        </w:rPr>
        <w:t xml:space="preserve"> </w:t>
      </w:r>
      <w:hyperlink r:id="rId14" w:history="1">
        <w:r w:rsidRPr="00962A3A">
          <w:rPr>
            <w:rStyle w:val="Hyperlink"/>
            <w:rFonts w:cs="Arial"/>
            <w:iCs/>
            <w:sz w:val="19"/>
            <w:szCs w:val="19"/>
          </w:rPr>
          <w:t>www.familymatters.org.au/wpcontent/uploads/.../Family_Matters_Report_2016.pdf</w:t>
        </w:r>
      </w:hyperlink>
      <w:r w:rsidR="00F15B07" w:rsidRPr="00962A3A">
        <w:rPr>
          <w:rFonts w:cs="Arial"/>
          <w:iCs/>
          <w:sz w:val="19"/>
          <w:szCs w:val="19"/>
        </w:rPr>
        <w:t xml:space="preserve"> (viewed</w:t>
      </w:r>
      <w:r w:rsidRPr="00962A3A">
        <w:rPr>
          <w:rFonts w:cs="Arial"/>
          <w:iCs/>
          <w:sz w:val="19"/>
          <w:szCs w:val="19"/>
        </w:rPr>
        <w:t xml:space="preserve"> 21 November 2017).</w:t>
      </w:r>
    </w:p>
  </w:endnote>
  <w:endnote w:id="40">
    <w:p w:rsidR="0057782D" w:rsidRPr="00962A3A" w:rsidRDefault="0057782D" w:rsidP="0057782D">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SNAICC, </w:t>
      </w:r>
      <w:r w:rsidRPr="00962A3A">
        <w:rPr>
          <w:rFonts w:cs="Arial"/>
          <w:i/>
          <w:sz w:val="19"/>
          <w:szCs w:val="19"/>
        </w:rPr>
        <w:t>What is Cultural Safety?</w:t>
      </w:r>
      <w:r w:rsidRPr="00962A3A">
        <w:rPr>
          <w:rFonts w:cs="Arial"/>
          <w:sz w:val="19"/>
          <w:szCs w:val="19"/>
        </w:rPr>
        <w:t xml:space="preserve"> At </w:t>
      </w:r>
      <w:hyperlink r:id="rId15" w:history="1">
        <w:r w:rsidRPr="00962A3A">
          <w:rPr>
            <w:rStyle w:val="Hyperlink"/>
            <w:rFonts w:cs="Arial"/>
            <w:sz w:val="19"/>
            <w:szCs w:val="19"/>
          </w:rPr>
          <w:t>http://www.supportingcarers.snaicc.org.au/connecting-to-culture/cultural-safety/</w:t>
        </w:r>
      </w:hyperlink>
      <w:r w:rsidRPr="00962A3A">
        <w:rPr>
          <w:rFonts w:cs="Arial"/>
          <w:sz w:val="19"/>
          <w:szCs w:val="19"/>
        </w:rPr>
        <w:t xml:space="preserve"> (viewed 15 November 2017).</w:t>
      </w:r>
    </w:p>
  </w:endnote>
  <w:endnote w:id="41">
    <w:p w:rsidR="00923C99" w:rsidRPr="00962A3A" w:rsidRDefault="00923C99" w:rsidP="00923C99">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Muriel Bamblett, ‘The Possum Skin Cloak–Being Warmed by Culture’ (2014) 39(3) </w:t>
      </w:r>
      <w:r w:rsidRPr="00962A3A">
        <w:rPr>
          <w:rFonts w:cs="Arial"/>
          <w:i/>
          <w:iCs/>
          <w:sz w:val="19"/>
          <w:szCs w:val="19"/>
        </w:rPr>
        <w:t>Children Australia</w:t>
      </w:r>
      <w:r w:rsidRPr="00962A3A">
        <w:rPr>
          <w:rFonts w:cs="Arial"/>
          <w:sz w:val="19"/>
          <w:szCs w:val="19"/>
        </w:rPr>
        <w:t xml:space="preserve"> 134.</w:t>
      </w:r>
    </w:p>
  </w:endnote>
  <w:endnote w:id="42">
    <w:p w:rsidR="00923C99" w:rsidRPr="00962A3A" w:rsidRDefault="00923C99" w:rsidP="00923C99">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Kerry Arabena, Stacey Panozzo and Rebecca Ritte, ‘”What Hope Can Look Like”: The First 1000 Days-Aboriginal and Torres Strait Islander Children and their Families’ (2016) 44 </w:t>
      </w:r>
      <w:r w:rsidRPr="00962A3A">
        <w:rPr>
          <w:rFonts w:cs="Arial"/>
          <w:i/>
          <w:iCs/>
          <w:sz w:val="19"/>
          <w:szCs w:val="19"/>
        </w:rPr>
        <w:t>Developing Practice: The Child, Youth and Family Work Journal</w:t>
      </w:r>
      <w:r w:rsidRPr="00962A3A">
        <w:rPr>
          <w:rFonts w:cs="Arial"/>
          <w:sz w:val="19"/>
          <w:szCs w:val="19"/>
        </w:rPr>
        <w:t>, 25.</w:t>
      </w:r>
    </w:p>
  </w:endnote>
  <w:endnote w:id="43">
    <w:p w:rsidR="005C0B91" w:rsidRPr="00962A3A" w:rsidRDefault="005C0B91" w:rsidP="005C0B91">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Kerry Arabena, Stacey Panozzo and Rebecca Ritte, ‘”What Hope Can Look Like”: The First 1000 Days-Aboriginal and Torres Strait Islander Children and their Families’ (2016) 44 </w:t>
      </w:r>
      <w:r w:rsidRPr="00962A3A">
        <w:rPr>
          <w:rFonts w:cs="Arial"/>
          <w:i/>
          <w:iCs/>
          <w:sz w:val="19"/>
          <w:szCs w:val="19"/>
        </w:rPr>
        <w:t>Developing Practice: The Child, Youth and Family Work Journal</w:t>
      </w:r>
      <w:r w:rsidRPr="00962A3A">
        <w:rPr>
          <w:rFonts w:cs="Arial"/>
          <w:sz w:val="19"/>
          <w:szCs w:val="19"/>
        </w:rPr>
        <w:t>, 25, 26-27.</w:t>
      </w:r>
    </w:p>
  </w:endnote>
  <w:endnote w:id="44">
    <w:p w:rsidR="005C0B91" w:rsidRPr="00962A3A" w:rsidRDefault="005C0B91" w:rsidP="005C0B91">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Kerry Arabena, Stacey Panozzo and Rebecca Ritte, ‘”What Hope Can Look Like”: The First 1000 Days-Aboriginal and Torres Strait Islander Children and their Families’ (2016) 44 </w:t>
      </w:r>
      <w:r w:rsidRPr="00962A3A">
        <w:rPr>
          <w:rFonts w:cs="Arial"/>
          <w:i/>
          <w:iCs/>
          <w:sz w:val="19"/>
          <w:szCs w:val="19"/>
        </w:rPr>
        <w:t>Developing Practice: The Child, Youth and Family Work Journal</w:t>
      </w:r>
      <w:r w:rsidRPr="00962A3A">
        <w:rPr>
          <w:rFonts w:cs="Arial"/>
          <w:sz w:val="19"/>
          <w:szCs w:val="19"/>
        </w:rPr>
        <w:t>, 25, 32.</w:t>
      </w:r>
    </w:p>
  </w:endnote>
  <w:endnote w:id="45">
    <w:p w:rsidR="00EE5A46" w:rsidRPr="00962A3A" w:rsidRDefault="00EE5A46">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w:t>
      </w:r>
      <w:r w:rsidR="00F60D14" w:rsidRPr="00962A3A">
        <w:rPr>
          <w:rFonts w:cs="Arial"/>
          <w:sz w:val="19"/>
          <w:szCs w:val="19"/>
        </w:rPr>
        <w:t xml:space="preserve">For example, </w:t>
      </w:r>
      <w:r w:rsidR="00C36D4B" w:rsidRPr="00962A3A">
        <w:rPr>
          <w:rFonts w:cs="Arial"/>
          <w:sz w:val="19"/>
          <w:szCs w:val="19"/>
        </w:rPr>
        <w:t xml:space="preserve">Danielle Clucas, Kylie Carville, Christine Connors, Bart Currie, Jonathan Carapetis and Ross Andrews, ‘Disease burden and health-care clinic attendances for young children in remote Aboriginal communities of northern Australia’ (2008) 86(4) </w:t>
      </w:r>
      <w:r w:rsidR="00C36D4B" w:rsidRPr="00962A3A">
        <w:rPr>
          <w:rFonts w:cs="Arial"/>
          <w:i/>
          <w:iCs/>
          <w:sz w:val="19"/>
          <w:szCs w:val="19"/>
        </w:rPr>
        <w:t>Bulletin of the World Health Organization</w:t>
      </w:r>
      <w:r w:rsidR="00C36D4B" w:rsidRPr="00962A3A">
        <w:rPr>
          <w:rFonts w:cs="Arial"/>
          <w:sz w:val="19"/>
          <w:szCs w:val="19"/>
        </w:rPr>
        <w:t xml:space="preserve"> 275; </w:t>
      </w:r>
      <w:r w:rsidR="00B020B6" w:rsidRPr="00962A3A">
        <w:rPr>
          <w:rFonts w:cs="Arial"/>
          <w:sz w:val="19"/>
          <w:szCs w:val="19"/>
        </w:rPr>
        <w:t xml:space="preserve">Hasantha </w:t>
      </w:r>
      <w:r w:rsidR="00F60D14" w:rsidRPr="00962A3A">
        <w:rPr>
          <w:rFonts w:cs="Arial"/>
          <w:sz w:val="19"/>
          <w:szCs w:val="19"/>
        </w:rPr>
        <w:t xml:space="preserve">Gunasekera, Peter </w:t>
      </w:r>
      <w:r w:rsidR="00B020B6" w:rsidRPr="00962A3A">
        <w:rPr>
          <w:rFonts w:cs="Arial"/>
          <w:sz w:val="19"/>
          <w:szCs w:val="19"/>
        </w:rPr>
        <w:t>Morr</w:t>
      </w:r>
      <w:r w:rsidR="00F60D14" w:rsidRPr="00962A3A">
        <w:rPr>
          <w:rFonts w:cs="Arial"/>
          <w:sz w:val="19"/>
          <w:szCs w:val="19"/>
        </w:rPr>
        <w:t>is, John Daniels, Sophie Couzos and Jonathan Craig, ‘</w:t>
      </w:r>
      <w:r w:rsidR="00B020B6" w:rsidRPr="00962A3A">
        <w:rPr>
          <w:rFonts w:cs="Arial"/>
          <w:sz w:val="19"/>
          <w:szCs w:val="19"/>
        </w:rPr>
        <w:t>Otitis media in Aboriginal children: the discordance between burden of illness and access to services in r</w:t>
      </w:r>
      <w:r w:rsidR="00F60D14" w:rsidRPr="00962A3A">
        <w:rPr>
          <w:rFonts w:cs="Arial"/>
          <w:sz w:val="19"/>
          <w:szCs w:val="19"/>
        </w:rPr>
        <w:t>ural/remote and urban Australia’ (2009) 45(7-8)</w:t>
      </w:r>
      <w:r w:rsidR="00B020B6" w:rsidRPr="00962A3A">
        <w:rPr>
          <w:rFonts w:cs="Arial"/>
          <w:sz w:val="19"/>
          <w:szCs w:val="19"/>
        </w:rPr>
        <w:t xml:space="preserve"> </w:t>
      </w:r>
      <w:r w:rsidR="00F60D14" w:rsidRPr="00962A3A">
        <w:rPr>
          <w:rFonts w:cs="Arial"/>
          <w:i/>
          <w:iCs/>
          <w:sz w:val="19"/>
          <w:szCs w:val="19"/>
        </w:rPr>
        <w:t>Journal of Paediatrics and Child H</w:t>
      </w:r>
      <w:r w:rsidR="00B020B6" w:rsidRPr="00962A3A">
        <w:rPr>
          <w:rFonts w:cs="Arial"/>
          <w:i/>
          <w:iCs/>
          <w:sz w:val="19"/>
          <w:szCs w:val="19"/>
        </w:rPr>
        <w:t>ealth</w:t>
      </w:r>
      <w:r w:rsidR="00F60D14" w:rsidRPr="00962A3A">
        <w:rPr>
          <w:rFonts w:cs="Arial"/>
          <w:sz w:val="19"/>
          <w:szCs w:val="19"/>
        </w:rPr>
        <w:t xml:space="preserve"> 425</w:t>
      </w:r>
      <w:r w:rsidR="00B020B6" w:rsidRPr="00962A3A">
        <w:rPr>
          <w:rFonts w:cs="Arial"/>
          <w:sz w:val="19"/>
          <w:szCs w:val="19"/>
        </w:rPr>
        <w:t xml:space="preserve">;Dorothy Mackerras, Alison Reid, Susan M. Sayers, Gurmeet Singh, Kathryn Flynn and Ingrid Bucens, ‘Growth and morbidity in children in the Aboriginal Birth Cohort Study: the urban–remote differential’ (2003) 178(2) </w:t>
      </w:r>
      <w:r w:rsidR="00B020B6" w:rsidRPr="00962A3A">
        <w:rPr>
          <w:rFonts w:cs="Arial"/>
          <w:i/>
          <w:iCs/>
          <w:sz w:val="19"/>
          <w:szCs w:val="19"/>
        </w:rPr>
        <w:t>The Medical Journal of Australia</w:t>
      </w:r>
      <w:r w:rsidR="00B020B6" w:rsidRPr="00962A3A">
        <w:rPr>
          <w:rFonts w:cs="Arial"/>
          <w:sz w:val="19"/>
          <w:szCs w:val="19"/>
        </w:rPr>
        <w:t xml:space="preserve"> 56.</w:t>
      </w:r>
    </w:p>
  </w:endnote>
  <w:endnote w:id="46">
    <w:p w:rsidR="00501B61" w:rsidRPr="00962A3A" w:rsidRDefault="00501B61" w:rsidP="00501B61">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Commonwealth, Royal Commission and Board of Inquiry Into the Detention of Children in the Northern Territory. </w:t>
      </w:r>
      <w:r w:rsidRPr="00962A3A">
        <w:rPr>
          <w:rFonts w:cs="Arial"/>
          <w:i/>
          <w:sz w:val="19"/>
          <w:szCs w:val="19"/>
        </w:rPr>
        <w:t>National Report</w:t>
      </w:r>
      <w:r w:rsidRPr="00962A3A">
        <w:rPr>
          <w:rFonts w:cs="Arial"/>
          <w:sz w:val="19"/>
          <w:szCs w:val="19"/>
        </w:rPr>
        <w:t xml:space="preserve"> (2017) vol 1, 19-20.</w:t>
      </w:r>
    </w:p>
  </w:endnote>
  <w:endnote w:id="47">
    <w:p w:rsidR="0035224B" w:rsidRPr="00962A3A" w:rsidRDefault="0035224B" w:rsidP="0035224B">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Royal Commission into Institutional Responses to Child Sexual Abuse. </w:t>
      </w:r>
      <w:r w:rsidRPr="00962A3A">
        <w:rPr>
          <w:rFonts w:cs="Arial"/>
          <w:i/>
          <w:sz w:val="19"/>
          <w:szCs w:val="19"/>
        </w:rPr>
        <w:t>Final Report Recommendations</w:t>
      </w:r>
      <w:r w:rsidRPr="00962A3A">
        <w:rPr>
          <w:rFonts w:cs="Arial"/>
          <w:sz w:val="19"/>
          <w:szCs w:val="19"/>
        </w:rPr>
        <w:t xml:space="preserve"> (2017), 30, 40, 46. </w:t>
      </w:r>
      <w:r w:rsidR="0023417A" w:rsidRPr="00962A3A">
        <w:rPr>
          <w:rFonts w:cs="Arial"/>
          <w:sz w:val="19"/>
          <w:szCs w:val="19"/>
        </w:rPr>
        <w:t xml:space="preserve">At </w:t>
      </w:r>
      <w:hyperlink r:id="rId16" w:history="1">
        <w:r w:rsidR="0023417A" w:rsidRPr="00962A3A">
          <w:rPr>
            <w:rStyle w:val="Hyperlink"/>
            <w:rFonts w:cs="Arial"/>
            <w:sz w:val="19"/>
            <w:szCs w:val="19"/>
          </w:rPr>
          <w:t>https://www.childabuseroyalcommission.gov.au/sites/default/files/final_report_-_recommendations.pdf</w:t>
        </w:r>
      </w:hyperlink>
      <w:r w:rsidR="0023417A" w:rsidRPr="00962A3A">
        <w:rPr>
          <w:rFonts w:cs="Arial"/>
          <w:sz w:val="19"/>
          <w:szCs w:val="19"/>
        </w:rPr>
        <w:t xml:space="preserve"> (viewed 8 January 2018).</w:t>
      </w:r>
    </w:p>
  </w:endnote>
  <w:endnote w:id="48">
    <w:p w:rsidR="00BB2594" w:rsidRPr="00962A3A" w:rsidRDefault="00BB2594">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Royal Commission into Institutional Responses to Child Sexual Abuse. </w:t>
      </w:r>
      <w:r w:rsidRPr="00962A3A">
        <w:rPr>
          <w:rFonts w:cs="Arial"/>
          <w:i/>
          <w:sz w:val="19"/>
          <w:szCs w:val="19"/>
        </w:rPr>
        <w:t>Criminal Justice Report</w:t>
      </w:r>
      <w:r w:rsidRPr="00962A3A">
        <w:rPr>
          <w:rFonts w:cs="Arial"/>
          <w:sz w:val="19"/>
          <w:szCs w:val="19"/>
        </w:rPr>
        <w:t xml:space="preserve"> (2017)</w:t>
      </w:r>
      <w:r w:rsidR="00947FE5" w:rsidRPr="00962A3A">
        <w:rPr>
          <w:rFonts w:cs="Arial"/>
          <w:sz w:val="19"/>
          <w:szCs w:val="19"/>
        </w:rPr>
        <w:t xml:space="preserve"> Executive Summary and Parts I-II, 91, 95</w:t>
      </w:r>
      <w:r w:rsidRPr="00962A3A">
        <w:rPr>
          <w:rFonts w:cs="Arial"/>
          <w:sz w:val="19"/>
          <w:szCs w:val="19"/>
        </w:rPr>
        <w:t xml:space="preserve">. </w:t>
      </w:r>
      <w:r w:rsidR="00C71B9D" w:rsidRPr="00962A3A">
        <w:rPr>
          <w:rFonts w:cs="Arial"/>
          <w:sz w:val="19"/>
          <w:szCs w:val="19"/>
        </w:rPr>
        <w:t xml:space="preserve">At </w:t>
      </w:r>
      <w:hyperlink r:id="rId17" w:history="1">
        <w:r w:rsidR="00C71B9D" w:rsidRPr="00962A3A">
          <w:rPr>
            <w:rStyle w:val="Hyperlink"/>
            <w:rFonts w:cs="Arial"/>
            <w:sz w:val="19"/>
            <w:szCs w:val="19"/>
          </w:rPr>
          <w:t>https://www.childabuseroyalcommission.gov.au/sites/default/files/file-list/final_report_-_criminal_justice_report_-_executive_summary_and_parts_i_to_ii.pdf</w:t>
        </w:r>
      </w:hyperlink>
      <w:r w:rsidR="00C71B9D" w:rsidRPr="00962A3A">
        <w:rPr>
          <w:rFonts w:cs="Arial"/>
          <w:sz w:val="19"/>
          <w:szCs w:val="19"/>
        </w:rPr>
        <w:t xml:space="preserve"> (viewed 8 January 2018).</w:t>
      </w:r>
    </w:p>
  </w:endnote>
  <w:endnote w:id="49">
    <w:p w:rsidR="002A7CA2" w:rsidRPr="00962A3A" w:rsidRDefault="002A7CA2">
      <w:pPr>
        <w:pStyle w:val="EndnoteText"/>
        <w:rPr>
          <w:rFonts w:cs="Arial"/>
          <w:sz w:val="19"/>
          <w:szCs w:val="19"/>
        </w:rPr>
      </w:pPr>
      <w:r w:rsidRPr="00962A3A">
        <w:rPr>
          <w:rStyle w:val="EndnoteReference"/>
          <w:rFonts w:cs="Arial"/>
          <w:sz w:val="19"/>
          <w:szCs w:val="19"/>
        </w:rPr>
        <w:endnoteRef/>
      </w:r>
      <w:r w:rsidRPr="00962A3A">
        <w:rPr>
          <w:rFonts w:cs="Arial"/>
          <w:sz w:val="19"/>
          <w:szCs w:val="19"/>
        </w:rPr>
        <w:t xml:space="preserve"> Royal Commission into Institutional Responses to Child Sexual Abuse. </w:t>
      </w:r>
      <w:r w:rsidRPr="00962A3A">
        <w:rPr>
          <w:rFonts w:cs="Arial"/>
          <w:i/>
          <w:sz w:val="19"/>
          <w:szCs w:val="19"/>
        </w:rPr>
        <w:t>Final Report. Making Institutions Child Safe. Volume 6</w:t>
      </w:r>
      <w:r w:rsidRPr="00962A3A">
        <w:rPr>
          <w:rFonts w:cs="Arial"/>
          <w:sz w:val="19"/>
          <w:szCs w:val="19"/>
        </w:rPr>
        <w:t xml:space="preserve"> (2017), 213.</w:t>
      </w:r>
      <w:r w:rsidR="00F17786" w:rsidRPr="00962A3A">
        <w:rPr>
          <w:rFonts w:cs="Arial"/>
          <w:sz w:val="19"/>
          <w:szCs w:val="19"/>
        </w:rPr>
        <w:t xml:space="preserve"> At </w:t>
      </w:r>
      <w:hyperlink r:id="rId18" w:history="1">
        <w:r w:rsidR="00F17786" w:rsidRPr="00962A3A">
          <w:rPr>
            <w:rStyle w:val="Hyperlink"/>
            <w:rFonts w:cs="Arial"/>
            <w:sz w:val="19"/>
            <w:szCs w:val="19"/>
          </w:rPr>
          <w:t>https://www.childabuseroyalcommission.gov.au/sites/default/files/final_report_-_volume_6_making_institutions_child_safe.pdf</w:t>
        </w:r>
      </w:hyperlink>
      <w:r w:rsidR="00F17786" w:rsidRPr="00962A3A">
        <w:rPr>
          <w:rFonts w:cs="Arial"/>
          <w:sz w:val="19"/>
          <w:szCs w:val="19"/>
        </w:rPr>
        <w:t xml:space="preserve"> (viewed 10 January 2018).</w:t>
      </w:r>
    </w:p>
  </w:endnote>
  <w:endnote w:id="50">
    <w:p w:rsidR="00E61E09" w:rsidRDefault="00E61E09">
      <w:pPr>
        <w:pStyle w:val="EndnoteText"/>
      </w:pPr>
      <w:r w:rsidRPr="00962A3A">
        <w:rPr>
          <w:rStyle w:val="EndnoteReference"/>
          <w:rFonts w:cs="Arial"/>
          <w:sz w:val="19"/>
          <w:szCs w:val="19"/>
        </w:rPr>
        <w:endnoteRef/>
      </w:r>
      <w:r w:rsidRPr="00962A3A">
        <w:rPr>
          <w:rFonts w:cs="Arial"/>
          <w:sz w:val="19"/>
          <w:szCs w:val="19"/>
        </w:rPr>
        <w:t xml:space="preserve"> Royal Commission into Institutional Responses to Child Sexual Abuse. </w:t>
      </w:r>
      <w:r w:rsidRPr="00962A3A">
        <w:rPr>
          <w:rFonts w:cs="Arial"/>
          <w:i/>
          <w:sz w:val="19"/>
          <w:szCs w:val="19"/>
        </w:rPr>
        <w:t>Final Report. Making Institutions Child Safe. Volume 6</w:t>
      </w:r>
      <w:r w:rsidRPr="00962A3A">
        <w:rPr>
          <w:rFonts w:cs="Arial"/>
          <w:sz w:val="19"/>
          <w:szCs w:val="19"/>
        </w:rPr>
        <w:t xml:space="preserve"> (2017), 170-172. At </w:t>
      </w:r>
      <w:hyperlink r:id="rId19" w:history="1">
        <w:r w:rsidRPr="00962A3A">
          <w:rPr>
            <w:rStyle w:val="Hyperlink"/>
            <w:rFonts w:cs="Arial"/>
            <w:sz w:val="19"/>
            <w:szCs w:val="19"/>
          </w:rPr>
          <w:t>https://www.childabuseroyalcommission.gov.au/sites/default/files/final_report_-_volume_6_making_institutions_child_safe.pdf</w:t>
        </w:r>
      </w:hyperlink>
      <w:r w:rsidRPr="00962A3A">
        <w:rPr>
          <w:rFonts w:cs="Arial"/>
          <w:sz w:val="19"/>
          <w:szCs w:val="19"/>
        </w:rPr>
        <w:t xml:space="preserve"> (viewed 10 January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3" w:rsidRDefault="000236E3" w:rsidP="000236E3">
    <w:pPr>
      <w:pStyle w:val="Footer"/>
      <w:spacing w:before="0"/>
      <w:jc w:val="left"/>
      <w:rPr>
        <w:noProof/>
        <w:sz w:val="18"/>
        <w:szCs w:val="18"/>
      </w:rPr>
    </w:pPr>
    <w:r w:rsidRPr="000236E3">
      <w:rPr>
        <w:noProof/>
        <w:sz w:val="18"/>
        <w:szCs w:val="18"/>
      </w:rPr>
      <w:t>Australian Human Rights Commission</w:t>
    </w:r>
  </w:p>
  <w:p w:rsidR="00C6135E" w:rsidRPr="000A7FB1" w:rsidRDefault="000D74A7" w:rsidP="00CE7182">
    <w:pPr>
      <w:pStyle w:val="Footer"/>
      <w:spacing w:before="0"/>
      <w:rPr>
        <w:sz w:val="18"/>
        <w:szCs w:val="18"/>
      </w:rPr>
    </w:pPr>
    <w:r w:rsidRPr="000236E3">
      <w:rPr>
        <w:i/>
        <w:noProof/>
        <w:sz w:val="18"/>
        <w:szCs w:val="18"/>
      </w:rPr>
      <w:t xml:space="preserve">Cultural Safety </w:t>
    </w:r>
    <w:r w:rsidR="00180DE0" w:rsidRPr="000236E3">
      <w:rPr>
        <w:i/>
        <w:noProof/>
        <w:sz w:val="18"/>
        <w:szCs w:val="18"/>
      </w:rPr>
      <w:t>Background Paper</w:t>
    </w:r>
    <w:r w:rsidR="000236E3" w:rsidRPr="000236E3">
      <w:rPr>
        <w:i/>
        <w:noProof/>
        <w:sz w:val="18"/>
        <w:szCs w:val="18"/>
      </w:rPr>
      <w:t>, January 2018</w:t>
    </w:r>
    <w:r w:rsidRPr="000A7FB1">
      <w:rPr>
        <w:noProof/>
        <w:sz w:val="18"/>
        <w:szCs w:val="18"/>
      </w:rPr>
      <w:ptab w:relativeTo="margin" w:alignment="right" w:leader="none"/>
    </w:r>
    <w:r w:rsidRPr="000A7FB1">
      <w:rPr>
        <w:noProof/>
        <w:sz w:val="18"/>
        <w:szCs w:val="18"/>
      </w:rPr>
      <w:fldChar w:fldCharType="begin"/>
    </w:r>
    <w:r w:rsidRPr="000A7FB1">
      <w:rPr>
        <w:noProof/>
        <w:sz w:val="18"/>
        <w:szCs w:val="18"/>
      </w:rPr>
      <w:instrText xml:space="preserve"> PAGE   \* MERGEFORMAT </w:instrText>
    </w:r>
    <w:r w:rsidRPr="000A7FB1">
      <w:rPr>
        <w:noProof/>
        <w:sz w:val="18"/>
        <w:szCs w:val="18"/>
      </w:rPr>
      <w:fldChar w:fldCharType="separate"/>
    </w:r>
    <w:r w:rsidR="007971B3">
      <w:rPr>
        <w:noProof/>
        <w:sz w:val="18"/>
        <w:szCs w:val="18"/>
      </w:rPr>
      <w:t>2</w:t>
    </w:r>
    <w:r w:rsidRPr="000A7FB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5E" w:rsidRDefault="00C6135E" w:rsidP="00F14C6D">
      <w:r>
        <w:separator/>
      </w:r>
    </w:p>
  </w:footnote>
  <w:footnote w:type="continuationSeparator" w:id="0">
    <w:p w:rsidR="00C6135E" w:rsidRDefault="00C6135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5E" w:rsidRDefault="00C6135E" w:rsidP="00180DE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BA" w:rsidRDefault="009F52BA" w:rsidP="00180DE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89580D"/>
    <w:multiLevelType w:val="hybridMultilevel"/>
    <w:tmpl w:val="5D76E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0A1CE0"/>
    <w:multiLevelType w:val="hybridMultilevel"/>
    <w:tmpl w:val="F658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1013B5"/>
    <w:multiLevelType w:val="hybridMultilevel"/>
    <w:tmpl w:val="730AC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B351C8"/>
    <w:multiLevelType w:val="hybridMultilevel"/>
    <w:tmpl w:val="7B166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217F14"/>
    <w:multiLevelType w:val="hybridMultilevel"/>
    <w:tmpl w:val="D58C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1F0EAD"/>
    <w:multiLevelType w:val="hybridMultilevel"/>
    <w:tmpl w:val="8D98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732A26"/>
    <w:multiLevelType w:val="hybridMultilevel"/>
    <w:tmpl w:val="3DB809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6902C43"/>
    <w:multiLevelType w:val="hybridMultilevel"/>
    <w:tmpl w:val="60E4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CBB43E3"/>
    <w:multiLevelType w:val="hybridMultilevel"/>
    <w:tmpl w:val="545834FA"/>
    <w:lvl w:ilvl="0" w:tplc="ACFA6380">
      <w:start w:val="1"/>
      <w:numFmt w:val="bullet"/>
      <w:lvlText w:val="•"/>
      <w:lvlJc w:val="left"/>
      <w:pPr>
        <w:tabs>
          <w:tab w:val="num" w:pos="720"/>
        </w:tabs>
        <w:ind w:left="720" w:hanging="360"/>
      </w:pPr>
      <w:rPr>
        <w:rFonts w:ascii="Times New Roman" w:hAnsi="Times New Roman" w:hint="default"/>
      </w:rPr>
    </w:lvl>
    <w:lvl w:ilvl="1" w:tplc="A800781E" w:tentative="1">
      <w:start w:val="1"/>
      <w:numFmt w:val="bullet"/>
      <w:lvlText w:val="•"/>
      <w:lvlJc w:val="left"/>
      <w:pPr>
        <w:tabs>
          <w:tab w:val="num" w:pos="1440"/>
        </w:tabs>
        <w:ind w:left="1440" w:hanging="360"/>
      </w:pPr>
      <w:rPr>
        <w:rFonts w:ascii="Times New Roman" w:hAnsi="Times New Roman" w:hint="default"/>
      </w:rPr>
    </w:lvl>
    <w:lvl w:ilvl="2" w:tplc="B0B0E63E" w:tentative="1">
      <w:start w:val="1"/>
      <w:numFmt w:val="bullet"/>
      <w:lvlText w:val="•"/>
      <w:lvlJc w:val="left"/>
      <w:pPr>
        <w:tabs>
          <w:tab w:val="num" w:pos="2160"/>
        </w:tabs>
        <w:ind w:left="2160" w:hanging="360"/>
      </w:pPr>
      <w:rPr>
        <w:rFonts w:ascii="Times New Roman" w:hAnsi="Times New Roman" w:hint="default"/>
      </w:rPr>
    </w:lvl>
    <w:lvl w:ilvl="3" w:tplc="5B38EB4C" w:tentative="1">
      <w:start w:val="1"/>
      <w:numFmt w:val="bullet"/>
      <w:lvlText w:val="•"/>
      <w:lvlJc w:val="left"/>
      <w:pPr>
        <w:tabs>
          <w:tab w:val="num" w:pos="2880"/>
        </w:tabs>
        <w:ind w:left="2880" w:hanging="360"/>
      </w:pPr>
      <w:rPr>
        <w:rFonts w:ascii="Times New Roman" w:hAnsi="Times New Roman" w:hint="default"/>
      </w:rPr>
    </w:lvl>
    <w:lvl w:ilvl="4" w:tplc="69C2C632" w:tentative="1">
      <w:start w:val="1"/>
      <w:numFmt w:val="bullet"/>
      <w:lvlText w:val="•"/>
      <w:lvlJc w:val="left"/>
      <w:pPr>
        <w:tabs>
          <w:tab w:val="num" w:pos="3600"/>
        </w:tabs>
        <w:ind w:left="3600" w:hanging="360"/>
      </w:pPr>
      <w:rPr>
        <w:rFonts w:ascii="Times New Roman" w:hAnsi="Times New Roman" w:hint="default"/>
      </w:rPr>
    </w:lvl>
    <w:lvl w:ilvl="5" w:tplc="1C72BC84" w:tentative="1">
      <w:start w:val="1"/>
      <w:numFmt w:val="bullet"/>
      <w:lvlText w:val="•"/>
      <w:lvlJc w:val="left"/>
      <w:pPr>
        <w:tabs>
          <w:tab w:val="num" w:pos="4320"/>
        </w:tabs>
        <w:ind w:left="4320" w:hanging="360"/>
      </w:pPr>
      <w:rPr>
        <w:rFonts w:ascii="Times New Roman" w:hAnsi="Times New Roman" w:hint="default"/>
      </w:rPr>
    </w:lvl>
    <w:lvl w:ilvl="6" w:tplc="8ADEE2E0" w:tentative="1">
      <w:start w:val="1"/>
      <w:numFmt w:val="bullet"/>
      <w:lvlText w:val="•"/>
      <w:lvlJc w:val="left"/>
      <w:pPr>
        <w:tabs>
          <w:tab w:val="num" w:pos="5040"/>
        </w:tabs>
        <w:ind w:left="5040" w:hanging="360"/>
      </w:pPr>
      <w:rPr>
        <w:rFonts w:ascii="Times New Roman" w:hAnsi="Times New Roman" w:hint="default"/>
      </w:rPr>
    </w:lvl>
    <w:lvl w:ilvl="7" w:tplc="58A06D28" w:tentative="1">
      <w:start w:val="1"/>
      <w:numFmt w:val="bullet"/>
      <w:lvlText w:val="•"/>
      <w:lvlJc w:val="left"/>
      <w:pPr>
        <w:tabs>
          <w:tab w:val="num" w:pos="5760"/>
        </w:tabs>
        <w:ind w:left="5760" w:hanging="360"/>
      </w:pPr>
      <w:rPr>
        <w:rFonts w:ascii="Times New Roman" w:hAnsi="Times New Roman" w:hint="default"/>
      </w:rPr>
    </w:lvl>
    <w:lvl w:ilvl="8" w:tplc="1CE6F64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D4F5F02"/>
    <w:multiLevelType w:val="hybridMultilevel"/>
    <w:tmpl w:val="1BD2CB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0165BD7"/>
    <w:multiLevelType w:val="hybridMultilevel"/>
    <w:tmpl w:val="0DE2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0F23FE"/>
    <w:multiLevelType w:val="hybridMultilevel"/>
    <w:tmpl w:val="1CA6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F1516D"/>
    <w:multiLevelType w:val="hybridMultilevel"/>
    <w:tmpl w:val="07FE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6512FA"/>
    <w:multiLevelType w:val="hybridMultilevel"/>
    <w:tmpl w:val="8DEC15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502A28CB"/>
    <w:multiLevelType w:val="hybridMultilevel"/>
    <w:tmpl w:val="7A88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F44936"/>
    <w:multiLevelType w:val="hybridMultilevel"/>
    <w:tmpl w:val="64825054"/>
    <w:lvl w:ilvl="0" w:tplc="52FACA10">
      <w:start w:val="49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B7C7F"/>
    <w:multiLevelType w:val="hybridMultilevel"/>
    <w:tmpl w:val="3FD07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66726A1F"/>
    <w:multiLevelType w:val="hybridMultilevel"/>
    <w:tmpl w:val="CF32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16A4E"/>
    <w:multiLevelType w:val="hybridMultilevel"/>
    <w:tmpl w:val="16623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5"/>
  </w:num>
  <w:num w:numId="12">
    <w:abstractNumId w:val="27"/>
  </w:num>
  <w:num w:numId="13">
    <w:abstractNumId w:val="20"/>
  </w:num>
  <w:num w:numId="14">
    <w:abstractNumId w:val="33"/>
  </w:num>
  <w:num w:numId="15">
    <w:abstractNumId w:val="22"/>
  </w:num>
  <w:num w:numId="16">
    <w:abstractNumId w:val="10"/>
  </w:num>
  <w:num w:numId="17">
    <w:abstractNumId w:val="4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28"/>
  </w:num>
  <w:num w:numId="22">
    <w:abstractNumId w:val="1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38"/>
  </w:num>
  <w:num w:numId="29">
    <w:abstractNumId w:val="24"/>
  </w:num>
  <w:num w:numId="30">
    <w:abstractNumId w:val="39"/>
  </w:num>
  <w:num w:numId="31">
    <w:abstractNumId w:val="21"/>
  </w:num>
  <w:num w:numId="32">
    <w:abstractNumId w:val="19"/>
  </w:num>
  <w:num w:numId="33">
    <w:abstractNumId w:val="12"/>
  </w:num>
  <w:num w:numId="34">
    <w:abstractNumId w:val="14"/>
  </w:num>
  <w:num w:numId="35">
    <w:abstractNumId w:val="15"/>
  </w:num>
  <w:num w:numId="36">
    <w:abstractNumId w:val="13"/>
  </w:num>
  <w:num w:numId="37">
    <w:abstractNumId w:val="29"/>
  </w:num>
  <w:num w:numId="38">
    <w:abstractNumId w:val="23"/>
  </w:num>
  <w:num w:numId="39">
    <w:abstractNumId w:val="41"/>
  </w:num>
  <w:num w:numId="40">
    <w:abstractNumId w:val="31"/>
  </w:num>
  <w:num w:numId="41">
    <w:abstractNumId w:val="16"/>
  </w:num>
  <w:num w:numId="42">
    <w:abstractNumId w:val="34"/>
  </w:num>
  <w:num w:numId="43">
    <w:abstractNumId w:val="37"/>
  </w:num>
  <w:num w:numId="44">
    <w:abstractNumId w:val="30"/>
  </w:num>
  <w:num w:numId="45">
    <w:abstractNumId w:val="17"/>
  </w:num>
  <w:num w:numId="46">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C4"/>
    <w:rsid w:val="000004EA"/>
    <w:rsid w:val="00000C25"/>
    <w:rsid w:val="000018A5"/>
    <w:rsid w:val="00002941"/>
    <w:rsid w:val="000048BD"/>
    <w:rsid w:val="00005C58"/>
    <w:rsid w:val="0001254B"/>
    <w:rsid w:val="000127D3"/>
    <w:rsid w:val="00013272"/>
    <w:rsid w:val="000143D7"/>
    <w:rsid w:val="00015041"/>
    <w:rsid w:val="00020765"/>
    <w:rsid w:val="00021134"/>
    <w:rsid w:val="00021519"/>
    <w:rsid w:val="000217E2"/>
    <w:rsid w:val="00021A4A"/>
    <w:rsid w:val="0002208E"/>
    <w:rsid w:val="000236E3"/>
    <w:rsid w:val="00026AD9"/>
    <w:rsid w:val="00026F0A"/>
    <w:rsid w:val="00027CE9"/>
    <w:rsid w:val="00030E56"/>
    <w:rsid w:val="000313B6"/>
    <w:rsid w:val="00031B21"/>
    <w:rsid w:val="00032179"/>
    <w:rsid w:val="00032299"/>
    <w:rsid w:val="00033569"/>
    <w:rsid w:val="00034306"/>
    <w:rsid w:val="0003628C"/>
    <w:rsid w:val="000400C0"/>
    <w:rsid w:val="00040CD9"/>
    <w:rsid w:val="00041EEF"/>
    <w:rsid w:val="0004238B"/>
    <w:rsid w:val="000432BB"/>
    <w:rsid w:val="00043AB4"/>
    <w:rsid w:val="000446B5"/>
    <w:rsid w:val="0005315D"/>
    <w:rsid w:val="0005359C"/>
    <w:rsid w:val="00053DB3"/>
    <w:rsid w:val="000540A0"/>
    <w:rsid w:val="00054252"/>
    <w:rsid w:val="000544DA"/>
    <w:rsid w:val="000574E7"/>
    <w:rsid w:val="0005778A"/>
    <w:rsid w:val="0005786D"/>
    <w:rsid w:val="000579B1"/>
    <w:rsid w:val="00061380"/>
    <w:rsid w:val="00061ECC"/>
    <w:rsid w:val="000634B0"/>
    <w:rsid w:val="00064931"/>
    <w:rsid w:val="00065360"/>
    <w:rsid w:val="00065670"/>
    <w:rsid w:val="00067220"/>
    <w:rsid w:val="00070795"/>
    <w:rsid w:val="00074750"/>
    <w:rsid w:val="00074CD6"/>
    <w:rsid w:val="00075089"/>
    <w:rsid w:val="000752B5"/>
    <w:rsid w:val="000758B3"/>
    <w:rsid w:val="000779BC"/>
    <w:rsid w:val="00080B19"/>
    <w:rsid w:val="00081265"/>
    <w:rsid w:val="00081CDA"/>
    <w:rsid w:val="00083E34"/>
    <w:rsid w:val="00085413"/>
    <w:rsid w:val="00085635"/>
    <w:rsid w:val="00085A42"/>
    <w:rsid w:val="00085A6B"/>
    <w:rsid w:val="00086259"/>
    <w:rsid w:val="0009040A"/>
    <w:rsid w:val="0009323C"/>
    <w:rsid w:val="000938F7"/>
    <w:rsid w:val="000A1478"/>
    <w:rsid w:val="000A22B0"/>
    <w:rsid w:val="000A2F60"/>
    <w:rsid w:val="000A4D0F"/>
    <w:rsid w:val="000A55F5"/>
    <w:rsid w:val="000A7541"/>
    <w:rsid w:val="000A7FB1"/>
    <w:rsid w:val="000B0A5D"/>
    <w:rsid w:val="000C15B4"/>
    <w:rsid w:val="000D1ABC"/>
    <w:rsid w:val="000D1FC0"/>
    <w:rsid w:val="000D3579"/>
    <w:rsid w:val="000D37A0"/>
    <w:rsid w:val="000D74A7"/>
    <w:rsid w:val="000E42BD"/>
    <w:rsid w:val="000E520D"/>
    <w:rsid w:val="000E5E07"/>
    <w:rsid w:val="000E69A0"/>
    <w:rsid w:val="000E6AF4"/>
    <w:rsid w:val="000F27D8"/>
    <w:rsid w:val="000F38B7"/>
    <w:rsid w:val="000F3EF4"/>
    <w:rsid w:val="000F4DB6"/>
    <w:rsid w:val="000F5166"/>
    <w:rsid w:val="001011C8"/>
    <w:rsid w:val="001054FC"/>
    <w:rsid w:val="00106F4C"/>
    <w:rsid w:val="00107565"/>
    <w:rsid w:val="00107C88"/>
    <w:rsid w:val="001134E9"/>
    <w:rsid w:val="00115E85"/>
    <w:rsid w:val="00116BB0"/>
    <w:rsid w:val="00117DC4"/>
    <w:rsid w:val="001257BE"/>
    <w:rsid w:val="00126221"/>
    <w:rsid w:val="00132462"/>
    <w:rsid w:val="00132C78"/>
    <w:rsid w:val="00135622"/>
    <w:rsid w:val="001379D4"/>
    <w:rsid w:val="00140077"/>
    <w:rsid w:val="00140D57"/>
    <w:rsid w:val="00143BFB"/>
    <w:rsid w:val="00144756"/>
    <w:rsid w:val="00144AA9"/>
    <w:rsid w:val="001466AF"/>
    <w:rsid w:val="00146A0D"/>
    <w:rsid w:val="001523D8"/>
    <w:rsid w:val="001526D4"/>
    <w:rsid w:val="00153D92"/>
    <w:rsid w:val="00153F80"/>
    <w:rsid w:val="00154CC2"/>
    <w:rsid w:val="001566D4"/>
    <w:rsid w:val="00156F20"/>
    <w:rsid w:val="0015706E"/>
    <w:rsid w:val="00162521"/>
    <w:rsid w:val="00162619"/>
    <w:rsid w:val="00162A8D"/>
    <w:rsid w:val="00163372"/>
    <w:rsid w:val="00164C20"/>
    <w:rsid w:val="00165DE6"/>
    <w:rsid w:val="00171D6A"/>
    <w:rsid w:val="001725E3"/>
    <w:rsid w:val="00174822"/>
    <w:rsid w:val="00174A1C"/>
    <w:rsid w:val="00177509"/>
    <w:rsid w:val="00180DE0"/>
    <w:rsid w:val="00180FBA"/>
    <w:rsid w:val="00183C9D"/>
    <w:rsid w:val="00183D40"/>
    <w:rsid w:val="00184098"/>
    <w:rsid w:val="001844A2"/>
    <w:rsid w:val="00185C09"/>
    <w:rsid w:val="001867A2"/>
    <w:rsid w:val="00186B27"/>
    <w:rsid w:val="00186FAB"/>
    <w:rsid w:val="001901EA"/>
    <w:rsid w:val="001912AE"/>
    <w:rsid w:val="00191CF5"/>
    <w:rsid w:val="001937AB"/>
    <w:rsid w:val="001943E1"/>
    <w:rsid w:val="00194DEF"/>
    <w:rsid w:val="00196671"/>
    <w:rsid w:val="001A0A34"/>
    <w:rsid w:val="001A3556"/>
    <w:rsid w:val="001A5D46"/>
    <w:rsid w:val="001A79B7"/>
    <w:rsid w:val="001A7EBD"/>
    <w:rsid w:val="001B0353"/>
    <w:rsid w:val="001B30AA"/>
    <w:rsid w:val="001B402A"/>
    <w:rsid w:val="001C139C"/>
    <w:rsid w:val="001C36B0"/>
    <w:rsid w:val="001C451B"/>
    <w:rsid w:val="001D274D"/>
    <w:rsid w:val="001D62C2"/>
    <w:rsid w:val="001E3C51"/>
    <w:rsid w:val="001E4044"/>
    <w:rsid w:val="001E4E7F"/>
    <w:rsid w:val="001F05FE"/>
    <w:rsid w:val="001F0604"/>
    <w:rsid w:val="001F1124"/>
    <w:rsid w:val="001F1D73"/>
    <w:rsid w:val="001F1DC7"/>
    <w:rsid w:val="001F2315"/>
    <w:rsid w:val="001F2701"/>
    <w:rsid w:val="001F2BBB"/>
    <w:rsid w:val="001F4DF0"/>
    <w:rsid w:val="001F50C7"/>
    <w:rsid w:val="001F5CF5"/>
    <w:rsid w:val="001F65B2"/>
    <w:rsid w:val="001F7B47"/>
    <w:rsid w:val="00200D02"/>
    <w:rsid w:val="00201619"/>
    <w:rsid w:val="00204CD0"/>
    <w:rsid w:val="0020759E"/>
    <w:rsid w:val="00207A1C"/>
    <w:rsid w:val="00212EB8"/>
    <w:rsid w:val="0021383B"/>
    <w:rsid w:val="002165FE"/>
    <w:rsid w:val="00216CD2"/>
    <w:rsid w:val="00216E3C"/>
    <w:rsid w:val="00221055"/>
    <w:rsid w:val="0022600C"/>
    <w:rsid w:val="00227CA2"/>
    <w:rsid w:val="00231ED1"/>
    <w:rsid w:val="0023303F"/>
    <w:rsid w:val="002336AA"/>
    <w:rsid w:val="0023417A"/>
    <w:rsid w:val="002378E7"/>
    <w:rsid w:val="0023792F"/>
    <w:rsid w:val="00237E1E"/>
    <w:rsid w:val="00240B47"/>
    <w:rsid w:val="0024300C"/>
    <w:rsid w:val="0024557E"/>
    <w:rsid w:val="002472EC"/>
    <w:rsid w:val="0024756F"/>
    <w:rsid w:val="00254FAE"/>
    <w:rsid w:val="00255513"/>
    <w:rsid w:val="00264C86"/>
    <w:rsid w:val="002702D9"/>
    <w:rsid w:val="002728F3"/>
    <w:rsid w:val="00272E22"/>
    <w:rsid w:val="0027539F"/>
    <w:rsid w:val="00275652"/>
    <w:rsid w:val="00281B46"/>
    <w:rsid w:val="002830FA"/>
    <w:rsid w:val="0028355E"/>
    <w:rsid w:val="002837DC"/>
    <w:rsid w:val="00283875"/>
    <w:rsid w:val="00285953"/>
    <w:rsid w:val="00287E7A"/>
    <w:rsid w:val="002901BC"/>
    <w:rsid w:val="00290DD6"/>
    <w:rsid w:val="0029418B"/>
    <w:rsid w:val="0029707D"/>
    <w:rsid w:val="002A26E1"/>
    <w:rsid w:val="002A35DE"/>
    <w:rsid w:val="002A5C2E"/>
    <w:rsid w:val="002A723B"/>
    <w:rsid w:val="002A727A"/>
    <w:rsid w:val="002A7840"/>
    <w:rsid w:val="002A7CA2"/>
    <w:rsid w:val="002B09FC"/>
    <w:rsid w:val="002B0B14"/>
    <w:rsid w:val="002B25D1"/>
    <w:rsid w:val="002B50DA"/>
    <w:rsid w:val="002C0893"/>
    <w:rsid w:val="002C2185"/>
    <w:rsid w:val="002C6179"/>
    <w:rsid w:val="002C651C"/>
    <w:rsid w:val="002D1B39"/>
    <w:rsid w:val="002D5EEE"/>
    <w:rsid w:val="002D5F9D"/>
    <w:rsid w:val="002E00E2"/>
    <w:rsid w:val="002E1B68"/>
    <w:rsid w:val="002E1DB6"/>
    <w:rsid w:val="002E1F80"/>
    <w:rsid w:val="002E3075"/>
    <w:rsid w:val="002F5063"/>
    <w:rsid w:val="003040CA"/>
    <w:rsid w:val="00304E2E"/>
    <w:rsid w:val="00307B1E"/>
    <w:rsid w:val="00310ED4"/>
    <w:rsid w:val="00311AB8"/>
    <w:rsid w:val="003133FB"/>
    <w:rsid w:val="00314510"/>
    <w:rsid w:val="0031492A"/>
    <w:rsid w:val="00316504"/>
    <w:rsid w:val="00316C1A"/>
    <w:rsid w:val="00320F5F"/>
    <w:rsid w:val="00321AF0"/>
    <w:rsid w:val="00324187"/>
    <w:rsid w:val="003245BA"/>
    <w:rsid w:val="00324A48"/>
    <w:rsid w:val="00324F3B"/>
    <w:rsid w:val="00326B9D"/>
    <w:rsid w:val="00330F37"/>
    <w:rsid w:val="00334462"/>
    <w:rsid w:val="00340FB0"/>
    <w:rsid w:val="003429E3"/>
    <w:rsid w:val="003456BB"/>
    <w:rsid w:val="00346542"/>
    <w:rsid w:val="0035121D"/>
    <w:rsid w:val="0035224B"/>
    <w:rsid w:val="00353A51"/>
    <w:rsid w:val="00356D58"/>
    <w:rsid w:val="003617F7"/>
    <w:rsid w:val="00363995"/>
    <w:rsid w:val="00366AAF"/>
    <w:rsid w:val="003721C2"/>
    <w:rsid w:val="00373578"/>
    <w:rsid w:val="00376036"/>
    <w:rsid w:val="00376663"/>
    <w:rsid w:val="00377C8F"/>
    <w:rsid w:val="00377DB6"/>
    <w:rsid w:val="0038062B"/>
    <w:rsid w:val="003806F9"/>
    <w:rsid w:val="00383641"/>
    <w:rsid w:val="00384140"/>
    <w:rsid w:val="00387AA9"/>
    <w:rsid w:val="00392FA9"/>
    <w:rsid w:val="003931C7"/>
    <w:rsid w:val="00393F12"/>
    <w:rsid w:val="00394496"/>
    <w:rsid w:val="00394A86"/>
    <w:rsid w:val="00394B0D"/>
    <w:rsid w:val="003955AE"/>
    <w:rsid w:val="00395B25"/>
    <w:rsid w:val="00396881"/>
    <w:rsid w:val="003979B9"/>
    <w:rsid w:val="003A016E"/>
    <w:rsid w:val="003A2C9D"/>
    <w:rsid w:val="003A36C4"/>
    <w:rsid w:val="003A3D24"/>
    <w:rsid w:val="003A3FC1"/>
    <w:rsid w:val="003A4635"/>
    <w:rsid w:val="003A4F18"/>
    <w:rsid w:val="003A533F"/>
    <w:rsid w:val="003A750F"/>
    <w:rsid w:val="003A75E1"/>
    <w:rsid w:val="003B18A7"/>
    <w:rsid w:val="003B3381"/>
    <w:rsid w:val="003B33C0"/>
    <w:rsid w:val="003B5718"/>
    <w:rsid w:val="003B5BDA"/>
    <w:rsid w:val="003B60DC"/>
    <w:rsid w:val="003B7686"/>
    <w:rsid w:val="003B7DB0"/>
    <w:rsid w:val="003C105F"/>
    <w:rsid w:val="003C3478"/>
    <w:rsid w:val="003D3A81"/>
    <w:rsid w:val="003D6FFE"/>
    <w:rsid w:val="003D7E47"/>
    <w:rsid w:val="003E03DA"/>
    <w:rsid w:val="003E0FB8"/>
    <w:rsid w:val="003E248E"/>
    <w:rsid w:val="003E4093"/>
    <w:rsid w:val="003E4F90"/>
    <w:rsid w:val="003E6901"/>
    <w:rsid w:val="003E6B40"/>
    <w:rsid w:val="003F0CEE"/>
    <w:rsid w:val="003F0E16"/>
    <w:rsid w:val="003F25FE"/>
    <w:rsid w:val="003F289F"/>
    <w:rsid w:val="003F37F2"/>
    <w:rsid w:val="003F469C"/>
    <w:rsid w:val="003F4C86"/>
    <w:rsid w:val="003F5B2F"/>
    <w:rsid w:val="003F6A54"/>
    <w:rsid w:val="003F7869"/>
    <w:rsid w:val="003F7B00"/>
    <w:rsid w:val="004013F9"/>
    <w:rsid w:val="00401641"/>
    <w:rsid w:val="00401FD1"/>
    <w:rsid w:val="00410CA6"/>
    <w:rsid w:val="00411861"/>
    <w:rsid w:val="00411DDD"/>
    <w:rsid w:val="0041337A"/>
    <w:rsid w:val="00420A4E"/>
    <w:rsid w:val="00420E74"/>
    <w:rsid w:val="004215B3"/>
    <w:rsid w:val="004238B9"/>
    <w:rsid w:val="00423C16"/>
    <w:rsid w:val="00423CFD"/>
    <w:rsid w:val="00431DD3"/>
    <w:rsid w:val="00433715"/>
    <w:rsid w:val="00435E00"/>
    <w:rsid w:val="00436DCD"/>
    <w:rsid w:val="00441AA5"/>
    <w:rsid w:val="0044217C"/>
    <w:rsid w:val="0044238C"/>
    <w:rsid w:val="004434B1"/>
    <w:rsid w:val="004438CF"/>
    <w:rsid w:val="00444303"/>
    <w:rsid w:val="00444A6D"/>
    <w:rsid w:val="0044536A"/>
    <w:rsid w:val="004469E4"/>
    <w:rsid w:val="00446E80"/>
    <w:rsid w:val="00454C6E"/>
    <w:rsid w:val="004561BE"/>
    <w:rsid w:val="004569E2"/>
    <w:rsid w:val="00456E41"/>
    <w:rsid w:val="00457069"/>
    <w:rsid w:val="00461916"/>
    <w:rsid w:val="00461E23"/>
    <w:rsid w:val="00462D4C"/>
    <w:rsid w:val="00464E66"/>
    <w:rsid w:val="00465B26"/>
    <w:rsid w:val="00466AE5"/>
    <w:rsid w:val="00470ACE"/>
    <w:rsid w:val="00471C4B"/>
    <w:rsid w:val="00473DB9"/>
    <w:rsid w:val="00474063"/>
    <w:rsid w:val="00475963"/>
    <w:rsid w:val="00475B24"/>
    <w:rsid w:val="00476EEA"/>
    <w:rsid w:val="00477F59"/>
    <w:rsid w:val="00477F98"/>
    <w:rsid w:val="00482674"/>
    <w:rsid w:val="0048295B"/>
    <w:rsid w:val="00487B8C"/>
    <w:rsid w:val="004908A3"/>
    <w:rsid w:val="00493623"/>
    <w:rsid w:val="00494D4B"/>
    <w:rsid w:val="00495426"/>
    <w:rsid w:val="00495707"/>
    <w:rsid w:val="004972FB"/>
    <w:rsid w:val="004977CE"/>
    <w:rsid w:val="004A1BDA"/>
    <w:rsid w:val="004A28EB"/>
    <w:rsid w:val="004A38FE"/>
    <w:rsid w:val="004A4EAC"/>
    <w:rsid w:val="004A722D"/>
    <w:rsid w:val="004B1DFE"/>
    <w:rsid w:val="004B223F"/>
    <w:rsid w:val="004C0F68"/>
    <w:rsid w:val="004C3DAB"/>
    <w:rsid w:val="004C64D5"/>
    <w:rsid w:val="004C6727"/>
    <w:rsid w:val="004C6C74"/>
    <w:rsid w:val="004D5461"/>
    <w:rsid w:val="004D6F88"/>
    <w:rsid w:val="004D711E"/>
    <w:rsid w:val="004E3497"/>
    <w:rsid w:val="004E6398"/>
    <w:rsid w:val="004E693E"/>
    <w:rsid w:val="004E6A71"/>
    <w:rsid w:val="004E7987"/>
    <w:rsid w:val="004E7E7B"/>
    <w:rsid w:val="004F1E69"/>
    <w:rsid w:val="004F2247"/>
    <w:rsid w:val="004F3A80"/>
    <w:rsid w:val="004F53EF"/>
    <w:rsid w:val="004F55EC"/>
    <w:rsid w:val="004F56C5"/>
    <w:rsid w:val="004F78AB"/>
    <w:rsid w:val="00501B61"/>
    <w:rsid w:val="0050245D"/>
    <w:rsid w:val="00502910"/>
    <w:rsid w:val="00502941"/>
    <w:rsid w:val="005035D5"/>
    <w:rsid w:val="00503E04"/>
    <w:rsid w:val="00504B28"/>
    <w:rsid w:val="00507902"/>
    <w:rsid w:val="0051337D"/>
    <w:rsid w:val="00513540"/>
    <w:rsid w:val="00513603"/>
    <w:rsid w:val="005152F7"/>
    <w:rsid w:val="00515910"/>
    <w:rsid w:val="00516FF1"/>
    <w:rsid w:val="00520143"/>
    <w:rsid w:val="00520867"/>
    <w:rsid w:val="005221F0"/>
    <w:rsid w:val="00522CED"/>
    <w:rsid w:val="00525830"/>
    <w:rsid w:val="00532D4B"/>
    <w:rsid w:val="005341D2"/>
    <w:rsid w:val="00534877"/>
    <w:rsid w:val="00534951"/>
    <w:rsid w:val="00534A0F"/>
    <w:rsid w:val="00535F49"/>
    <w:rsid w:val="00536460"/>
    <w:rsid w:val="005366A9"/>
    <w:rsid w:val="00547D6D"/>
    <w:rsid w:val="0055381E"/>
    <w:rsid w:val="00553C8B"/>
    <w:rsid w:val="005545FC"/>
    <w:rsid w:val="00554C04"/>
    <w:rsid w:val="0055687C"/>
    <w:rsid w:val="00557F3E"/>
    <w:rsid w:val="005616F5"/>
    <w:rsid w:val="00561FE2"/>
    <w:rsid w:val="00565D5F"/>
    <w:rsid w:val="00565EAB"/>
    <w:rsid w:val="00570117"/>
    <w:rsid w:val="00573A18"/>
    <w:rsid w:val="00573CCC"/>
    <w:rsid w:val="00574883"/>
    <w:rsid w:val="00575F77"/>
    <w:rsid w:val="0057782D"/>
    <w:rsid w:val="00581386"/>
    <w:rsid w:val="0058264C"/>
    <w:rsid w:val="005863D3"/>
    <w:rsid w:val="00587F49"/>
    <w:rsid w:val="005903A0"/>
    <w:rsid w:val="00591CFD"/>
    <w:rsid w:val="00593B36"/>
    <w:rsid w:val="005A0167"/>
    <w:rsid w:val="005A0C89"/>
    <w:rsid w:val="005A0EC1"/>
    <w:rsid w:val="005A1147"/>
    <w:rsid w:val="005A1890"/>
    <w:rsid w:val="005A19DA"/>
    <w:rsid w:val="005A1B0F"/>
    <w:rsid w:val="005A4D4D"/>
    <w:rsid w:val="005A504F"/>
    <w:rsid w:val="005B050F"/>
    <w:rsid w:val="005B079C"/>
    <w:rsid w:val="005B2AF4"/>
    <w:rsid w:val="005B7301"/>
    <w:rsid w:val="005B7515"/>
    <w:rsid w:val="005B7F1B"/>
    <w:rsid w:val="005C0B91"/>
    <w:rsid w:val="005C1654"/>
    <w:rsid w:val="005C188F"/>
    <w:rsid w:val="005C33DB"/>
    <w:rsid w:val="005C78C1"/>
    <w:rsid w:val="005D04F4"/>
    <w:rsid w:val="005D13CE"/>
    <w:rsid w:val="005D17A0"/>
    <w:rsid w:val="005D1F34"/>
    <w:rsid w:val="005D2ED8"/>
    <w:rsid w:val="005D3F2A"/>
    <w:rsid w:val="005D52CC"/>
    <w:rsid w:val="005D681D"/>
    <w:rsid w:val="005E216C"/>
    <w:rsid w:val="005E626B"/>
    <w:rsid w:val="005E7389"/>
    <w:rsid w:val="005F06D1"/>
    <w:rsid w:val="005F1D9D"/>
    <w:rsid w:val="005F2F20"/>
    <w:rsid w:val="005F41D4"/>
    <w:rsid w:val="005F5F45"/>
    <w:rsid w:val="005F605A"/>
    <w:rsid w:val="005F70D1"/>
    <w:rsid w:val="00601228"/>
    <w:rsid w:val="00601D65"/>
    <w:rsid w:val="00601F57"/>
    <w:rsid w:val="00602F59"/>
    <w:rsid w:val="00604E14"/>
    <w:rsid w:val="006062ED"/>
    <w:rsid w:val="00611A76"/>
    <w:rsid w:val="00615773"/>
    <w:rsid w:val="006159DB"/>
    <w:rsid w:val="006176F0"/>
    <w:rsid w:val="00622C01"/>
    <w:rsid w:val="0062495F"/>
    <w:rsid w:val="0062778D"/>
    <w:rsid w:val="006303E4"/>
    <w:rsid w:val="00640476"/>
    <w:rsid w:val="0064229E"/>
    <w:rsid w:val="006424DD"/>
    <w:rsid w:val="006443C3"/>
    <w:rsid w:val="0064653A"/>
    <w:rsid w:val="006551CD"/>
    <w:rsid w:val="006577D8"/>
    <w:rsid w:val="00657E29"/>
    <w:rsid w:val="00660ED5"/>
    <w:rsid w:val="0066210D"/>
    <w:rsid w:val="00663B3F"/>
    <w:rsid w:val="006645B1"/>
    <w:rsid w:val="00667807"/>
    <w:rsid w:val="00671D90"/>
    <w:rsid w:val="00675F76"/>
    <w:rsid w:val="0068004B"/>
    <w:rsid w:val="00687ACE"/>
    <w:rsid w:val="00690313"/>
    <w:rsid w:val="00691137"/>
    <w:rsid w:val="00693BE8"/>
    <w:rsid w:val="00695308"/>
    <w:rsid w:val="006960BC"/>
    <w:rsid w:val="00696390"/>
    <w:rsid w:val="006970AF"/>
    <w:rsid w:val="006A2209"/>
    <w:rsid w:val="006A5AAD"/>
    <w:rsid w:val="006A6BB3"/>
    <w:rsid w:val="006A7F1E"/>
    <w:rsid w:val="006B2FA3"/>
    <w:rsid w:val="006B3680"/>
    <w:rsid w:val="006B450B"/>
    <w:rsid w:val="006B6776"/>
    <w:rsid w:val="006B7E68"/>
    <w:rsid w:val="006C0D4C"/>
    <w:rsid w:val="006C20AB"/>
    <w:rsid w:val="006C54B7"/>
    <w:rsid w:val="006C5DF4"/>
    <w:rsid w:val="006C6657"/>
    <w:rsid w:val="006C7A50"/>
    <w:rsid w:val="006D2B88"/>
    <w:rsid w:val="006D397F"/>
    <w:rsid w:val="006D526D"/>
    <w:rsid w:val="006D5EE5"/>
    <w:rsid w:val="006E06ED"/>
    <w:rsid w:val="006E06F5"/>
    <w:rsid w:val="006E2ED5"/>
    <w:rsid w:val="006E3FD1"/>
    <w:rsid w:val="006E7FF6"/>
    <w:rsid w:val="006F0E0A"/>
    <w:rsid w:val="006F51B4"/>
    <w:rsid w:val="006F61A6"/>
    <w:rsid w:val="006F6C98"/>
    <w:rsid w:val="006F7595"/>
    <w:rsid w:val="00700B84"/>
    <w:rsid w:val="007039FC"/>
    <w:rsid w:val="007041D2"/>
    <w:rsid w:val="007056CB"/>
    <w:rsid w:val="00706FAB"/>
    <w:rsid w:val="00707793"/>
    <w:rsid w:val="0071622E"/>
    <w:rsid w:val="007169BB"/>
    <w:rsid w:val="00717DD5"/>
    <w:rsid w:val="00721225"/>
    <w:rsid w:val="00723117"/>
    <w:rsid w:val="007233D9"/>
    <w:rsid w:val="00723F3E"/>
    <w:rsid w:val="00724376"/>
    <w:rsid w:val="00725D5E"/>
    <w:rsid w:val="00726D4A"/>
    <w:rsid w:val="0073294C"/>
    <w:rsid w:val="00733536"/>
    <w:rsid w:val="00734FBA"/>
    <w:rsid w:val="00735E6F"/>
    <w:rsid w:val="00742CE1"/>
    <w:rsid w:val="007454AA"/>
    <w:rsid w:val="007469E6"/>
    <w:rsid w:val="00751319"/>
    <w:rsid w:val="0075137B"/>
    <w:rsid w:val="00752137"/>
    <w:rsid w:val="00752B15"/>
    <w:rsid w:val="007548CA"/>
    <w:rsid w:val="0075751D"/>
    <w:rsid w:val="00760207"/>
    <w:rsid w:val="007641FB"/>
    <w:rsid w:val="00767A4C"/>
    <w:rsid w:val="007707BD"/>
    <w:rsid w:val="007709AA"/>
    <w:rsid w:val="00770A85"/>
    <w:rsid w:val="00770DCB"/>
    <w:rsid w:val="0077185C"/>
    <w:rsid w:val="007727A4"/>
    <w:rsid w:val="007734F6"/>
    <w:rsid w:val="00774D6C"/>
    <w:rsid w:val="00775485"/>
    <w:rsid w:val="00776B0D"/>
    <w:rsid w:val="0077779E"/>
    <w:rsid w:val="0077789D"/>
    <w:rsid w:val="007811BC"/>
    <w:rsid w:val="0078193A"/>
    <w:rsid w:val="0078286F"/>
    <w:rsid w:val="007841E1"/>
    <w:rsid w:val="00785341"/>
    <w:rsid w:val="00786290"/>
    <w:rsid w:val="0078777A"/>
    <w:rsid w:val="00790B47"/>
    <w:rsid w:val="00792A3F"/>
    <w:rsid w:val="00795349"/>
    <w:rsid w:val="00796003"/>
    <w:rsid w:val="007971B3"/>
    <w:rsid w:val="007A0C6F"/>
    <w:rsid w:val="007A27D1"/>
    <w:rsid w:val="007A4B0A"/>
    <w:rsid w:val="007A644D"/>
    <w:rsid w:val="007A7ADC"/>
    <w:rsid w:val="007A7B46"/>
    <w:rsid w:val="007B0E65"/>
    <w:rsid w:val="007B1615"/>
    <w:rsid w:val="007B2CF6"/>
    <w:rsid w:val="007B5CD1"/>
    <w:rsid w:val="007B68F5"/>
    <w:rsid w:val="007B7052"/>
    <w:rsid w:val="007B7556"/>
    <w:rsid w:val="007C032C"/>
    <w:rsid w:val="007C07E0"/>
    <w:rsid w:val="007C0CBE"/>
    <w:rsid w:val="007C6121"/>
    <w:rsid w:val="007C6607"/>
    <w:rsid w:val="007D18FB"/>
    <w:rsid w:val="007D269C"/>
    <w:rsid w:val="007D3D5A"/>
    <w:rsid w:val="007D3F2D"/>
    <w:rsid w:val="007D40BD"/>
    <w:rsid w:val="007E1866"/>
    <w:rsid w:val="007E3976"/>
    <w:rsid w:val="007E4851"/>
    <w:rsid w:val="007E4AA4"/>
    <w:rsid w:val="007E4AE8"/>
    <w:rsid w:val="007E4BE1"/>
    <w:rsid w:val="007E6434"/>
    <w:rsid w:val="007E66E2"/>
    <w:rsid w:val="007E6C1B"/>
    <w:rsid w:val="007F2566"/>
    <w:rsid w:val="007F2AC1"/>
    <w:rsid w:val="007F5922"/>
    <w:rsid w:val="007F7E2C"/>
    <w:rsid w:val="00800202"/>
    <w:rsid w:val="00800274"/>
    <w:rsid w:val="008012AE"/>
    <w:rsid w:val="00802BFE"/>
    <w:rsid w:val="008036A6"/>
    <w:rsid w:val="00805CA1"/>
    <w:rsid w:val="00810ABF"/>
    <w:rsid w:val="00810DB2"/>
    <w:rsid w:val="00812583"/>
    <w:rsid w:val="008125EE"/>
    <w:rsid w:val="00813BB5"/>
    <w:rsid w:val="00821E4A"/>
    <w:rsid w:val="00823D23"/>
    <w:rsid w:val="00826A3B"/>
    <w:rsid w:val="0083209A"/>
    <w:rsid w:val="00833E4D"/>
    <w:rsid w:val="00835727"/>
    <w:rsid w:val="008357E7"/>
    <w:rsid w:val="00835FFB"/>
    <w:rsid w:val="00837DCB"/>
    <w:rsid w:val="00840F55"/>
    <w:rsid w:val="00843BF1"/>
    <w:rsid w:val="00850BA3"/>
    <w:rsid w:val="00850D18"/>
    <w:rsid w:val="008514E1"/>
    <w:rsid w:val="00851745"/>
    <w:rsid w:val="0085289A"/>
    <w:rsid w:val="0085568F"/>
    <w:rsid w:val="00860657"/>
    <w:rsid w:val="00860680"/>
    <w:rsid w:val="00860D20"/>
    <w:rsid w:val="00861DE5"/>
    <w:rsid w:val="0086762B"/>
    <w:rsid w:val="008724DE"/>
    <w:rsid w:val="008726A4"/>
    <w:rsid w:val="00872E79"/>
    <w:rsid w:val="0087342B"/>
    <w:rsid w:val="008741EC"/>
    <w:rsid w:val="00880B5F"/>
    <w:rsid w:val="008810AD"/>
    <w:rsid w:val="00883593"/>
    <w:rsid w:val="0088371E"/>
    <w:rsid w:val="00883945"/>
    <w:rsid w:val="0088510A"/>
    <w:rsid w:val="008856DD"/>
    <w:rsid w:val="00885737"/>
    <w:rsid w:val="008868D0"/>
    <w:rsid w:val="00891884"/>
    <w:rsid w:val="00893A3D"/>
    <w:rsid w:val="008A01F9"/>
    <w:rsid w:val="008A0994"/>
    <w:rsid w:val="008A15C0"/>
    <w:rsid w:val="008A2626"/>
    <w:rsid w:val="008A2AF7"/>
    <w:rsid w:val="008A2BF3"/>
    <w:rsid w:val="008A3D57"/>
    <w:rsid w:val="008A567F"/>
    <w:rsid w:val="008A5F37"/>
    <w:rsid w:val="008A6636"/>
    <w:rsid w:val="008B00EF"/>
    <w:rsid w:val="008B043F"/>
    <w:rsid w:val="008B1A72"/>
    <w:rsid w:val="008B2149"/>
    <w:rsid w:val="008B452C"/>
    <w:rsid w:val="008B6701"/>
    <w:rsid w:val="008C0F33"/>
    <w:rsid w:val="008C2CC9"/>
    <w:rsid w:val="008C3411"/>
    <w:rsid w:val="008C5940"/>
    <w:rsid w:val="008C6452"/>
    <w:rsid w:val="008C7A8A"/>
    <w:rsid w:val="008C7D43"/>
    <w:rsid w:val="008D0A13"/>
    <w:rsid w:val="008D1768"/>
    <w:rsid w:val="008D4018"/>
    <w:rsid w:val="008D4FBC"/>
    <w:rsid w:val="008D5752"/>
    <w:rsid w:val="008E0BD0"/>
    <w:rsid w:val="008E1D0D"/>
    <w:rsid w:val="008E2F6A"/>
    <w:rsid w:val="008E315E"/>
    <w:rsid w:val="008E3D60"/>
    <w:rsid w:val="008E40CC"/>
    <w:rsid w:val="008E5375"/>
    <w:rsid w:val="008E54CF"/>
    <w:rsid w:val="008E6C8E"/>
    <w:rsid w:val="008E7E81"/>
    <w:rsid w:val="008F172A"/>
    <w:rsid w:val="008F1AA4"/>
    <w:rsid w:val="008F4CA8"/>
    <w:rsid w:val="008F72D0"/>
    <w:rsid w:val="009002B6"/>
    <w:rsid w:val="0090165F"/>
    <w:rsid w:val="00906C3A"/>
    <w:rsid w:val="00907A2D"/>
    <w:rsid w:val="00911CE3"/>
    <w:rsid w:val="00912BA8"/>
    <w:rsid w:val="00912D1D"/>
    <w:rsid w:val="00912F7C"/>
    <w:rsid w:val="00914260"/>
    <w:rsid w:val="00921CB7"/>
    <w:rsid w:val="0092354F"/>
    <w:rsid w:val="009236D0"/>
    <w:rsid w:val="009238A8"/>
    <w:rsid w:val="00923C4F"/>
    <w:rsid w:val="00923C99"/>
    <w:rsid w:val="009241FB"/>
    <w:rsid w:val="00936190"/>
    <w:rsid w:val="0093789D"/>
    <w:rsid w:val="00937D5F"/>
    <w:rsid w:val="00940147"/>
    <w:rsid w:val="009414B4"/>
    <w:rsid w:val="00943907"/>
    <w:rsid w:val="009472C4"/>
    <w:rsid w:val="00947FE5"/>
    <w:rsid w:val="00950E88"/>
    <w:rsid w:val="00953412"/>
    <w:rsid w:val="009567C9"/>
    <w:rsid w:val="0096037E"/>
    <w:rsid w:val="009609F2"/>
    <w:rsid w:val="00960A32"/>
    <w:rsid w:val="009612B5"/>
    <w:rsid w:val="00962A3A"/>
    <w:rsid w:val="009635DF"/>
    <w:rsid w:val="00966C2F"/>
    <w:rsid w:val="0096726B"/>
    <w:rsid w:val="0097467A"/>
    <w:rsid w:val="00976832"/>
    <w:rsid w:val="0097781B"/>
    <w:rsid w:val="009802F3"/>
    <w:rsid w:val="00984DDB"/>
    <w:rsid w:val="00985A1D"/>
    <w:rsid w:val="00986904"/>
    <w:rsid w:val="00987104"/>
    <w:rsid w:val="00987E9E"/>
    <w:rsid w:val="00990C09"/>
    <w:rsid w:val="00991DB2"/>
    <w:rsid w:val="00994C9A"/>
    <w:rsid w:val="009971D9"/>
    <w:rsid w:val="009A1676"/>
    <w:rsid w:val="009A5753"/>
    <w:rsid w:val="009A7354"/>
    <w:rsid w:val="009A7BF6"/>
    <w:rsid w:val="009B082B"/>
    <w:rsid w:val="009B0BF2"/>
    <w:rsid w:val="009B24D3"/>
    <w:rsid w:val="009B2E4F"/>
    <w:rsid w:val="009B3DE7"/>
    <w:rsid w:val="009B4B26"/>
    <w:rsid w:val="009B51AD"/>
    <w:rsid w:val="009B5701"/>
    <w:rsid w:val="009B6127"/>
    <w:rsid w:val="009B6891"/>
    <w:rsid w:val="009C0A2D"/>
    <w:rsid w:val="009C5110"/>
    <w:rsid w:val="009C5FB8"/>
    <w:rsid w:val="009D066C"/>
    <w:rsid w:val="009D1260"/>
    <w:rsid w:val="009D5066"/>
    <w:rsid w:val="009D6D5F"/>
    <w:rsid w:val="009E5E4B"/>
    <w:rsid w:val="009E759E"/>
    <w:rsid w:val="009E7CD0"/>
    <w:rsid w:val="009E7FC4"/>
    <w:rsid w:val="009F0701"/>
    <w:rsid w:val="009F0926"/>
    <w:rsid w:val="009F0ACC"/>
    <w:rsid w:val="009F2E92"/>
    <w:rsid w:val="009F37DC"/>
    <w:rsid w:val="009F51D9"/>
    <w:rsid w:val="009F52BA"/>
    <w:rsid w:val="009F590E"/>
    <w:rsid w:val="009F6E7D"/>
    <w:rsid w:val="009F7AAC"/>
    <w:rsid w:val="00A011D0"/>
    <w:rsid w:val="00A02A0C"/>
    <w:rsid w:val="00A02F56"/>
    <w:rsid w:val="00A0406E"/>
    <w:rsid w:val="00A0681F"/>
    <w:rsid w:val="00A0773F"/>
    <w:rsid w:val="00A10297"/>
    <w:rsid w:val="00A13313"/>
    <w:rsid w:val="00A14563"/>
    <w:rsid w:val="00A207BE"/>
    <w:rsid w:val="00A301A4"/>
    <w:rsid w:val="00A30C75"/>
    <w:rsid w:val="00A30DEA"/>
    <w:rsid w:val="00A336A0"/>
    <w:rsid w:val="00A41355"/>
    <w:rsid w:val="00A43B92"/>
    <w:rsid w:val="00A4401D"/>
    <w:rsid w:val="00A44720"/>
    <w:rsid w:val="00A4615D"/>
    <w:rsid w:val="00A47341"/>
    <w:rsid w:val="00A52A46"/>
    <w:rsid w:val="00A60C3A"/>
    <w:rsid w:val="00A6179E"/>
    <w:rsid w:val="00A6438A"/>
    <w:rsid w:val="00A66F67"/>
    <w:rsid w:val="00A67E31"/>
    <w:rsid w:val="00A7501F"/>
    <w:rsid w:val="00A763B9"/>
    <w:rsid w:val="00A772DF"/>
    <w:rsid w:val="00A816D6"/>
    <w:rsid w:val="00A81A64"/>
    <w:rsid w:val="00A83707"/>
    <w:rsid w:val="00A86ADC"/>
    <w:rsid w:val="00A8753C"/>
    <w:rsid w:val="00A879FA"/>
    <w:rsid w:val="00A87D32"/>
    <w:rsid w:val="00A87E07"/>
    <w:rsid w:val="00A90033"/>
    <w:rsid w:val="00A90A59"/>
    <w:rsid w:val="00A9204A"/>
    <w:rsid w:val="00A92A8F"/>
    <w:rsid w:val="00A936C3"/>
    <w:rsid w:val="00A93F8C"/>
    <w:rsid w:val="00A94221"/>
    <w:rsid w:val="00A96781"/>
    <w:rsid w:val="00AA0509"/>
    <w:rsid w:val="00AA2535"/>
    <w:rsid w:val="00AA46C3"/>
    <w:rsid w:val="00AA5E20"/>
    <w:rsid w:val="00AA7296"/>
    <w:rsid w:val="00AB08D6"/>
    <w:rsid w:val="00AB16DB"/>
    <w:rsid w:val="00AB6C85"/>
    <w:rsid w:val="00AC1FBA"/>
    <w:rsid w:val="00AC27AB"/>
    <w:rsid w:val="00AC6A34"/>
    <w:rsid w:val="00AD0478"/>
    <w:rsid w:val="00AD212C"/>
    <w:rsid w:val="00AE065B"/>
    <w:rsid w:val="00AE345F"/>
    <w:rsid w:val="00AE4356"/>
    <w:rsid w:val="00AE4B36"/>
    <w:rsid w:val="00AE4FE6"/>
    <w:rsid w:val="00AE76EB"/>
    <w:rsid w:val="00AF20C8"/>
    <w:rsid w:val="00AF442B"/>
    <w:rsid w:val="00AF4FB7"/>
    <w:rsid w:val="00AF5FB0"/>
    <w:rsid w:val="00AF62C3"/>
    <w:rsid w:val="00B020B6"/>
    <w:rsid w:val="00B027A5"/>
    <w:rsid w:val="00B04854"/>
    <w:rsid w:val="00B05E69"/>
    <w:rsid w:val="00B06543"/>
    <w:rsid w:val="00B10969"/>
    <w:rsid w:val="00B11FBA"/>
    <w:rsid w:val="00B16537"/>
    <w:rsid w:val="00B16824"/>
    <w:rsid w:val="00B17281"/>
    <w:rsid w:val="00B2139D"/>
    <w:rsid w:val="00B22697"/>
    <w:rsid w:val="00B234D5"/>
    <w:rsid w:val="00B24C57"/>
    <w:rsid w:val="00B277E0"/>
    <w:rsid w:val="00B30913"/>
    <w:rsid w:val="00B31546"/>
    <w:rsid w:val="00B31751"/>
    <w:rsid w:val="00B32A7C"/>
    <w:rsid w:val="00B332DD"/>
    <w:rsid w:val="00B35533"/>
    <w:rsid w:val="00B37ED4"/>
    <w:rsid w:val="00B41233"/>
    <w:rsid w:val="00B4130B"/>
    <w:rsid w:val="00B426A6"/>
    <w:rsid w:val="00B446DB"/>
    <w:rsid w:val="00B457ED"/>
    <w:rsid w:val="00B52E2D"/>
    <w:rsid w:val="00B5591F"/>
    <w:rsid w:val="00B62813"/>
    <w:rsid w:val="00B64CBE"/>
    <w:rsid w:val="00B661DA"/>
    <w:rsid w:val="00B66822"/>
    <w:rsid w:val="00B76653"/>
    <w:rsid w:val="00B77C37"/>
    <w:rsid w:val="00B802C3"/>
    <w:rsid w:val="00B80F5B"/>
    <w:rsid w:val="00B8342B"/>
    <w:rsid w:val="00B83C2E"/>
    <w:rsid w:val="00B85818"/>
    <w:rsid w:val="00B90D6F"/>
    <w:rsid w:val="00B921C3"/>
    <w:rsid w:val="00B92387"/>
    <w:rsid w:val="00B9311B"/>
    <w:rsid w:val="00B93CB7"/>
    <w:rsid w:val="00B97CAA"/>
    <w:rsid w:val="00BA24C7"/>
    <w:rsid w:val="00BA262D"/>
    <w:rsid w:val="00BA29BE"/>
    <w:rsid w:val="00BA2E98"/>
    <w:rsid w:val="00BA3091"/>
    <w:rsid w:val="00BA3FF6"/>
    <w:rsid w:val="00BA4786"/>
    <w:rsid w:val="00BA4ADA"/>
    <w:rsid w:val="00BA4EF2"/>
    <w:rsid w:val="00BB0A8F"/>
    <w:rsid w:val="00BB0F31"/>
    <w:rsid w:val="00BB2594"/>
    <w:rsid w:val="00BB2E4E"/>
    <w:rsid w:val="00BB34FC"/>
    <w:rsid w:val="00BB63B4"/>
    <w:rsid w:val="00BB6986"/>
    <w:rsid w:val="00BB703B"/>
    <w:rsid w:val="00BC0D52"/>
    <w:rsid w:val="00BC1890"/>
    <w:rsid w:val="00BC1A43"/>
    <w:rsid w:val="00BC2B5B"/>
    <w:rsid w:val="00BC2BF8"/>
    <w:rsid w:val="00BC2D2B"/>
    <w:rsid w:val="00BC2E2A"/>
    <w:rsid w:val="00BC2F5E"/>
    <w:rsid w:val="00BC36B0"/>
    <w:rsid w:val="00BC62DF"/>
    <w:rsid w:val="00BC79EB"/>
    <w:rsid w:val="00BD2BF2"/>
    <w:rsid w:val="00BD2C12"/>
    <w:rsid w:val="00BD3DEA"/>
    <w:rsid w:val="00BD488C"/>
    <w:rsid w:val="00BD5B0E"/>
    <w:rsid w:val="00BD7E2D"/>
    <w:rsid w:val="00BE1189"/>
    <w:rsid w:val="00BE2208"/>
    <w:rsid w:val="00BE233A"/>
    <w:rsid w:val="00BE37BF"/>
    <w:rsid w:val="00BE399D"/>
    <w:rsid w:val="00BE3B03"/>
    <w:rsid w:val="00BE71B1"/>
    <w:rsid w:val="00BF0DA7"/>
    <w:rsid w:val="00C00BB0"/>
    <w:rsid w:val="00C011F8"/>
    <w:rsid w:val="00C031DD"/>
    <w:rsid w:val="00C035B9"/>
    <w:rsid w:val="00C046E2"/>
    <w:rsid w:val="00C076F2"/>
    <w:rsid w:val="00C10D8B"/>
    <w:rsid w:val="00C11664"/>
    <w:rsid w:val="00C144E0"/>
    <w:rsid w:val="00C22140"/>
    <w:rsid w:val="00C247EB"/>
    <w:rsid w:val="00C25BDA"/>
    <w:rsid w:val="00C2601E"/>
    <w:rsid w:val="00C26FA9"/>
    <w:rsid w:val="00C32B65"/>
    <w:rsid w:val="00C34107"/>
    <w:rsid w:val="00C366BE"/>
    <w:rsid w:val="00C36BDE"/>
    <w:rsid w:val="00C36D4B"/>
    <w:rsid w:val="00C372A9"/>
    <w:rsid w:val="00C41749"/>
    <w:rsid w:val="00C41D6E"/>
    <w:rsid w:val="00C4316F"/>
    <w:rsid w:val="00C45137"/>
    <w:rsid w:val="00C50E69"/>
    <w:rsid w:val="00C51709"/>
    <w:rsid w:val="00C53971"/>
    <w:rsid w:val="00C54FB1"/>
    <w:rsid w:val="00C54FDF"/>
    <w:rsid w:val="00C61056"/>
    <w:rsid w:val="00C6135E"/>
    <w:rsid w:val="00C62C4B"/>
    <w:rsid w:val="00C63BAD"/>
    <w:rsid w:val="00C64424"/>
    <w:rsid w:val="00C663B0"/>
    <w:rsid w:val="00C67CC5"/>
    <w:rsid w:val="00C71B9D"/>
    <w:rsid w:val="00C71D57"/>
    <w:rsid w:val="00C7363D"/>
    <w:rsid w:val="00C75653"/>
    <w:rsid w:val="00C75E64"/>
    <w:rsid w:val="00C76BFA"/>
    <w:rsid w:val="00C77F8E"/>
    <w:rsid w:val="00C80F9F"/>
    <w:rsid w:val="00C828ED"/>
    <w:rsid w:val="00C82E4A"/>
    <w:rsid w:val="00C8374C"/>
    <w:rsid w:val="00C84040"/>
    <w:rsid w:val="00C92535"/>
    <w:rsid w:val="00C97179"/>
    <w:rsid w:val="00C977B9"/>
    <w:rsid w:val="00CA0D78"/>
    <w:rsid w:val="00CA2480"/>
    <w:rsid w:val="00CA2517"/>
    <w:rsid w:val="00CA286C"/>
    <w:rsid w:val="00CA3309"/>
    <w:rsid w:val="00CA5CA2"/>
    <w:rsid w:val="00CA663B"/>
    <w:rsid w:val="00CB0C19"/>
    <w:rsid w:val="00CB1AAA"/>
    <w:rsid w:val="00CB27A8"/>
    <w:rsid w:val="00CB7838"/>
    <w:rsid w:val="00CC005A"/>
    <w:rsid w:val="00CC139C"/>
    <w:rsid w:val="00CC1754"/>
    <w:rsid w:val="00CC19A7"/>
    <w:rsid w:val="00CC206D"/>
    <w:rsid w:val="00CC288A"/>
    <w:rsid w:val="00CC3B15"/>
    <w:rsid w:val="00CC492B"/>
    <w:rsid w:val="00CD2B37"/>
    <w:rsid w:val="00CD7DD2"/>
    <w:rsid w:val="00CE27FB"/>
    <w:rsid w:val="00CE3809"/>
    <w:rsid w:val="00CE4402"/>
    <w:rsid w:val="00CE4AE8"/>
    <w:rsid w:val="00CE5141"/>
    <w:rsid w:val="00CE518D"/>
    <w:rsid w:val="00CE7182"/>
    <w:rsid w:val="00CE7248"/>
    <w:rsid w:val="00CE78D3"/>
    <w:rsid w:val="00CE7C88"/>
    <w:rsid w:val="00CE7D16"/>
    <w:rsid w:val="00CF1A27"/>
    <w:rsid w:val="00CF2AB9"/>
    <w:rsid w:val="00CF35A9"/>
    <w:rsid w:val="00CF38F6"/>
    <w:rsid w:val="00CF5FE1"/>
    <w:rsid w:val="00CF6BFB"/>
    <w:rsid w:val="00CF73D2"/>
    <w:rsid w:val="00D05C50"/>
    <w:rsid w:val="00D06C3F"/>
    <w:rsid w:val="00D0708A"/>
    <w:rsid w:val="00D07791"/>
    <w:rsid w:val="00D10193"/>
    <w:rsid w:val="00D10402"/>
    <w:rsid w:val="00D113CB"/>
    <w:rsid w:val="00D121DB"/>
    <w:rsid w:val="00D13A2C"/>
    <w:rsid w:val="00D211EB"/>
    <w:rsid w:val="00D236E9"/>
    <w:rsid w:val="00D23B49"/>
    <w:rsid w:val="00D23D52"/>
    <w:rsid w:val="00D25E3C"/>
    <w:rsid w:val="00D26678"/>
    <w:rsid w:val="00D26C7C"/>
    <w:rsid w:val="00D27FF1"/>
    <w:rsid w:val="00D30649"/>
    <w:rsid w:val="00D30800"/>
    <w:rsid w:val="00D3270C"/>
    <w:rsid w:val="00D33509"/>
    <w:rsid w:val="00D366B6"/>
    <w:rsid w:val="00D36D90"/>
    <w:rsid w:val="00D37815"/>
    <w:rsid w:val="00D40BEF"/>
    <w:rsid w:val="00D438B7"/>
    <w:rsid w:val="00D448E2"/>
    <w:rsid w:val="00D55C62"/>
    <w:rsid w:val="00D6016D"/>
    <w:rsid w:val="00D61D9E"/>
    <w:rsid w:val="00D65098"/>
    <w:rsid w:val="00D65C76"/>
    <w:rsid w:val="00D7712C"/>
    <w:rsid w:val="00D773B1"/>
    <w:rsid w:val="00D80D0A"/>
    <w:rsid w:val="00D80EF8"/>
    <w:rsid w:val="00D874C0"/>
    <w:rsid w:val="00D910C4"/>
    <w:rsid w:val="00D9145B"/>
    <w:rsid w:val="00D9148E"/>
    <w:rsid w:val="00D92DFC"/>
    <w:rsid w:val="00D92F06"/>
    <w:rsid w:val="00D92F6D"/>
    <w:rsid w:val="00D9550A"/>
    <w:rsid w:val="00D968BC"/>
    <w:rsid w:val="00DA0071"/>
    <w:rsid w:val="00DA2F73"/>
    <w:rsid w:val="00DA42E8"/>
    <w:rsid w:val="00DA44BB"/>
    <w:rsid w:val="00DA5478"/>
    <w:rsid w:val="00DA56B6"/>
    <w:rsid w:val="00DA6D22"/>
    <w:rsid w:val="00DA787A"/>
    <w:rsid w:val="00DB0570"/>
    <w:rsid w:val="00DB2FA2"/>
    <w:rsid w:val="00DB480C"/>
    <w:rsid w:val="00DB4A72"/>
    <w:rsid w:val="00DB6B27"/>
    <w:rsid w:val="00DB7A26"/>
    <w:rsid w:val="00DB7D98"/>
    <w:rsid w:val="00DC077E"/>
    <w:rsid w:val="00DC193F"/>
    <w:rsid w:val="00DC2F89"/>
    <w:rsid w:val="00DC3C4F"/>
    <w:rsid w:val="00DC462F"/>
    <w:rsid w:val="00DC5668"/>
    <w:rsid w:val="00DC651A"/>
    <w:rsid w:val="00DC667C"/>
    <w:rsid w:val="00DD0387"/>
    <w:rsid w:val="00DD12D6"/>
    <w:rsid w:val="00DD27EE"/>
    <w:rsid w:val="00DD7BD2"/>
    <w:rsid w:val="00DE34DA"/>
    <w:rsid w:val="00DE3C57"/>
    <w:rsid w:val="00DE3E8E"/>
    <w:rsid w:val="00DE5FE7"/>
    <w:rsid w:val="00DE6063"/>
    <w:rsid w:val="00DF0656"/>
    <w:rsid w:val="00DF0D20"/>
    <w:rsid w:val="00DF2F82"/>
    <w:rsid w:val="00DF7976"/>
    <w:rsid w:val="00E0439F"/>
    <w:rsid w:val="00E04D49"/>
    <w:rsid w:val="00E0668E"/>
    <w:rsid w:val="00E11685"/>
    <w:rsid w:val="00E14CCC"/>
    <w:rsid w:val="00E15150"/>
    <w:rsid w:val="00E24FA3"/>
    <w:rsid w:val="00E2718B"/>
    <w:rsid w:val="00E30AAA"/>
    <w:rsid w:val="00E328CD"/>
    <w:rsid w:val="00E32A1C"/>
    <w:rsid w:val="00E3685E"/>
    <w:rsid w:val="00E37435"/>
    <w:rsid w:val="00E37473"/>
    <w:rsid w:val="00E377BA"/>
    <w:rsid w:val="00E41188"/>
    <w:rsid w:val="00E42482"/>
    <w:rsid w:val="00E444E8"/>
    <w:rsid w:val="00E45954"/>
    <w:rsid w:val="00E45FA8"/>
    <w:rsid w:val="00E4632B"/>
    <w:rsid w:val="00E47CAE"/>
    <w:rsid w:val="00E50B79"/>
    <w:rsid w:val="00E55073"/>
    <w:rsid w:val="00E57DDA"/>
    <w:rsid w:val="00E60785"/>
    <w:rsid w:val="00E6106D"/>
    <w:rsid w:val="00E617B2"/>
    <w:rsid w:val="00E61E09"/>
    <w:rsid w:val="00E6352A"/>
    <w:rsid w:val="00E645D9"/>
    <w:rsid w:val="00E66868"/>
    <w:rsid w:val="00E6693D"/>
    <w:rsid w:val="00E72AF7"/>
    <w:rsid w:val="00E75111"/>
    <w:rsid w:val="00E75D90"/>
    <w:rsid w:val="00E75E54"/>
    <w:rsid w:val="00E77F86"/>
    <w:rsid w:val="00E80ED0"/>
    <w:rsid w:val="00E81C9A"/>
    <w:rsid w:val="00E835AF"/>
    <w:rsid w:val="00E838BA"/>
    <w:rsid w:val="00E8435B"/>
    <w:rsid w:val="00E85871"/>
    <w:rsid w:val="00E904CE"/>
    <w:rsid w:val="00E966A3"/>
    <w:rsid w:val="00E973F4"/>
    <w:rsid w:val="00E97EF8"/>
    <w:rsid w:val="00EA0B86"/>
    <w:rsid w:val="00EA2CFB"/>
    <w:rsid w:val="00EA5939"/>
    <w:rsid w:val="00EA7C71"/>
    <w:rsid w:val="00EB385C"/>
    <w:rsid w:val="00EB3FF7"/>
    <w:rsid w:val="00EB50F5"/>
    <w:rsid w:val="00EC1C5D"/>
    <w:rsid w:val="00EC466D"/>
    <w:rsid w:val="00EC484C"/>
    <w:rsid w:val="00EC4EA7"/>
    <w:rsid w:val="00EC502C"/>
    <w:rsid w:val="00EC530C"/>
    <w:rsid w:val="00EC6321"/>
    <w:rsid w:val="00EC79D4"/>
    <w:rsid w:val="00ED32BF"/>
    <w:rsid w:val="00ED4591"/>
    <w:rsid w:val="00ED5F3A"/>
    <w:rsid w:val="00ED5FDD"/>
    <w:rsid w:val="00EE1B13"/>
    <w:rsid w:val="00EE28A7"/>
    <w:rsid w:val="00EE44D7"/>
    <w:rsid w:val="00EE5A46"/>
    <w:rsid w:val="00EE6010"/>
    <w:rsid w:val="00EE62B7"/>
    <w:rsid w:val="00EE693D"/>
    <w:rsid w:val="00EE6D3F"/>
    <w:rsid w:val="00EE7F61"/>
    <w:rsid w:val="00EF2DB9"/>
    <w:rsid w:val="00EF74D1"/>
    <w:rsid w:val="00EF77B8"/>
    <w:rsid w:val="00F03871"/>
    <w:rsid w:val="00F03AA5"/>
    <w:rsid w:val="00F0565E"/>
    <w:rsid w:val="00F06253"/>
    <w:rsid w:val="00F10628"/>
    <w:rsid w:val="00F10975"/>
    <w:rsid w:val="00F1280E"/>
    <w:rsid w:val="00F1327F"/>
    <w:rsid w:val="00F14C6D"/>
    <w:rsid w:val="00F15029"/>
    <w:rsid w:val="00F15708"/>
    <w:rsid w:val="00F15B07"/>
    <w:rsid w:val="00F16A05"/>
    <w:rsid w:val="00F16CED"/>
    <w:rsid w:val="00F17786"/>
    <w:rsid w:val="00F21153"/>
    <w:rsid w:val="00F23077"/>
    <w:rsid w:val="00F242F5"/>
    <w:rsid w:val="00F24C80"/>
    <w:rsid w:val="00F255FB"/>
    <w:rsid w:val="00F27C59"/>
    <w:rsid w:val="00F3100E"/>
    <w:rsid w:val="00F316AD"/>
    <w:rsid w:val="00F3360B"/>
    <w:rsid w:val="00F355E8"/>
    <w:rsid w:val="00F35D43"/>
    <w:rsid w:val="00F545AC"/>
    <w:rsid w:val="00F562D9"/>
    <w:rsid w:val="00F579B3"/>
    <w:rsid w:val="00F60D14"/>
    <w:rsid w:val="00F60E47"/>
    <w:rsid w:val="00F618EC"/>
    <w:rsid w:val="00F63407"/>
    <w:rsid w:val="00F63C7A"/>
    <w:rsid w:val="00F71A6E"/>
    <w:rsid w:val="00F71CCB"/>
    <w:rsid w:val="00F744A6"/>
    <w:rsid w:val="00F753BE"/>
    <w:rsid w:val="00F77994"/>
    <w:rsid w:val="00F800D8"/>
    <w:rsid w:val="00F80D34"/>
    <w:rsid w:val="00F84E47"/>
    <w:rsid w:val="00F869C6"/>
    <w:rsid w:val="00F9078E"/>
    <w:rsid w:val="00F90818"/>
    <w:rsid w:val="00F95982"/>
    <w:rsid w:val="00FA1951"/>
    <w:rsid w:val="00FA4ACC"/>
    <w:rsid w:val="00FB0789"/>
    <w:rsid w:val="00FB200F"/>
    <w:rsid w:val="00FB51C5"/>
    <w:rsid w:val="00FB64C9"/>
    <w:rsid w:val="00FB6D77"/>
    <w:rsid w:val="00FB736F"/>
    <w:rsid w:val="00FC0093"/>
    <w:rsid w:val="00FC1064"/>
    <w:rsid w:val="00FC1D2F"/>
    <w:rsid w:val="00FC3DDC"/>
    <w:rsid w:val="00FC45A8"/>
    <w:rsid w:val="00FC582E"/>
    <w:rsid w:val="00FC5E40"/>
    <w:rsid w:val="00FC66C4"/>
    <w:rsid w:val="00FC7680"/>
    <w:rsid w:val="00FC7FB6"/>
    <w:rsid w:val="00FD536F"/>
    <w:rsid w:val="00FD545B"/>
    <w:rsid w:val="00FD7286"/>
    <w:rsid w:val="00FD754C"/>
    <w:rsid w:val="00FD7AE9"/>
    <w:rsid w:val="00FE2A1B"/>
    <w:rsid w:val="00FE3416"/>
    <w:rsid w:val="00FE4144"/>
    <w:rsid w:val="00FE481E"/>
    <w:rsid w:val="00FE772E"/>
    <w:rsid w:val="00FF10C7"/>
    <w:rsid w:val="00FF292E"/>
    <w:rsid w:val="00FF4EEB"/>
    <w:rsid w:val="00FF5F9A"/>
    <w:rsid w:val="00FF68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D342684"/>
  <w15:chartTrackingRefBased/>
  <w15:docId w15:val="{7B8B6C00-AA58-455F-B175-6E3DA123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48"/>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401FD1"/>
    <w:pPr>
      <w:ind w:left="720"/>
      <w:contextualSpacing/>
    </w:pPr>
  </w:style>
  <w:style w:type="character" w:customStyle="1" w:styleId="A4">
    <w:name w:val="A4"/>
    <w:uiPriority w:val="99"/>
    <w:rsid w:val="00420E74"/>
    <w:rPr>
      <w:rFonts w:cs="Helvetica Neue"/>
      <w:color w:val="000000"/>
      <w:sz w:val="22"/>
      <w:szCs w:val="22"/>
    </w:rPr>
  </w:style>
  <w:style w:type="character" w:customStyle="1" w:styleId="A13">
    <w:name w:val="A13"/>
    <w:uiPriority w:val="99"/>
    <w:rsid w:val="00420E74"/>
    <w:rPr>
      <w:rFonts w:ascii="Helvetica 55 Roman" w:hAnsi="Helvetica 55 Roman" w:cs="Helvetica 55 Roman"/>
      <w:i/>
      <w:iCs/>
      <w:color w:val="000000"/>
      <w:sz w:val="22"/>
      <w:szCs w:val="22"/>
      <w:u w:val="single"/>
    </w:rPr>
  </w:style>
  <w:style w:type="paragraph" w:styleId="BalloonText">
    <w:name w:val="Balloon Text"/>
    <w:basedOn w:val="Normal"/>
    <w:link w:val="BalloonTextChar"/>
    <w:semiHidden/>
    <w:unhideWhenUsed/>
    <w:locked/>
    <w:rsid w:val="00CA330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CA3309"/>
    <w:rPr>
      <w:rFonts w:ascii="Segoe UI" w:hAnsi="Segoe UI" w:cs="Segoe UI"/>
      <w:sz w:val="18"/>
      <w:szCs w:val="18"/>
    </w:rPr>
  </w:style>
  <w:style w:type="character" w:customStyle="1" w:styleId="SubtitleChar">
    <w:name w:val="Subtitle Char"/>
    <w:link w:val="Subtitle"/>
    <w:rsid w:val="00E60785"/>
    <w:rPr>
      <w:rFonts w:ascii="Arial" w:hAnsi="Arial" w:cs="Arial"/>
      <w:sz w:val="24"/>
      <w:szCs w:val="24"/>
    </w:rPr>
  </w:style>
  <w:style w:type="character" w:customStyle="1" w:styleId="EndnoteTextChar1">
    <w:name w:val="Endnote Text Char1"/>
    <w:rsid w:val="002D1B39"/>
    <w:rPr>
      <w:rFonts w:ascii="Arial" w:eastAsia="MS Mincho" w:hAnsi="Arial"/>
      <w:lang w:val="en-AU" w:eastAsia="en-AU" w:bidi="ar-SA"/>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link w:val="ListParagraph"/>
    <w:uiPriority w:val="34"/>
    <w:locked/>
    <w:rsid w:val="00CE724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0739">
      <w:bodyDiv w:val="1"/>
      <w:marLeft w:val="0"/>
      <w:marRight w:val="0"/>
      <w:marTop w:val="0"/>
      <w:marBottom w:val="0"/>
      <w:divBdr>
        <w:top w:val="none" w:sz="0" w:space="0" w:color="auto"/>
        <w:left w:val="none" w:sz="0" w:space="0" w:color="auto"/>
        <w:bottom w:val="none" w:sz="0" w:space="0" w:color="auto"/>
        <w:right w:val="none" w:sz="0" w:space="0" w:color="auto"/>
      </w:divBdr>
      <w:divsChild>
        <w:div w:id="690691574">
          <w:marLeft w:val="547"/>
          <w:marRight w:val="0"/>
          <w:marTop w:val="0"/>
          <w:marBottom w:val="0"/>
          <w:divBdr>
            <w:top w:val="none" w:sz="0" w:space="0" w:color="auto"/>
            <w:left w:val="none" w:sz="0" w:space="0" w:color="auto"/>
            <w:bottom w:val="none" w:sz="0" w:space="0" w:color="auto"/>
            <w:right w:val="none" w:sz="0" w:space="0" w:color="auto"/>
          </w:divBdr>
        </w:div>
      </w:divsChild>
    </w:div>
    <w:div w:id="270403537">
      <w:bodyDiv w:val="1"/>
      <w:marLeft w:val="0"/>
      <w:marRight w:val="0"/>
      <w:marTop w:val="0"/>
      <w:marBottom w:val="0"/>
      <w:divBdr>
        <w:top w:val="none" w:sz="0" w:space="0" w:color="auto"/>
        <w:left w:val="none" w:sz="0" w:space="0" w:color="auto"/>
        <w:bottom w:val="none" w:sz="0" w:space="0" w:color="auto"/>
        <w:right w:val="none" w:sz="0" w:space="0" w:color="auto"/>
      </w:divBdr>
      <w:divsChild>
        <w:div w:id="1652564341">
          <w:marLeft w:val="0"/>
          <w:marRight w:val="0"/>
          <w:marTop w:val="0"/>
          <w:marBottom w:val="0"/>
          <w:divBdr>
            <w:top w:val="none" w:sz="0" w:space="0" w:color="auto"/>
            <w:left w:val="none" w:sz="0" w:space="0" w:color="auto"/>
            <w:bottom w:val="none" w:sz="0" w:space="0" w:color="auto"/>
            <w:right w:val="none" w:sz="0" w:space="0" w:color="auto"/>
          </w:divBdr>
          <w:divsChild>
            <w:div w:id="1485469166">
              <w:marLeft w:val="0"/>
              <w:marRight w:val="0"/>
              <w:marTop w:val="0"/>
              <w:marBottom w:val="0"/>
              <w:divBdr>
                <w:top w:val="none" w:sz="0" w:space="0" w:color="auto"/>
                <w:left w:val="none" w:sz="0" w:space="0" w:color="auto"/>
                <w:bottom w:val="none" w:sz="0" w:space="0" w:color="auto"/>
                <w:right w:val="none" w:sz="0" w:space="0" w:color="auto"/>
              </w:divBdr>
              <w:divsChild>
                <w:div w:id="631180014">
                  <w:marLeft w:val="0"/>
                  <w:marRight w:val="0"/>
                  <w:marTop w:val="0"/>
                  <w:marBottom w:val="0"/>
                  <w:divBdr>
                    <w:top w:val="none" w:sz="0" w:space="0" w:color="auto"/>
                    <w:left w:val="none" w:sz="0" w:space="0" w:color="auto"/>
                    <w:bottom w:val="none" w:sz="0" w:space="0" w:color="auto"/>
                    <w:right w:val="none" w:sz="0" w:space="0" w:color="auto"/>
                  </w:divBdr>
                  <w:divsChild>
                    <w:div w:id="2015641375">
                      <w:marLeft w:val="0"/>
                      <w:marRight w:val="0"/>
                      <w:marTop w:val="45"/>
                      <w:marBottom w:val="0"/>
                      <w:divBdr>
                        <w:top w:val="none" w:sz="0" w:space="0" w:color="auto"/>
                        <w:left w:val="none" w:sz="0" w:space="0" w:color="auto"/>
                        <w:bottom w:val="none" w:sz="0" w:space="0" w:color="auto"/>
                        <w:right w:val="none" w:sz="0" w:space="0" w:color="auto"/>
                      </w:divBdr>
                      <w:divsChild>
                        <w:div w:id="1151289339">
                          <w:marLeft w:val="0"/>
                          <w:marRight w:val="0"/>
                          <w:marTop w:val="0"/>
                          <w:marBottom w:val="0"/>
                          <w:divBdr>
                            <w:top w:val="none" w:sz="0" w:space="0" w:color="auto"/>
                            <w:left w:val="none" w:sz="0" w:space="0" w:color="auto"/>
                            <w:bottom w:val="none" w:sz="0" w:space="0" w:color="auto"/>
                            <w:right w:val="none" w:sz="0" w:space="0" w:color="auto"/>
                          </w:divBdr>
                          <w:divsChild>
                            <w:div w:id="1417751460">
                              <w:marLeft w:val="2070"/>
                              <w:marRight w:val="3960"/>
                              <w:marTop w:val="0"/>
                              <w:marBottom w:val="0"/>
                              <w:divBdr>
                                <w:top w:val="none" w:sz="0" w:space="0" w:color="auto"/>
                                <w:left w:val="none" w:sz="0" w:space="0" w:color="auto"/>
                                <w:bottom w:val="none" w:sz="0" w:space="0" w:color="auto"/>
                                <w:right w:val="none" w:sz="0" w:space="0" w:color="auto"/>
                              </w:divBdr>
                              <w:divsChild>
                                <w:div w:id="788469794">
                                  <w:marLeft w:val="0"/>
                                  <w:marRight w:val="0"/>
                                  <w:marTop w:val="0"/>
                                  <w:marBottom w:val="0"/>
                                  <w:divBdr>
                                    <w:top w:val="none" w:sz="0" w:space="0" w:color="auto"/>
                                    <w:left w:val="none" w:sz="0" w:space="0" w:color="auto"/>
                                    <w:bottom w:val="none" w:sz="0" w:space="0" w:color="auto"/>
                                    <w:right w:val="none" w:sz="0" w:space="0" w:color="auto"/>
                                  </w:divBdr>
                                  <w:divsChild>
                                    <w:div w:id="957562045">
                                      <w:marLeft w:val="0"/>
                                      <w:marRight w:val="0"/>
                                      <w:marTop w:val="0"/>
                                      <w:marBottom w:val="0"/>
                                      <w:divBdr>
                                        <w:top w:val="none" w:sz="0" w:space="0" w:color="auto"/>
                                        <w:left w:val="none" w:sz="0" w:space="0" w:color="auto"/>
                                        <w:bottom w:val="none" w:sz="0" w:space="0" w:color="auto"/>
                                        <w:right w:val="none" w:sz="0" w:space="0" w:color="auto"/>
                                      </w:divBdr>
                                      <w:divsChild>
                                        <w:div w:id="336659531">
                                          <w:marLeft w:val="0"/>
                                          <w:marRight w:val="0"/>
                                          <w:marTop w:val="0"/>
                                          <w:marBottom w:val="0"/>
                                          <w:divBdr>
                                            <w:top w:val="none" w:sz="0" w:space="0" w:color="auto"/>
                                            <w:left w:val="none" w:sz="0" w:space="0" w:color="auto"/>
                                            <w:bottom w:val="none" w:sz="0" w:space="0" w:color="auto"/>
                                            <w:right w:val="none" w:sz="0" w:space="0" w:color="auto"/>
                                          </w:divBdr>
                                          <w:divsChild>
                                            <w:div w:id="107820023">
                                              <w:marLeft w:val="0"/>
                                              <w:marRight w:val="0"/>
                                              <w:marTop w:val="90"/>
                                              <w:marBottom w:val="0"/>
                                              <w:divBdr>
                                                <w:top w:val="none" w:sz="0" w:space="0" w:color="auto"/>
                                                <w:left w:val="none" w:sz="0" w:space="0" w:color="auto"/>
                                                <w:bottom w:val="none" w:sz="0" w:space="0" w:color="auto"/>
                                                <w:right w:val="none" w:sz="0" w:space="0" w:color="auto"/>
                                              </w:divBdr>
                                              <w:divsChild>
                                                <w:div w:id="1130899842">
                                                  <w:marLeft w:val="0"/>
                                                  <w:marRight w:val="0"/>
                                                  <w:marTop w:val="0"/>
                                                  <w:marBottom w:val="0"/>
                                                  <w:divBdr>
                                                    <w:top w:val="none" w:sz="0" w:space="0" w:color="auto"/>
                                                    <w:left w:val="none" w:sz="0" w:space="0" w:color="auto"/>
                                                    <w:bottom w:val="none" w:sz="0" w:space="0" w:color="auto"/>
                                                    <w:right w:val="none" w:sz="0" w:space="0" w:color="auto"/>
                                                  </w:divBdr>
                                                  <w:divsChild>
                                                    <w:div w:id="1775830665">
                                                      <w:marLeft w:val="0"/>
                                                      <w:marRight w:val="0"/>
                                                      <w:marTop w:val="0"/>
                                                      <w:marBottom w:val="0"/>
                                                      <w:divBdr>
                                                        <w:top w:val="none" w:sz="0" w:space="0" w:color="auto"/>
                                                        <w:left w:val="none" w:sz="0" w:space="0" w:color="auto"/>
                                                        <w:bottom w:val="none" w:sz="0" w:space="0" w:color="auto"/>
                                                        <w:right w:val="none" w:sz="0" w:space="0" w:color="auto"/>
                                                      </w:divBdr>
                                                      <w:divsChild>
                                                        <w:div w:id="181404198">
                                                          <w:marLeft w:val="0"/>
                                                          <w:marRight w:val="0"/>
                                                          <w:marTop w:val="0"/>
                                                          <w:marBottom w:val="0"/>
                                                          <w:divBdr>
                                                            <w:top w:val="none" w:sz="0" w:space="0" w:color="auto"/>
                                                            <w:left w:val="none" w:sz="0" w:space="0" w:color="auto"/>
                                                            <w:bottom w:val="none" w:sz="0" w:space="0" w:color="auto"/>
                                                            <w:right w:val="none" w:sz="0" w:space="0" w:color="auto"/>
                                                          </w:divBdr>
                                                          <w:divsChild>
                                                            <w:div w:id="1284575774">
                                                              <w:marLeft w:val="0"/>
                                                              <w:marRight w:val="0"/>
                                                              <w:marTop w:val="0"/>
                                                              <w:marBottom w:val="390"/>
                                                              <w:divBdr>
                                                                <w:top w:val="none" w:sz="0" w:space="0" w:color="auto"/>
                                                                <w:left w:val="none" w:sz="0" w:space="0" w:color="auto"/>
                                                                <w:bottom w:val="none" w:sz="0" w:space="0" w:color="auto"/>
                                                                <w:right w:val="none" w:sz="0" w:space="0" w:color="auto"/>
                                                              </w:divBdr>
                                                              <w:divsChild>
                                                                <w:div w:id="316811629">
                                                                  <w:marLeft w:val="0"/>
                                                                  <w:marRight w:val="0"/>
                                                                  <w:marTop w:val="0"/>
                                                                  <w:marBottom w:val="0"/>
                                                                  <w:divBdr>
                                                                    <w:top w:val="none" w:sz="0" w:space="0" w:color="auto"/>
                                                                    <w:left w:val="none" w:sz="0" w:space="0" w:color="auto"/>
                                                                    <w:bottom w:val="none" w:sz="0" w:space="0" w:color="auto"/>
                                                                    <w:right w:val="none" w:sz="0" w:space="0" w:color="auto"/>
                                                                  </w:divBdr>
                                                                  <w:divsChild>
                                                                    <w:div w:id="1967808129">
                                                                      <w:marLeft w:val="0"/>
                                                                      <w:marRight w:val="0"/>
                                                                      <w:marTop w:val="0"/>
                                                                      <w:marBottom w:val="0"/>
                                                                      <w:divBdr>
                                                                        <w:top w:val="none" w:sz="0" w:space="0" w:color="auto"/>
                                                                        <w:left w:val="none" w:sz="0" w:space="0" w:color="auto"/>
                                                                        <w:bottom w:val="none" w:sz="0" w:space="0" w:color="auto"/>
                                                                        <w:right w:val="none" w:sz="0" w:space="0" w:color="auto"/>
                                                                      </w:divBdr>
                                                                      <w:divsChild>
                                                                        <w:div w:id="1185903884">
                                                                          <w:marLeft w:val="0"/>
                                                                          <w:marRight w:val="0"/>
                                                                          <w:marTop w:val="0"/>
                                                                          <w:marBottom w:val="0"/>
                                                                          <w:divBdr>
                                                                            <w:top w:val="none" w:sz="0" w:space="0" w:color="auto"/>
                                                                            <w:left w:val="none" w:sz="0" w:space="0" w:color="auto"/>
                                                                            <w:bottom w:val="none" w:sz="0" w:space="0" w:color="auto"/>
                                                                            <w:right w:val="none" w:sz="0" w:space="0" w:color="auto"/>
                                                                          </w:divBdr>
                                                                          <w:divsChild>
                                                                            <w:div w:id="1375543370">
                                                                              <w:marLeft w:val="0"/>
                                                                              <w:marRight w:val="0"/>
                                                                              <w:marTop w:val="0"/>
                                                                              <w:marBottom w:val="0"/>
                                                                              <w:divBdr>
                                                                                <w:top w:val="none" w:sz="0" w:space="0" w:color="auto"/>
                                                                                <w:left w:val="none" w:sz="0" w:space="0" w:color="auto"/>
                                                                                <w:bottom w:val="none" w:sz="0" w:space="0" w:color="auto"/>
                                                                                <w:right w:val="none" w:sz="0" w:space="0" w:color="auto"/>
                                                                              </w:divBdr>
                                                                              <w:divsChild>
                                                                                <w:div w:id="323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540248">
      <w:bodyDiv w:val="1"/>
      <w:marLeft w:val="0"/>
      <w:marRight w:val="0"/>
      <w:marTop w:val="0"/>
      <w:marBottom w:val="0"/>
      <w:divBdr>
        <w:top w:val="none" w:sz="0" w:space="0" w:color="auto"/>
        <w:left w:val="none" w:sz="0" w:space="0" w:color="auto"/>
        <w:bottom w:val="none" w:sz="0" w:space="0" w:color="auto"/>
        <w:right w:val="none" w:sz="0" w:space="0" w:color="auto"/>
      </w:divBdr>
      <w:divsChild>
        <w:div w:id="330452398">
          <w:marLeft w:val="0"/>
          <w:marRight w:val="0"/>
          <w:marTop w:val="0"/>
          <w:marBottom w:val="0"/>
          <w:divBdr>
            <w:top w:val="none" w:sz="0" w:space="0" w:color="auto"/>
            <w:left w:val="none" w:sz="0" w:space="0" w:color="auto"/>
            <w:bottom w:val="none" w:sz="0" w:space="0" w:color="auto"/>
            <w:right w:val="none" w:sz="0" w:space="0" w:color="auto"/>
          </w:divBdr>
          <w:divsChild>
            <w:div w:id="1405450726">
              <w:marLeft w:val="0"/>
              <w:marRight w:val="0"/>
              <w:marTop w:val="0"/>
              <w:marBottom w:val="0"/>
              <w:divBdr>
                <w:top w:val="none" w:sz="0" w:space="0" w:color="auto"/>
                <w:left w:val="none" w:sz="0" w:space="0" w:color="auto"/>
                <w:bottom w:val="none" w:sz="0" w:space="0" w:color="auto"/>
                <w:right w:val="none" w:sz="0" w:space="0" w:color="auto"/>
              </w:divBdr>
              <w:divsChild>
                <w:div w:id="923413963">
                  <w:marLeft w:val="0"/>
                  <w:marRight w:val="0"/>
                  <w:marTop w:val="0"/>
                  <w:marBottom w:val="0"/>
                  <w:divBdr>
                    <w:top w:val="none" w:sz="0" w:space="0" w:color="auto"/>
                    <w:left w:val="none" w:sz="0" w:space="0" w:color="auto"/>
                    <w:bottom w:val="none" w:sz="0" w:space="0" w:color="auto"/>
                    <w:right w:val="none" w:sz="0" w:space="0" w:color="auto"/>
                  </w:divBdr>
                  <w:divsChild>
                    <w:div w:id="1715696406">
                      <w:marLeft w:val="0"/>
                      <w:marRight w:val="0"/>
                      <w:marTop w:val="45"/>
                      <w:marBottom w:val="0"/>
                      <w:divBdr>
                        <w:top w:val="none" w:sz="0" w:space="0" w:color="auto"/>
                        <w:left w:val="none" w:sz="0" w:space="0" w:color="auto"/>
                        <w:bottom w:val="none" w:sz="0" w:space="0" w:color="auto"/>
                        <w:right w:val="none" w:sz="0" w:space="0" w:color="auto"/>
                      </w:divBdr>
                      <w:divsChild>
                        <w:div w:id="289439372">
                          <w:marLeft w:val="0"/>
                          <w:marRight w:val="0"/>
                          <w:marTop w:val="0"/>
                          <w:marBottom w:val="0"/>
                          <w:divBdr>
                            <w:top w:val="none" w:sz="0" w:space="0" w:color="auto"/>
                            <w:left w:val="none" w:sz="0" w:space="0" w:color="auto"/>
                            <w:bottom w:val="none" w:sz="0" w:space="0" w:color="auto"/>
                            <w:right w:val="none" w:sz="0" w:space="0" w:color="auto"/>
                          </w:divBdr>
                          <w:divsChild>
                            <w:div w:id="399133148">
                              <w:marLeft w:val="2070"/>
                              <w:marRight w:val="3960"/>
                              <w:marTop w:val="0"/>
                              <w:marBottom w:val="0"/>
                              <w:divBdr>
                                <w:top w:val="none" w:sz="0" w:space="0" w:color="auto"/>
                                <w:left w:val="none" w:sz="0" w:space="0" w:color="auto"/>
                                <w:bottom w:val="none" w:sz="0" w:space="0" w:color="auto"/>
                                <w:right w:val="none" w:sz="0" w:space="0" w:color="auto"/>
                              </w:divBdr>
                              <w:divsChild>
                                <w:div w:id="187373817">
                                  <w:marLeft w:val="0"/>
                                  <w:marRight w:val="0"/>
                                  <w:marTop w:val="0"/>
                                  <w:marBottom w:val="0"/>
                                  <w:divBdr>
                                    <w:top w:val="none" w:sz="0" w:space="0" w:color="auto"/>
                                    <w:left w:val="none" w:sz="0" w:space="0" w:color="auto"/>
                                    <w:bottom w:val="none" w:sz="0" w:space="0" w:color="auto"/>
                                    <w:right w:val="none" w:sz="0" w:space="0" w:color="auto"/>
                                  </w:divBdr>
                                  <w:divsChild>
                                    <w:div w:id="723141307">
                                      <w:marLeft w:val="0"/>
                                      <w:marRight w:val="0"/>
                                      <w:marTop w:val="0"/>
                                      <w:marBottom w:val="0"/>
                                      <w:divBdr>
                                        <w:top w:val="none" w:sz="0" w:space="0" w:color="auto"/>
                                        <w:left w:val="none" w:sz="0" w:space="0" w:color="auto"/>
                                        <w:bottom w:val="none" w:sz="0" w:space="0" w:color="auto"/>
                                        <w:right w:val="none" w:sz="0" w:space="0" w:color="auto"/>
                                      </w:divBdr>
                                      <w:divsChild>
                                        <w:div w:id="944073873">
                                          <w:marLeft w:val="0"/>
                                          <w:marRight w:val="0"/>
                                          <w:marTop w:val="0"/>
                                          <w:marBottom w:val="0"/>
                                          <w:divBdr>
                                            <w:top w:val="none" w:sz="0" w:space="0" w:color="auto"/>
                                            <w:left w:val="none" w:sz="0" w:space="0" w:color="auto"/>
                                            <w:bottom w:val="none" w:sz="0" w:space="0" w:color="auto"/>
                                            <w:right w:val="none" w:sz="0" w:space="0" w:color="auto"/>
                                          </w:divBdr>
                                          <w:divsChild>
                                            <w:div w:id="146674494">
                                              <w:marLeft w:val="0"/>
                                              <w:marRight w:val="0"/>
                                              <w:marTop w:val="90"/>
                                              <w:marBottom w:val="0"/>
                                              <w:divBdr>
                                                <w:top w:val="none" w:sz="0" w:space="0" w:color="auto"/>
                                                <w:left w:val="none" w:sz="0" w:space="0" w:color="auto"/>
                                                <w:bottom w:val="none" w:sz="0" w:space="0" w:color="auto"/>
                                                <w:right w:val="none" w:sz="0" w:space="0" w:color="auto"/>
                                              </w:divBdr>
                                              <w:divsChild>
                                                <w:div w:id="1284654081">
                                                  <w:marLeft w:val="0"/>
                                                  <w:marRight w:val="0"/>
                                                  <w:marTop w:val="0"/>
                                                  <w:marBottom w:val="0"/>
                                                  <w:divBdr>
                                                    <w:top w:val="none" w:sz="0" w:space="0" w:color="auto"/>
                                                    <w:left w:val="none" w:sz="0" w:space="0" w:color="auto"/>
                                                    <w:bottom w:val="none" w:sz="0" w:space="0" w:color="auto"/>
                                                    <w:right w:val="none" w:sz="0" w:space="0" w:color="auto"/>
                                                  </w:divBdr>
                                                  <w:divsChild>
                                                    <w:div w:id="1177815353">
                                                      <w:marLeft w:val="0"/>
                                                      <w:marRight w:val="0"/>
                                                      <w:marTop w:val="0"/>
                                                      <w:marBottom w:val="0"/>
                                                      <w:divBdr>
                                                        <w:top w:val="none" w:sz="0" w:space="0" w:color="auto"/>
                                                        <w:left w:val="none" w:sz="0" w:space="0" w:color="auto"/>
                                                        <w:bottom w:val="none" w:sz="0" w:space="0" w:color="auto"/>
                                                        <w:right w:val="none" w:sz="0" w:space="0" w:color="auto"/>
                                                      </w:divBdr>
                                                      <w:divsChild>
                                                        <w:div w:id="327951511">
                                                          <w:marLeft w:val="0"/>
                                                          <w:marRight w:val="0"/>
                                                          <w:marTop w:val="0"/>
                                                          <w:marBottom w:val="0"/>
                                                          <w:divBdr>
                                                            <w:top w:val="none" w:sz="0" w:space="0" w:color="auto"/>
                                                            <w:left w:val="none" w:sz="0" w:space="0" w:color="auto"/>
                                                            <w:bottom w:val="none" w:sz="0" w:space="0" w:color="auto"/>
                                                            <w:right w:val="none" w:sz="0" w:space="0" w:color="auto"/>
                                                          </w:divBdr>
                                                          <w:divsChild>
                                                            <w:div w:id="153494364">
                                                              <w:marLeft w:val="0"/>
                                                              <w:marRight w:val="0"/>
                                                              <w:marTop w:val="0"/>
                                                              <w:marBottom w:val="390"/>
                                                              <w:divBdr>
                                                                <w:top w:val="none" w:sz="0" w:space="0" w:color="auto"/>
                                                                <w:left w:val="none" w:sz="0" w:space="0" w:color="auto"/>
                                                                <w:bottom w:val="none" w:sz="0" w:space="0" w:color="auto"/>
                                                                <w:right w:val="none" w:sz="0" w:space="0" w:color="auto"/>
                                                              </w:divBdr>
                                                              <w:divsChild>
                                                                <w:div w:id="1291326949">
                                                                  <w:marLeft w:val="0"/>
                                                                  <w:marRight w:val="0"/>
                                                                  <w:marTop w:val="0"/>
                                                                  <w:marBottom w:val="0"/>
                                                                  <w:divBdr>
                                                                    <w:top w:val="none" w:sz="0" w:space="0" w:color="auto"/>
                                                                    <w:left w:val="none" w:sz="0" w:space="0" w:color="auto"/>
                                                                    <w:bottom w:val="none" w:sz="0" w:space="0" w:color="auto"/>
                                                                    <w:right w:val="none" w:sz="0" w:space="0" w:color="auto"/>
                                                                  </w:divBdr>
                                                                  <w:divsChild>
                                                                    <w:div w:id="1459566281">
                                                                      <w:marLeft w:val="0"/>
                                                                      <w:marRight w:val="0"/>
                                                                      <w:marTop w:val="0"/>
                                                                      <w:marBottom w:val="0"/>
                                                                      <w:divBdr>
                                                                        <w:top w:val="none" w:sz="0" w:space="0" w:color="auto"/>
                                                                        <w:left w:val="none" w:sz="0" w:space="0" w:color="auto"/>
                                                                        <w:bottom w:val="none" w:sz="0" w:space="0" w:color="auto"/>
                                                                        <w:right w:val="none" w:sz="0" w:space="0" w:color="auto"/>
                                                                      </w:divBdr>
                                                                      <w:divsChild>
                                                                        <w:div w:id="519515695">
                                                                          <w:marLeft w:val="0"/>
                                                                          <w:marRight w:val="0"/>
                                                                          <w:marTop w:val="0"/>
                                                                          <w:marBottom w:val="0"/>
                                                                          <w:divBdr>
                                                                            <w:top w:val="none" w:sz="0" w:space="0" w:color="auto"/>
                                                                            <w:left w:val="none" w:sz="0" w:space="0" w:color="auto"/>
                                                                            <w:bottom w:val="none" w:sz="0" w:space="0" w:color="auto"/>
                                                                            <w:right w:val="none" w:sz="0" w:space="0" w:color="auto"/>
                                                                          </w:divBdr>
                                                                          <w:divsChild>
                                                                            <w:div w:id="2130934093">
                                                                              <w:marLeft w:val="0"/>
                                                                              <w:marRight w:val="0"/>
                                                                              <w:marTop w:val="0"/>
                                                                              <w:marBottom w:val="0"/>
                                                                              <w:divBdr>
                                                                                <w:top w:val="none" w:sz="0" w:space="0" w:color="auto"/>
                                                                                <w:left w:val="none" w:sz="0" w:space="0" w:color="auto"/>
                                                                                <w:bottom w:val="none" w:sz="0" w:space="0" w:color="auto"/>
                                                                                <w:right w:val="none" w:sz="0" w:space="0" w:color="auto"/>
                                                                              </w:divBdr>
                                                                              <w:divsChild>
                                                                                <w:div w:id="13215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134574">
      <w:bodyDiv w:val="1"/>
      <w:marLeft w:val="0"/>
      <w:marRight w:val="0"/>
      <w:marTop w:val="0"/>
      <w:marBottom w:val="0"/>
      <w:divBdr>
        <w:top w:val="none" w:sz="0" w:space="0" w:color="auto"/>
        <w:left w:val="none" w:sz="0" w:space="0" w:color="auto"/>
        <w:bottom w:val="none" w:sz="0" w:space="0" w:color="auto"/>
        <w:right w:val="none" w:sz="0" w:space="0" w:color="auto"/>
      </w:divBdr>
      <w:divsChild>
        <w:div w:id="964431930">
          <w:marLeft w:val="0"/>
          <w:marRight w:val="0"/>
          <w:marTop w:val="0"/>
          <w:marBottom w:val="0"/>
          <w:divBdr>
            <w:top w:val="none" w:sz="0" w:space="0" w:color="auto"/>
            <w:left w:val="none" w:sz="0" w:space="0" w:color="auto"/>
            <w:bottom w:val="none" w:sz="0" w:space="0" w:color="auto"/>
            <w:right w:val="none" w:sz="0" w:space="0" w:color="auto"/>
          </w:divBdr>
          <w:divsChild>
            <w:div w:id="24605005">
              <w:marLeft w:val="0"/>
              <w:marRight w:val="0"/>
              <w:marTop w:val="0"/>
              <w:marBottom w:val="0"/>
              <w:divBdr>
                <w:top w:val="none" w:sz="0" w:space="0" w:color="auto"/>
                <w:left w:val="none" w:sz="0" w:space="0" w:color="auto"/>
                <w:bottom w:val="none" w:sz="0" w:space="0" w:color="auto"/>
                <w:right w:val="none" w:sz="0" w:space="0" w:color="auto"/>
              </w:divBdr>
              <w:divsChild>
                <w:div w:id="1032925808">
                  <w:marLeft w:val="0"/>
                  <w:marRight w:val="0"/>
                  <w:marTop w:val="0"/>
                  <w:marBottom w:val="0"/>
                  <w:divBdr>
                    <w:top w:val="none" w:sz="0" w:space="0" w:color="auto"/>
                    <w:left w:val="none" w:sz="0" w:space="0" w:color="auto"/>
                    <w:bottom w:val="none" w:sz="0" w:space="0" w:color="auto"/>
                    <w:right w:val="none" w:sz="0" w:space="0" w:color="auto"/>
                  </w:divBdr>
                  <w:divsChild>
                    <w:div w:id="911163712">
                      <w:marLeft w:val="0"/>
                      <w:marRight w:val="0"/>
                      <w:marTop w:val="45"/>
                      <w:marBottom w:val="0"/>
                      <w:divBdr>
                        <w:top w:val="none" w:sz="0" w:space="0" w:color="auto"/>
                        <w:left w:val="none" w:sz="0" w:space="0" w:color="auto"/>
                        <w:bottom w:val="none" w:sz="0" w:space="0" w:color="auto"/>
                        <w:right w:val="none" w:sz="0" w:space="0" w:color="auto"/>
                      </w:divBdr>
                      <w:divsChild>
                        <w:div w:id="969364641">
                          <w:marLeft w:val="0"/>
                          <w:marRight w:val="0"/>
                          <w:marTop w:val="0"/>
                          <w:marBottom w:val="0"/>
                          <w:divBdr>
                            <w:top w:val="none" w:sz="0" w:space="0" w:color="auto"/>
                            <w:left w:val="none" w:sz="0" w:space="0" w:color="auto"/>
                            <w:bottom w:val="none" w:sz="0" w:space="0" w:color="auto"/>
                            <w:right w:val="none" w:sz="0" w:space="0" w:color="auto"/>
                          </w:divBdr>
                          <w:divsChild>
                            <w:div w:id="96760131">
                              <w:marLeft w:val="2070"/>
                              <w:marRight w:val="3960"/>
                              <w:marTop w:val="0"/>
                              <w:marBottom w:val="0"/>
                              <w:divBdr>
                                <w:top w:val="none" w:sz="0" w:space="0" w:color="auto"/>
                                <w:left w:val="none" w:sz="0" w:space="0" w:color="auto"/>
                                <w:bottom w:val="none" w:sz="0" w:space="0" w:color="auto"/>
                                <w:right w:val="none" w:sz="0" w:space="0" w:color="auto"/>
                              </w:divBdr>
                              <w:divsChild>
                                <w:div w:id="1011417618">
                                  <w:marLeft w:val="0"/>
                                  <w:marRight w:val="0"/>
                                  <w:marTop w:val="0"/>
                                  <w:marBottom w:val="0"/>
                                  <w:divBdr>
                                    <w:top w:val="none" w:sz="0" w:space="0" w:color="auto"/>
                                    <w:left w:val="none" w:sz="0" w:space="0" w:color="auto"/>
                                    <w:bottom w:val="none" w:sz="0" w:space="0" w:color="auto"/>
                                    <w:right w:val="none" w:sz="0" w:space="0" w:color="auto"/>
                                  </w:divBdr>
                                  <w:divsChild>
                                    <w:div w:id="740369679">
                                      <w:marLeft w:val="0"/>
                                      <w:marRight w:val="0"/>
                                      <w:marTop w:val="0"/>
                                      <w:marBottom w:val="0"/>
                                      <w:divBdr>
                                        <w:top w:val="none" w:sz="0" w:space="0" w:color="auto"/>
                                        <w:left w:val="none" w:sz="0" w:space="0" w:color="auto"/>
                                        <w:bottom w:val="none" w:sz="0" w:space="0" w:color="auto"/>
                                        <w:right w:val="none" w:sz="0" w:space="0" w:color="auto"/>
                                      </w:divBdr>
                                      <w:divsChild>
                                        <w:div w:id="1533495856">
                                          <w:marLeft w:val="0"/>
                                          <w:marRight w:val="0"/>
                                          <w:marTop w:val="0"/>
                                          <w:marBottom w:val="0"/>
                                          <w:divBdr>
                                            <w:top w:val="none" w:sz="0" w:space="0" w:color="auto"/>
                                            <w:left w:val="none" w:sz="0" w:space="0" w:color="auto"/>
                                            <w:bottom w:val="none" w:sz="0" w:space="0" w:color="auto"/>
                                            <w:right w:val="none" w:sz="0" w:space="0" w:color="auto"/>
                                          </w:divBdr>
                                          <w:divsChild>
                                            <w:div w:id="249504202">
                                              <w:marLeft w:val="0"/>
                                              <w:marRight w:val="0"/>
                                              <w:marTop w:val="90"/>
                                              <w:marBottom w:val="0"/>
                                              <w:divBdr>
                                                <w:top w:val="none" w:sz="0" w:space="0" w:color="auto"/>
                                                <w:left w:val="none" w:sz="0" w:space="0" w:color="auto"/>
                                                <w:bottom w:val="none" w:sz="0" w:space="0" w:color="auto"/>
                                                <w:right w:val="none" w:sz="0" w:space="0" w:color="auto"/>
                                              </w:divBdr>
                                              <w:divsChild>
                                                <w:div w:id="1295209501">
                                                  <w:marLeft w:val="0"/>
                                                  <w:marRight w:val="0"/>
                                                  <w:marTop w:val="0"/>
                                                  <w:marBottom w:val="0"/>
                                                  <w:divBdr>
                                                    <w:top w:val="none" w:sz="0" w:space="0" w:color="auto"/>
                                                    <w:left w:val="none" w:sz="0" w:space="0" w:color="auto"/>
                                                    <w:bottom w:val="none" w:sz="0" w:space="0" w:color="auto"/>
                                                    <w:right w:val="none" w:sz="0" w:space="0" w:color="auto"/>
                                                  </w:divBdr>
                                                  <w:divsChild>
                                                    <w:div w:id="721565962">
                                                      <w:marLeft w:val="0"/>
                                                      <w:marRight w:val="0"/>
                                                      <w:marTop w:val="0"/>
                                                      <w:marBottom w:val="0"/>
                                                      <w:divBdr>
                                                        <w:top w:val="none" w:sz="0" w:space="0" w:color="auto"/>
                                                        <w:left w:val="none" w:sz="0" w:space="0" w:color="auto"/>
                                                        <w:bottom w:val="none" w:sz="0" w:space="0" w:color="auto"/>
                                                        <w:right w:val="none" w:sz="0" w:space="0" w:color="auto"/>
                                                      </w:divBdr>
                                                      <w:divsChild>
                                                        <w:div w:id="183175620">
                                                          <w:marLeft w:val="0"/>
                                                          <w:marRight w:val="0"/>
                                                          <w:marTop w:val="0"/>
                                                          <w:marBottom w:val="0"/>
                                                          <w:divBdr>
                                                            <w:top w:val="none" w:sz="0" w:space="0" w:color="auto"/>
                                                            <w:left w:val="none" w:sz="0" w:space="0" w:color="auto"/>
                                                            <w:bottom w:val="none" w:sz="0" w:space="0" w:color="auto"/>
                                                            <w:right w:val="none" w:sz="0" w:space="0" w:color="auto"/>
                                                          </w:divBdr>
                                                          <w:divsChild>
                                                            <w:div w:id="266036852">
                                                              <w:marLeft w:val="0"/>
                                                              <w:marRight w:val="0"/>
                                                              <w:marTop w:val="0"/>
                                                              <w:marBottom w:val="390"/>
                                                              <w:divBdr>
                                                                <w:top w:val="none" w:sz="0" w:space="0" w:color="auto"/>
                                                                <w:left w:val="none" w:sz="0" w:space="0" w:color="auto"/>
                                                                <w:bottom w:val="none" w:sz="0" w:space="0" w:color="auto"/>
                                                                <w:right w:val="none" w:sz="0" w:space="0" w:color="auto"/>
                                                              </w:divBdr>
                                                              <w:divsChild>
                                                                <w:div w:id="1738673036">
                                                                  <w:marLeft w:val="0"/>
                                                                  <w:marRight w:val="0"/>
                                                                  <w:marTop w:val="0"/>
                                                                  <w:marBottom w:val="0"/>
                                                                  <w:divBdr>
                                                                    <w:top w:val="none" w:sz="0" w:space="0" w:color="auto"/>
                                                                    <w:left w:val="none" w:sz="0" w:space="0" w:color="auto"/>
                                                                    <w:bottom w:val="none" w:sz="0" w:space="0" w:color="auto"/>
                                                                    <w:right w:val="none" w:sz="0" w:space="0" w:color="auto"/>
                                                                  </w:divBdr>
                                                                  <w:divsChild>
                                                                    <w:div w:id="281428105">
                                                                      <w:marLeft w:val="0"/>
                                                                      <w:marRight w:val="0"/>
                                                                      <w:marTop w:val="0"/>
                                                                      <w:marBottom w:val="0"/>
                                                                      <w:divBdr>
                                                                        <w:top w:val="none" w:sz="0" w:space="0" w:color="auto"/>
                                                                        <w:left w:val="none" w:sz="0" w:space="0" w:color="auto"/>
                                                                        <w:bottom w:val="none" w:sz="0" w:space="0" w:color="auto"/>
                                                                        <w:right w:val="none" w:sz="0" w:space="0" w:color="auto"/>
                                                                      </w:divBdr>
                                                                      <w:divsChild>
                                                                        <w:div w:id="1870991598">
                                                                          <w:marLeft w:val="0"/>
                                                                          <w:marRight w:val="0"/>
                                                                          <w:marTop w:val="0"/>
                                                                          <w:marBottom w:val="0"/>
                                                                          <w:divBdr>
                                                                            <w:top w:val="none" w:sz="0" w:space="0" w:color="auto"/>
                                                                            <w:left w:val="none" w:sz="0" w:space="0" w:color="auto"/>
                                                                            <w:bottom w:val="none" w:sz="0" w:space="0" w:color="auto"/>
                                                                            <w:right w:val="none" w:sz="0" w:space="0" w:color="auto"/>
                                                                          </w:divBdr>
                                                                          <w:divsChild>
                                                                            <w:div w:id="1657028949">
                                                                              <w:marLeft w:val="0"/>
                                                                              <w:marRight w:val="0"/>
                                                                              <w:marTop w:val="0"/>
                                                                              <w:marBottom w:val="0"/>
                                                                              <w:divBdr>
                                                                                <w:top w:val="none" w:sz="0" w:space="0" w:color="auto"/>
                                                                                <w:left w:val="none" w:sz="0" w:space="0" w:color="auto"/>
                                                                                <w:bottom w:val="none" w:sz="0" w:space="0" w:color="auto"/>
                                                                                <w:right w:val="none" w:sz="0" w:space="0" w:color="auto"/>
                                                                              </w:divBdr>
                                                                              <w:divsChild>
                                                                                <w:div w:id="16338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56910294">
      <w:bodyDiv w:val="1"/>
      <w:marLeft w:val="0"/>
      <w:marRight w:val="0"/>
      <w:marTop w:val="0"/>
      <w:marBottom w:val="0"/>
      <w:divBdr>
        <w:top w:val="none" w:sz="0" w:space="0" w:color="auto"/>
        <w:left w:val="none" w:sz="0" w:space="0" w:color="auto"/>
        <w:bottom w:val="none" w:sz="0" w:space="0" w:color="auto"/>
        <w:right w:val="none" w:sz="0" w:space="0" w:color="auto"/>
      </w:divBdr>
      <w:divsChild>
        <w:div w:id="1808013405">
          <w:marLeft w:val="0"/>
          <w:marRight w:val="0"/>
          <w:marTop w:val="0"/>
          <w:marBottom w:val="0"/>
          <w:divBdr>
            <w:top w:val="none" w:sz="0" w:space="0" w:color="auto"/>
            <w:left w:val="none" w:sz="0" w:space="0" w:color="auto"/>
            <w:bottom w:val="none" w:sz="0" w:space="0" w:color="auto"/>
            <w:right w:val="none" w:sz="0" w:space="0" w:color="auto"/>
          </w:divBdr>
          <w:divsChild>
            <w:div w:id="746927918">
              <w:marLeft w:val="0"/>
              <w:marRight w:val="0"/>
              <w:marTop w:val="0"/>
              <w:marBottom w:val="0"/>
              <w:divBdr>
                <w:top w:val="none" w:sz="0" w:space="0" w:color="auto"/>
                <w:left w:val="none" w:sz="0" w:space="0" w:color="auto"/>
                <w:bottom w:val="none" w:sz="0" w:space="0" w:color="auto"/>
                <w:right w:val="none" w:sz="0" w:space="0" w:color="auto"/>
              </w:divBdr>
              <w:divsChild>
                <w:div w:id="1396511826">
                  <w:marLeft w:val="0"/>
                  <w:marRight w:val="0"/>
                  <w:marTop w:val="0"/>
                  <w:marBottom w:val="0"/>
                  <w:divBdr>
                    <w:top w:val="none" w:sz="0" w:space="0" w:color="auto"/>
                    <w:left w:val="none" w:sz="0" w:space="0" w:color="auto"/>
                    <w:bottom w:val="none" w:sz="0" w:space="0" w:color="auto"/>
                    <w:right w:val="none" w:sz="0" w:space="0" w:color="auto"/>
                  </w:divBdr>
                  <w:divsChild>
                    <w:div w:id="971057507">
                      <w:marLeft w:val="0"/>
                      <w:marRight w:val="0"/>
                      <w:marTop w:val="45"/>
                      <w:marBottom w:val="0"/>
                      <w:divBdr>
                        <w:top w:val="none" w:sz="0" w:space="0" w:color="auto"/>
                        <w:left w:val="none" w:sz="0" w:space="0" w:color="auto"/>
                        <w:bottom w:val="none" w:sz="0" w:space="0" w:color="auto"/>
                        <w:right w:val="none" w:sz="0" w:space="0" w:color="auto"/>
                      </w:divBdr>
                      <w:divsChild>
                        <w:div w:id="291441453">
                          <w:marLeft w:val="0"/>
                          <w:marRight w:val="0"/>
                          <w:marTop w:val="0"/>
                          <w:marBottom w:val="0"/>
                          <w:divBdr>
                            <w:top w:val="none" w:sz="0" w:space="0" w:color="auto"/>
                            <w:left w:val="none" w:sz="0" w:space="0" w:color="auto"/>
                            <w:bottom w:val="none" w:sz="0" w:space="0" w:color="auto"/>
                            <w:right w:val="none" w:sz="0" w:space="0" w:color="auto"/>
                          </w:divBdr>
                          <w:divsChild>
                            <w:div w:id="1776633164">
                              <w:marLeft w:val="2070"/>
                              <w:marRight w:val="3960"/>
                              <w:marTop w:val="0"/>
                              <w:marBottom w:val="0"/>
                              <w:divBdr>
                                <w:top w:val="none" w:sz="0" w:space="0" w:color="auto"/>
                                <w:left w:val="none" w:sz="0" w:space="0" w:color="auto"/>
                                <w:bottom w:val="none" w:sz="0" w:space="0" w:color="auto"/>
                                <w:right w:val="none" w:sz="0" w:space="0" w:color="auto"/>
                              </w:divBdr>
                              <w:divsChild>
                                <w:div w:id="1308785285">
                                  <w:marLeft w:val="0"/>
                                  <w:marRight w:val="0"/>
                                  <w:marTop w:val="0"/>
                                  <w:marBottom w:val="0"/>
                                  <w:divBdr>
                                    <w:top w:val="none" w:sz="0" w:space="0" w:color="auto"/>
                                    <w:left w:val="none" w:sz="0" w:space="0" w:color="auto"/>
                                    <w:bottom w:val="none" w:sz="0" w:space="0" w:color="auto"/>
                                    <w:right w:val="none" w:sz="0" w:space="0" w:color="auto"/>
                                  </w:divBdr>
                                  <w:divsChild>
                                    <w:div w:id="1940336048">
                                      <w:marLeft w:val="0"/>
                                      <w:marRight w:val="0"/>
                                      <w:marTop w:val="0"/>
                                      <w:marBottom w:val="0"/>
                                      <w:divBdr>
                                        <w:top w:val="none" w:sz="0" w:space="0" w:color="auto"/>
                                        <w:left w:val="none" w:sz="0" w:space="0" w:color="auto"/>
                                        <w:bottom w:val="none" w:sz="0" w:space="0" w:color="auto"/>
                                        <w:right w:val="none" w:sz="0" w:space="0" w:color="auto"/>
                                      </w:divBdr>
                                      <w:divsChild>
                                        <w:div w:id="77678336">
                                          <w:marLeft w:val="0"/>
                                          <w:marRight w:val="0"/>
                                          <w:marTop w:val="0"/>
                                          <w:marBottom w:val="0"/>
                                          <w:divBdr>
                                            <w:top w:val="none" w:sz="0" w:space="0" w:color="auto"/>
                                            <w:left w:val="none" w:sz="0" w:space="0" w:color="auto"/>
                                            <w:bottom w:val="none" w:sz="0" w:space="0" w:color="auto"/>
                                            <w:right w:val="none" w:sz="0" w:space="0" w:color="auto"/>
                                          </w:divBdr>
                                          <w:divsChild>
                                            <w:div w:id="220404304">
                                              <w:marLeft w:val="0"/>
                                              <w:marRight w:val="0"/>
                                              <w:marTop w:val="90"/>
                                              <w:marBottom w:val="0"/>
                                              <w:divBdr>
                                                <w:top w:val="none" w:sz="0" w:space="0" w:color="auto"/>
                                                <w:left w:val="none" w:sz="0" w:space="0" w:color="auto"/>
                                                <w:bottom w:val="none" w:sz="0" w:space="0" w:color="auto"/>
                                                <w:right w:val="none" w:sz="0" w:space="0" w:color="auto"/>
                                              </w:divBdr>
                                              <w:divsChild>
                                                <w:div w:id="2045596805">
                                                  <w:marLeft w:val="0"/>
                                                  <w:marRight w:val="0"/>
                                                  <w:marTop w:val="0"/>
                                                  <w:marBottom w:val="0"/>
                                                  <w:divBdr>
                                                    <w:top w:val="none" w:sz="0" w:space="0" w:color="auto"/>
                                                    <w:left w:val="none" w:sz="0" w:space="0" w:color="auto"/>
                                                    <w:bottom w:val="none" w:sz="0" w:space="0" w:color="auto"/>
                                                    <w:right w:val="none" w:sz="0" w:space="0" w:color="auto"/>
                                                  </w:divBdr>
                                                  <w:divsChild>
                                                    <w:div w:id="594284144">
                                                      <w:marLeft w:val="0"/>
                                                      <w:marRight w:val="0"/>
                                                      <w:marTop w:val="0"/>
                                                      <w:marBottom w:val="0"/>
                                                      <w:divBdr>
                                                        <w:top w:val="none" w:sz="0" w:space="0" w:color="auto"/>
                                                        <w:left w:val="none" w:sz="0" w:space="0" w:color="auto"/>
                                                        <w:bottom w:val="none" w:sz="0" w:space="0" w:color="auto"/>
                                                        <w:right w:val="none" w:sz="0" w:space="0" w:color="auto"/>
                                                      </w:divBdr>
                                                      <w:divsChild>
                                                        <w:div w:id="1108895542">
                                                          <w:marLeft w:val="0"/>
                                                          <w:marRight w:val="0"/>
                                                          <w:marTop w:val="0"/>
                                                          <w:marBottom w:val="0"/>
                                                          <w:divBdr>
                                                            <w:top w:val="none" w:sz="0" w:space="0" w:color="auto"/>
                                                            <w:left w:val="none" w:sz="0" w:space="0" w:color="auto"/>
                                                            <w:bottom w:val="none" w:sz="0" w:space="0" w:color="auto"/>
                                                            <w:right w:val="none" w:sz="0" w:space="0" w:color="auto"/>
                                                          </w:divBdr>
                                                          <w:divsChild>
                                                            <w:div w:id="1186595962">
                                                              <w:marLeft w:val="0"/>
                                                              <w:marRight w:val="0"/>
                                                              <w:marTop w:val="0"/>
                                                              <w:marBottom w:val="390"/>
                                                              <w:divBdr>
                                                                <w:top w:val="none" w:sz="0" w:space="0" w:color="auto"/>
                                                                <w:left w:val="none" w:sz="0" w:space="0" w:color="auto"/>
                                                                <w:bottom w:val="none" w:sz="0" w:space="0" w:color="auto"/>
                                                                <w:right w:val="none" w:sz="0" w:space="0" w:color="auto"/>
                                                              </w:divBdr>
                                                              <w:divsChild>
                                                                <w:div w:id="480080766">
                                                                  <w:marLeft w:val="0"/>
                                                                  <w:marRight w:val="0"/>
                                                                  <w:marTop w:val="0"/>
                                                                  <w:marBottom w:val="0"/>
                                                                  <w:divBdr>
                                                                    <w:top w:val="none" w:sz="0" w:space="0" w:color="auto"/>
                                                                    <w:left w:val="none" w:sz="0" w:space="0" w:color="auto"/>
                                                                    <w:bottom w:val="none" w:sz="0" w:space="0" w:color="auto"/>
                                                                    <w:right w:val="none" w:sz="0" w:space="0" w:color="auto"/>
                                                                  </w:divBdr>
                                                                  <w:divsChild>
                                                                    <w:div w:id="1946494389">
                                                                      <w:marLeft w:val="0"/>
                                                                      <w:marRight w:val="0"/>
                                                                      <w:marTop w:val="0"/>
                                                                      <w:marBottom w:val="0"/>
                                                                      <w:divBdr>
                                                                        <w:top w:val="none" w:sz="0" w:space="0" w:color="auto"/>
                                                                        <w:left w:val="none" w:sz="0" w:space="0" w:color="auto"/>
                                                                        <w:bottom w:val="none" w:sz="0" w:space="0" w:color="auto"/>
                                                                        <w:right w:val="none" w:sz="0" w:space="0" w:color="auto"/>
                                                                      </w:divBdr>
                                                                      <w:divsChild>
                                                                        <w:div w:id="1727679409">
                                                                          <w:marLeft w:val="0"/>
                                                                          <w:marRight w:val="0"/>
                                                                          <w:marTop w:val="0"/>
                                                                          <w:marBottom w:val="0"/>
                                                                          <w:divBdr>
                                                                            <w:top w:val="none" w:sz="0" w:space="0" w:color="auto"/>
                                                                            <w:left w:val="none" w:sz="0" w:space="0" w:color="auto"/>
                                                                            <w:bottom w:val="none" w:sz="0" w:space="0" w:color="auto"/>
                                                                            <w:right w:val="none" w:sz="0" w:space="0" w:color="auto"/>
                                                                          </w:divBdr>
                                                                          <w:divsChild>
                                                                            <w:div w:id="91975310">
                                                                              <w:marLeft w:val="0"/>
                                                                              <w:marRight w:val="0"/>
                                                                              <w:marTop w:val="0"/>
                                                                              <w:marBottom w:val="0"/>
                                                                              <w:divBdr>
                                                                                <w:top w:val="none" w:sz="0" w:space="0" w:color="auto"/>
                                                                                <w:left w:val="none" w:sz="0" w:space="0" w:color="auto"/>
                                                                                <w:bottom w:val="none" w:sz="0" w:space="0" w:color="auto"/>
                                                                                <w:right w:val="none" w:sz="0" w:space="0" w:color="auto"/>
                                                                              </w:divBdr>
                                                                              <w:divsChild>
                                                                                <w:div w:id="2141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s.gov.au/our-responsibilities/families-and-children/publications-articles/protecting-children-is-everyones-business"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our-work/childrens-rights/projects/child-safe-organisation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s://www.humanrights.gov.au/our-work/childrens-rights/projects/child-safe-organisations"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racgp.org.au/download/Documents/AHU/NFATSIH-Cultural-awareness-and-safety-training.PDF" TargetMode="External"/><Relationship Id="rId13" Type="http://schemas.openxmlformats.org/officeDocument/2006/relationships/hyperlink" Target="https://aifs.gov.au/publications/community-development-approaches-safety-and-wellbeing-indigenous-children" TargetMode="External"/><Relationship Id="rId18" Type="http://schemas.openxmlformats.org/officeDocument/2006/relationships/hyperlink" Target="https://www.childabuseroyalcommission.gov.au/sites/default/files/final_report_-_volume_6_making_institutions_child_safe.pdf" TargetMode="External"/><Relationship Id="rId3" Type="http://schemas.openxmlformats.org/officeDocument/2006/relationships/hyperlink" Target="http://www.natsihwa.org.au/sites/default/files/publications/NATSIHWA-Cultural%20Safety-Framework%20Summary.pdf" TargetMode="External"/><Relationship Id="rId7" Type="http://schemas.openxmlformats.org/officeDocument/2006/relationships/hyperlink" Target="http://iaha.com.au/policy/cultural-responsiveness/" TargetMode="External"/><Relationship Id="rId12" Type="http://schemas.openxmlformats.org/officeDocument/2006/relationships/hyperlink" Target="http://tbinternet.ohchr.org/_layouts/treatybodyexternal/Download.aspx?symbolno=CRC%2fC%2fGC%2f11&amp;Lang=en" TargetMode="External"/><Relationship Id="rId17" Type="http://schemas.openxmlformats.org/officeDocument/2006/relationships/hyperlink" Target="https://www.childabuseroyalcommission.gov.au/sites/default/files/file-list/final_report_-_criminal_justice_report_-_executive_summary_and_parts_i_to_ii.pdf" TargetMode="External"/><Relationship Id="rId2" Type="http://schemas.openxmlformats.org/officeDocument/2006/relationships/hyperlink" Target="https://www.aida.org.au/wp-content/uploads/2015/03/Cultural_Safety.pdf" TargetMode="External"/><Relationship Id="rId16" Type="http://schemas.openxmlformats.org/officeDocument/2006/relationships/hyperlink" Target="https://www.childabuseroyalcommission.gov.au/sites/default/files/final_report_-_recommendations.pdf" TargetMode="External"/><Relationship Id="rId1" Type="http://schemas.openxmlformats.org/officeDocument/2006/relationships/hyperlink" Target="https://aifs.gov.au/publications/community-development-approaches-safety-and-wellbeing-indigenous-children" TargetMode="External"/><Relationship Id="rId6" Type="http://schemas.openxmlformats.org/officeDocument/2006/relationships/hyperlink" Target="https://www.ahcwa.org.au/cst" TargetMode="External"/><Relationship Id="rId11" Type="http://schemas.openxmlformats.org/officeDocument/2006/relationships/hyperlink" Target="https://www.safetyandquality.gov.au/wp-content/uploads/2017/12/National-Safety-and-Quality-Health-Service-Standards-User-Guide-for-Aboriginal-and-Torres-Strait-Islander-Health.pdf" TargetMode="External"/><Relationship Id="rId5" Type="http://schemas.openxmlformats.org/officeDocument/2006/relationships/hyperlink" Target="http://www.vaccho.org.au/assets/01-RESOURCES/TOPIC-AREA/CULTURAL-SAFETY/CS-4-HOURS.pdf" TargetMode="External"/><Relationship Id="rId15" Type="http://schemas.openxmlformats.org/officeDocument/2006/relationships/hyperlink" Target="http://www.supportingcarers.snaicc.org.au/connecting-to-culture/cultural-safety/" TargetMode="External"/><Relationship Id="rId10" Type="http://schemas.openxmlformats.org/officeDocument/2006/relationships/hyperlink" Target="http://www.health.gov.au/natsihp" TargetMode="External"/><Relationship Id="rId19" Type="http://schemas.openxmlformats.org/officeDocument/2006/relationships/hyperlink" Target="https://www.childabuseroyalcommission.gov.au/sites/default/files/final_report_-_volume_6_making_institutions_child_safe.pdf" TargetMode="External"/><Relationship Id="rId4" Type="http://schemas.openxmlformats.org/officeDocument/2006/relationships/hyperlink" Target="http://www.natsihwa.org.au/sites/default/files/publications/NATSIHWA-Cultural%20Safety-Framework%20Summary.pdf" TargetMode="External"/><Relationship Id="rId9" Type="http://schemas.openxmlformats.org/officeDocument/2006/relationships/hyperlink" Target="http://www.health.gov.au/natsihp" TargetMode="External"/><Relationship Id="rId14" Type="http://schemas.openxmlformats.org/officeDocument/2006/relationships/hyperlink" Target="http://www.familymatters.org.au/wpcontent/uploads/.../Family_Matters_Report_20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D6F656-697E-41F1-8896-81AF79B371E1}" type="doc">
      <dgm:prSet loTypeId="urn:microsoft.com/office/officeart/2005/8/layout/pyramid2" loCatId="list" qsTypeId="urn:microsoft.com/office/officeart/2005/8/quickstyle/simple1" qsCatId="simple" csTypeId="urn:microsoft.com/office/officeart/2005/8/colors/accent1_2" csCatId="accent1" phldr="1"/>
      <dgm:spPr/>
    </dgm:pt>
    <dgm:pt modelId="{0ABCDA52-8BBF-4946-B58E-255E427214FB}">
      <dgm:prSet phldrT="[Text]"/>
      <dgm:spPr/>
      <dgm:t>
        <a:bodyPr/>
        <a:lstStyle/>
        <a:p>
          <a:r>
            <a:rPr lang="en-AU" b="0"/>
            <a:t>CULTURAL SAFETY </a:t>
          </a:r>
          <a:r>
            <a:rPr lang="en-AU"/>
            <a:t>is an outcome that enables safe service to be defined by those that receive the service. </a:t>
          </a:r>
          <a:endParaRPr lang="en-US"/>
        </a:p>
      </dgm:t>
    </dgm:pt>
    <dgm:pt modelId="{02D81197-6646-4711-9D8F-652302F2AF45}" type="parTrans" cxnId="{5090BC6E-6876-4F8E-AB88-E7C12C5DE8A7}">
      <dgm:prSet/>
      <dgm:spPr/>
      <dgm:t>
        <a:bodyPr/>
        <a:lstStyle/>
        <a:p>
          <a:endParaRPr lang="en-US"/>
        </a:p>
      </dgm:t>
    </dgm:pt>
    <dgm:pt modelId="{D5EB5BD7-6500-4715-B992-271987BB0A47}" type="sibTrans" cxnId="{5090BC6E-6876-4F8E-AB88-E7C12C5DE8A7}">
      <dgm:prSet/>
      <dgm:spPr/>
      <dgm:t>
        <a:bodyPr/>
        <a:lstStyle/>
        <a:p>
          <a:endParaRPr lang="en-US"/>
        </a:p>
      </dgm:t>
    </dgm:pt>
    <dgm:pt modelId="{A5D89645-145C-4B59-952E-89A7C9A1881E}">
      <dgm:prSet phldrT="[Text]"/>
      <dgm:spPr/>
      <dgm:t>
        <a:bodyPr/>
        <a:lstStyle/>
        <a:p>
          <a:r>
            <a:rPr lang="en-AU" b="1"/>
            <a:t>CULTURAL SENSITIVITY </a:t>
          </a:r>
          <a:r>
            <a:rPr lang="en-AU"/>
            <a:t>alerts people to the legitimacy of difference and begins a process of self-exploration as the powerful bearers of their own life experience and realities and the impact this may have on others</a:t>
          </a:r>
          <a:endParaRPr lang="en-US"/>
        </a:p>
      </dgm:t>
    </dgm:pt>
    <dgm:pt modelId="{5CE1CB05-05A8-43EB-A001-C0B605817C51}" type="parTrans" cxnId="{247C05F4-330D-409B-9631-E9BEAC649642}">
      <dgm:prSet/>
      <dgm:spPr/>
      <dgm:t>
        <a:bodyPr/>
        <a:lstStyle/>
        <a:p>
          <a:endParaRPr lang="en-US"/>
        </a:p>
      </dgm:t>
    </dgm:pt>
    <dgm:pt modelId="{C1984F05-5EC6-4249-A2C6-46E1D1A3C349}" type="sibTrans" cxnId="{247C05F4-330D-409B-9631-E9BEAC649642}">
      <dgm:prSet/>
      <dgm:spPr/>
      <dgm:t>
        <a:bodyPr/>
        <a:lstStyle/>
        <a:p>
          <a:endParaRPr lang="en-US"/>
        </a:p>
      </dgm:t>
    </dgm:pt>
    <dgm:pt modelId="{2560175C-A66B-452F-8921-D3D73630170E}">
      <dgm:prSet phldrT="[Text]"/>
      <dgm:spPr/>
      <dgm:t>
        <a:bodyPr/>
        <a:lstStyle/>
        <a:p>
          <a:r>
            <a:rPr lang="en-US" b="1"/>
            <a:t>CULTURAL AWARENESS </a:t>
          </a:r>
          <a:r>
            <a:rPr lang="en-US"/>
            <a:t>is a beginning step towards understanding that there is difference</a:t>
          </a:r>
        </a:p>
      </dgm:t>
    </dgm:pt>
    <dgm:pt modelId="{F56F454D-43C3-4EA2-A649-13D202AF7B88}" type="parTrans" cxnId="{DCE312C3-2D8C-4922-ADCA-F51D4C914F46}">
      <dgm:prSet/>
      <dgm:spPr/>
      <dgm:t>
        <a:bodyPr/>
        <a:lstStyle/>
        <a:p>
          <a:endParaRPr lang="en-US"/>
        </a:p>
      </dgm:t>
    </dgm:pt>
    <dgm:pt modelId="{E2286113-4897-43F3-9E8F-1E63D0A78E65}" type="sibTrans" cxnId="{DCE312C3-2D8C-4922-ADCA-F51D4C914F46}">
      <dgm:prSet/>
      <dgm:spPr/>
      <dgm:t>
        <a:bodyPr/>
        <a:lstStyle/>
        <a:p>
          <a:endParaRPr lang="en-US"/>
        </a:p>
      </dgm:t>
    </dgm:pt>
    <dgm:pt modelId="{63DCB754-7F0F-42E5-B6D7-38F15FC94EF1}" type="pres">
      <dgm:prSet presAssocID="{B9D6F656-697E-41F1-8896-81AF79B371E1}" presName="compositeShape" presStyleCnt="0">
        <dgm:presLayoutVars>
          <dgm:dir/>
          <dgm:resizeHandles/>
        </dgm:presLayoutVars>
      </dgm:prSet>
      <dgm:spPr/>
    </dgm:pt>
    <dgm:pt modelId="{A034792B-E824-4FDF-A6EB-820AA1273D18}" type="pres">
      <dgm:prSet presAssocID="{B9D6F656-697E-41F1-8896-81AF79B371E1}" presName="pyramid" presStyleLbl="node1" presStyleIdx="0" presStyleCnt="1"/>
      <dgm:spPr/>
    </dgm:pt>
    <dgm:pt modelId="{76F3CE9F-F53A-451B-B114-B74D61F2D4CF}" type="pres">
      <dgm:prSet presAssocID="{B9D6F656-697E-41F1-8896-81AF79B371E1}" presName="theList" presStyleCnt="0"/>
      <dgm:spPr/>
    </dgm:pt>
    <dgm:pt modelId="{FB7DC3FF-ABFC-48BD-BF24-2A14CC22039B}" type="pres">
      <dgm:prSet presAssocID="{0ABCDA52-8BBF-4946-B58E-255E427214FB}" presName="aNode" presStyleLbl="fgAcc1" presStyleIdx="0" presStyleCnt="3">
        <dgm:presLayoutVars>
          <dgm:bulletEnabled val="1"/>
        </dgm:presLayoutVars>
      </dgm:prSet>
      <dgm:spPr/>
      <dgm:t>
        <a:bodyPr/>
        <a:lstStyle/>
        <a:p>
          <a:endParaRPr lang="en-US"/>
        </a:p>
      </dgm:t>
    </dgm:pt>
    <dgm:pt modelId="{C2749710-852C-47C6-B2C4-27B1779499CA}" type="pres">
      <dgm:prSet presAssocID="{0ABCDA52-8BBF-4946-B58E-255E427214FB}" presName="aSpace" presStyleCnt="0"/>
      <dgm:spPr/>
    </dgm:pt>
    <dgm:pt modelId="{C4CC08DA-CA0F-4BB8-BBB5-40BC6183EEFC}" type="pres">
      <dgm:prSet presAssocID="{A5D89645-145C-4B59-952E-89A7C9A1881E}" presName="aNode" presStyleLbl="fgAcc1" presStyleIdx="1" presStyleCnt="3">
        <dgm:presLayoutVars>
          <dgm:bulletEnabled val="1"/>
        </dgm:presLayoutVars>
      </dgm:prSet>
      <dgm:spPr/>
      <dgm:t>
        <a:bodyPr/>
        <a:lstStyle/>
        <a:p>
          <a:endParaRPr lang="en-US"/>
        </a:p>
      </dgm:t>
    </dgm:pt>
    <dgm:pt modelId="{D5FC4D90-5276-4693-983B-3EC108BF53F1}" type="pres">
      <dgm:prSet presAssocID="{A5D89645-145C-4B59-952E-89A7C9A1881E}" presName="aSpace" presStyleCnt="0"/>
      <dgm:spPr/>
    </dgm:pt>
    <dgm:pt modelId="{9DD80977-991C-4944-8209-79CB88292869}" type="pres">
      <dgm:prSet presAssocID="{2560175C-A66B-452F-8921-D3D73630170E}" presName="aNode" presStyleLbl="fgAcc1" presStyleIdx="2" presStyleCnt="3">
        <dgm:presLayoutVars>
          <dgm:bulletEnabled val="1"/>
        </dgm:presLayoutVars>
      </dgm:prSet>
      <dgm:spPr/>
      <dgm:t>
        <a:bodyPr/>
        <a:lstStyle/>
        <a:p>
          <a:endParaRPr lang="en-US"/>
        </a:p>
      </dgm:t>
    </dgm:pt>
    <dgm:pt modelId="{742E753F-4B8D-4045-8971-20B134868B87}" type="pres">
      <dgm:prSet presAssocID="{2560175C-A66B-452F-8921-D3D73630170E}" presName="aSpace" presStyleCnt="0"/>
      <dgm:spPr/>
    </dgm:pt>
  </dgm:ptLst>
  <dgm:cxnLst>
    <dgm:cxn modelId="{BCB3061A-ED47-45D3-8103-AA0573055127}" type="presOf" srcId="{A5D89645-145C-4B59-952E-89A7C9A1881E}" destId="{C4CC08DA-CA0F-4BB8-BBB5-40BC6183EEFC}" srcOrd="0" destOrd="0" presId="urn:microsoft.com/office/officeart/2005/8/layout/pyramid2"/>
    <dgm:cxn modelId="{247C05F4-330D-409B-9631-E9BEAC649642}" srcId="{B9D6F656-697E-41F1-8896-81AF79B371E1}" destId="{A5D89645-145C-4B59-952E-89A7C9A1881E}" srcOrd="1" destOrd="0" parTransId="{5CE1CB05-05A8-43EB-A001-C0B605817C51}" sibTransId="{C1984F05-5EC6-4249-A2C6-46E1D1A3C349}"/>
    <dgm:cxn modelId="{5090BC6E-6876-4F8E-AB88-E7C12C5DE8A7}" srcId="{B9D6F656-697E-41F1-8896-81AF79B371E1}" destId="{0ABCDA52-8BBF-4946-B58E-255E427214FB}" srcOrd="0" destOrd="0" parTransId="{02D81197-6646-4711-9D8F-652302F2AF45}" sibTransId="{D5EB5BD7-6500-4715-B992-271987BB0A47}"/>
    <dgm:cxn modelId="{FB95DAE5-D559-457F-93D1-C341459A6D34}" type="presOf" srcId="{B9D6F656-697E-41F1-8896-81AF79B371E1}" destId="{63DCB754-7F0F-42E5-B6D7-38F15FC94EF1}" srcOrd="0" destOrd="0" presId="urn:microsoft.com/office/officeart/2005/8/layout/pyramid2"/>
    <dgm:cxn modelId="{5246B31B-206A-4B7A-B8BD-D84FED95AB43}" type="presOf" srcId="{0ABCDA52-8BBF-4946-B58E-255E427214FB}" destId="{FB7DC3FF-ABFC-48BD-BF24-2A14CC22039B}" srcOrd="0" destOrd="0" presId="urn:microsoft.com/office/officeart/2005/8/layout/pyramid2"/>
    <dgm:cxn modelId="{A1B969B6-391B-45EE-83E3-5F31403CDDA7}" type="presOf" srcId="{2560175C-A66B-452F-8921-D3D73630170E}" destId="{9DD80977-991C-4944-8209-79CB88292869}" srcOrd="0" destOrd="0" presId="urn:microsoft.com/office/officeart/2005/8/layout/pyramid2"/>
    <dgm:cxn modelId="{DCE312C3-2D8C-4922-ADCA-F51D4C914F46}" srcId="{B9D6F656-697E-41F1-8896-81AF79B371E1}" destId="{2560175C-A66B-452F-8921-D3D73630170E}" srcOrd="2" destOrd="0" parTransId="{F56F454D-43C3-4EA2-A649-13D202AF7B88}" sibTransId="{E2286113-4897-43F3-9E8F-1E63D0A78E65}"/>
    <dgm:cxn modelId="{4A985756-F80D-457F-A943-A4A7C076FFAB}" type="presParOf" srcId="{63DCB754-7F0F-42E5-B6D7-38F15FC94EF1}" destId="{A034792B-E824-4FDF-A6EB-820AA1273D18}" srcOrd="0" destOrd="0" presId="urn:microsoft.com/office/officeart/2005/8/layout/pyramid2"/>
    <dgm:cxn modelId="{45A9D2EF-F6D0-474A-8A8D-25E4C6B24235}" type="presParOf" srcId="{63DCB754-7F0F-42E5-B6D7-38F15FC94EF1}" destId="{76F3CE9F-F53A-451B-B114-B74D61F2D4CF}" srcOrd="1" destOrd="0" presId="urn:microsoft.com/office/officeart/2005/8/layout/pyramid2"/>
    <dgm:cxn modelId="{47477A4B-2E2D-43E7-804C-0FE6AF8B1660}" type="presParOf" srcId="{76F3CE9F-F53A-451B-B114-B74D61F2D4CF}" destId="{FB7DC3FF-ABFC-48BD-BF24-2A14CC22039B}" srcOrd="0" destOrd="0" presId="urn:microsoft.com/office/officeart/2005/8/layout/pyramid2"/>
    <dgm:cxn modelId="{E823348E-6D28-4699-B01D-EB948C3C4CA4}" type="presParOf" srcId="{76F3CE9F-F53A-451B-B114-B74D61F2D4CF}" destId="{C2749710-852C-47C6-B2C4-27B1779499CA}" srcOrd="1" destOrd="0" presId="urn:microsoft.com/office/officeart/2005/8/layout/pyramid2"/>
    <dgm:cxn modelId="{40793761-2910-4C87-827C-626C82DC1D42}" type="presParOf" srcId="{76F3CE9F-F53A-451B-B114-B74D61F2D4CF}" destId="{C4CC08DA-CA0F-4BB8-BBB5-40BC6183EEFC}" srcOrd="2" destOrd="0" presId="urn:microsoft.com/office/officeart/2005/8/layout/pyramid2"/>
    <dgm:cxn modelId="{EF3E201D-3BFC-4864-9D56-E40DBDCCB5C3}" type="presParOf" srcId="{76F3CE9F-F53A-451B-B114-B74D61F2D4CF}" destId="{D5FC4D90-5276-4693-983B-3EC108BF53F1}" srcOrd="3" destOrd="0" presId="urn:microsoft.com/office/officeart/2005/8/layout/pyramid2"/>
    <dgm:cxn modelId="{36EA3810-D36D-471A-B854-B5170846F91D}" type="presParOf" srcId="{76F3CE9F-F53A-451B-B114-B74D61F2D4CF}" destId="{9DD80977-991C-4944-8209-79CB88292869}" srcOrd="4" destOrd="0" presId="urn:microsoft.com/office/officeart/2005/8/layout/pyramid2"/>
    <dgm:cxn modelId="{2CA6F40A-9A79-4A82-91CA-BD9EDAF12D00}" type="presParOf" srcId="{76F3CE9F-F53A-451B-B114-B74D61F2D4CF}" destId="{742E753F-4B8D-4045-8971-20B134868B87}" srcOrd="5"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4792B-E824-4FDF-A6EB-820AA1273D18}">
      <dsp:nvSpPr>
        <dsp:cNvPr id="0" name=""/>
        <dsp:cNvSpPr/>
      </dsp:nvSpPr>
      <dsp:spPr>
        <a:xfrm>
          <a:off x="807481" y="0"/>
          <a:ext cx="2886075" cy="288607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7DC3FF-ABFC-48BD-BF24-2A14CC22039B}">
      <dsp:nvSpPr>
        <dsp:cNvPr id="0" name=""/>
        <dsp:cNvSpPr/>
      </dsp:nvSpPr>
      <dsp:spPr>
        <a:xfrm>
          <a:off x="2250519" y="290157"/>
          <a:ext cx="1875948" cy="68318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0" kern="1200"/>
            <a:t>CULTURAL SAFETY </a:t>
          </a:r>
          <a:r>
            <a:rPr lang="en-AU" sz="700" kern="1200"/>
            <a:t>is an outcome that enables safe service to be defined by those that receive the service. </a:t>
          </a:r>
          <a:endParaRPr lang="en-US" sz="700" kern="1200"/>
        </a:p>
      </dsp:txBody>
      <dsp:txXfrm>
        <a:off x="2283869" y="323507"/>
        <a:ext cx="1809248" cy="616488"/>
      </dsp:txXfrm>
    </dsp:sp>
    <dsp:sp modelId="{C4CC08DA-CA0F-4BB8-BBB5-40BC6183EEFC}">
      <dsp:nvSpPr>
        <dsp:cNvPr id="0" name=""/>
        <dsp:cNvSpPr/>
      </dsp:nvSpPr>
      <dsp:spPr>
        <a:xfrm>
          <a:off x="2250519" y="1058744"/>
          <a:ext cx="1875948" cy="68318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b="1" kern="1200"/>
            <a:t>CULTURAL SENSITIVITY </a:t>
          </a:r>
          <a:r>
            <a:rPr lang="en-AU" sz="700" kern="1200"/>
            <a:t>alerts people to the legitimacy of difference and begins a process of self-exploration as the powerful bearers of their own life experience and realities and the impact this may have on others</a:t>
          </a:r>
          <a:endParaRPr lang="en-US" sz="700" kern="1200"/>
        </a:p>
      </dsp:txBody>
      <dsp:txXfrm>
        <a:off x="2283869" y="1092094"/>
        <a:ext cx="1809248" cy="616488"/>
      </dsp:txXfrm>
    </dsp:sp>
    <dsp:sp modelId="{9DD80977-991C-4944-8209-79CB88292869}">
      <dsp:nvSpPr>
        <dsp:cNvPr id="0" name=""/>
        <dsp:cNvSpPr/>
      </dsp:nvSpPr>
      <dsp:spPr>
        <a:xfrm>
          <a:off x="2250519" y="1827330"/>
          <a:ext cx="1875948" cy="68318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t>CULTURAL AWARENESS </a:t>
          </a:r>
          <a:r>
            <a:rPr lang="en-US" sz="700" kern="1200"/>
            <a:t>is a beginning step towards understanding that there is difference</a:t>
          </a:r>
        </a:p>
      </dsp:txBody>
      <dsp:txXfrm>
        <a:off x="2283869" y="1860680"/>
        <a:ext cx="1809248" cy="6164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5881-6268-41CE-9AFF-04A83965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3483</Words>
  <Characters>21038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Rose Lilley</dc:creator>
  <cp:keywords/>
  <dc:description/>
  <cp:lastModifiedBy>Catherine Maywald</cp:lastModifiedBy>
  <cp:revision>31</cp:revision>
  <cp:lastPrinted>2018-01-23T05:00:00Z</cp:lastPrinted>
  <dcterms:created xsi:type="dcterms:W3CDTF">2018-03-20T06:28:00Z</dcterms:created>
  <dcterms:modified xsi:type="dcterms:W3CDTF">2018-04-05T01:44:00Z</dcterms:modified>
</cp:coreProperties>
</file>