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B85287" w:rsidP="00591951">
      <w:pPr>
        <w:tabs>
          <w:tab w:val="left" w:pos="3014"/>
        </w:tabs>
        <w:spacing w:after="3000"/>
        <w:rPr>
          <w:rStyle w:val="FootnoteReference"/>
        </w:rPr>
      </w:pPr>
      <w:r>
        <w:rPr>
          <w:noProof/>
        </w:rPr>
        <mc:AlternateContent>
          <mc:Choice Requires="wps">
            <w:drawing>
              <wp:anchor distT="0" distB="0" distL="114300" distR="114300" simplePos="0" relativeHeight="251658240" behindDoc="0" locked="0" layoutInCell="1" allowOverlap="1" wp14:anchorId="3CBFCEAD" wp14:editId="25688F5A">
                <wp:simplePos x="0" y="0"/>
                <wp:positionH relativeFrom="column">
                  <wp:posOffset>2260600</wp:posOffset>
                </wp:positionH>
                <wp:positionV relativeFrom="paragraph">
                  <wp:posOffset>1958340</wp:posOffset>
                </wp:positionV>
                <wp:extent cx="34759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5990" cy="504825"/>
                        </a:xfrm>
                        <a:prstGeom prst="rect">
                          <a:avLst/>
                        </a:prstGeom>
                        <a:noFill/>
                        <a:ln w="6350">
                          <a:noFill/>
                        </a:ln>
                        <a:effectLst/>
                      </wps:spPr>
                      <wps:txbx>
                        <w:txbxContent>
                          <w:p w:rsidR="00753180" w:rsidRPr="00B74219" w:rsidRDefault="00753180" w:rsidP="003D032E">
                            <w:pPr>
                              <w:pStyle w:val="Subtitle"/>
                            </w:pPr>
                            <w:bookmarkStart w:id="0" w:name="_Toc366168726"/>
                            <w:bookmarkStart w:id="1" w:name="_Toc369190219"/>
                            <w:r>
                              <w:t>ISSUES PAPER: October 2013</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8pt;margin-top:154.2pt;width:273.7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" filled="f" stroked="f" strokeweight=".5pt">
                <v:path arrowok="t"/>
                <v:textbox>
                  <w:txbxContent>
                    <w:p w:rsidR="00111D6C" w:rsidRPr="00B74219" w:rsidRDefault="00111D6C" w:rsidP="003D032E">
                      <w:pPr>
                        <w:pStyle w:val="Subtitle"/>
                      </w:pPr>
                      <w:bookmarkStart w:id="2" w:name="_Toc366168726"/>
                      <w:bookmarkStart w:id="3" w:name="_Toc369190219"/>
                      <w:r>
                        <w:t>ISSUES PAPER: October 2013</w:t>
                      </w:r>
                      <w:bookmarkEnd w:id="2"/>
                      <w:bookmarkEnd w:id="3"/>
                    </w:p>
                  </w:txbxContent>
                </v:textbox>
              </v:shape>
            </w:pict>
          </mc:Fallback>
        </mc:AlternateContent>
      </w:r>
      <w:r w:rsidR="00E26F24">
        <w:rPr>
          <w:noProof/>
        </w:rPr>
        <mc:AlternateContent>
          <mc:Choice Requires="wps">
            <w:drawing>
              <wp:anchor distT="0" distB="0" distL="114300" distR="114300" simplePos="0" relativeHeight="251657216" behindDoc="0" locked="0" layoutInCell="1" allowOverlap="1" wp14:anchorId="375034A1" wp14:editId="1AFFE287">
                <wp:simplePos x="0" y="0"/>
                <wp:positionH relativeFrom="column">
                  <wp:posOffset>485775</wp:posOffset>
                </wp:positionH>
                <wp:positionV relativeFrom="paragraph">
                  <wp:posOffset>-41911</wp:posOffset>
                </wp:positionV>
                <wp:extent cx="5251175" cy="2181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1175" cy="2181225"/>
                        </a:xfrm>
                        <a:prstGeom prst="rect">
                          <a:avLst/>
                        </a:prstGeom>
                        <a:noFill/>
                        <a:ln w="6350">
                          <a:noFill/>
                        </a:ln>
                        <a:effectLst/>
                      </wps:spPr>
                      <wps:txbx>
                        <w:txbxContent>
                          <w:p w:rsidR="00753180" w:rsidRPr="000458DE" w:rsidRDefault="00753180" w:rsidP="000458DE">
                            <w:pPr>
                              <w:pStyle w:val="bolderyeartitle"/>
                            </w:pPr>
                            <w:r w:rsidRPr="0071403C">
                              <w:t>2013</w:t>
                            </w:r>
                          </w:p>
                          <w:p w:rsidR="00753180" w:rsidRPr="0071403C" w:rsidRDefault="00753180" w:rsidP="00FD01B5">
                            <w:pPr>
                              <w:pStyle w:val="MainTitle"/>
                            </w:pPr>
                            <w:r w:rsidRPr="0071403C">
                              <w:t xml:space="preserve">Supporting </w:t>
                            </w:r>
                            <w:r>
                              <w:t>W</w:t>
                            </w:r>
                            <w:r w:rsidRPr="0071403C">
                              <w:t>orking</w:t>
                            </w:r>
                            <w:r>
                              <w:t xml:space="preserve"> P</w:t>
                            </w:r>
                            <w:r w:rsidRPr="0071403C">
                              <w:t>arents:</w:t>
                            </w:r>
                          </w:p>
                          <w:p w:rsidR="00753180" w:rsidRDefault="00753180" w:rsidP="00FD01B5">
                            <w:pPr>
                              <w:pStyle w:val="MainTitle"/>
                            </w:pPr>
                            <w:r w:rsidRPr="0071403C">
                              <w:t xml:space="preserve">Pregnancy and </w:t>
                            </w:r>
                            <w:r>
                              <w:t>R</w:t>
                            </w:r>
                            <w:r w:rsidRPr="0071403C">
                              <w:t xml:space="preserve">eturn </w:t>
                            </w:r>
                            <w:r>
                              <w:t>to W</w:t>
                            </w:r>
                            <w:r w:rsidRPr="0071403C">
                              <w:t xml:space="preserve">ork </w:t>
                            </w:r>
                          </w:p>
                          <w:p w:rsidR="00753180" w:rsidRPr="0071403C" w:rsidRDefault="00753180" w:rsidP="00FD01B5">
                            <w:pPr>
                              <w:pStyle w:val="MainTitle"/>
                            </w:pPr>
                            <w:r>
                              <w:t>National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8.25pt;margin-top:-3.3pt;width:413.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" filled="f" stroked="f" strokeweight=".5pt">
                <v:path arrowok="t"/>
                <v:textbox>
                  <w:txbxContent>
                    <w:p w:rsidR="00111D6C" w:rsidRPr="000458DE" w:rsidRDefault="00111D6C" w:rsidP="000458DE">
                      <w:pPr>
                        <w:pStyle w:val="bolderyeartitle"/>
                      </w:pPr>
                      <w:r w:rsidRPr="0071403C">
                        <w:t>2013</w:t>
                      </w:r>
                    </w:p>
                    <w:p w:rsidR="00111D6C" w:rsidRPr="0071403C" w:rsidRDefault="00111D6C" w:rsidP="00FD01B5">
                      <w:pPr>
                        <w:pStyle w:val="MainTitle"/>
                      </w:pPr>
                      <w:r w:rsidRPr="0071403C">
                        <w:t xml:space="preserve">Supporting </w:t>
                      </w:r>
                      <w:r>
                        <w:t>W</w:t>
                      </w:r>
                      <w:r w:rsidRPr="0071403C">
                        <w:t>orking</w:t>
                      </w:r>
                      <w:r>
                        <w:t xml:space="preserve"> P</w:t>
                      </w:r>
                      <w:r w:rsidRPr="0071403C">
                        <w:t>arents:</w:t>
                      </w:r>
                    </w:p>
                    <w:p w:rsidR="00111D6C" w:rsidRDefault="00111D6C" w:rsidP="00FD01B5">
                      <w:pPr>
                        <w:pStyle w:val="MainTitle"/>
                      </w:pPr>
                      <w:r w:rsidRPr="0071403C">
                        <w:t xml:space="preserve">Pregnancy and </w:t>
                      </w:r>
                      <w:r>
                        <w:t>R</w:t>
                      </w:r>
                      <w:r w:rsidRPr="0071403C">
                        <w:t xml:space="preserve">eturn </w:t>
                      </w:r>
                      <w:r>
                        <w:t>to W</w:t>
                      </w:r>
                      <w:r w:rsidRPr="0071403C">
                        <w:t xml:space="preserve">ork </w:t>
                      </w:r>
                    </w:p>
                    <w:p w:rsidR="00111D6C" w:rsidRPr="0071403C" w:rsidRDefault="00111D6C" w:rsidP="00FD01B5">
                      <w:pPr>
                        <w:pStyle w:val="MainTitle"/>
                      </w:pPr>
                      <w:r>
                        <w:t>National Review</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111D6C">
          <w:headerReference w:type="even" r:id="rId9"/>
          <w:headerReference w:type="default" r:id="rId10"/>
          <w:footerReference w:type="default" r:id="rId11"/>
          <w:headerReference w:type="first" r:id="rId12"/>
          <w:type w:val="continuous"/>
          <w:pgSz w:w="11906" w:h="16838" w:code="9"/>
          <w:pgMar w:top="1440" w:right="1440" w:bottom="1440" w:left="1440" w:header="277" w:footer="415" w:gutter="0"/>
          <w:cols w:space="708"/>
          <w:titlePg/>
          <w:docGrid w:linePitch="360"/>
        </w:sectPr>
      </w:pPr>
      <w:bookmarkStart w:id="2" w:name="_Toc209316062"/>
      <w:bookmarkEnd w:id="2"/>
    </w:p>
    <w:p w:rsidR="00203D4E" w:rsidRDefault="00203D4E" w:rsidP="004459F3"/>
    <w:sdt>
      <w:sdtPr>
        <w:rPr>
          <w:b w:val="0"/>
          <w:i w:val="0"/>
          <w:noProof w:val="0"/>
        </w:rPr>
        <w:id w:val="520126606"/>
        <w:docPartObj>
          <w:docPartGallery w:val="Table of Contents"/>
          <w:docPartUnique/>
        </w:docPartObj>
      </w:sdtPr>
      <w:sdtEndPr>
        <w:rPr>
          <w:bCs/>
        </w:rPr>
      </w:sdtEndPr>
      <w:sdtContent>
        <w:p w:rsidR="003D25D1" w:rsidRDefault="00C577D3">
          <w:pPr>
            <w:pStyle w:val="TOC2"/>
            <w:rPr>
              <w:rFonts w:asciiTheme="minorHAnsi" w:eastAsiaTheme="minorEastAsia" w:hAnsiTheme="minorHAnsi" w:cstheme="minorBidi"/>
              <w:b w:val="0"/>
              <w:i w:val="0"/>
              <w:sz w:val="22"/>
              <w:szCs w:val="22"/>
            </w:rPr>
          </w:pPr>
          <w:r w:rsidRPr="00C577D3">
            <w:t>Table of Contents</w:t>
          </w:r>
          <w:r w:rsidRPr="00C577D3">
            <w:fldChar w:fldCharType="begin"/>
          </w:r>
          <w:r w:rsidRPr="00C577D3">
            <w:instrText xml:space="preserve"> TOC \o "1-3" \h \z \u </w:instrText>
          </w:r>
          <w:r w:rsidRPr="00C577D3">
            <w:fldChar w:fldCharType="separate"/>
          </w:r>
          <w:hyperlink r:id="rId13" w:anchor="_Toc369190219" w:history="1">
            <w:r w:rsidR="003D25D1">
              <w:rPr>
                <w:webHidden/>
              </w:rPr>
              <w:tab/>
            </w:r>
            <w:r w:rsidR="003D25D1">
              <w:rPr>
                <w:webHidden/>
              </w:rPr>
              <w:fldChar w:fldCharType="begin"/>
            </w:r>
            <w:r w:rsidR="003D25D1">
              <w:rPr>
                <w:webHidden/>
              </w:rPr>
              <w:instrText xml:space="preserve"> PAGEREF _Toc369190219 \h </w:instrText>
            </w:r>
            <w:r w:rsidR="003D25D1">
              <w:rPr>
                <w:webHidden/>
              </w:rPr>
            </w:r>
            <w:r w:rsidR="003D25D1">
              <w:rPr>
                <w:webHidden/>
              </w:rPr>
              <w:fldChar w:fldCharType="separate"/>
            </w:r>
            <w:r w:rsidR="00153558">
              <w:rPr>
                <w:webHidden/>
              </w:rPr>
              <w:t>1</w:t>
            </w:r>
            <w:r w:rsidR="003D25D1">
              <w:rPr>
                <w:webHidden/>
              </w:rPr>
              <w:fldChar w:fldCharType="end"/>
            </w:r>
          </w:hyperlink>
        </w:p>
        <w:p w:rsidR="003D25D1" w:rsidRDefault="00753180">
          <w:pPr>
            <w:pStyle w:val="TOC1"/>
            <w:rPr>
              <w:rFonts w:asciiTheme="minorHAnsi" w:eastAsiaTheme="minorEastAsia" w:hAnsiTheme="minorHAnsi" w:cstheme="minorBidi"/>
              <w:b w:val="0"/>
              <w:szCs w:val="22"/>
            </w:rPr>
          </w:pPr>
          <w:hyperlink w:anchor="_Toc369190220" w:history="1">
            <w:r w:rsidR="003D25D1" w:rsidRPr="000A059E">
              <w:rPr>
                <w:rStyle w:val="Hyperlink"/>
              </w:rPr>
              <w:t>1</w:t>
            </w:r>
            <w:r w:rsidR="003D25D1">
              <w:rPr>
                <w:rFonts w:asciiTheme="minorHAnsi" w:eastAsiaTheme="minorEastAsia" w:hAnsiTheme="minorHAnsi" w:cstheme="minorBidi"/>
                <w:b w:val="0"/>
                <w:szCs w:val="22"/>
              </w:rPr>
              <w:tab/>
            </w:r>
            <w:r w:rsidR="003D25D1" w:rsidRPr="000A059E">
              <w:rPr>
                <w:rStyle w:val="Hyperlink"/>
              </w:rPr>
              <w:t>About this Issues Paper</w:t>
            </w:r>
            <w:r w:rsidR="003D25D1">
              <w:rPr>
                <w:webHidden/>
              </w:rPr>
              <w:tab/>
            </w:r>
            <w:r w:rsidR="003D25D1">
              <w:rPr>
                <w:webHidden/>
              </w:rPr>
              <w:fldChar w:fldCharType="begin"/>
            </w:r>
            <w:r w:rsidR="003D25D1">
              <w:rPr>
                <w:webHidden/>
              </w:rPr>
              <w:instrText xml:space="preserve"> PAGEREF _Toc369190220 \h </w:instrText>
            </w:r>
            <w:r w:rsidR="003D25D1">
              <w:rPr>
                <w:webHidden/>
              </w:rPr>
            </w:r>
            <w:r w:rsidR="003D25D1">
              <w:rPr>
                <w:webHidden/>
              </w:rPr>
              <w:fldChar w:fldCharType="separate"/>
            </w:r>
            <w:r w:rsidR="00153558">
              <w:rPr>
                <w:webHidden/>
              </w:rPr>
              <w:t>2</w:t>
            </w:r>
            <w:r w:rsidR="003D25D1">
              <w:rPr>
                <w:webHidden/>
              </w:rPr>
              <w:fldChar w:fldCharType="end"/>
            </w:r>
          </w:hyperlink>
        </w:p>
        <w:p w:rsidR="003D25D1" w:rsidRDefault="00753180">
          <w:pPr>
            <w:pStyle w:val="TOC1"/>
            <w:rPr>
              <w:rFonts w:asciiTheme="minorHAnsi" w:eastAsiaTheme="minorEastAsia" w:hAnsiTheme="minorHAnsi" w:cstheme="minorBidi"/>
              <w:b w:val="0"/>
              <w:szCs w:val="22"/>
            </w:rPr>
          </w:pPr>
          <w:hyperlink w:anchor="_Toc369190221" w:history="1">
            <w:r w:rsidR="003D25D1" w:rsidRPr="000A059E">
              <w:rPr>
                <w:rStyle w:val="Hyperlink"/>
              </w:rPr>
              <w:t>2</w:t>
            </w:r>
            <w:r w:rsidR="003D25D1">
              <w:rPr>
                <w:rFonts w:asciiTheme="minorHAnsi" w:eastAsiaTheme="minorEastAsia" w:hAnsiTheme="minorHAnsi" w:cstheme="minorBidi"/>
                <w:b w:val="0"/>
                <w:szCs w:val="22"/>
              </w:rPr>
              <w:tab/>
            </w:r>
            <w:r w:rsidR="003D25D1" w:rsidRPr="000A059E">
              <w:rPr>
                <w:rStyle w:val="Hyperlink"/>
              </w:rPr>
              <w:t>Brief background about the National Review</w:t>
            </w:r>
            <w:r w:rsidR="003D25D1">
              <w:rPr>
                <w:webHidden/>
              </w:rPr>
              <w:tab/>
            </w:r>
            <w:r w:rsidR="003D25D1">
              <w:rPr>
                <w:webHidden/>
              </w:rPr>
              <w:fldChar w:fldCharType="begin"/>
            </w:r>
            <w:r w:rsidR="003D25D1">
              <w:rPr>
                <w:webHidden/>
              </w:rPr>
              <w:instrText xml:space="preserve"> PAGEREF _Toc369190221 \h </w:instrText>
            </w:r>
            <w:r w:rsidR="003D25D1">
              <w:rPr>
                <w:webHidden/>
              </w:rPr>
            </w:r>
            <w:r w:rsidR="003D25D1">
              <w:rPr>
                <w:webHidden/>
              </w:rPr>
              <w:fldChar w:fldCharType="separate"/>
            </w:r>
            <w:r w:rsidR="00153558">
              <w:rPr>
                <w:webHidden/>
              </w:rPr>
              <w:t>2</w:t>
            </w:r>
            <w:r w:rsidR="003D25D1">
              <w:rPr>
                <w:webHidden/>
              </w:rPr>
              <w:fldChar w:fldCharType="end"/>
            </w:r>
          </w:hyperlink>
        </w:p>
        <w:p w:rsidR="003D25D1" w:rsidRDefault="00753180">
          <w:pPr>
            <w:pStyle w:val="TOC1"/>
            <w:rPr>
              <w:rFonts w:asciiTheme="minorHAnsi" w:eastAsiaTheme="minorEastAsia" w:hAnsiTheme="minorHAnsi" w:cstheme="minorBidi"/>
              <w:b w:val="0"/>
              <w:szCs w:val="22"/>
            </w:rPr>
          </w:pPr>
          <w:hyperlink w:anchor="_Toc369190222" w:history="1">
            <w:r w:rsidR="003D25D1" w:rsidRPr="000A059E">
              <w:rPr>
                <w:rStyle w:val="Hyperlink"/>
              </w:rPr>
              <w:t>3</w:t>
            </w:r>
            <w:r w:rsidR="003D25D1">
              <w:rPr>
                <w:rFonts w:asciiTheme="minorHAnsi" w:eastAsiaTheme="minorEastAsia" w:hAnsiTheme="minorHAnsi" w:cstheme="minorBidi"/>
                <w:b w:val="0"/>
                <w:szCs w:val="22"/>
              </w:rPr>
              <w:tab/>
            </w:r>
            <w:r w:rsidR="003D25D1" w:rsidRPr="000A059E">
              <w:rPr>
                <w:rStyle w:val="Hyperlink"/>
              </w:rPr>
              <w:t>What work has the Commission carried out in relation to pregnancy and work?</w:t>
            </w:r>
            <w:r w:rsidR="003D25D1">
              <w:rPr>
                <w:webHidden/>
              </w:rPr>
              <w:tab/>
            </w:r>
            <w:r w:rsidR="003D25D1">
              <w:rPr>
                <w:webHidden/>
              </w:rPr>
              <w:fldChar w:fldCharType="begin"/>
            </w:r>
            <w:r w:rsidR="003D25D1">
              <w:rPr>
                <w:webHidden/>
              </w:rPr>
              <w:instrText xml:space="preserve"> PAGEREF _Toc369190222 \h </w:instrText>
            </w:r>
            <w:r w:rsidR="003D25D1">
              <w:rPr>
                <w:webHidden/>
              </w:rPr>
            </w:r>
            <w:r w:rsidR="003D25D1">
              <w:rPr>
                <w:webHidden/>
              </w:rPr>
              <w:fldChar w:fldCharType="separate"/>
            </w:r>
            <w:r w:rsidR="00153558">
              <w:rPr>
                <w:webHidden/>
              </w:rPr>
              <w:t>3</w:t>
            </w:r>
            <w:r w:rsidR="003D25D1">
              <w:rPr>
                <w:webHidden/>
              </w:rPr>
              <w:fldChar w:fldCharType="end"/>
            </w:r>
          </w:hyperlink>
        </w:p>
        <w:p w:rsidR="003D25D1" w:rsidRDefault="00753180">
          <w:pPr>
            <w:pStyle w:val="TOC1"/>
            <w:rPr>
              <w:rFonts w:asciiTheme="minorHAnsi" w:eastAsiaTheme="minorEastAsia" w:hAnsiTheme="minorHAnsi" w:cstheme="minorBidi"/>
              <w:b w:val="0"/>
              <w:szCs w:val="22"/>
            </w:rPr>
          </w:pPr>
          <w:hyperlink w:anchor="_Toc369190223" w:history="1">
            <w:r w:rsidR="003D25D1" w:rsidRPr="000A059E">
              <w:rPr>
                <w:rStyle w:val="Hyperlink"/>
              </w:rPr>
              <w:t>4</w:t>
            </w:r>
            <w:r w:rsidR="003D25D1">
              <w:rPr>
                <w:rFonts w:asciiTheme="minorHAnsi" w:eastAsiaTheme="minorEastAsia" w:hAnsiTheme="minorHAnsi" w:cstheme="minorBidi"/>
                <w:b w:val="0"/>
                <w:szCs w:val="22"/>
              </w:rPr>
              <w:tab/>
            </w:r>
            <w:r w:rsidR="003D25D1" w:rsidRPr="000A059E">
              <w:rPr>
                <w:rStyle w:val="Hyperlink"/>
              </w:rPr>
              <w:t>What do we know about discrimination experienced by pregnant employees and women and men returning to work after taking parental leave today?</w:t>
            </w:r>
            <w:r w:rsidR="003D25D1">
              <w:rPr>
                <w:webHidden/>
              </w:rPr>
              <w:tab/>
            </w:r>
            <w:r w:rsidR="003D25D1">
              <w:rPr>
                <w:webHidden/>
              </w:rPr>
              <w:fldChar w:fldCharType="begin"/>
            </w:r>
            <w:r w:rsidR="003D25D1">
              <w:rPr>
                <w:webHidden/>
              </w:rPr>
              <w:instrText xml:space="preserve"> PAGEREF _Toc369190223 \h </w:instrText>
            </w:r>
            <w:r w:rsidR="003D25D1">
              <w:rPr>
                <w:webHidden/>
              </w:rPr>
            </w:r>
            <w:r w:rsidR="003D25D1">
              <w:rPr>
                <w:webHidden/>
              </w:rPr>
              <w:fldChar w:fldCharType="separate"/>
            </w:r>
            <w:r w:rsidR="00153558">
              <w:rPr>
                <w:webHidden/>
              </w:rPr>
              <w:t>3</w:t>
            </w:r>
            <w:r w:rsidR="003D25D1">
              <w:rPr>
                <w:webHidden/>
              </w:rPr>
              <w:fldChar w:fldCharType="end"/>
            </w:r>
          </w:hyperlink>
        </w:p>
        <w:p w:rsidR="003D25D1" w:rsidRDefault="00753180">
          <w:pPr>
            <w:pStyle w:val="TOC1"/>
            <w:rPr>
              <w:rFonts w:asciiTheme="minorHAnsi" w:eastAsiaTheme="minorEastAsia" w:hAnsiTheme="minorHAnsi" w:cstheme="minorBidi"/>
              <w:b w:val="0"/>
              <w:szCs w:val="22"/>
            </w:rPr>
          </w:pPr>
          <w:hyperlink w:anchor="_Toc369190224" w:history="1">
            <w:r w:rsidR="003D25D1" w:rsidRPr="000A059E">
              <w:rPr>
                <w:rStyle w:val="Hyperlink"/>
              </w:rPr>
              <w:t>5</w:t>
            </w:r>
            <w:r w:rsidR="003D25D1">
              <w:rPr>
                <w:rFonts w:asciiTheme="minorHAnsi" w:eastAsiaTheme="minorEastAsia" w:hAnsiTheme="minorHAnsi" w:cstheme="minorBidi"/>
                <w:b w:val="0"/>
                <w:szCs w:val="22"/>
              </w:rPr>
              <w:tab/>
            </w:r>
            <w:r w:rsidR="003D25D1" w:rsidRPr="000A059E">
              <w:rPr>
                <w:rStyle w:val="Hyperlink"/>
              </w:rPr>
              <w:t>What concerns employers?</w:t>
            </w:r>
            <w:r w:rsidR="003D25D1">
              <w:rPr>
                <w:webHidden/>
              </w:rPr>
              <w:tab/>
            </w:r>
            <w:r w:rsidR="003D25D1">
              <w:rPr>
                <w:webHidden/>
              </w:rPr>
              <w:fldChar w:fldCharType="begin"/>
            </w:r>
            <w:r w:rsidR="003D25D1">
              <w:rPr>
                <w:webHidden/>
              </w:rPr>
              <w:instrText xml:space="preserve"> PAGEREF _Toc369190224 \h </w:instrText>
            </w:r>
            <w:r w:rsidR="003D25D1">
              <w:rPr>
                <w:webHidden/>
              </w:rPr>
            </w:r>
            <w:r w:rsidR="003D25D1">
              <w:rPr>
                <w:webHidden/>
              </w:rPr>
              <w:fldChar w:fldCharType="separate"/>
            </w:r>
            <w:r w:rsidR="00153558">
              <w:rPr>
                <w:webHidden/>
              </w:rPr>
              <w:t>4</w:t>
            </w:r>
            <w:r w:rsidR="003D25D1">
              <w:rPr>
                <w:webHidden/>
              </w:rPr>
              <w:fldChar w:fldCharType="end"/>
            </w:r>
          </w:hyperlink>
        </w:p>
        <w:p w:rsidR="003D25D1" w:rsidRDefault="00753180">
          <w:pPr>
            <w:pStyle w:val="TOC2"/>
            <w:rPr>
              <w:rFonts w:asciiTheme="minorHAnsi" w:eastAsiaTheme="minorEastAsia" w:hAnsiTheme="minorHAnsi" w:cstheme="minorBidi"/>
              <w:b w:val="0"/>
              <w:i w:val="0"/>
              <w:sz w:val="22"/>
              <w:szCs w:val="22"/>
            </w:rPr>
          </w:pPr>
          <w:hyperlink w:anchor="_Toc369190225" w:history="1">
            <w:r w:rsidR="003D25D1" w:rsidRPr="000A059E">
              <w:rPr>
                <w:rStyle w:val="Hyperlink"/>
              </w:rPr>
              <w:t>5.1</w:t>
            </w:r>
            <w:r w:rsidR="003D25D1">
              <w:rPr>
                <w:rFonts w:asciiTheme="minorHAnsi" w:eastAsiaTheme="minorEastAsia" w:hAnsiTheme="minorHAnsi" w:cstheme="minorBidi"/>
                <w:b w:val="0"/>
                <w:i w:val="0"/>
                <w:sz w:val="22"/>
                <w:szCs w:val="22"/>
              </w:rPr>
              <w:tab/>
            </w:r>
            <w:r w:rsidR="003D25D1" w:rsidRPr="000A059E">
              <w:rPr>
                <w:rStyle w:val="Hyperlink"/>
              </w:rPr>
              <w:t>Practical challenges</w:t>
            </w:r>
            <w:r w:rsidR="003D25D1">
              <w:rPr>
                <w:webHidden/>
              </w:rPr>
              <w:tab/>
            </w:r>
            <w:r w:rsidR="003D25D1">
              <w:rPr>
                <w:webHidden/>
              </w:rPr>
              <w:fldChar w:fldCharType="begin"/>
            </w:r>
            <w:r w:rsidR="003D25D1">
              <w:rPr>
                <w:webHidden/>
              </w:rPr>
              <w:instrText xml:space="preserve"> PAGEREF _Toc369190225 \h </w:instrText>
            </w:r>
            <w:r w:rsidR="003D25D1">
              <w:rPr>
                <w:webHidden/>
              </w:rPr>
            </w:r>
            <w:r w:rsidR="003D25D1">
              <w:rPr>
                <w:webHidden/>
              </w:rPr>
              <w:fldChar w:fldCharType="separate"/>
            </w:r>
            <w:r w:rsidR="00153558">
              <w:rPr>
                <w:webHidden/>
              </w:rPr>
              <w:t>4</w:t>
            </w:r>
            <w:r w:rsidR="003D25D1">
              <w:rPr>
                <w:webHidden/>
              </w:rPr>
              <w:fldChar w:fldCharType="end"/>
            </w:r>
          </w:hyperlink>
        </w:p>
        <w:p w:rsidR="003D25D1" w:rsidRDefault="00753180">
          <w:pPr>
            <w:pStyle w:val="TOC2"/>
            <w:rPr>
              <w:rFonts w:asciiTheme="minorHAnsi" w:eastAsiaTheme="minorEastAsia" w:hAnsiTheme="minorHAnsi" w:cstheme="minorBidi"/>
              <w:b w:val="0"/>
              <w:i w:val="0"/>
              <w:sz w:val="22"/>
              <w:szCs w:val="22"/>
            </w:rPr>
          </w:pPr>
          <w:hyperlink w:anchor="_Toc369190226" w:history="1">
            <w:r w:rsidR="003D25D1" w:rsidRPr="000A059E">
              <w:rPr>
                <w:rStyle w:val="Hyperlink"/>
              </w:rPr>
              <w:t>5.2</w:t>
            </w:r>
            <w:r w:rsidR="003D25D1">
              <w:rPr>
                <w:rFonts w:asciiTheme="minorHAnsi" w:eastAsiaTheme="minorEastAsia" w:hAnsiTheme="minorHAnsi" w:cstheme="minorBidi"/>
                <w:b w:val="0"/>
                <w:i w:val="0"/>
                <w:sz w:val="22"/>
                <w:szCs w:val="22"/>
              </w:rPr>
              <w:tab/>
            </w:r>
            <w:r w:rsidR="003D25D1" w:rsidRPr="000A059E">
              <w:rPr>
                <w:rStyle w:val="Hyperlink"/>
              </w:rPr>
              <w:t>Possible solutions</w:t>
            </w:r>
            <w:r w:rsidR="003D25D1">
              <w:rPr>
                <w:webHidden/>
              </w:rPr>
              <w:tab/>
            </w:r>
            <w:r w:rsidR="003D25D1">
              <w:rPr>
                <w:webHidden/>
              </w:rPr>
              <w:fldChar w:fldCharType="begin"/>
            </w:r>
            <w:r w:rsidR="003D25D1">
              <w:rPr>
                <w:webHidden/>
              </w:rPr>
              <w:instrText xml:space="preserve"> PAGEREF _Toc369190226 \h </w:instrText>
            </w:r>
            <w:r w:rsidR="003D25D1">
              <w:rPr>
                <w:webHidden/>
              </w:rPr>
            </w:r>
            <w:r w:rsidR="003D25D1">
              <w:rPr>
                <w:webHidden/>
              </w:rPr>
              <w:fldChar w:fldCharType="separate"/>
            </w:r>
            <w:r w:rsidR="00153558">
              <w:rPr>
                <w:webHidden/>
              </w:rPr>
              <w:t>4</w:t>
            </w:r>
            <w:r w:rsidR="003D25D1">
              <w:rPr>
                <w:webHidden/>
              </w:rPr>
              <w:fldChar w:fldCharType="end"/>
            </w:r>
          </w:hyperlink>
        </w:p>
        <w:p w:rsidR="003D25D1" w:rsidRDefault="00753180">
          <w:pPr>
            <w:pStyle w:val="TOC1"/>
            <w:rPr>
              <w:rFonts w:asciiTheme="minorHAnsi" w:eastAsiaTheme="minorEastAsia" w:hAnsiTheme="minorHAnsi" w:cstheme="minorBidi"/>
              <w:b w:val="0"/>
              <w:szCs w:val="22"/>
            </w:rPr>
          </w:pPr>
          <w:hyperlink w:anchor="_Toc369190227" w:history="1">
            <w:r w:rsidR="003D25D1" w:rsidRPr="000A059E">
              <w:rPr>
                <w:rStyle w:val="Hyperlink"/>
              </w:rPr>
              <w:t>6</w:t>
            </w:r>
            <w:r w:rsidR="003D25D1">
              <w:rPr>
                <w:rFonts w:asciiTheme="minorHAnsi" w:eastAsiaTheme="minorEastAsia" w:hAnsiTheme="minorHAnsi" w:cstheme="minorBidi"/>
                <w:b w:val="0"/>
                <w:szCs w:val="22"/>
              </w:rPr>
              <w:tab/>
            </w:r>
            <w:r w:rsidR="003D25D1" w:rsidRPr="000A059E">
              <w:rPr>
                <w:rStyle w:val="Hyperlink"/>
              </w:rPr>
              <w:t>What is the current national legal and policy framework relevant to the rights of pregnant employees and women and men returning to work after taking parental leave?</w:t>
            </w:r>
            <w:r w:rsidR="003D25D1">
              <w:rPr>
                <w:webHidden/>
              </w:rPr>
              <w:tab/>
            </w:r>
            <w:r w:rsidR="003D25D1">
              <w:rPr>
                <w:webHidden/>
              </w:rPr>
              <w:fldChar w:fldCharType="begin"/>
            </w:r>
            <w:r w:rsidR="003D25D1">
              <w:rPr>
                <w:webHidden/>
              </w:rPr>
              <w:instrText xml:space="preserve"> PAGEREF _Toc369190227 \h </w:instrText>
            </w:r>
            <w:r w:rsidR="003D25D1">
              <w:rPr>
                <w:webHidden/>
              </w:rPr>
            </w:r>
            <w:r w:rsidR="003D25D1">
              <w:rPr>
                <w:webHidden/>
              </w:rPr>
              <w:fldChar w:fldCharType="separate"/>
            </w:r>
            <w:r w:rsidR="00153558">
              <w:rPr>
                <w:webHidden/>
              </w:rPr>
              <w:t>4</w:t>
            </w:r>
            <w:r w:rsidR="003D25D1">
              <w:rPr>
                <w:webHidden/>
              </w:rPr>
              <w:fldChar w:fldCharType="end"/>
            </w:r>
          </w:hyperlink>
        </w:p>
        <w:p w:rsidR="003D25D1" w:rsidRDefault="00753180">
          <w:pPr>
            <w:pStyle w:val="TOC2"/>
            <w:rPr>
              <w:rFonts w:asciiTheme="minorHAnsi" w:eastAsiaTheme="minorEastAsia" w:hAnsiTheme="minorHAnsi" w:cstheme="minorBidi"/>
              <w:b w:val="0"/>
              <w:i w:val="0"/>
              <w:sz w:val="22"/>
              <w:szCs w:val="22"/>
            </w:rPr>
          </w:pPr>
          <w:hyperlink w:anchor="_Toc369190228" w:history="1">
            <w:r w:rsidR="003D25D1" w:rsidRPr="000A059E">
              <w:rPr>
                <w:rStyle w:val="Hyperlink"/>
              </w:rPr>
              <w:t>6.1</w:t>
            </w:r>
            <w:r w:rsidR="003D25D1">
              <w:rPr>
                <w:rFonts w:asciiTheme="minorHAnsi" w:eastAsiaTheme="minorEastAsia" w:hAnsiTheme="minorHAnsi" w:cstheme="minorBidi"/>
                <w:b w:val="0"/>
                <w:i w:val="0"/>
                <w:sz w:val="22"/>
                <w:szCs w:val="22"/>
              </w:rPr>
              <w:tab/>
            </w:r>
            <w:r w:rsidR="003D25D1" w:rsidRPr="000A059E">
              <w:rPr>
                <w:rStyle w:val="Hyperlink"/>
              </w:rPr>
              <w:t>Anti-discrimination law</w:t>
            </w:r>
            <w:r w:rsidR="003D25D1">
              <w:rPr>
                <w:webHidden/>
              </w:rPr>
              <w:tab/>
            </w:r>
            <w:r w:rsidR="003D25D1">
              <w:rPr>
                <w:webHidden/>
              </w:rPr>
              <w:fldChar w:fldCharType="begin"/>
            </w:r>
            <w:r w:rsidR="003D25D1">
              <w:rPr>
                <w:webHidden/>
              </w:rPr>
              <w:instrText xml:space="preserve"> PAGEREF _Toc369190228 \h </w:instrText>
            </w:r>
            <w:r w:rsidR="003D25D1">
              <w:rPr>
                <w:webHidden/>
              </w:rPr>
            </w:r>
            <w:r w:rsidR="003D25D1">
              <w:rPr>
                <w:webHidden/>
              </w:rPr>
              <w:fldChar w:fldCharType="separate"/>
            </w:r>
            <w:r w:rsidR="00153558">
              <w:rPr>
                <w:webHidden/>
              </w:rPr>
              <w:t>4</w:t>
            </w:r>
            <w:r w:rsidR="003D25D1">
              <w:rPr>
                <w:webHidden/>
              </w:rPr>
              <w:fldChar w:fldCharType="end"/>
            </w:r>
          </w:hyperlink>
        </w:p>
        <w:p w:rsidR="003D25D1" w:rsidRDefault="00753180">
          <w:pPr>
            <w:pStyle w:val="TOC2"/>
            <w:rPr>
              <w:rFonts w:asciiTheme="minorHAnsi" w:eastAsiaTheme="minorEastAsia" w:hAnsiTheme="minorHAnsi" w:cstheme="minorBidi"/>
              <w:b w:val="0"/>
              <w:i w:val="0"/>
              <w:sz w:val="22"/>
              <w:szCs w:val="22"/>
            </w:rPr>
          </w:pPr>
          <w:hyperlink w:anchor="_Toc369190229" w:history="1">
            <w:r w:rsidR="003D25D1" w:rsidRPr="000A059E">
              <w:rPr>
                <w:rStyle w:val="Hyperlink"/>
              </w:rPr>
              <w:t>6.2</w:t>
            </w:r>
            <w:r w:rsidR="003D25D1">
              <w:rPr>
                <w:rFonts w:asciiTheme="minorHAnsi" w:eastAsiaTheme="minorEastAsia" w:hAnsiTheme="minorHAnsi" w:cstheme="minorBidi"/>
                <w:b w:val="0"/>
                <w:i w:val="0"/>
                <w:sz w:val="22"/>
                <w:szCs w:val="22"/>
              </w:rPr>
              <w:tab/>
            </w:r>
            <w:r w:rsidR="003D25D1" w:rsidRPr="000A059E">
              <w:rPr>
                <w:rStyle w:val="Hyperlink"/>
              </w:rPr>
              <w:t>Employment laws and policies</w:t>
            </w:r>
            <w:r w:rsidR="003D25D1">
              <w:rPr>
                <w:webHidden/>
              </w:rPr>
              <w:tab/>
            </w:r>
            <w:r w:rsidR="003D25D1">
              <w:rPr>
                <w:webHidden/>
              </w:rPr>
              <w:fldChar w:fldCharType="begin"/>
            </w:r>
            <w:r w:rsidR="003D25D1">
              <w:rPr>
                <w:webHidden/>
              </w:rPr>
              <w:instrText xml:space="preserve"> PAGEREF _Toc369190229 \h </w:instrText>
            </w:r>
            <w:r w:rsidR="003D25D1">
              <w:rPr>
                <w:webHidden/>
              </w:rPr>
            </w:r>
            <w:r w:rsidR="003D25D1">
              <w:rPr>
                <w:webHidden/>
              </w:rPr>
              <w:fldChar w:fldCharType="separate"/>
            </w:r>
            <w:r w:rsidR="00153558">
              <w:rPr>
                <w:webHidden/>
              </w:rPr>
              <w:t>5</w:t>
            </w:r>
            <w:r w:rsidR="003D25D1">
              <w:rPr>
                <w:webHidden/>
              </w:rPr>
              <w:fldChar w:fldCharType="end"/>
            </w:r>
          </w:hyperlink>
        </w:p>
        <w:p w:rsidR="003D25D1" w:rsidRDefault="00753180">
          <w:pPr>
            <w:pStyle w:val="TOC2"/>
            <w:rPr>
              <w:rFonts w:asciiTheme="minorHAnsi" w:eastAsiaTheme="minorEastAsia" w:hAnsiTheme="minorHAnsi" w:cstheme="minorBidi"/>
              <w:b w:val="0"/>
              <w:i w:val="0"/>
              <w:sz w:val="22"/>
              <w:szCs w:val="22"/>
            </w:rPr>
          </w:pPr>
          <w:hyperlink w:anchor="_Toc369190230" w:history="1">
            <w:r w:rsidR="003D25D1" w:rsidRPr="000A059E">
              <w:rPr>
                <w:rStyle w:val="Hyperlink"/>
              </w:rPr>
              <w:t>6.3</w:t>
            </w:r>
            <w:r w:rsidR="003D25D1">
              <w:rPr>
                <w:rFonts w:asciiTheme="minorHAnsi" w:eastAsiaTheme="minorEastAsia" w:hAnsiTheme="minorHAnsi" w:cstheme="minorBidi"/>
                <w:b w:val="0"/>
                <w:i w:val="0"/>
                <w:sz w:val="22"/>
                <w:szCs w:val="22"/>
              </w:rPr>
              <w:tab/>
            </w:r>
            <w:r w:rsidR="003D25D1" w:rsidRPr="000A059E">
              <w:rPr>
                <w:rStyle w:val="Hyperlink"/>
              </w:rPr>
              <w:t>Work health and safety laws</w:t>
            </w:r>
            <w:r w:rsidR="003D25D1">
              <w:rPr>
                <w:webHidden/>
              </w:rPr>
              <w:tab/>
            </w:r>
            <w:r w:rsidR="003D25D1">
              <w:rPr>
                <w:webHidden/>
              </w:rPr>
              <w:fldChar w:fldCharType="begin"/>
            </w:r>
            <w:r w:rsidR="003D25D1">
              <w:rPr>
                <w:webHidden/>
              </w:rPr>
              <w:instrText xml:space="preserve"> PAGEREF _Toc369190230 \h </w:instrText>
            </w:r>
            <w:r w:rsidR="003D25D1">
              <w:rPr>
                <w:webHidden/>
              </w:rPr>
            </w:r>
            <w:r w:rsidR="003D25D1">
              <w:rPr>
                <w:webHidden/>
              </w:rPr>
              <w:fldChar w:fldCharType="separate"/>
            </w:r>
            <w:r w:rsidR="00153558">
              <w:rPr>
                <w:webHidden/>
              </w:rPr>
              <w:t>6</w:t>
            </w:r>
            <w:r w:rsidR="003D25D1">
              <w:rPr>
                <w:webHidden/>
              </w:rPr>
              <w:fldChar w:fldCharType="end"/>
            </w:r>
          </w:hyperlink>
        </w:p>
        <w:p w:rsidR="003D25D1" w:rsidRDefault="00753180">
          <w:pPr>
            <w:pStyle w:val="TOC1"/>
            <w:rPr>
              <w:rFonts w:asciiTheme="minorHAnsi" w:eastAsiaTheme="minorEastAsia" w:hAnsiTheme="minorHAnsi" w:cstheme="minorBidi"/>
              <w:b w:val="0"/>
              <w:szCs w:val="22"/>
            </w:rPr>
          </w:pPr>
          <w:hyperlink w:anchor="_Toc369190231" w:history="1">
            <w:r w:rsidR="003D25D1" w:rsidRPr="000A059E">
              <w:rPr>
                <w:rStyle w:val="Hyperlink"/>
              </w:rPr>
              <w:t>7</w:t>
            </w:r>
            <w:r w:rsidR="003D25D1">
              <w:rPr>
                <w:rFonts w:asciiTheme="minorHAnsi" w:eastAsiaTheme="minorEastAsia" w:hAnsiTheme="minorHAnsi" w:cstheme="minorBidi"/>
                <w:b w:val="0"/>
                <w:szCs w:val="22"/>
              </w:rPr>
              <w:tab/>
            </w:r>
            <w:r w:rsidR="003D25D1" w:rsidRPr="000A059E">
              <w:rPr>
                <w:rStyle w:val="Hyperlink"/>
              </w:rPr>
              <w:t>What are some of the key issues of interest to this National Review?</w:t>
            </w:r>
            <w:r w:rsidR="003D25D1">
              <w:rPr>
                <w:webHidden/>
              </w:rPr>
              <w:tab/>
            </w:r>
            <w:r w:rsidR="003D25D1">
              <w:rPr>
                <w:webHidden/>
              </w:rPr>
              <w:fldChar w:fldCharType="begin"/>
            </w:r>
            <w:r w:rsidR="003D25D1">
              <w:rPr>
                <w:webHidden/>
              </w:rPr>
              <w:instrText xml:space="preserve"> PAGEREF _Toc369190231 \h </w:instrText>
            </w:r>
            <w:r w:rsidR="003D25D1">
              <w:rPr>
                <w:webHidden/>
              </w:rPr>
            </w:r>
            <w:r w:rsidR="003D25D1">
              <w:rPr>
                <w:webHidden/>
              </w:rPr>
              <w:fldChar w:fldCharType="separate"/>
            </w:r>
            <w:r w:rsidR="00153558">
              <w:rPr>
                <w:webHidden/>
              </w:rPr>
              <w:t>7</w:t>
            </w:r>
            <w:r w:rsidR="003D25D1">
              <w:rPr>
                <w:webHidden/>
              </w:rPr>
              <w:fldChar w:fldCharType="end"/>
            </w:r>
          </w:hyperlink>
        </w:p>
        <w:p w:rsidR="003D25D1" w:rsidRDefault="00753180">
          <w:pPr>
            <w:pStyle w:val="TOC2"/>
            <w:rPr>
              <w:rFonts w:asciiTheme="minorHAnsi" w:eastAsiaTheme="minorEastAsia" w:hAnsiTheme="minorHAnsi" w:cstheme="minorBidi"/>
              <w:b w:val="0"/>
              <w:i w:val="0"/>
              <w:sz w:val="22"/>
              <w:szCs w:val="22"/>
            </w:rPr>
          </w:pPr>
          <w:hyperlink w:anchor="_Toc369190232" w:history="1">
            <w:r w:rsidR="003D25D1" w:rsidRPr="000A059E">
              <w:rPr>
                <w:rStyle w:val="Hyperlink"/>
              </w:rPr>
              <w:t>7.1</w:t>
            </w:r>
            <w:r w:rsidR="003D25D1">
              <w:rPr>
                <w:rFonts w:asciiTheme="minorHAnsi" w:eastAsiaTheme="minorEastAsia" w:hAnsiTheme="minorHAnsi" w:cstheme="minorBidi"/>
                <w:b w:val="0"/>
                <w:i w:val="0"/>
                <w:sz w:val="22"/>
                <w:szCs w:val="22"/>
              </w:rPr>
              <w:tab/>
            </w:r>
            <w:r w:rsidR="003D25D1" w:rsidRPr="000A059E">
              <w:rPr>
                <w:rStyle w:val="Hyperlink"/>
              </w:rPr>
              <w:t>Women’s participation in the workforce</w:t>
            </w:r>
            <w:r w:rsidR="003D25D1">
              <w:rPr>
                <w:webHidden/>
              </w:rPr>
              <w:tab/>
            </w:r>
            <w:r w:rsidR="003D25D1">
              <w:rPr>
                <w:webHidden/>
              </w:rPr>
              <w:fldChar w:fldCharType="begin"/>
            </w:r>
            <w:r w:rsidR="003D25D1">
              <w:rPr>
                <w:webHidden/>
              </w:rPr>
              <w:instrText xml:space="preserve"> PAGEREF _Toc369190232 \h </w:instrText>
            </w:r>
            <w:r w:rsidR="003D25D1">
              <w:rPr>
                <w:webHidden/>
              </w:rPr>
            </w:r>
            <w:r w:rsidR="003D25D1">
              <w:rPr>
                <w:webHidden/>
              </w:rPr>
              <w:fldChar w:fldCharType="separate"/>
            </w:r>
            <w:r w:rsidR="00153558">
              <w:rPr>
                <w:webHidden/>
              </w:rPr>
              <w:t>7</w:t>
            </w:r>
            <w:r w:rsidR="003D25D1">
              <w:rPr>
                <w:webHidden/>
              </w:rPr>
              <w:fldChar w:fldCharType="end"/>
            </w:r>
          </w:hyperlink>
        </w:p>
        <w:p w:rsidR="003D25D1" w:rsidRDefault="00753180">
          <w:pPr>
            <w:pStyle w:val="TOC2"/>
            <w:rPr>
              <w:rFonts w:asciiTheme="minorHAnsi" w:eastAsiaTheme="minorEastAsia" w:hAnsiTheme="minorHAnsi" w:cstheme="minorBidi"/>
              <w:b w:val="0"/>
              <w:i w:val="0"/>
              <w:sz w:val="22"/>
              <w:szCs w:val="22"/>
            </w:rPr>
          </w:pPr>
          <w:hyperlink w:anchor="_Toc369190233" w:history="1">
            <w:r w:rsidR="003D25D1" w:rsidRPr="000A059E">
              <w:rPr>
                <w:rStyle w:val="Hyperlink"/>
              </w:rPr>
              <w:t>7.2</w:t>
            </w:r>
            <w:r w:rsidR="003D25D1">
              <w:rPr>
                <w:rFonts w:asciiTheme="minorHAnsi" w:eastAsiaTheme="minorEastAsia" w:hAnsiTheme="minorHAnsi" w:cstheme="minorBidi"/>
                <w:b w:val="0"/>
                <w:i w:val="0"/>
                <w:sz w:val="22"/>
                <w:szCs w:val="22"/>
              </w:rPr>
              <w:tab/>
            </w:r>
            <w:r w:rsidR="003D25D1" w:rsidRPr="000A059E">
              <w:rPr>
                <w:rStyle w:val="Hyperlink"/>
              </w:rPr>
              <w:t>Impact of discrimination against pregnant employees and women and men returning to work after taking parental leave</w:t>
            </w:r>
            <w:r w:rsidR="003D25D1">
              <w:rPr>
                <w:webHidden/>
              </w:rPr>
              <w:tab/>
            </w:r>
            <w:r w:rsidR="003D25D1">
              <w:rPr>
                <w:webHidden/>
              </w:rPr>
              <w:fldChar w:fldCharType="begin"/>
            </w:r>
            <w:r w:rsidR="003D25D1">
              <w:rPr>
                <w:webHidden/>
              </w:rPr>
              <w:instrText xml:space="preserve"> PAGEREF _Toc369190233 \h </w:instrText>
            </w:r>
            <w:r w:rsidR="003D25D1">
              <w:rPr>
                <w:webHidden/>
              </w:rPr>
            </w:r>
            <w:r w:rsidR="003D25D1">
              <w:rPr>
                <w:webHidden/>
              </w:rPr>
              <w:fldChar w:fldCharType="separate"/>
            </w:r>
            <w:r w:rsidR="00153558">
              <w:rPr>
                <w:webHidden/>
              </w:rPr>
              <w:t>7</w:t>
            </w:r>
            <w:r w:rsidR="003D25D1">
              <w:rPr>
                <w:webHidden/>
              </w:rPr>
              <w:fldChar w:fldCharType="end"/>
            </w:r>
          </w:hyperlink>
        </w:p>
        <w:p w:rsidR="003D25D1" w:rsidRDefault="00753180">
          <w:pPr>
            <w:pStyle w:val="TOC3"/>
            <w:rPr>
              <w:rFonts w:asciiTheme="minorHAnsi" w:eastAsiaTheme="minorEastAsia" w:hAnsiTheme="minorHAnsi" w:cstheme="minorBidi"/>
              <w:i w:val="0"/>
              <w:sz w:val="22"/>
              <w:szCs w:val="22"/>
            </w:rPr>
          </w:pPr>
          <w:hyperlink w:anchor="_Toc369190234" w:history="1">
            <w:r w:rsidR="003D25D1" w:rsidRPr="000A059E">
              <w:rPr>
                <w:rStyle w:val="Hyperlink"/>
              </w:rPr>
              <w:t>(a)</w:t>
            </w:r>
            <w:r w:rsidR="003D25D1">
              <w:rPr>
                <w:rFonts w:asciiTheme="minorHAnsi" w:eastAsiaTheme="minorEastAsia" w:hAnsiTheme="minorHAnsi" w:cstheme="minorBidi"/>
                <w:i w:val="0"/>
                <w:sz w:val="22"/>
                <w:szCs w:val="22"/>
              </w:rPr>
              <w:tab/>
            </w:r>
            <w:r w:rsidR="003D25D1" w:rsidRPr="000A059E">
              <w:rPr>
                <w:rStyle w:val="Hyperlink"/>
              </w:rPr>
              <w:t>On women</w:t>
            </w:r>
            <w:r w:rsidR="003D25D1">
              <w:rPr>
                <w:webHidden/>
              </w:rPr>
              <w:tab/>
            </w:r>
            <w:r w:rsidR="003D25D1">
              <w:rPr>
                <w:webHidden/>
              </w:rPr>
              <w:fldChar w:fldCharType="begin"/>
            </w:r>
            <w:r w:rsidR="003D25D1">
              <w:rPr>
                <w:webHidden/>
              </w:rPr>
              <w:instrText xml:space="preserve"> PAGEREF _Toc369190234 \h </w:instrText>
            </w:r>
            <w:r w:rsidR="003D25D1">
              <w:rPr>
                <w:webHidden/>
              </w:rPr>
            </w:r>
            <w:r w:rsidR="003D25D1">
              <w:rPr>
                <w:webHidden/>
              </w:rPr>
              <w:fldChar w:fldCharType="separate"/>
            </w:r>
            <w:r w:rsidR="00153558">
              <w:rPr>
                <w:webHidden/>
              </w:rPr>
              <w:t>7</w:t>
            </w:r>
            <w:r w:rsidR="003D25D1">
              <w:rPr>
                <w:webHidden/>
              </w:rPr>
              <w:fldChar w:fldCharType="end"/>
            </w:r>
          </w:hyperlink>
        </w:p>
        <w:p w:rsidR="003D25D1" w:rsidRDefault="00753180">
          <w:pPr>
            <w:pStyle w:val="TOC3"/>
            <w:rPr>
              <w:rFonts w:asciiTheme="minorHAnsi" w:eastAsiaTheme="minorEastAsia" w:hAnsiTheme="minorHAnsi" w:cstheme="minorBidi"/>
              <w:i w:val="0"/>
              <w:sz w:val="22"/>
              <w:szCs w:val="22"/>
            </w:rPr>
          </w:pPr>
          <w:hyperlink w:anchor="_Toc369190235" w:history="1">
            <w:r w:rsidR="003D25D1" w:rsidRPr="000A059E">
              <w:rPr>
                <w:rStyle w:val="Hyperlink"/>
              </w:rPr>
              <w:t>(b)</w:t>
            </w:r>
            <w:r w:rsidR="003D25D1">
              <w:rPr>
                <w:rFonts w:asciiTheme="minorHAnsi" w:eastAsiaTheme="minorEastAsia" w:hAnsiTheme="minorHAnsi" w:cstheme="minorBidi"/>
                <w:i w:val="0"/>
                <w:sz w:val="22"/>
                <w:szCs w:val="22"/>
              </w:rPr>
              <w:tab/>
            </w:r>
            <w:r w:rsidR="003D25D1" w:rsidRPr="000A059E">
              <w:rPr>
                <w:rStyle w:val="Hyperlink"/>
              </w:rPr>
              <w:t>On parents and families</w:t>
            </w:r>
            <w:r w:rsidR="003D25D1">
              <w:rPr>
                <w:webHidden/>
              </w:rPr>
              <w:tab/>
            </w:r>
            <w:r w:rsidR="003D25D1">
              <w:rPr>
                <w:webHidden/>
              </w:rPr>
              <w:fldChar w:fldCharType="begin"/>
            </w:r>
            <w:r w:rsidR="003D25D1">
              <w:rPr>
                <w:webHidden/>
              </w:rPr>
              <w:instrText xml:space="preserve"> PAGEREF _Toc369190235 \h </w:instrText>
            </w:r>
            <w:r w:rsidR="003D25D1">
              <w:rPr>
                <w:webHidden/>
              </w:rPr>
            </w:r>
            <w:r w:rsidR="003D25D1">
              <w:rPr>
                <w:webHidden/>
              </w:rPr>
              <w:fldChar w:fldCharType="separate"/>
            </w:r>
            <w:r w:rsidR="00153558">
              <w:rPr>
                <w:webHidden/>
              </w:rPr>
              <w:t>7</w:t>
            </w:r>
            <w:r w:rsidR="003D25D1">
              <w:rPr>
                <w:webHidden/>
              </w:rPr>
              <w:fldChar w:fldCharType="end"/>
            </w:r>
          </w:hyperlink>
        </w:p>
        <w:p w:rsidR="003D25D1" w:rsidRDefault="00753180">
          <w:pPr>
            <w:pStyle w:val="TOC3"/>
            <w:rPr>
              <w:rFonts w:asciiTheme="minorHAnsi" w:eastAsiaTheme="minorEastAsia" w:hAnsiTheme="minorHAnsi" w:cstheme="minorBidi"/>
              <w:i w:val="0"/>
              <w:sz w:val="22"/>
              <w:szCs w:val="22"/>
            </w:rPr>
          </w:pPr>
          <w:hyperlink w:anchor="_Toc369190236" w:history="1">
            <w:r w:rsidR="003D25D1" w:rsidRPr="000A059E">
              <w:rPr>
                <w:rStyle w:val="Hyperlink"/>
              </w:rPr>
              <w:t>(c)</w:t>
            </w:r>
            <w:r w:rsidR="003D25D1">
              <w:rPr>
                <w:rFonts w:asciiTheme="minorHAnsi" w:eastAsiaTheme="minorEastAsia" w:hAnsiTheme="minorHAnsi" w:cstheme="minorBidi"/>
                <w:i w:val="0"/>
                <w:sz w:val="22"/>
                <w:szCs w:val="22"/>
              </w:rPr>
              <w:tab/>
            </w:r>
            <w:r w:rsidR="003D25D1" w:rsidRPr="000A059E">
              <w:rPr>
                <w:rStyle w:val="Hyperlink"/>
              </w:rPr>
              <w:t>On business</w:t>
            </w:r>
            <w:r w:rsidR="003D25D1">
              <w:rPr>
                <w:webHidden/>
              </w:rPr>
              <w:tab/>
            </w:r>
            <w:r w:rsidR="003D25D1">
              <w:rPr>
                <w:webHidden/>
              </w:rPr>
              <w:fldChar w:fldCharType="begin"/>
            </w:r>
            <w:r w:rsidR="003D25D1">
              <w:rPr>
                <w:webHidden/>
              </w:rPr>
              <w:instrText xml:space="preserve"> PAGEREF _Toc369190236 \h </w:instrText>
            </w:r>
            <w:r w:rsidR="003D25D1">
              <w:rPr>
                <w:webHidden/>
              </w:rPr>
            </w:r>
            <w:r w:rsidR="003D25D1">
              <w:rPr>
                <w:webHidden/>
              </w:rPr>
              <w:fldChar w:fldCharType="separate"/>
            </w:r>
            <w:r w:rsidR="00153558">
              <w:rPr>
                <w:webHidden/>
              </w:rPr>
              <w:t>8</w:t>
            </w:r>
            <w:r w:rsidR="003D25D1">
              <w:rPr>
                <w:webHidden/>
              </w:rPr>
              <w:fldChar w:fldCharType="end"/>
            </w:r>
          </w:hyperlink>
        </w:p>
        <w:p w:rsidR="003D25D1" w:rsidRDefault="00753180">
          <w:pPr>
            <w:pStyle w:val="TOC3"/>
            <w:rPr>
              <w:rFonts w:asciiTheme="minorHAnsi" w:eastAsiaTheme="minorEastAsia" w:hAnsiTheme="minorHAnsi" w:cstheme="minorBidi"/>
              <w:i w:val="0"/>
              <w:sz w:val="22"/>
              <w:szCs w:val="22"/>
            </w:rPr>
          </w:pPr>
          <w:hyperlink w:anchor="_Toc369190237" w:history="1">
            <w:r w:rsidR="003D25D1" w:rsidRPr="000A059E">
              <w:rPr>
                <w:rStyle w:val="Hyperlink"/>
              </w:rPr>
              <w:t>(d)</w:t>
            </w:r>
            <w:r w:rsidR="003D25D1">
              <w:rPr>
                <w:rFonts w:asciiTheme="minorHAnsi" w:eastAsiaTheme="minorEastAsia" w:hAnsiTheme="minorHAnsi" w:cstheme="minorBidi"/>
                <w:i w:val="0"/>
                <w:sz w:val="22"/>
                <w:szCs w:val="22"/>
              </w:rPr>
              <w:tab/>
            </w:r>
            <w:r w:rsidR="003D25D1" w:rsidRPr="000A059E">
              <w:rPr>
                <w:rStyle w:val="Hyperlink"/>
              </w:rPr>
              <w:t>On the wider Australian community</w:t>
            </w:r>
            <w:r w:rsidR="003D25D1">
              <w:rPr>
                <w:webHidden/>
              </w:rPr>
              <w:tab/>
            </w:r>
            <w:r w:rsidR="003D25D1">
              <w:rPr>
                <w:webHidden/>
              </w:rPr>
              <w:fldChar w:fldCharType="begin"/>
            </w:r>
            <w:r w:rsidR="003D25D1">
              <w:rPr>
                <w:webHidden/>
              </w:rPr>
              <w:instrText xml:space="preserve"> PAGEREF _Toc369190237 \h </w:instrText>
            </w:r>
            <w:r w:rsidR="003D25D1">
              <w:rPr>
                <w:webHidden/>
              </w:rPr>
            </w:r>
            <w:r w:rsidR="003D25D1">
              <w:rPr>
                <w:webHidden/>
              </w:rPr>
              <w:fldChar w:fldCharType="separate"/>
            </w:r>
            <w:r w:rsidR="00153558">
              <w:rPr>
                <w:webHidden/>
              </w:rPr>
              <w:t>8</w:t>
            </w:r>
            <w:r w:rsidR="003D25D1">
              <w:rPr>
                <w:webHidden/>
              </w:rPr>
              <w:fldChar w:fldCharType="end"/>
            </w:r>
          </w:hyperlink>
        </w:p>
        <w:p w:rsidR="003D25D1" w:rsidRDefault="00753180">
          <w:pPr>
            <w:pStyle w:val="TOC2"/>
            <w:rPr>
              <w:rFonts w:asciiTheme="minorHAnsi" w:eastAsiaTheme="minorEastAsia" w:hAnsiTheme="minorHAnsi" w:cstheme="minorBidi"/>
              <w:b w:val="0"/>
              <w:i w:val="0"/>
              <w:sz w:val="22"/>
              <w:szCs w:val="22"/>
            </w:rPr>
          </w:pPr>
          <w:hyperlink w:anchor="_Toc369190238" w:history="1">
            <w:r w:rsidR="003D25D1" w:rsidRPr="000A059E">
              <w:rPr>
                <w:rStyle w:val="Hyperlink"/>
              </w:rPr>
              <w:t>7.3</w:t>
            </w:r>
            <w:r w:rsidR="003D25D1">
              <w:rPr>
                <w:rFonts w:asciiTheme="minorHAnsi" w:eastAsiaTheme="minorEastAsia" w:hAnsiTheme="minorHAnsi" w:cstheme="minorBidi"/>
                <w:b w:val="0"/>
                <w:i w:val="0"/>
                <w:sz w:val="22"/>
                <w:szCs w:val="22"/>
              </w:rPr>
              <w:tab/>
            </w:r>
            <w:r w:rsidR="003D25D1" w:rsidRPr="000A059E">
              <w:rPr>
                <w:rStyle w:val="Hyperlink"/>
              </w:rPr>
              <w:t>Challenges faced by employers as well as leading practices and strategies implemented by employers</w:t>
            </w:r>
            <w:r w:rsidR="003D25D1">
              <w:rPr>
                <w:webHidden/>
              </w:rPr>
              <w:tab/>
            </w:r>
            <w:r w:rsidR="003D25D1">
              <w:rPr>
                <w:webHidden/>
              </w:rPr>
              <w:fldChar w:fldCharType="begin"/>
            </w:r>
            <w:r w:rsidR="003D25D1">
              <w:rPr>
                <w:webHidden/>
              </w:rPr>
              <w:instrText xml:space="preserve"> PAGEREF _Toc369190238 \h </w:instrText>
            </w:r>
            <w:r w:rsidR="003D25D1">
              <w:rPr>
                <w:webHidden/>
              </w:rPr>
            </w:r>
            <w:r w:rsidR="003D25D1">
              <w:rPr>
                <w:webHidden/>
              </w:rPr>
              <w:fldChar w:fldCharType="separate"/>
            </w:r>
            <w:r w:rsidR="00153558">
              <w:rPr>
                <w:webHidden/>
              </w:rPr>
              <w:t>8</w:t>
            </w:r>
            <w:r w:rsidR="003D25D1">
              <w:rPr>
                <w:webHidden/>
              </w:rPr>
              <w:fldChar w:fldCharType="end"/>
            </w:r>
          </w:hyperlink>
        </w:p>
        <w:p w:rsidR="003D25D1" w:rsidRDefault="00753180">
          <w:pPr>
            <w:pStyle w:val="TOC1"/>
            <w:rPr>
              <w:rFonts w:asciiTheme="minorHAnsi" w:eastAsiaTheme="minorEastAsia" w:hAnsiTheme="minorHAnsi" w:cstheme="minorBidi"/>
              <w:b w:val="0"/>
              <w:szCs w:val="22"/>
            </w:rPr>
          </w:pPr>
          <w:hyperlink w:anchor="_Toc369190239" w:history="1">
            <w:r w:rsidR="003D25D1" w:rsidRPr="000A059E">
              <w:rPr>
                <w:rStyle w:val="Hyperlink"/>
              </w:rPr>
              <w:t>8</w:t>
            </w:r>
            <w:r w:rsidR="003D25D1">
              <w:rPr>
                <w:rFonts w:asciiTheme="minorHAnsi" w:eastAsiaTheme="minorEastAsia" w:hAnsiTheme="minorHAnsi" w:cstheme="minorBidi"/>
                <w:b w:val="0"/>
                <w:szCs w:val="22"/>
              </w:rPr>
              <w:tab/>
            </w:r>
            <w:r w:rsidR="003D25D1" w:rsidRPr="000A059E">
              <w:rPr>
                <w:rStyle w:val="Hyperlink"/>
              </w:rPr>
              <w:t>How can you participate in the National Review?</w:t>
            </w:r>
            <w:r w:rsidR="003D25D1">
              <w:rPr>
                <w:webHidden/>
              </w:rPr>
              <w:tab/>
            </w:r>
            <w:r w:rsidR="003D25D1">
              <w:rPr>
                <w:webHidden/>
              </w:rPr>
              <w:fldChar w:fldCharType="begin"/>
            </w:r>
            <w:r w:rsidR="003D25D1">
              <w:rPr>
                <w:webHidden/>
              </w:rPr>
              <w:instrText xml:space="preserve"> PAGEREF _Toc369190239 \h </w:instrText>
            </w:r>
            <w:r w:rsidR="003D25D1">
              <w:rPr>
                <w:webHidden/>
              </w:rPr>
            </w:r>
            <w:r w:rsidR="003D25D1">
              <w:rPr>
                <w:webHidden/>
              </w:rPr>
              <w:fldChar w:fldCharType="separate"/>
            </w:r>
            <w:r w:rsidR="00153558">
              <w:rPr>
                <w:webHidden/>
              </w:rPr>
              <w:t>8</w:t>
            </w:r>
            <w:r w:rsidR="003D25D1">
              <w:rPr>
                <w:webHidden/>
              </w:rPr>
              <w:fldChar w:fldCharType="end"/>
            </w:r>
          </w:hyperlink>
        </w:p>
        <w:p w:rsidR="003D25D1" w:rsidRDefault="00753180">
          <w:pPr>
            <w:pStyle w:val="TOC1"/>
            <w:rPr>
              <w:rFonts w:asciiTheme="minorHAnsi" w:eastAsiaTheme="minorEastAsia" w:hAnsiTheme="minorHAnsi" w:cstheme="minorBidi"/>
              <w:b w:val="0"/>
              <w:szCs w:val="22"/>
            </w:rPr>
          </w:pPr>
          <w:hyperlink w:anchor="_Toc369190240" w:history="1">
            <w:r w:rsidR="003D25D1" w:rsidRPr="000A059E">
              <w:rPr>
                <w:rStyle w:val="Hyperlink"/>
                <w:lang w:val="en"/>
              </w:rPr>
              <w:t>Attachment A</w:t>
            </w:r>
            <w:r w:rsidR="003D25D1">
              <w:rPr>
                <w:webHidden/>
              </w:rPr>
              <w:tab/>
            </w:r>
            <w:r w:rsidR="003D25D1">
              <w:rPr>
                <w:webHidden/>
              </w:rPr>
              <w:fldChar w:fldCharType="begin"/>
            </w:r>
            <w:r w:rsidR="003D25D1">
              <w:rPr>
                <w:webHidden/>
              </w:rPr>
              <w:instrText xml:space="preserve"> PAGEREF _Toc369190240 \h </w:instrText>
            </w:r>
            <w:r w:rsidR="003D25D1">
              <w:rPr>
                <w:webHidden/>
              </w:rPr>
            </w:r>
            <w:r w:rsidR="003D25D1">
              <w:rPr>
                <w:webHidden/>
              </w:rPr>
              <w:fldChar w:fldCharType="separate"/>
            </w:r>
            <w:r w:rsidR="00153558">
              <w:rPr>
                <w:webHidden/>
              </w:rPr>
              <w:t>9</w:t>
            </w:r>
            <w:r w:rsidR="003D25D1">
              <w:rPr>
                <w:webHidden/>
              </w:rPr>
              <w:fldChar w:fldCharType="end"/>
            </w:r>
          </w:hyperlink>
        </w:p>
        <w:p w:rsidR="00C577D3" w:rsidRDefault="00C577D3">
          <w:r w:rsidRPr="00C577D3">
            <w:rPr>
              <w:b/>
              <w:bCs/>
              <w:noProof/>
            </w:rPr>
            <w:fldChar w:fldCharType="end"/>
          </w:r>
        </w:p>
      </w:sdtContent>
    </w:sdt>
    <w:p w:rsidR="00203D4E" w:rsidRDefault="00203D4E" w:rsidP="004459F3"/>
    <w:p w:rsidR="00203D4E" w:rsidRDefault="00203D4E" w:rsidP="004459F3"/>
    <w:p w:rsidR="00203D4E" w:rsidRDefault="00203D4E" w:rsidP="004459F3"/>
    <w:p w:rsidR="00203D4E" w:rsidRDefault="00203D4E" w:rsidP="004459F3"/>
    <w:p w:rsidR="00203D4E" w:rsidRDefault="00203D4E" w:rsidP="004459F3"/>
    <w:p w:rsidR="00203D4E" w:rsidRDefault="00203D4E" w:rsidP="004459F3"/>
    <w:p w:rsidR="00546F89" w:rsidRDefault="00546F89" w:rsidP="003A6021">
      <w:pPr>
        <w:pStyle w:val="Heading1"/>
      </w:pPr>
      <w:bookmarkStart w:id="3" w:name="_Toc369190220"/>
      <w:r>
        <w:lastRenderedPageBreak/>
        <w:t xml:space="preserve">About this </w:t>
      </w:r>
      <w:r w:rsidR="0013360F">
        <w:t>I</w:t>
      </w:r>
      <w:r>
        <w:t xml:space="preserve">ssues </w:t>
      </w:r>
      <w:r w:rsidR="00B85287">
        <w:t>P</w:t>
      </w:r>
      <w:r>
        <w:t>aper</w:t>
      </w:r>
      <w:bookmarkEnd w:id="3"/>
    </w:p>
    <w:p w:rsidR="0013360F" w:rsidRDefault="003C3A2D" w:rsidP="003C3A2D">
      <w:r>
        <w:t xml:space="preserve">The </w:t>
      </w:r>
      <w:r w:rsidR="0013360F">
        <w:t>Issues</w:t>
      </w:r>
      <w:r>
        <w:t xml:space="preserve"> Paper provides some background in</w:t>
      </w:r>
      <w:r w:rsidR="00CE56E2">
        <w:t xml:space="preserve">formation for those individuals, </w:t>
      </w:r>
      <w:r>
        <w:t xml:space="preserve">organisations </w:t>
      </w:r>
      <w:r w:rsidR="00CE56E2">
        <w:t xml:space="preserve">and businesses </w:t>
      </w:r>
      <w:r>
        <w:t>interested i</w:t>
      </w:r>
      <w:r w:rsidR="0013360F">
        <w:t xml:space="preserve">n contributing to the </w:t>
      </w:r>
      <w:r w:rsidR="00B85287" w:rsidRPr="008820E4">
        <w:rPr>
          <w:i/>
        </w:rPr>
        <w:t>National Review</w:t>
      </w:r>
      <w:r w:rsidR="0013360F" w:rsidRPr="008820E4">
        <w:rPr>
          <w:i/>
        </w:rPr>
        <w:t xml:space="preserve"> on the prevalence</w:t>
      </w:r>
      <w:r w:rsidR="00985FE4" w:rsidRPr="008820E4">
        <w:rPr>
          <w:i/>
        </w:rPr>
        <w:t>, nature and consequences</w:t>
      </w:r>
      <w:r w:rsidR="0013360F" w:rsidRPr="008820E4">
        <w:rPr>
          <w:i/>
        </w:rPr>
        <w:t xml:space="preserve"> of discrimination in relation to pregnancy at work and return to work after parental leave</w:t>
      </w:r>
      <w:r w:rsidR="003536A9">
        <w:t xml:space="preserve">. </w:t>
      </w:r>
    </w:p>
    <w:p w:rsidR="003536A9" w:rsidRDefault="0013360F" w:rsidP="003C3A2D">
      <w:r>
        <w:t>Details on how i</w:t>
      </w:r>
      <w:r w:rsidR="003536A9">
        <w:t>ndividuals</w:t>
      </w:r>
      <w:r w:rsidR="00CE56E2">
        <w:t>,</w:t>
      </w:r>
      <w:r w:rsidR="003536A9">
        <w:t xml:space="preserve"> organisations </w:t>
      </w:r>
      <w:r w:rsidR="00CE56E2">
        <w:t xml:space="preserve">and businesses </w:t>
      </w:r>
      <w:r w:rsidR="003536A9">
        <w:t xml:space="preserve">can participate in the </w:t>
      </w:r>
      <w:r w:rsidR="00B85287">
        <w:t>National Review</w:t>
      </w:r>
      <w:r>
        <w:t xml:space="preserve"> are provided in Section 8. </w:t>
      </w:r>
      <w:r w:rsidR="003536A9">
        <w:t xml:space="preserve"> </w:t>
      </w:r>
    </w:p>
    <w:p w:rsidR="00546F89" w:rsidRPr="00546F89" w:rsidRDefault="003C3A2D" w:rsidP="003C3A2D">
      <w:r>
        <w:t xml:space="preserve">The material in this </w:t>
      </w:r>
      <w:r w:rsidR="0013360F">
        <w:t xml:space="preserve">Issues </w:t>
      </w:r>
      <w:r>
        <w:t>Paper does not represent any finalised research, nor is it intended to limit the scope of submissions. Rather, the paper is intended to provide guidance on the types of issues that the</w:t>
      </w:r>
      <w:r w:rsidR="00146B60">
        <w:t xml:space="preserve"> Commission</w:t>
      </w:r>
      <w:r>
        <w:t xml:space="preserve"> is interested in exploring </w:t>
      </w:r>
      <w:r w:rsidR="008820E4">
        <w:t>through the course of the National Review</w:t>
      </w:r>
      <w:r w:rsidR="00492A59">
        <w:t>.</w:t>
      </w:r>
    </w:p>
    <w:p w:rsidR="00203D4E" w:rsidRDefault="003C3A2D" w:rsidP="003A6021">
      <w:pPr>
        <w:pStyle w:val="Heading1"/>
      </w:pPr>
      <w:bookmarkStart w:id="4" w:name="_Toc369190221"/>
      <w:r>
        <w:t xml:space="preserve">Brief background about the </w:t>
      </w:r>
      <w:r w:rsidR="00B85287">
        <w:t>National Review</w:t>
      </w:r>
      <w:bookmarkEnd w:id="4"/>
    </w:p>
    <w:p w:rsidR="002C2420" w:rsidRDefault="002C2420" w:rsidP="006810D7">
      <w:r>
        <w:t>On 22 June 2013, the Attorney-General</w:t>
      </w:r>
      <w:r w:rsidR="00E927EB">
        <w:t>’s Department</w:t>
      </w:r>
      <w:r>
        <w:t xml:space="preserve"> asked the Australian Human Rights Commission to conduct </w:t>
      </w:r>
      <w:r w:rsidR="00B85287">
        <w:t>a national review</w:t>
      </w:r>
      <w:r>
        <w:t xml:space="preserve"> </w:t>
      </w:r>
      <w:r w:rsidR="00C03388">
        <w:t>on the prevalence</w:t>
      </w:r>
      <w:r w:rsidR="00146B60">
        <w:t>, nature and consequences</w:t>
      </w:r>
      <w:r w:rsidR="00C03388">
        <w:t xml:space="preserve"> of discrimination in relation to pregnancy at work and return to work after parental leave</w:t>
      </w:r>
      <w:r>
        <w:t xml:space="preserve">. </w:t>
      </w:r>
    </w:p>
    <w:p w:rsidR="006A2CB9" w:rsidRDefault="00141F69" w:rsidP="006810D7">
      <w:r>
        <w:t>The number of complaints received by the Australian Human Rights Commission</w:t>
      </w:r>
      <w:r w:rsidRPr="00141F69">
        <w:t xml:space="preserve"> </w:t>
      </w:r>
      <w:r>
        <w:t xml:space="preserve">and Fair Work Australia </w:t>
      </w:r>
      <w:r w:rsidR="0014697C">
        <w:t>indicate that discrimination against pregnant employees and against men and women returning to work after taking parental leave continues to be a</w:t>
      </w:r>
      <w:r w:rsidR="00146B60">
        <w:t xml:space="preserve"> </w:t>
      </w:r>
      <w:r w:rsidR="0014697C">
        <w:t xml:space="preserve">problem in Australian workplaces. </w:t>
      </w:r>
    </w:p>
    <w:p w:rsidR="00146B60" w:rsidRDefault="00410660" w:rsidP="00410660">
      <w:r>
        <w:t xml:space="preserve">The </w:t>
      </w:r>
      <w:r w:rsidR="00B85287">
        <w:t xml:space="preserve">National Review </w:t>
      </w:r>
      <w:r>
        <w:t>will</w:t>
      </w:r>
      <w:r w:rsidR="00C8351A">
        <w:t xml:space="preserve"> involve collection of quantitative and qualitative data to assess the </w:t>
      </w:r>
      <w:r>
        <w:t xml:space="preserve">prevalence, nature and consequences of discrimination at work related to pregnancy and during, or on return to work after parental leave. </w:t>
      </w:r>
      <w:r w:rsidR="00CE56E2">
        <w:t>It will also seek to identify, with employers, leading practices and strategies</w:t>
      </w:r>
      <w:r w:rsidR="00122978">
        <w:t xml:space="preserve"> for addressing the challenges of accommodating the needs of pregnant employees </w:t>
      </w:r>
      <w:r w:rsidR="00122978">
        <w:rPr>
          <w:szCs w:val="36"/>
        </w:rPr>
        <w:t>and women and men returning to work after parental leave</w:t>
      </w:r>
      <w:r w:rsidR="00CE56E2">
        <w:t xml:space="preserve">. </w:t>
      </w:r>
      <w:r w:rsidR="00E1604E">
        <w:t>This will be done through</w:t>
      </w:r>
      <w:r w:rsidR="00146B60">
        <w:t>:</w:t>
      </w:r>
    </w:p>
    <w:p w:rsidR="00146B60" w:rsidRDefault="00E1604E" w:rsidP="00146B60">
      <w:pPr>
        <w:pStyle w:val="ListParagraph"/>
        <w:numPr>
          <w:ilvl w:val="0"/>
          <w:numId w:val="22"/>
        </w:numPr>
      </w:pPr>
      <w:r>
        <w:t>a national telephone survey</w:t>
      </w:r>
      <w:r w:rsidR="00146B60">
        <w:t xml:space="preserve"> </w:t>
      </w:r>
      <w:r w:rsidR="00D30857">
        <w:t xml:space="preserve">aimed at </w:t>
      </w:r>
      <w:r w:rsidR="0099715F">
        <w:t xml:space="preserve">gathering quantitative data on the </w:t>
      </w:r>
      <w:r w:rsidR="00146B60">
        <w:t>prevalence of discrimination</w:t>
      </w:r>
      <w:r w:rsidR="000D6A4D">
        <w:t>;</w:t>
      </w:r>
    </w:p>
    <w:p w:rsidR="000D6A4D" w:rsidRDefault="000D6A4D" w:rsidP="00146B60">
      <w:pPr>
        <w:pStyle w:val="ListParagraph"/>
        <w:numPr>
          <w:ilvl w:val="0"/>
          <w:numId w:val="22"/>
        </w:numPr>
      </w:pPr>
      <w:r>
        <w:t>consultations</w:t>
      </w:r>
      <w:r w:rsidR="008E0290" w:rsidRPr="008E0290">
        <w:t xml:space="preserve"> </w:t>
      </w:r>
      <w:r>
        <w:t>through online written submissions</w:t>
      </w:r>
      <w:r w:rsidR="00985FE4">
        <w:t>, group discussions and interviews</w:t>
      </w:r>
      <w:r w:rsidR="00D30857">
        <w:t xml:space="preserve"> aimed at gather</w:t>
      </w:r>
      <w:r w:rsidR="00937D76">
        <w:t>ing</w:t>
      </w:r>
      <w:r w:rsidR="00D30857">
        <w:t xml:space="preserve"> qualitative data on the nature and consequences of discrimination faced by men and women affected </w:t>
      </w:r>
      <w:r w:rsidR="00A45090">
        <w:t xml:space="preserve">by discrimination </w:t>
      </w:r>
      <w:r w:rsidR="00D30857">
        <w:t>and the challenges and leading strategies developed by employers</w:t>
      </w:r>
      <w:r>
        <w:t>;</w:t>
      </w:r>
    </w:p>
    <w:p w:rsidR="00E1604E" w:rsidRDefault="00D30857" w:rsidP="00146B60">
      <w:pPr>
        <w:pStyle w:val="ListParagraph"/>
        <w:numPr>
          <w:ilvl w:val="0"/>
          <w:numId w:val="22"/>
        </w:numPr>
      </w:pPr>
      <w:r>
        <w:t xml:space="preserve">a national </w:t>
      </w:r>
      <w:r w:rsidR="00E1604E">
        <w:t>roundtable</w:t>
      </w:r>
      <w:r w:rsidR="000D6A4D">
        <w:t xml:space="preserve"> discussion with relevant stakeholders</w:t>
      </w:r>
      <w:r>
        <w:t xml:space="preserve"> to </w:t>
      </w:r>
      <w:r w:rsidR="00A45090">
        <w:t xml:space="preserve">discuss the findings </w:t>
      </w:r>
      <w:r w:rsidR="00937D76">
        <w:t>and recommendations from the</w:t>
      </w:r>
      <w:r w:rsidR="00A45090">
        <w:t xml:space="preserve"> survey</w:t>
      </w:r>
      <w:r w:rsidR="00937D76">
        <w:t xml:space="preserve"> and consu</w:t>
      </w:r>
      <w:r w:rsidR="006E5A6D">
        <w:t>lta</w:t>
      </w:r>
      <w:r w:rsidR="00937D76">
        <w:t>tions</w:t>
      </w:r>
      <w:r w:rsidR="000D6A4D">
        <w:t>;</w:t>
      </w:r>
      <w:r w:rsidR="008E0290">
        <w:t xml:space="preserve"> and</w:t>
      </w:r>
    </w:p>
    <w:p w:rsidR="000D6A4D" w:rsidRDefault="008E0290" w:rsidP="00146B60">
      <w:pPr>
        <w:pStyle w:val="ListParagraph"/>
        <w:numPr>
          <w:ilvl w:val="0"/>
          <w:numId w:val="22"/>
        </w:numPr>
      </w:pPr>
      <w:proofErr w:type="gramStart"/>
      <w:r>
        <w:t>desktop</w:t>
      </w:r>
      <w:proofErr w:type="gramEnd"/>
      <w:r>
        <w:t xml:space="preserve"> research</w:t>
      </w:r>
      <w:r w:rsidR="00D30857">
        <w:t xml:space="preserve"> including analysis of the adequacy of existing laws and policies</w:t>
      </w:r>
      <w:r>
        <w:t xml:space="preserve">. </w:t>
      </w:r>
    </w:p>
    <w:p w:rsidR="00BF6419" w:rsidRDefault="00EF3410" w:rsidP="00410660">
      <w:r>
        <w:t>See Attachment A for the Terms of Reference</w:t>
      </w:r>
      <w:r w:rsidR="00D30857">
        <w:t xml:space="preserve"> of the National Review</w:t>
      </w:r>
      <w:r>
        <w:t>.</w:t>
      </w:r>
      <w:r w:rsidR="004E489F">
        <w:t xml:space="preserve"> Further details on the </w:t>
      </w:r>
      <w:r w:rsidR="00503A1B">
        <w:t xml:space="preserve">methodology and timeframe can be found </w:t>
      </w:r>
      <w:r w:rsidR="00D30857">
        <w:t xml:space="preserve">in </w:t>
      </w:r>
      <w:r w:rsidR="00503A1B">
        <w:t xml:space="preserve">the </w:t>
      </w:r>
      <w:r w:rsidR="00B85287">
        <w:rPr>
          <w:u w:val="single"/>
        </w:rPr>
        <w:t xml:space="preserve">National Review </w:t>
      </w:r>
      <w:r w:rsidR="00503A1B" w:rsidRPr="008E0290">
        <w:rPr>
          <w:u w:val="single"/>
        </w:rPr>
        <w:t>Factsheet</w:t>
      </w:r>
      <w:r w:rsidR="00D30857">
        <w:rPr>
          <w:u w:val="single"/>
        </w:rPr>
        <w:t xml:space="preserve"> (see </w:t>
      </w:r>
      <w:r w:rsidR="00D30857" w:rsidRPr="00D30857">
        <w:rPr>
          <w:u w:val="single"/>
        </w:rPr>
        <w:t>http://www.humanrights.gov.au/pregnancy-discrimination</w:t>
      </w:r>
      <w:r w:rsidR="00D30857">
        <w:rPr>
          <w:u w:val="single"/>
        </w:rPr>
        <w:t>)</w:t>
      </w:r>
      <w:r w:rsidR="00503A1B">
        <w:t xml:space="preserve">. </w:t>
      </w:r>
    </w:p>
    <w:p w:rsidR="00410660" w:rsidRDefault="00B20189" w:rsidP="00410660">
      <w:r>
        <w:lastRenderedPageBreak/>
        <w:t>T</w:t>
      </w:r>
      <w:r w:rsidR="00410660">
        <w:t>he Commission will</w:t>
      </w:r>
      <w:r w:rsidR="00EE7C77">
        <w:t xml:space="preserve"> prepare a report</w:t>
      </w:r>
      <w:r w:rsidR="003C4494">
        <w:t xml:space="preserve"> on the </w:t>
      </w:r>
      <w:r w:rsidR="00C77866">
        <w:t>national review</w:t>
      </w:r>
      <w:r w:rsidR="00D30857">
        <w:t>,</w:t>
      </w:r>
      <w:r w:rsidR="003C4494">
        <w:t xml:space="preserve"> including </w:t>
      </w:r>
      <w:r w:rsidR="00410660">
        <w:t>recommendations</w:t>
      </w:r>
      <w:r w:rsidR="00D30857">
        <w:t>,</w:t>
      </w:r>
      <w:r w:rsidR="00EE7C77">
        <w:t xml:space="preserve"> </w:t>
      </w:r>
      <w:r w:rsidR="003C4494">
        <w:t xml:space="preserve">by June 2014. </w:t>
      </w:r>
      <w:r w:rsidR="00EE7C77">
        <w:t xml:space="preserve"> </w:t>
      </w:r>
    </w:p>
    <w:p w:rsidR="00D73403" w:rsidRDefault="0048214A" w:rsidP="00D73403">
      <w:pPr>
        <w:pStyle w:val="Heading1"/>
      </w:pPr>
      <w:bookmarkStart w:id="5" w:name="_Toc369190222"/>
      <w:r>
        <w:t>What work has the</w:t>
      </w:r>
      <w:r w:rsidR="00D2020E">
        <w:t xml:space="preserve"> Commission </w:t>
      </w:r>
      <w:r>
        <w:t>carried out in relation to</w:t>
      </w:r>
      <w:r w:rsidR="00D2020E">
        <w:t xml:space="preserve"> pregnancy and work</w:t>
      </w:r>
      <w:r>
        <w:t>?</w:t>
      </w:r>
      <w:bookmarkEnd w:id="5"/>
    </w:p>
    <w:p w:rsidR="00C60811" w:rsidRDefault="00C60811" w:rsidP="00C60811">
      <w:r>
        <w:t xml:space="preserve">In August 1998, the federal Attorney-General asked the Australian Human Rights Commission to conduct a national inquiry into pregnancy and work.  This was Australia’s </w:t>
      </w:r>
      <w:r w:rsidRPr="003425AB">
        <w:t>first national inquiry into pregnancy</w:t>
      </w:r>
      <w:r>
        <w:t xml:space="preserve">-related </w:t>
      </w:r>
      <w:r w:rsidRPr="003425AB">
        <w:t>discrimination at work</w:t>
      </w:r>
      <w:r>
        <w:t>.</w:t>
      </w:r>
    </w:p>
    <w:p w:rsidR="00C60811" w:rsidRDefault="00C60811" w:rsidP="00C60811">
      <w:r>
        <w:t xml:space="preserve">The Commission published its findings and recommendations the following year in </w:t>
      </w:r>
      <w:hyperlink r:id="rId14" w:history="1">
        <w:r w:rsidRPr="007E52AA">
          <w:rPr>
            <w:rStyle w:val="Hyperlink"/>
            <w:i/>
          </w:rPr>
          <w:t>Pregnant and Productive: It’s a Right not a Privilege to Work while Pregnant</w:t>
        </w:r>
      </w:hyperlink>
      <w:r>
        <w:t>.  In addition, in 2001, t</w:t>
      </w:r>
      <w:r w:rsidRPr="007E52AA">
        <w:t xml:space="preserve">he </w:t>
      </w:r>
      <w:r>
        <w:t xml:space="preserve">Commission launched </w:t>
      </w:r>
      <w:r w:rsidR="00DA6ADC">
        <w:t>the</w:t>
      </w:r>
      <w:r>
        <w:t xml:space="preserve"> </w:t>
      </w:r>
      <w:hyperlink r:id="rId15" w:history="1">
        <w:r w:rsidRPr="00EF2549">
          <w:rPr>
            <w:rStyle w:val="Hyperlink"/>
            <w:i/>
          </w:rPr>
          <w:t>Workplace Pregnancy Guide</w:t>
        </w:r>
        <w:r>
          <w:rPr>
            <w:rStyle w:val="Hyperlink"/>
            <w:i/>
          </w:rPr>
          <w:t>line</w:t>
        </w:r>
        <w:r w:rsidRPr="00EF2549">
          <w:rPr>
            <w:rStyle w:val="Hyperlink"/>
            <w:i/>
          </w:rPr>
          <w:t>s</w:t>
        </w:r>
      </w:hyperlink>
      <w:r w:rsidRPr="008008F2">
        <w:t>.</w:t>
      </w:r>
      <w:r>
        <w:t xml:space="preserve">  </w:t>
      </w:r>
    </w:p>
    <w:p w:rsidR="00033DDF" w:rsidRDefault="00C70B32" w:rsidP="00033DDF">
      <w:pPr>
        <w:pStyle w:val="Heading1"/>
      </w:pPr>
      <w:bookmarkStart w:id="6" w:name="_Toc369190223"/>
      <w:r>
        <w:t>What do we know about</w:t>
      </w:r>
      <w:r w:rsidR="00B07E5A">
        <w:t xml:space="preserve"> discrimination </w:t>
      </w:r>
      <w:r>
        <w:t>experienced by</w:t>
      </w:r>
      <w:r w:rsidR="001E0EC6">
        <w:t xml:space="preserve"> pregnant employees and women and men </w:t>
      </w:r>
      <w:r w:rsidR="00B07E5A">
        <w:t>returning to work after taking parental leave</w:t>
      </w:r>
      <w:r>
        <w:t xml:space="preserve"> today</w:t>
      </w:r>
      <w:r w:rsidR="00B07E5A">
        <w:t>?</w:t>
      </w:r>
      <w:bookmarkEnd w:id="6"/>
    </w:p>
    <w:p w:rsidR="003D6305" w:rsidRDefault="003D6305" w:rsidP="003D6305">
      <w:r>
        <w:t xml:space="preserve">More than a decade after the release of the </w:t>
      </w:r>
      <w:r w:rsidRPr="0069304B">
        <w:rPr>
          <w:i/>
        </w:rPr>
        <w:t>Pregnant and Productive</w:t>
      </w:r>
      <w:r>
        <w:t xml:space="preserve"> report, the Commission continues to receive complaints concerning discrimination based on pregnancy as well as related grounds such as family responsibilities and breastfeeding.  </w:t>
      </w:r>
    </w:p>
    <w:p w:rsidR="00033DDF" w:rsidRDefault="00033DDF" w:rsidP="00033DDF">
      <w:r>
        <w:rPr>
          <w:rFonts w:cs="Arial"/>
        </w:rPr>
        <w:t>I</w:t>
      </w:r>
      <w:r w:rsidRPr="00BD49DF">
        <w:rPr>
          <w:rFonts w:cs="Arial"/>
        </w:rPr>
        <w:t xml:space="preserve">n 2011 to 2012, </w:t>
      </w:r>
      <w:r w:rsidRPr="00BD49DF">
        <w:rPr>
          <w:rFonts w:cs="Arial"/>
          <w:color w:val="000000"/>
        </w:rPr>
        <w:t>21% of complaints under the Sex Discrimination Act received by the Commission related to pregnancy discrimination and family responsibilities</w:t>
      </w:r>
      <w:r w:rsidR="00C77866">
        <w:rPr>
          <w:rStyle w:val="EndnoteReference"/>
          <w:rFonts w:cs="Arial"/>
          <w:color w:val="000000"/>
        </w:rPr>
        <w:endnoteReference w:id="1"/>
      </w:r>
      <w:r w:rsidRPr="00BD49DF">
        <w:rPr>
          <w:rFonts w:cs="Arial"/>
          <w:color w:val="000000"/>
        </w:rPr>
        <w:t>.</w:t>
      </w:r>
      <w:r w:rsidRPr="004036E3">
        <w:t xml:space="preserve"> </w:t>
      </w:r>
      <w:r>
        <w:t xml:space="preserve">The Commission received 160 complaints related to pregnancy discrimination, 63 complaints related to family responsibilities discrimination and 2 complaints related to breastfeeding discrimination.  The overwhelming majority of these complaints were submitted by women.     </w:t>
      </w:r>
    </w:p>
    <w:p w:rsidR="00033DDF" w:rsidRDefault="00033DDF" w:rsidP="00033DDF">
      <w:pPr>
        <w:rPr>
          <w:rFonts w:cs="Arial"/>
          <w:color w:val="000000"/>
        </w:rPr>
      </w:pPr>
      <w:r w:rsidRPr="00BD49DF">
        <w:rPr>
          <w:rFonts w:cs="Arial"/>
        </w:rPr>
        <w:t xml:space="preserve">Similarly, </w:t>
      </w:r>
      <w:r w:rsidRPr="00BD49DF">
        <w:rPr>
          <w:rFonts w:cs="Arial"/>
          <w:color w:val="000000"/>
        </w:rPr>
        <w:t>21% of the complaints investigated by the Fair Work Commission in 2011-2012 related to an allegation of pregnancy discrimination</w:t>
      </w:r>
      <w:r w:rsidR="00F30A34">
        <w:rPr>
          <w:rStyle w:val="EndnoteReference"/>
          <w:rFonts w:cs="Arial"/>
          <w:color w:val="000000"/>
        </w:rPr>
        <w:endnoteReference w:id="2"/>
      </w:r>
      <w:r w:rsidRPr="00BD49DF">
        <w:rPr>
          <w:rFonts w:cs="Arial"/>
          <w:color w:val="000000"/>
        </w:rPr>
        <w:t>.</w:t>
      </w:r>
    </w:p>
    <w:p w:rsidR="00033DDF" w:rsidRPr="00D32D1D" w:rsidRDefault="00033DDF" w:rsidP="00033DDF">
      <w:pPr>
        <w:rPr>
          <w:rFonts w:cs="Arial"/>
        </w:rPr>
      </w:pPr>
      <w:r w:rsidRPr="00D32D1D">
        <w:rPr>
          <w:rFonts w:cs="Arial"/>
        </w:rPr>
        <w:t xml:space="preserve">The ABS </w:t>
      </w:r>
      <w:r>
        <w:rPr>
          <w:rFonts w:cs="Arial"/>
        </w:rPr>
        <w:t>‘P</w:t>
      </w:r>
      <w:r w:rsidRPr="00D32D1D">
        <w:rPr>
          <w:rFonts w:cs="Arial"/>
        </w:rPr>
        <w:t>regnancy and employment transitions 2012</w:t>
      </w:r>
      <w:r>
        <w:rPr>
          <w:rFonts w:cs="Arial"/>
        </w:rPr>
        <w:t>’</w:t>
      </w:r>
      <w:r w:rsidRPr="00D32D1D">
        <w:rPr>
          <w:rFonts w:cs="Arial"/>
        </w:rPr>
        <w:t xml:space="preserve"> data </w:t>
      </w:r>
      <w:r>
        <w:rPr>
          <w:rFonts w:cs="Arial"/>
        </w:rPr>
        <w:t>reveals that a</w:t>
      </w:r>
      <w:r w:rsidRPr="00D32D1D">
        <w:rPr>
          <w:rFonts w:cs="Arial"/>
        </w:rPr>
        <w:t>pproximately 67,300 women (19%) employees perceived experiencing some level of discrimination in the workplace while pregnant. The most common kinds of treatment women reported in the survey included</w:t>
      </w:r>
      <w:r>
        <w:rPr>
          <w:rFonts w:cs="Arial"/>
        </w:rPr>
        <w:t>:</w:t>
      </w:r>
      <w:r w:rsidRPr="00D32D1D">
        <w:rPr>
          <w:rFonts w:cs="Arial"/>
        </w:rPr>
        <w:t xml:space="preserve"> 'Missed out on o</w:t>
      </w:r>
      <w:r>
        <w:rPr>
          <w:rFonts w:cs="Arial"/>
        </w:rPr>
        <w:t>pportunity for promotion' (34%);</w:t>
      </w:r>
      <w:r w:rsidRPr="00D32D1D">
        <w:rPr>
          <w:rFonts w:cs="Arial"/>
        </w:rPr>
        <w:t xml:space="preserve"> 'Missed out on training or development opportunities' (32%)</w:t>
      </w:r>
      <w:r>
        <w:rPr>
          <w:rFonts w:cs="Arial"/>
        </w:rPr>
        <w:t>;</w:t>
      </w:r>
      <w:r w:rsidRPr="00D32D1D">
        <w:rPr>
          <w:rFonts w:cs="Arial"/>
        </w:rPr>
        <w:t xml:space="preserve"> and 'Received inappropriate or negative comments from their manager/supervisor' (28%)</w:t>
      </w:r>
      <w:r w:rsidR="00F30A34">
        <w:rPr>
          <w:rStyle w:val="EndnoteReference"/>
          <w:rFonts w:cs="Arial"/>
        </w:rPr>
        <w:endnoteReference w:id="3"/>
      </w:r>
      <w:r w:rsidRPr="00D32D1D">
        <w:rPr>
          <w:rFonts w:cs="Arial"/>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A5646B" w:rsidTr="00A5646B">
        <w:tc>
          <w:tcPr>
            <w:tcW w:w="9286" w:type="dxa"/>
          </w:tcPr>
          <w:p w:rsidR="00D2482F" w:rsidRDefault="00AB09F4" w:rsidP="00985FE4">
            <w:r>
              <w:t>Q4</w:t>
            </w:r>
            <w:r w:rsidR="00DE7E28">
              <w:t>.1</w:t>
            </w:r>
            <w:r>
              <w:t xml:space="preserve"> </w:t>
            </w:r>
            <w:r w:rsidR="008820E4">
              <w:t xml:space="preserve">What discrimination do employees face in the workplace </w:t>
            </w:r>
            <w:r w:rsidR="00711370">
              <w:t>related to pregnancy</w:t>
            </w:r>
            <w:r w:rsidR="00E57BB8">
              <w:t>, parental leave</w:t>
            </w:r>
            <w:r w:rsidR="00711370">
              <w:t xml:space="preserve"> </w:t>
            </w:r>
            <w:r w:rsidR="00E57BB8">
              <w:t>or</w:t>
            </w:r>
            <w:r w:rsidR="00711370">
              <w:t xml:space="preserve"> </w:t>
            </w:r>
            <w:r w:rsidR="00111D6C">
              <w:t>on</w:t>
            </w:r>
            <w:r w:rsidR="00E57BB8">
              <w:t xml:space="preserve"> returning</w:t>
            </w:r>
            <w:r w:rsidR="00711370">
              <w:t xml:space="preserve"> to work after parental leave?</w:t>
            </w:r>
          </w:p>
          <w:p w:rsidR="00A5646B" w:rsidRDefault="00D2482F" w:rsidP="00711370">
            <w:r>
              <w:t xml:space="preserve">Q4.2 </w:t>
            </w:r>
            <w:r w:rsidR="00DA6ADC">
              <w:t xml:space="preserve">What other data </w:t>
            </w:r>
            <w:r w:rsidR="00985FE4">
              <w:t xml:space="preserve">is available </w:t>
            </w:r>
            <w:r w:rsidR="00DA6ADC">
              <w:t>on the prevalence and nature of discrimination in relation to pregnancy at work and return</w:t>
            </w:r>
            <w:r w:rsidR="00A150C2">
              <w:t>ing</w:t>
            </w:r>
            <w:r w:rsidR="00DA6ADC">
              <w:t xml:space="preserve"> after parental leave</w:t>
            </w:r>
            <w:r w:rsidR="00BA7EF7">
              <w:t xml:space="preserve">? </w:t>
            </w:r>
          </w:p>
        </w:tc>
      </w:tr>
    </w:tbl>
    <w:p w:rsidR="001D7032" w:rsidRDefault="001D7032" w:rsidP="001D7032">
      <w:pPr>
        <w:pStyle w:val="Heading1"/>
      </w:pPr>
      <w:bookmarkStart w:id="7" w:name="_Toc369190224"/>
      <w:r>
        <w:lastRenderedPageBreak/>
        <w:t>What concerns employers?</w:t>
      </w:r>
      <w:bookmarkEnd w:id="7"/>
      <w:r>
        <w:t xml:space="preserve"> </w:t>
      </w:r>
    </w:p>
    <w:p w:rsidR="001D7032" w:rsidRDefault="001D7032" w:rsidP="001D7032">
      <w:pPr>
        <w:pStyle w:val="Heading2"/>
      </w:pPr>
      <w:bookmarkStart w:id="8" w:name="_Toc369190225"/>
      <w:r>
        <w:t>Practical challenges</w:t>
      </w:r>
      <w:bookmarkEnd w:id="8"/>
    </w:p>
    <w:p w:rsidR="001D7032" w:rsidRDefault="001D7032" w:rsidP="001D7032">
      <w:r>
        <w:t xml:space="preserve">Just as pregnant employees and women and men returning to work after parental leave face practical and financial challenges, so do some employers. Challenges may include: </w:t>
      </w:r>
    </w:p>
    <w:p w:rsidR="001D7032" w:rsidRDefault="001D7032" w:rsidP="001D7032">
      <w:pPr>
        <w:pStyle w:val="ListParagraph"/>
        <w:numPr>
          <w:ilvl w:val="0"/>
          <w:numId w:val="21"/>
        </w:numPr>
        <w:tabs>
          <w:tab w:val="left" w:pos="851"/>
        </w:tabs>
      </w:pPr>
      <w:r>
        <w:t>Planning for when employees become pregnant, take parental leave and/or return to work (arranging alternative duties, finding a replacement employee, return to work date etc.)</w:t>
      </w:r>
    </w:p>
    <w:p w:rsidR="001D7032" w:rsidRDefault="001D7032" w:rsidP="001D7032">
      <w:pPr>
        <w:pStyle w:val="ListParagraph"/>
        <w:numPr>
          <w:ilvl w:val="0"/>
          <w:numId w:val="21"/>
        </w:numPr>
        <w:tabs>
          <w:tab w:val="left" w:pos="851"/>
        </w:tabs>
      </w:pPr>
      <w:r>
        <w:t>Costs associated with accommodating needs of pregnant employees, and temporarily replacing employees on parental leave</w:t>
      </w:r>
    </w:p>
    <w:p w:rsidR="001D7032" w:rsidRDefault="001D7032" w:rsidP="001D7032">
      <w:pPr>
        <w:pStyle w:val="ListParagraph"/>
        <w:numPr>
          <w:ilvl w:val="0"/>
          <w:numId w:val="21"/>
        </w:numPr>
        <w:tabs>
          <w:tab w:val="left" w:pos="851"/>
        </w:tabs>
      </w:pPr>
      <w:r>
        <w:t>Awareness of rights and responsibilities towards pregnant employees and employees on parental leave</w:t>
      </w:r>
      <w:r w:rsidR="00C60A11">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1D7032" w:rsidTr="00C60A11">
        <w:tc>
          <w:tcPr>
            <w:tcW w:w="9286" w:type="dxa"/>
          </w:tcPr>
          <w:p w:rsidR="001D7032" w:rsidRDefault="001D7032" w:rsidP="00C60A11">
            <w:pPr>
              <w:tabs>
                <w:tab w:val="left" w:pos="851"/>
              </w:tabs>
            </w:pPr>
            <w:r>
              <w:t>Q</w:t>
            </w:r>
            <w:r w:rsidR="000C59AF">
              <w:t>5</w:t>
            </w:r>
            <w:r>
              <w:t xml:space="preserve">.1.1 What challenges do employers face in accommodating pregnant employees and women and men returning to work after parental leave? </w:t>
            </w:r>
          </w:p>
          <w:p w:rsidR="001D7032" w:rsidRDefault="001D7032" w:rsidP="000C59AF">
            <w:pPr>
              <w:tabs>
                <w:tab w:val="left" w:pos="851"/>
              </w:tabs>
            </w:pPr>
            <w:r>
              <w:t>Q</w:t>
            </w:r>
            <w:r w:rsidR="000C59AF">
              <w:t>5</w:t>
            </w:r>
            <w:r>
              <w:t>.1.2 What support do employers need to accommodate pregnant employees and women and men returning to work after parental leave?</w:t>
            </w:r>
          </w:p>
        </w:tc>
      </w:tr>
    </w:tbl>
    <w:p w:rsidR="001D7032" w:rsidRDefault="001D7032" w:rsidP="001D7032">
      <w:pPr>
        <w:pStyle w:val="Heading2"/>
      </w:pPr>
      <w:bookmarkStart w:id="9" w:name="_Toc369190226"/>
      <w:r>
        <w:t>Possible solutions</w:t>
      </w:r>
      <w:bookmarkEnd w:id="9"/>
    </w:p>
    <w:p w:rsidR="001D7032" w:rsidRDefault="001D7032" w:rsidP="001D7032">
      <w:r>
        <w:t xml:space="preserve">There are many employers and other organisations with leading strategies and practices to accommodate the needs of pregnant employees in the workplace and women and men returning to work after taking parental leave. This National Review is interested in identifying creative and flexible solutions and we would like to hear from individuals and organisations with experience and knowledge of practical measures that will prevent discrimination and assist employers.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1D7032" w:rsidTr="00C60A11">
        <w:tc>
          <w:tcPr>
            <w:tcW w:w="9286" w:type="dxa"/>
          </w:tcPr>
          <w:p w:rsidR="001D7032" w:rsidRDefault="000C59AF" w:rsidP="00C60A11">
            <w:r>
              <w:t>Q5</w:t>
            </w:r>
            <w:r w:rsidR="001D7032">
              <w:t xml:space="preserve">.2.1 What strategies assist with retaining </w:t>
            </w:r>
            <w:r w:rsidR="00111D6C">
              <w:t xml:space="preserve">and supporting </w:t>
            </w:r>
            <w:r w:rsidR="001D7032">
              <w:t xml:space="preserve">employees who are pregnant or have taken parental leave? </w:t>
            </w:r>
          </w:p>
        </w:tc>
      </w:tr>
    </w:tbl>
    <w:p w:rsidR="00D2020E" w:rsidRDefault="00B47256" w:rsidP="00D2020E">
      <w:pPr>
        <w:pStyle w:val="Heading1"/>
      </w:pPr>
      <w:bookmarkStart w:id="10" w:name="_Toc369190227"/>
      <w:r>
        <w:t>What is the current</w:t>
      </w:r>
      <w:r w:rsidR="00876ED5">
        <w:t xml:space="preserve"> national</w:t>
      </w:r>
      <w:r>
        <w:t xml:space="preserve"> legal and policy framework </w:t>
      </w:r>
      <w:r w:rsidR="000B2096">
        <w:t>relevant to the rights of</w:t>
      </w:r>
      <w:r>
        <w:t xml:space="preserve"> pregnant employees and </w:t>
      </w:r>
      <w:r w:rsidR="001E0EC6">
        <w:t xml:space="preserve">women and men </w:t>
      </w:r>
      <w:r>
        <w:t>returning to work after taking parental leave?</w:t>
      </w:r>
      <w:bookmarkEnd w:id="10"/>
    </w:p>
    <w:p w:rsidR="00313631" w:rsidRDefault="00313631" w:rsidP="00313631">
      <w:pPr>
        <w:pStyle w:val="Heading2"/>
      </w:pPr>
      <w:bookmarkStart w:id="11" w:name="_Toc369190228"/>
      <w:r>
        <w:t>Anti-discrimination law</w:t>
      </w:r>
      <w:bookmarkEnd w:id="11"/>
    </w:p>
    <w:p w:rsidR="00313631" w:rsidRPr="00C765C7" w:rsidRDefault="00313631" w:rsidP="00313631">
      <w:pPr>
        <w:rPr>
          <w:rFonts w:cs="Arial"/>
        </w:rPr>
      </w:pPr>
      <w:r w:rsidRPr="00AE7C45">
        <w:rPr>
          <w:rFonts w:cs="Arial"/>
        </w:rPr>
        <w:t xml:space="preserve">The </w:t>
      </w:r>
      <w:r w:rsidRPr="00AE7C45">
        <w:rPr>
          <w:rFonts w:cs="Arial"/>
          <w:i/>
        </w:rPr>
        <w:t xml:space="preserve">Sex Discrimination Act </w:t>
      </w:r>
      <w:r w:rsidRPr="00AE7C45">
        <w:rPr>
          <w:rFonts w:cs="Arial"/>
        </w:rPr>
        <w:t>(</w:t>
      </w:r>
      <w:proofErr w:type="spellStart"/>
      <w:r w:rsidRPr="00AE7C45">
        <w:rPr>
          <w:rFonts w:cs="Arial"/>
        </w:rPr>
        <w:t>Cth</w:t>
      </w:r>
      <w:proofErr w:type="spellEnd"/>
      <w:r w:rsidRPr="00AE7C45">
        <w:rPr>
          <w:rFonts w:cs="Arial"/>
        </w:rPr>
        <w:t xml:space="preserve">) (SDA) makes it unlawful to treat a person unfairly because </w:t>
      </w:r>
      <w:r w:rsidRPr="00C765C7">
        <w:rPr>
          <w:rFonts w:cs="Arial"/>
        </w:rPr>
        <w:t xml:space="preserve">they are pregnant, </w:t>
      </w:r>
      <w:r>
        <w:rPr>
          <w:rFonts w:cs="Arial"/>
        </w:rPr>
        <w:t xml:space="preserve">potentially pregnant, </w:t>
      </w:r>
      <w:r w:rsidRPr="00C765C7">
        <w:rPr>
          <w:rFonts w:cs="Arial"/>
        </w:rPr>
        <w:t>breastfeeding or have family responsibilities.</w:t>
      </w:r>
      <w:r>
        <w:rPr>
          <w:rFonts w:cs="Arial"/>
        </w:rPr>
        <w:t xml:space="preserve"> </w:t>
      </w:r>
      <w:r w:rsidRPr="00C765C7">
        <w:rPr>
          <w:rFonts w:cs="Arial"/>
        </w:rPr>
        <w:t>It includes both direct and indirect discrimination.</w:t>
      </w:r>
      <w:r>
        <w:rPr>
          <w:rStyle w:val="EndnoteReference"/>
          <w:rFonts w:cs="Arial"/>
        </w:rPr>
        <w:endnoteReference w:id="4"/>
      </w:r>
    </w:p>
    <w:p w:rsidR="00313631" w:rsidRDefault="00313631" w:rsidP="00313631">
      <w:r>
        <w:rPr>
          <w:rFonts w:cs="Arial"/>
        </w:rPr>
        <w:t>In the workplace, t</w:t>
      </w:r>
      <w:r w:rsidRPr="00AE7C45">
        <w:rPr>
          <w:rFonts w:cs="Arial"/>
        </w:rPr>
        <w:t>his covers situations where a person ha</w:t>
      </w:r>
      <w:r>
        <w:rPr>
          <w:rFonts w:cs="Arial"/>
        </w:rPr>
        <w:t>s</w:t>
      </w:r>
      <w:r w:rsidRPr="00AE7C45">
        <w:rPr>
          <w:rFonts w:cs="Arial"/>
        </w:rPr>
        <w:t xml:space="preserve"> been: refused employment; dismissed; denied a promotion, transfer or other employment-related </w:t>
      </w:r>
      <w:r w:rsidRPr="00AE7C45">
        <w:rPr>
          <w:rFonts w:cs="Arial"/>
        </w:rPr>
        <w:lastRenderedPageBreak/>
        <w:t>benefits; given less favourable</w:t>
      </w:r>
      <w:r>
        <w:t xml:space="preserve"> terms or conditions of employment; or denied equal access to training opportunities. </w:t>
      </w:r>
    </w:p>
    <w:p w:rsidR="00313631" w:rsidRDefault="008820E4" w:rsidP="00313631">
      <w:r>
        <w:rPr>
          <w:noProof/>
        </w:rPr>
        <mc:AlternateContent>
          <mc:Choice Requires="wps">
            <w:drawing>
              <wp:anchor distT="0" distB="0" distL="114300" distR="114300" simplePos="0" relativeHeight="251660288" behindDoc="0" locked="0" layoutInCell="1" allowOverlap="1" wp14:anchorId="65A206F1" wp14:editId="13F14AB5">
                <wp:simplePos x="0" y="0"/>
                <wp:positionH relativeFrom="column">
                  <wp:posOffset>-43815</wp:posOffset>
                </wp:positionH>
                <wp:positionV relativeFrom="paragraph">
                  <wp:posOffset>720725</wp:posOffset>
                </wp:positionV>
                <wp:extent cx="5743575" cy="1828800"/>
                <wp:effectExtent l="0" t="0" r="28575" b="17780"/>
                <wp:wrapSquare wrapText="bothSides"/>
                <wp:docPr id="1" name="Text Box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w="6350">
                          <a:solidFill>
                            <a:prstClr val="black"/>
                          </a:solidFill>
                        </a:ln>
                        <a:effectLst/>
                      </wps:spPr>
                      <wps:txbx>
                        <w:txbxContent>
                          <w:p w:rsidR="00753180" w:rsidRPr="00AE7C45" w:rsidRDefault="00753180" w:rsidP="00313631">
                            <w:pPr>
                              <w:autoSpaceDE w:val="0"/>
                              <w:autoSpaceDN w:val="0"/>
                              <w:adjustRightInd w:val="0"/>
                              <w:spacing w:before="0" w:after="0"/>
                              <w:rPr>
                                <w:rFonts w:eastAsia="Times New Roman" w:cs="Arial"/>
                              </w:rPr>
                            </w:pPr>
                            <w:r w:rsidRPr="00AE7C45">
                              <w:rPr>
                                <w:rFonts w:eastAsia="Times New Roman" w:cs="Arial"/>
                              </w:rPr>
                              <w:t xml:space="preserve">Direct discrimination </w:t>
                            </w:r>
                            <w:r>
                              <w:rPr>
                                <w:rFonts w:eastAsia="Times New Roman" w:cs="Arial"/>
                              </w:rPr>
                              <w:t xml:space="preserve">happens when a woman is treated less favourably because she is pregnant, or because she may become pregnant or because she is breastfeeding or needs to breastfeed over a period of time. It also happens when a woman or a man is treated less favourably because they have family responsibilities. </w:t>
                            </w:r>
                            <w:r w:rsidRPr="00AE7C45">
                              <w:rPr>
                                <w:rFonts w:eastAsia="Times New Roman" w:cs="Arial"/>
                              </w:rPr>
                              <w:t xml:space="preserve"> For example, refusal to train a pregnant employee where training is available to other comparable staff or reducing the number of shifts a pregnant employee is allocated because it is assumed she will be too tired to work her regular shifts. </w:t>
                            </w:r>
                          </w:p>
                          <w:p w:rsidR="00753180" w:rsidRPr="00AE7C45" w:rsidRDefault="00753180" w:rsidP="00313631">
                            <w:pPr>
                              <w:autoSpaceDE w:val="0"/>
                              <w:autoSpaceDN w:val="0"/>
                              <w:adjustRightInd w:val="0"/>
                              <w:spacing w:before="0" w:after="0"/>
                              <w:rPr>
                                <w:rFonts w:eastAsia="Times New Roman" w:cs="Arial"/>
                                <w:sz w:val="16"/>
                                <w:szCs w:val="16"/>
                              </w:rPr>
                            </w:pPr>
                          </w:p>
                          <w:p w:rsidR="00753180" w:rsidRPr="005D3E8B" w:rsidRDefault="00753180" w:rsidP="00313631">
                            <w:pPr>
                              <w:autoSpaceDE w:val="0"/>
                              <w:autoSpaceDN w:val="0"/>
                              <w:adjustRightInd w:val="0"/>
                              <w:spacing w:after="0"/>
                              <w:rPr>
                                <w:rFonts w:eastAsia="Times New Roman" w:cs="Arial"/>
                              </w:rPr>
                            </w:pPr>
                            <w:r w:rsidRPr="00AE7C45">
                              <w:rPr>
                                <w:rFonts w:eastAsia="Times New Roman" w:cs="Arial"/>
                              </w:rPr>
                              <w:t xml:space="preserve">Indirect </w:t>
                            </w:r>
                            <w:r>
                              <w:rPr>
                                <w:rFonts w:eastAsia="Times New Roman" w:cs="Arial"/>
                              </w:rPr>
                              <w:t xml:space="preserve">discrimination happens when there is a rule or policy that is the same for everyone but has an unfair effect on women who are or may become pregnant or are breastfeeding or need to breastfeed over a period of time. </w:t>
                            </w:r>
                            <w:r w:rsidRPr="00AE7C45">
                              <w:rPr>
                                <w:rFonts w:cs="Arial"/>
                              </w:rPr>
                              <w:t xml:space="preserve">For example, </w:t>
                            </w:r>
                            <w:r w:rsidRPr="00AE7C45">
                              <w:rPr>
                                <w:rFonts w:eastAsia="Times New Roman" w:cs="Arial"/>
                              </w:rPr>
                              <w:t>a policy that employees may apply for a promotion only after two years of uninterrupted service may be indirectly discriminatory to female employees who break their term of service for maternity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_x0000_s1028" type="#_x0000_t202" style="position:absolute;margin-left:-3.45pt;margin-top:56.75pt;width:452.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" filled="f" strokeweight=".5pt">
                <v:textbox style="mso-fit-shape-to-text:t">
                  <w:txbxContent>
                    <w:p w:rsidR="00111D6C" w:rsidRPr="00AE7C45" w:rsidRDefault="00111D6C" w:rsidP="00313631">
                      <w:pPr>
                        <w:autoSpaceDE w:val="0"/>
                        <w:autoSpaceDN w:val="0"/>
                        <w:adjustRightInd w:val="0"/>
                        <w:spacing w:before="0" w:after="0"/>
                        <w:rPr>
                          <w:rFonts w:eastAsia="Times New Roman" w:cs="Arial"/>
                        </w:rPr>
                      </w:pPr>
                      <w:r w:rsidRPr="00AE7C45">
                        <w:rPr>
                          <w:rFonts w:eastAsia="Times New Roman" w:cs="Arial"/>
                        </w:rPr>
                        <w:t xml:space="preserve">Direct discrimination </w:t>
                      </w:r>
                      <w:r>
                        <w:rPr>
                          <w:rFonts w:eastAsia="Times New Roman" w:cs="Arial"/>
                        </w:rPr>
                        <w:t xml:space="preserve">happens when a woman is treated less favourably because she is pregnant, or because she may become pregnant or because she is breastfeeding or needs to breastfeed over a period of time. It also happens when a woman or a man is treated less favourably because they have family responsibilities. </w:t>
                      </w:r>
                      <w:r w:rsidRPr="00AE7C45">
                        <w:rPr>
                          <w:rFonts w:eastAsia="Times New Roman" w:cs="Arial"/>
                        </w:rPr>
                        <w:t xml:space="preserve"> For example, refusal to train a pregnant employee where training is available to other comparable staff or reducing the number of shifts a pregnant employee is allocated because it is assumed she will be too tired to work her regular shifts. </w:t>
                      </w:r>
                    </w:p>
                    <w:p w:rsidR="00111D6C" w:rsidRPr="00AE7C45" w:rsidRDefault="00111D6C" w:rsidP="00313631">
                      <w:pPr>
                        <w:autoSpaceDE w:val="0"/>
                        <w:autoSpaceDN w:val="0"/>
                        <w:adjustRightInd w:val="0"/>
                        <w:spacing w:before="0" w:after="0"/>
                        <w:rPr>
                          <w:rFonts w:eastAsia="Times New Roman" w:cs="Arial"/>
                          <w:sz w:val="16"/>
                          <w:szCs w:val="16"/>
                        </w:rPr>
                      </w:pPr>
                    </w:p>
                    <w:p w:rsidR="00111D6C" w:rsidRPr="005D3E8B" w:rsidRDefault="00111D6C" w:rsidP="00313631">
                      <w:pPr>
                        <w:autoSpaceDE w:val="0"/>
                        <w:autoSpaceDN w:val="0"/>
                        <w:adjustRightInd w:val="0"/>
                        <w:spacing w:after="0"/>
                        <w:rPr>
                          <w:rFonts w:eastAsia="Times New Roman" w:cs="Arial"/>
                        </w:rPr>
                      </w:pPr>
                      <w:r w:rsidRPr="00AE7C45">
                        <w:rPr>
                          <w:rFonts w:eastAsia="Times New Roman" w:cs="Arial"/>
                        </w:rPr>
                        <w:t xml:space="preserve">Indirect </w:t>
                      </w:r>
                      <w:r>
                        <w:rPr>
                          <w:rFonts w:eastAsia="Times New Roman" w:cs="Arial"/>
                        </w:rPr>
                        <w:t xml:space="preserve">discrimination happens when there is a rule or policy that is the same for everyone but has an unfair effect on women who are or may become pregnant or are breastfeeding or need to breastfeed over a period of time. </w:t>
                      </w:r>
                      <w:r w:rsidRPr="00AE7C45">
                        <w:rPr>
                          <w:rFonts w:cs="Arial"/>
                        </w:rPr>
                        <w:t xml:space="preserve">For example, </w:t>
                      </w:r>
                      <w:r w:rsidRPr="00AE7C45">
                        <w:rPr>
                          <w:rFonts w:eastAsia="Times New Roman" w:cs="Arial"/>
                        </w:rPr>
                        <w:t>a policy that employees may apply for a promotion only after two years of uninterrupted service may be indirectly discriminatory to female employees who break their term of service for maternity leave.</w:t>
                      </w:r>
                    </w:p>
                  </w:txbxContent>
                </v:textbox>
                <w10:wrap type="square"/>
              </v:shape>
            </w:pict>
          </mc:Fallback>
        </mc:AlternateContent>
      </w:r>
      <w:r w:rsidR="00313631">
        <w:t xml:space="preserve">Women who are pregnant should be able to continue to work in the same way and under the same conditions as other employees, unless there are valid medical, safety, or pregnancy-related reasons.  </w:t>
      </w:r>
    </w:p>
    <w:p w:rsidR="00313631" w:rsidRDefault="00313631" w:rsidP="00313631"/>
    <w:p w:rsidR="00313631" w:rsidRDefault="00313631" w:rsidP="00313631">
      <w:pPr>
        <w:pStyle w:val="Heading2"/>
      </w:pPr>
      <w:r>
        <w:t xml:space="preserve"> </w:t>
      </w:r>
      <w:bookmarkStart w:id="12" w:name="_Toc369190229"/>
      <w:r>
        <w:t>Employment laws and policies</w:t>
      </w:r>
      <w:bookmarkEnd w:id="12"/>
    </w:p>
    <w:p w:rsidR="008820E4" w:rsidRDefault="008820E4" w:rsidP="00313631">
      <w:r>
        <w:t xml:space="preserve">In 2010, the Australian Government enacted the </w:t>
      </w:r>
      <w:r>
        <w:rPr>
          <w:i/>
        </w:rPr>
        <w:t xml:space="preserve">Paid Parental Leave Act 2010 </w:t>
      </w:r>
      <w:r>
        <w:t>(</w:t>
      </w:r>
      <w:proofErr w:type="spellStart"/>
      <w:r>
        <w:t>Cth</w:t>
      </w:r>
      <w:proofErr w:type="spellEnd"/>
      <w:r>
        <w:t>), which established Australia’s first paid parental leave scheme.  Key objectives of parental leave pay are to ‘promote equality between men and women and balance between work and family’ and to ‘encourage women to continue to participate in the workforce’.</w:t>
      </w:r>
    </w:p>
    <w:p w:rsidR="00313631" w:rsidRPr="000723FB" w:rsidRDefault="00313631" w:rsidP="00313631">
      <w:pPr>
        <w:rPr>
          <w:rFonts w:cs="Arial"/>
        </w:rPr>
      </w:pPr>
      <w:r>
        <w:t xml:space="preserve">The </w:t>
      </w:r>
      <w:r>
        <w:rPr>
          <w:i/>
        </w:rPr>
        <w:t>Fair Work Act 2009</w:t>
      </w:r>
      <w:r>
        <w:t xml:space="preserve"> (FWA) sets out minimum terms and conditions of employment in Australia through the National Employment Standards (NES). Under the NES, most employees who have completed 12 months service have a right to unpaid parental leave and to return to work after taking parental leave. Many employees</w:t>
      </w:r>
      <w:r w:rsidRPr="00DE2237">
        <w:rPr>
          <w:sz w:val="20"/>
          <w:vertAlign w:val="superscript"/>
        </w:rPr>
        <w:endnoteReference w:id="5"/>
      </w:r>
      <w:r>
        <w:t xml:space="preserve"> may request flexible working arrangements, such as a change in hours, patterns or locations of work from their employer. In addition, employees returning to work after taking parental leave are entitled to return to the same position they held </w:t>
      </w:r>
      <w:r w:rsidRPr="000723FB">
        <w:rPr>
          <w:rFonts w:cs="Arial"/>
        </w:rPr>
        <w:t>before they commenced their period of parental leave</w:t>
      </w:r>
      <w:r>
        <w:rPr>
          <w:rFonts w:cs="Arial"/>
        </w:rPr>
        <w:t>, provided that position still exists. However, if that position no longer exists, an employee is entitled to return to an available position for which they are qualified and suited nearest in status and pay to the pre-parental leave position</w:t>
      </w:r>
      <w:r w:rsidRPr="000723FB">
        <w:rPr>
          <w:rFonts w:cs="Arial"/>
        </w:rPr>
        <w:t xml:space="preserve">. </w:t>
      </w:r>
    </w:p>
    <w:p w:rsidR="00313631" w:rsidRPr="000723FB" w:rsidRDefault="00313631" w:rsidP="00313631">
      <w:pPr>
        <w:pStyle w:val="Default"/>
        <w:rPr>
          <w:rFonts w:ascii="Arial" w:hAnsi="Arial" w:cs="Arial"/>
        </w:rPr>
      </w:pPr>
      <w:r>
        <w:rPr>
          <w:rFonts w:ascii="Arial" w:hAnsi="Arial" w:cs="Arial"/>
        </w:rPr>
        <w:t>A pregnant e</w:t>
      </w:r>
      <w:r w:rsidRPr="000723FB">
        <w:rPr>
          <w:rFonts w:ascii="Arial" w:hAnsi="Arial" w:cs="Arial"/>
        </w:rPr>
        <w:t>m</w:t>
      </w:r>
      <w:r>
        <w:rPr>
          <w:rFonts w:ascii="Arial" w:hAnsi="Arial" w:cs="Arial"/>
        </w:rPr>
        <w:t>ployee</w:t>
      </w:r>
      <w:r w:rsidRPr="000723FB">
        <w:rPr>
          <w:rFonts w:ascii="Arial" w:hAnsi="Arial" w:cs="Arial"/>
        </w:rPr>
        <w:t xml:space="preserve"> who can show that </w:t>
      </w:r>
      <w:r>
        <w:rPr>
          <w:rFonts w:ascii="Arial" w:hAnsi="Arial" w:cs="Arial"/>
        </w:rPr>
        <w:t xml:space="preserve">she is fit for work, but that </w:t>
      </w:r>
      <w:r w:rsidRPr="000723FB">
        <w:rPr>
          <w:rFonts w:ascii="Arial" w:hAnsi="Arial" w:cs="Arial"/>
        </w:rPr>
        <w:t>it is inadvisable for her to continue in he</w:t>
      </w:r>
      <w:bookmarkStart w:id="13" w:name="_GoBack"/>
      <w:bookmarkEnd w:id="13"/>
      <w:r w:rsidRPr="000723FB">
        <w:rPr>
          <w:rFonts w:ascii="Arial" w:hAnsi="Arial" w:cs="Arial"/>
        </w:rPr>
        <w:t xml:space="preserve">r present position because of illness, or risks arising out of her pregnancy, or hazards connected with that position, </w:t>
      </w:r>
      <w:r>
        <w:rPr>
          <w:rFonts w:ascii="Arial" w:hAnsi="Arial" w:cs="Arial"/>
        </w:rPr>
        <w:t>is</w:t>
      </w:r>
      <w:r w:rsidRPr="000723FB">
        <w:rPr>
          <w:rFonts w:ascii="Arial" w:hAnsi="Arial" w:cs="Arial"/>
        </w:rPr>
        <w:t xml:space="preserve"> entitled to be transferred to a</w:t>
      </w:r>
      <w:r>
        <w:rPr>
          <w:rFonts w:ascii="Arial" w:hAnsi="Arial" w:cs="Arial"/>
        </w:rPr>
        <w:t>n appropriate</w:t>
      </w:r>
      <w:r w:rsidRPr="000723FB">
        <w:rPr>
          <w:rFonts w:ascii="Arial" w:hAnsi="Arial" w:cs="Arial"/>
        </w:rPr>
        <w:t xml:space="preserve"> ‘safe job’</w:t>
      </w:r>
      <w:r>
        <w:rPr>
          <w:rStyle w:val="EndnoteReference"/>
          <w:rFonts w:cs="Arial"/>
        </w:rPr>
        <w:endnoteReference w:id="6"/>
      </w:r>
      <w:r>
        <w:rPr>
          <w:rFonts w:ascii="Arial" w:hAnsi="Arial" w:cs="Arial"/>
        </w:rPr>
        <w:t xml:space="preserve">. If there is no appropriate </w:t>
      </w:r>
      <w:r w:rsidRPr="000723FB">
        <w:rPr>
          <w:rFonts w:ascii="Arial" w:hAnsi="Arial" w:cs="Arial"/>
        </w:rPr>
        <w:t xml:space="preserve">‘safe job’ </w:t>
      </w:r>
      <w:r>
        <w:rPr>
          <w:rFonts w:ascii="Arial" w:hAnsi="Arial" w:cs="Arial"/>
        </w:rPr>
        <w:t>available</w:t>
      </w:r>
      <w:r w:rsidRPr="000723FB">
        <w:rPr>
          <w:rFonts w:ascii="Arial" w:hAnsi="Arial" w:cs="Arial"/>
        </w:rPr>
        <w:t xml:space="preserve">, the employee </w:t>
      </w:r>
      <w:r>
        <w:rPr>
          <w:rFonts w:ascii="Arial" w:hAnsi="Arial" w:cs="Arial"/>
        </w:rPr>
        <w:t>may be</w:t>
      </w:r>
      <w:r w:rsidRPr="000723FB">
        <w:rPr>
          <w:rFonts w:ascii="Arial" w:hAnsi="Arial" w:cs="Arial"/>
        </w:rPr>
        <w:t xml:space="preserve"> entitled to paid </w:t>
      </w:r>
      <w:r>
        <w:rPr>
          <w:rFonts w:ascii="Arial" w:hAnsi="Arial" w:cs="Arial"/>
        </w:rPr>
        <w:t xml:space="preserve">or unpaid </w:t>
      </w:r>
      <w:r w:rsidRPr="000723FB">
        <w:rPr>
          <w:rFonts w:ascii="Arial" w:hAnsi="Arial" w:cs="Arial"/>
        </w:rPr>
        <w:t xml:space="preserve">‘no safe job leave’ for the period of risk. </w:t>
      </w:r>
    </w:p>
    <w:p w:rsidR="00313631" w:rsidRDefault="00313631" w:rsidP="00313631">
      <w:r w:rsidRPr="000723FB">
        <w:rPr>
          <w:rFonts w:cs="Arial"/>
        </w:rPr>
        <w:lastRenderedPageBreak/>
        <w:t>Employers must seriously consider a request for flexible working arrangements but</w:t>
      </w:r>
      <w:r>
        <w:t xml:space="preserve"> may refuse on reasonable business grounds. Factors that may be relevant include: the effect on the workplace such as financial, efficiency, productivity and customer service impact; inability to organise work among existing staff; inability to recruit a replacement employee or organise practical arrangements to accommodate the employee’s request</w:t>
      </w:r>
      <w:r>
        <w:rPr>
          <w:rStyle w:val="EndnoteReference"/>
        </w:rPr>
        <w:endnoteReference w:id="7"/>
      </w:r>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313631" w:rsidTr="00313631">
        <w:tc>
          <w:tcPr>
            <w:tcW w:w="9286" w:type="dxa"/>
          </w:tcPr>
          <w:p w:rsidR="00313631" w:rsidRDefault="00313631" w:rsidP="00313631">
            <w:r>
              <w:t>Q6.2.1 Does the law adequately protect pregnant employees and parents returning to work after taking parental leave against discrimination?</w:t>
            </w:r>
          </w:p>
          <w:p w:rsidR="00313631" w:rsidRDefault="00313631" w:rsidP="00313631">
            <w:r>
              <w:t>Q6.2.2 Are the laws adequately implemented?</w:t>
            </w:r>
          </w:p>
          <w:p w:rsidR="00313631" w:rsidRDefault="00313631" w:rsidP="00313631">
            <w:r>
              <w:t xml:space="preserve">Q6.2.3 How could the laws and their implementation be strengthened? </w:t>
            </w:r>
          </w:p>
          <w:p w:rsidR="00313631" w:rsidRDefault="00313631" w:rsidP="00313631">
            <w:r>
              <w:t xml:space="preserve">Q6.2.4 What challenges do employers face in implementing employment laws and policies? </w:t>
            </w:r>
          </w:p>
          <w:p w:rsidR="00313631" w:rsidRDefault="00313631" w:rsidP="00313631">
            <w:r>
              <w:t xml:space="preserve">Q6.2.5 What challenges do employees face while pregnant, on or returning to work after taking parental leave? </w:t>
            </w:r>
          </w:p>
        </w:tc>
      </w:tr>
    </w:tbl>
    <w:p w:rsidR="00313631" w:rsidRDefault="00313631" w:rsidP="00313631">
      <w:pPr>
        <w:pStyle w:val="Heading2"/>
      </w:pPr>
      <w:bookmarkStart w:id="14" w:name="_Toc369190230"/>
      <w:r>
        <w:t>Work health and safety laws</w:t>
      </w:r>
      <w:bookmarkEnd w:id="14"/>
      <w:r>
        <w:t xml:space="preserve"> </w:t>
      </w:r>
    </w:p>
    <w:p w:rsidR="00313631" w:rsidRPr="00482EE7" w:rsidRDefault="00313631" w:rsidP="00313631">
      <w:r>
        <w:rPr>
          <w:lang w:val="en"/>
        </w:rPr>
        <w:t>T</w:t>
      </w:r>
      <w:r w:rsidRPr="00A91C59">
        <w:rPr>
          <w:lang w:val="en"/>
        </w:rPr>
        <w:t xml:space="preserve">he </w:t>
      </w:r>
      <w:r w:rsidRPr="00A91C59">
        <w:rPr>
          <w:i/>
          <w:iCs/>
          <w:lang w:val="en"/>
        </w:rPr>
        <w:t>Work Health and Safety Act 2011</w:t>
      </w:r>
      <w:r w:rsidRPr="00A91C59">
        <w:rPr>
          <w:lang w:val="en"/>
        </w:rPr>
        <w:t xml:space="preserve"> </w:t>
      </w:r>
      <w:r>
        <w:rPr>
          <w:lang w:val="en"/>
        </w:rPr>
        <w:t>(</w:t>
      </w:r>
      <w:proofErr w:type="spellStart"/>
      <w:r>
        <w:rPr>
          <w:lang w:val="en"/>
        </w:rPr>
        <w:t>Cth</w:t>
      </w:r>
      <w:proofErr w:type="spellEnd"/>
      <w:r>
        <w:rPr>
          <w:lang w:val="en"/>
        </w:rPr>
        <w:t xml:space="preserve">) (WHS Act) and the </w:t>
      </w:r>
      <w:r>
        <w:rPr>
          <w:i/>
          <w:lang w:val="en"/>
        </w:rPr>
        <w:t xml:space="preserve">Work Health and Safety Regulations 2011 </w:t>
      </w:r>
      <w:r w:rsidRPr="00112149">
        <w:rPr>
          <w:lang w:val="en"/>
        </w:rPr>
        <w:t>(the Regulations)</w:t>
      </w:r>
      <w:r>
        <w:rPr>
          <w:i/>
          <w:lang w:val="en"/>
        </w:rPr>
        <w:t xml:space="preserve"> </w:t>
      </w:r>
      <w:r>
        <w:rPr>
          <w:iCs/>
          <w:lang w:val="en"/>
        </w:rPr>
        <w:t>provide a nationally consistent framework to secure the health and safety of workers and workplaces. The WHS Act</w:t>
      </w:r>
      <w:r>
        <w:t xml:space="preserve"> is a code that has been implemented in all states and territories except for Victoria and Western Australia.</w:t>
      </w:r>
    </w:p>
    <w:p w:rsidR="00313631" w:rsidRPr="00FB4E88" w:rsidRDefault="00313631" w:rsidP="00313631">
      <w:pPr>
        <w:pStyle w:val="NoSpacing"/>
      </w:pPr>
      <w:r>
        <w:rPr>
          <w:lang w:val="en"/>
        </w:rPr>
        <w:t>There are no references to</w:t>
      </w:r>
      <w:r>
        <w:t xml:space="preserve"> pregnancy, potential pregnancy or reproduction in the WHS Act. The Regulations outline the circumstances in which a pregnant worker should be removed from lead risk.  The WHS Act provides that workers </w:t>
      </w:r>
      <w:r w:rsidRPr="00AC31C5">
        <w:t>may cease, or refuse to ca</w:t>
      </w:r>
      <w:r>
        <w:t xml:space="preserve">rry out work if the worker has </w:t>
      </w:r>
      <w:r w:rsidRPr="00AC31C5">
        <w:t>a reasonable concern that to carr</w:t>
      </w:r>
      <w:r>
        <w:t>y out the work would expose them</w:t>
      </w:r>
      <w:r w:rsidRPr="00AC31C5">
        <w:t xml:space="preserve"> to a serious risk to the</w:t>
      </w:r>
      <w:r>
        <w:t xml:space="preserve">ir health or safety, emanating </w:t>
      </w:r>
      <w:r w:rsidRPr="00AC31C5">
        <w:t>from an immediate or imminent exposure to a hazard.</w:t>
      </w:r>
      <w:r>
        <w:t xml:space="preserve"> Ceasing or refusing to work should not affect the employee’s continuity of employment as long as she does not unreasonably refuse to carry out safe and appropriate alternative work provided by her employer.  </w:t>
      </w:r>
    </w:p>
    <w:p w:rsidR="00313631" w:rsidRDefault="00313631" w:rsidP="00313631">
      <w:pPr>
        <w:pStyle w:val="NoSpacing"/>
      </w:pPr>
    </w:p>
    <w:tbl>
      <w:tblPr>
        <w:tblStyle w:val="TableGrid"/>
        <w:tblW w:w="0" w:type="auto"/>
        <w:tblLook w:val="04A0" w:firstRow="1" w:lastRow="0" w:firstColumn="1" w:lastColumn="0" w:noHBand="0" w:noVBand="1"/>
      </w:tblPr>
      <w:tblGrid>
        <w:gridCol w:w="9286"/>
      </w:tblGrid>
      <w:tr w:rsidR="00313631" w:rsidTr="00313631">
        <w:tc>
          <w:tcPr>
            <w:tcW w:w="9286" w:type="dxa"/>
            <w:tcBorders>
              <w:top w:val="single" w:sz="12" w:space="0" w:color="auto"/>
              <w:left w:val="single" w:sz="12" w:space="0" w:color="auto"/>
              <w:bottom w:val="single" w:sz="12" w:space="0" w:color="auto"/>
              <w:right w:val="single" w:sz="12" w:space="0" w:color="auto"/>
            </w:tcBorders>
          </w:tcPr>
          <w:p w:rsidR="00313631" w:rsidRDefault="00313631" w:rsidP="00313631">
            <w:r>
              <w:t>Q6.3.</w:t>
            </w:r>
            <w:r w:rsidR="00FB018F">
              <w:t>1</w:t>
            </w:r>
            <w:r>
              <w:t xml:space="preserve"> What difficulties are there for employers and employees in understanding relevant work health and safety standards in relation to pregnant employees in the workplace?</w:t>
            </w:r>
          </w:p>
          <w:p w:rsidR="00313631" w:rsidRDefault="00313631" w:rsidP="00313631">
            <w:r>
              <w:t>Q6.3.</w:t>
            </w:r>
            <w:r w:rsidR="00FB018F">
              <w:t>2</w:t>
            </w:r>
            <w:r>
              <w:t xml:space="preserve"> Are there any gaps in work health and safety laws and policies in relation to pregnant employees? </w:t>
            </w:r>
          </w:p>
          <w:p w:rsidR="00313631" w:rsidRDefault="00313631" w:rsidP="00313631">
            <w:r>
              <w:t>Q6.3.</w:t>
            </w:r>
            <w:r w:rsidR="00FB018F">
              <w:t>3</w:t>
            </w:r>
            <w:r>
              <w:t xml:space="preserve"> Are there any practical challenges or issues with the interaction of anti-discrimination, employment and work health and safety laws and policies? </w:t>
            </w:r>
          </w:p>
          <w:p w:rsidR="00FB018F" w:rsidRDefault="00FB018F" w:rsidP="00FB018F">
            <w:r>
              <w:t xml:space="preserve">Q6.3.4 What difficulties are there in complying with work health and safety standards </w:t>
            </w:r>
            <w:r>
              <w:lastRenderedPageBreak/>
              <w:t>to make workplaces safe for pregnant employees?</w:t>
            </w:r>
          </w:p>
        </w:tc>
      </w:tr>
    </w:tbl>
    <w:p w:rsidR="00313631" w:rsidRPr="00A02F56" w:rsidRDefault="00313631" w:rsidP="00313631"/>
    <w:p w:rsidR="00D2020E" w:rsidRDefault="008C54E7" w:rsidP="00D2020E">
      <w:pPr>
        <w:pStyle w:val="Heading1"/>
      </w:pPr>
      <w:bookmarkStart w:id="15" w:name="_Toc369190231"/>
      <w:r>
        <w:t xml:space="preserve">What are </w:t>
      </w:r>
      <w:r w:rsidR="00C86811">
        <w:t xml:space="preserve">some of </w:t>
      </w:r>
      <w:r>
        <w:t xml:space="preserve">the key issues of interest to this </w:t>
      </w:r>
      <w:r w:rsidR="005249F1">
        <w:t>National Review</w:t>
      </w:r>
      <w:r>
        <w:t>?</w:t>
      </w:r>
      <w:bookmarkEnd w:id="15"/>
    </w:p>
    <w:p w:rsidR="002A09D4" w:rsidRDefault="002A09D4" w:rsidP="002A09D4">
      <w:pPr>
        <w:pStyle w:val="Heading2"/>
      </w:pPr>
      <w:bookmarkStart w:id="16" w:name="_Toc369190232"/>
      <w:r>
        <w:t>Women</w:t>
      </w:r>
      <w:r w:rsidR="003C3A2D">
        <w:t>’s participation</w:t>
      </w:r>
      <w:r>
        <w:t xml:space="preserve"> in the work</w:t>
      </w:r>
      <w:r w:rsidR="001E533F">
        <w:t>force</w:t>
      </w:r>
      <w:bookmarkEnd w:id="16"/>
    </w:p>
    <w:p w:rsidR="000E29F5" w:rsidRDefault="0078753B" w:rsidP="0078753B">
      <w:r>
        <w:t xml:space="preserve">Women’s </w:t>
      </w:r>
      <w:r w:rsidR="006F4891">
        <w:t xml:space="preserve">equal </w:t>
      </w:r>
      <w:r>
        <w:t>participation in the workforce is a critical part of achievi</w:t>
      </w:r>
      <w:r w:rsidR="00F775ED">
        <w:t>ng gender equality</w:t>
      </w:r>
      <w:r w:rsidR="001F4E01">
        <w:t>. It provides women an equal opportunity to work and ensure lifetime economic security.</w:t>
      </w:r>
    </w:p>
    <w:p w:rsidR="001F5A1C" w:rsidRDefault="006F4891" w:rsidP="0078753B">
      <w:r>
        <w:t>R</w:t>
      </w:r>
      <w:r w:rsidR="004260AE">
        <w:t>esearch</w:t>
      </w:r>
      <w:r w:rsidR="001F4E01">
        <w:t xml:space="preserve"> ha</w:t>
      </w:r>
      <w:r w:rsidR="004260AE">
        <w:t>s</w:t>
      </w:r>
      <w:r w:rsidR="001F4E01">
        <w:t xml:space="preserve"> shown that women are</w:t>
      </w:r>
      <w:r w:rsidR="00094EAA">
        <w:t xml:space="preserve"> an</w:t>
      </w:r>
      <w:r w:rsidR="001F4E01">
        <w:t xml:space="preserve"> </w:t>
      </w:r>
      <w:r w:rsidR="001F5A1C">
        <w:t>‘untapped productivity potential’</w:t>
      </w:r>
      <w:r w:rsidR="001F5A1C">
        <w:rPr>
          <w:rStyle w:val="EndnoteReference"/>
        </w:rPr>
        <w:endnoteReference w:id="8"/>
      </w:r>
      <w:r w:rsidR="0077699A">
        <w:t xml:space="preserve">. </w:t>
      </w:r>
      <w:r w:rsidR="001F5A1C">
        <w:t>I</w:t>
      </w:r>
      <w:r w:rsidR="00F55787">
        <w:t xml:space="preserve">ncreasing women’s participation </w:t>
      </w:r>
      <w:r w:rsidR="001F5A1C">
        <w:t>in the workforce would lead to an</w:t>
      </w:r>
      <w:r w:rsidR="00F55787">
        <w:t xml:space="preserve"> estimated growth in Australia’s GDP</w:t>
      </w:r>
      <w:r w:rsidR="001F5A1C">
        <w:t xml:space="preserve"> of $25 billion per year</w:t>
      </w:r>
      <w:r w:rsidR="001F5A1C">
        <w:rPr>
          <w:rStyle w:val="EndnoteReference"/>
        </w:rPr>
        <w:t xml:space="preserve"> </w:t>
      </w:r>
      <w:r w:rsidR="00F55787">
        <w:rPr>
          <w:rStyle w:val="EndnoteReference"/>
        </w:rPr>
        <w:endnoteReference w:id="9"/>
      </w:r>
      <w:r w:rsidR="00F55787">
        <w:t xml:space="preserve">. </w:t>
      </w:r>
    </w:p>
    <w:p w:rsidR="00F775ED" w:rsidRDefault="00F775ED" w:rsidP="0078753B">
      <w:r>
        <w:t xml:space="preserve">Further, contrary to </w:t>
      </w:r>
      <w:r w:rsidR="00234C06">
        <w:t xml:space="preserve">the ‘ideal worker’ stereotype, </w:t>
      </w:r>
      <w:r w:rsidR="006F4891">
        <w:t>r</w:t>
      </w:r>
      <w:r w:rsidR="00234C06">
        <w:t>esearch has</w:t>
      </w:r>
      <w:r>
        <w:t xml:space="preserve"> found that </w:t>
      </w:r>
      <w:r w:rsidR="00F735B1">
        <w:t>female employees</w:t>
      </w:r>
      <w:r w:rsidR="006C1058">
        <w:t xml:space="preserve"> in flexibl</w:t>
      </w:r>
      <w:r w:rsidR="00F735B1">
        <w:t>e</w:t>
      </w:r>
      <w:r w:rsidR="006C1058">
        <w:t xml:space="preserve"> roles</w:t>
      </w:r>
      <w:r>
        <w:t xml:space="preserve"> tend to</w:t>
      </w:r>
      <w:r w:rsidR="00234C06">
        <w:t xml:space="preserve"> be more productive</w:t>
      </w:r>
      <w:r w:rsidR="0077699A">
        <w:t xml:space="preserve"> </w:t>
      </w:r>
      <w:r w:rsidR="00234C06">
        <w:t xml:space="preserve">than their full-time colleagues simply </w:t>
      </w:r>
      <w:r w:rsidR="0077699A">
        <w:t>by using their time more wisely</w:t>
      </w:r>
      <w:r w:rsidR="00264AF4">
        <w:rPr>
          <w:rStyle w:val="EndnoteReference"/>
        </w:rPr>
        <w:endnoteReference w:id="10"/>
      </w:r>
      <w: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284464" w:rsidTr="00284464">
        <w:tc>
          <w:tcPr>
            <w:tcW w:w="9286" w:type="dxa"/>
          </w:tcPr>
          <w:p w:rsidR="009F4E0B" w:rsidRDefault="00284464" w:rsidP="000C59AF">
            <w:r>
              <w:t>Q</w:t>
            </w:r>
            <w:r w:rsidR="000C59AF">
              <w:t>7</w:t>
            </w:r>
            <w:r>
              <w:t xml:space="preserve">.1.1 What </w:t>
            </w:r>
            <w:r w:rsidR="00CA57EB">
              <w:t>policies</w:t>
            </w:r>
            <w:r w:rsidR="003637DD">
              <w:t xml:space="preserve"> or programs assist</w:t>
            </w:r>
            <w:r w:rsidR="001A2212">
              <w:t xml:space="preserve"> with the</w:t>
            </w:r>
            <w:r w:rsidR="003637DD">
              <w:t xml:space="preserve"> retention of</w:t>
            </w:r>
            <w:r w:rsidR="00CA57EB">
              <w:t xml:space="preserve"> employees while pregnant and on return to work after taking parental leave? </w:t>
            </w:r>
          </w:p>
        </w:tc>
      </w:tr>
    </w:tbl>
    <w:p w:rsidR="002A09D4" w:rsidRDefault="002A09D4" w:rsidP="002A09D4">
      <w:pPr>
        <w:pStyle w:val="Heading2"/>
      </w:pPr>
      <w:bookmarkStart w:id="17" w:name="_Toc369190233"/>
      <w:r>
        <w:t>Impact</w:t>
      </w:r>
      <w:r w:rsidR="00AC584C">
        <w:t xml:space="preserve"> of discrimination</w:t>
      </w:r>
      <w:r w:rsidR="00887141">
        <w:t xml:space="preserve"> against pregnant employees and </w:t>
      </w:r>
      <w:r w:rsidR="00333BB7">
        <w:t>women and men</w:t>
      </w:r>
      <w:r w:rsidR="00887141">
        <w:t xml:space="preserve"> returning to work after taking parental leave</w:t>
      </w:r>
      <w:bookmarkEnd w:id="17"/>
    </w:p>
    <w:p w:rsidR="00424E4D" w:rsidRPr="00424E4D" w:rsidRDefault="00D27C49" w:rsidP="00424E4D">
      <w:r>
        <w:t xml:space="preserve">The Review is interested in the impact of discrimination </w:t>
      </w:r>
      <w:r w:rsidR="00DC08A6">
        <w:t xml:space="preserve">on women, on parents and families, on business and on the wider Australian community. </w:t>
      </w:r>
    </w:p>
    <w:p w:rsidR="00AC584C" w:rsidRDefault="00AC584C" w:rsidP="00AC584C">
      <w:pPr>
        <w:pStyle w:val="Heading3"/>
      </w:pPr>
      <w:bookmarkStart w:id="18" w:name="_Toc369190234"/>
      <w:r>
        <w:t>On women</w:t>
      </w:r>
      <w:bookmarkEnd w:id="18"/>
      <w:r w:rsidR="003536A9">
        <w:t xml:space="preserve"> </w:t>
      </w:r>
    </w:p>
    <w:p w:rsidR="00E9532E" w:rsidRDefault="00E9532E" w:rsidP="00404C13">
      <w:pPr>
        <w:pStyle w:val="ListParagraph"/>
        <w:numPr>
          <w:ilvl w:val="0"/>
          <w:numId w:val="18"/>
        </w:numPr>
      </w:pPr>
      <w:r>
        <w:t>Denies women their right to work and have a family</w:t>
      </w:r>
    </w:p>
    <w:p w:rsidR="00A80B6D" w:rsidRDefault="00A80B6D" w:rsidP="00404C13">
      <w:pPr>
        <w:pStyle w:val="ListParagraph"/>
        <w:numPr>
          <w:ilvl w:val="0"/>
          <w:numId w:val="18"/>
        </w:numPr>
      </w:pPr>
      <w:r>
        <w:t xml:space="preserve">Preserves </w:t>
      </w:r>
      <w:r w:rsidR="007D5AFD">
        <w:t xml:space="preserve">traditional </w:t>
      </w:r>
      <w:r>
        <w:t>stereotypes</w:t>
      </w:r>
      <w:r w:rsidR="007D5AFD">
        <w:t xml:space="preserve"> about gender roles</w:t>
      </w:r>
      <w:r w:rsidR="007201BC">
        <w:t xml:space="preserve"> </w:t>
      </w:r>
      <w:r w:rsidR="00A379DC">
        <w:t>such as</w:t>
      </w:r>
      <w:r w:rsidR="007201BC">
        <w:t xml:space="preserve"> </w:t>
      </w:r>
      <w:r w:rsidR="00A379DC">
        <w:t>‘</w:t>
      </w:r>
      <w:r w:rsidR="007201BC">
        <w:t>women must make a choice between their careers and having a family</w:t>
      </w:r>
      <w:r w:rsidR="00A379DC">
        <w:t>’</w:t>
      </w:r>
    </w:p>
    <w:p w:rsidR="00B1556C" w:rsidRDefault="00B1556C" w:rsidP="00404C13">
      <w:pPr>
        <w:pStyle w:val="ListParagraph"/>
        <w:numPr>
          <w:ilvl w:val="0"/>
          <w:numId w:val="18"/>
        </w:numPr>
      </w:pPr>
      <w:r>
        <w:t>Being demoted, forced to resign or reduce hours</w:t>
      </w:r>
      <w:r w:rsidR="007201BC">
        <w:t xml:space="preserve"> during pregnancy</w:t>
      </w:r>
      <w:r>
        <w:t xml:space="preserve"> </w:t>
      </w:r>
      <w:r w:rsidR="009E5BF1">
        <w:t xml:space="preserve">limits financial resources </w:t>
      </w:r>
      <w:r w:rsidR="001D466A">
        <w:t xml:space="preserve">at a time </w:t>
      </w:r>
      <w:r w:rsidR="009E5BF1">
        <w:t>most needed to care for a family</w:t>
      </w:r>
    </w:p>
    <w:p w:rsidR="00A80B6D" w:rsidRDefault="00C75F36" w:rsidP="00404C13">
      <w:pPr>
        <w:pStyle w:val="ListParagraph"/>
        <w:numPr>
          <w:ilvl w:val="0"/>
          <w:numId w:val="18"/>
        </w:numPr>
      </w:pPr>
      <w:r>
        <w:t xml:space="preserve">Lack of </w:t>
      </w:r>
      <w:r w:rsidR="004C7829">
        <w:t>opportunity</w:t>
      </w:r>
      <w:r>
        <w:t xml:space="preserve"> to</w:t>
      </w:r>
      <w:r w:rsidR="00383B82">
        <w:t xml:space="preserve"> return to work </w:t>
      </w:r>
      <w:r w:rsidR="00A80B6D">
        <w:t xml:space="preserve">limits employment options and </w:t>
      </w:r>
      <w:r w:rsidR="00F775ED">
        <w:t xml:space="preserve">interrupts </w:t>
      </w:r>
      <w:r w:rsidR="00A80B6D">
        <w:t>advancement in women’s careers</w:t>
      </w:r>
    </w:p>
    <w:p w:rsidR="00A80B6D" w:rsidRDefault="004C7829" w:rsidP="00404C13">
      <w:pPr>
        <w:pStyle w:val="ListParagraph"/>
        <w:numPr>
          <w:ilvl w:val="0"/>
          <w:numId w:val="18"/>
        </w:numPr>
      </w:pPr>
      <w:r>
        <w:t>Lack of options</w:t>
      </w:r>
      <w:r w:rsidR="008A45C1">
        <w:t xml:space="preserve"> to stay or re-enter the workforce negatively affects women’s retirement incomes and savings</w:t>
      </w:r>
    </w:p>
    <w:p w:rsidR="00887141" w:rsidRDefault="00887141" w:rsidP="00887141">
      <w:pPr>
        <w:pStyle w:val="Heading3"/>
      </w:pPr>
      <w:bookmarkStart w:id="19" w:name="_Toc369190235"/>
      <w:r>
        <w:t>On parents and families</w:t>
      </w:r>
      <w:bookmarkEnd w:id="19"/>
      <w:r w:rsidR="00B74207">
        <w:t xml:space="preserve">  </w:t>
      </w:r>
    </w:p>
    <w:p w:rsidR="00383B82" w:rsidRDefault="004C7829" w:rsidP="00404C13">
      <w:pPr>
        <w:pStyle w:val="ListParagraph"/>
        <w:numPr>
          <w:ilvl w:val="0"/>
          <w:numId w:val="19"/>
        </w:numPr>
      </w:pPr>
      <w:r>
        <w:t>Lack of</w:t>
      </w:r>
      <w:r w:rsidR="007201BC">
        <w:t xml:space="preserve"> </w:t>
      </w:r>
      <w:r w:rsidR="00D13199">
        <w:t xml:space="preserve">return to work options </w:t>
      </w:r>
      <w:r w:rsidR="00383B82">
        <w:t xml:space="preserve">puts </w:t>
      </w:r>
      <w:r>
        <w:t xml:space="preserve">financial and caring </w:t>
      </w:r>
      <w:r w:rsidR="00383B82">
        <w:t>pressures on families</w:t>
      </w:r>
    </w:p>
    <w:p w:rsidR="00A80B6D" w:rsidRDefault="00D13199" w:rsidP="00404C13">
      <w:pPr>
        <w:pStyle w:val="ListParagraph"/>
        <w:numPr>
          <w:ilvl w:val="0"/>
          <w:numId w:val="19"/>
        </w:numPr>
      </w:pPr>
      <w:r>
        <w:lastRenderedPageBreak/>
        <w:t xml:space="preserve">Lack of flexible arrangements on return to work </w:t>
      </w:r>
      <w:r w:rsidR="00D26353">
        <w:t>denies</w:t>
      </w:r>
      <w:r w:rsidR="00A80B6D">
        <w:t xml:space="preserve"> </w:t>
      </w:r>
      <w:r w:rsidR="00633277">
        <w:t>parents</w:t>
      </w:r>
      <w:r w:rsidR="00A80B6D">
        <w:t xml:space="preserve"> a chance to bond</w:t>
      </w:r>
      <w:r w:rsidR="007201BC">
        <w:t xml:space="preserve"> </w:t>
      </w:r>
      <w:r w:rsidR="00A80B6D">
        <w:t xml:space="preserve">in the crucial early stages </w:t>
      </w:r>
    </w:p>
    <w:p w:rsidR="00383B82" w:rsidRDefault="00633277" w:rsidP="00404C13">
      <w:pPr>
        <w:pStyle w:val="ListParagraph"/>
        <w:numPr>
          <w:ilvl w:val="0"/>
          <w:numId w:val="19"/>
        </w:numPr>
      </w:pPr>
      <w:r>
        <w:t>Discrimination affect</w:t>
      </w:r>
      <w:r w:rsidR="007201BC">
        <w:t xml:space="preserve"> the general </w:t>
      </w:r>
      <w:r w:rsidR="00D13199">
        <w:t xml:space="preserve">health and </w:t>
      </w:r>
      <w:r w:rsidR="007201BC">
        <w:t>wellbeing of parents</w:t>
      </w:r>
      <w:r w:rsidR="008C6559">
        <w:t>,</w:t>
      </w:r>
      <w:r w:rsidR="007201BC">
        <w:t xml:space="preserve"> and in turn families</w:t>
      </w:r>
    </w:p>
    <w:p w:rsidR="00AC584C" w:rsidRPr="00AC584C" w:rsidRDefault="00AC584C" w:rsidP="00AC584C">
      <w:pPr>
        <w:pStyle w:val="Heading3"/>
      </w:pPr>
      <w:bookmarkStart w:id="20" w:name="_Toc369190236"/>
      <w:r>
        <w:t xml:space="preserve">On </w:t>
      </w:r>
      <w:r w:rsidR="001B3E34">
        <w:t>business</w:t>
      </w:r>
      <w:bookmarkEnd w:id="20"/>
      <w:r w:rsidR="003536A9" w:rsidRPr="003536A9">
        <w:rPr>
          <w:highlight w:val="yellow"/>
        </w:rPr>
        <w:t xml:space="preserve"> </w:t>
      </w:r>
    </w:p>
    <w:p w:rsidR="00B1556C" w:rsidRDefault="00B1556C" w:rsidP="00404C13">
      <w:pPr>
        <w:pStyle w:val="ListParagraph"/>
        <w:numPr>
          <w:ilvl w:val="0"/>
          <w:numId w:val="18"/>
        </w:numPr>
      </w:pPr>
      <w:r>
        <w:t>Loss of qualified and highly trained</w:t>
      </w:r>
      <w:r w:rsidR="00383B82">
        <w:t xml:space="preserve"> staff </w:t>
      </w:r>
    </w:p>
    <w:p w:rsidR="0005526A" w:rsidRDefault="0005526A" w:rsidP="00404C13">
      <w:pPr>
        <w:pStyle w:val="ListParagraph"/>
        <w:numPr>
          <w:ilvl w:val="0"/>
          <w:numId w:val="18"/>
        </w:numPr>
      </w:pPr>
      <w:r>
        <w:t>High cost o</w:t>
      </w:r>
      <w:r w:rsidR="00E9532E">
        <w:t xml:space="preserve">f recruiting new </w:t>
      </w:r>
      <w:r>
        <w:t>employees (advertising, management time, training etc.)</w:t>
      </w:r>
    </w:p>
    <w:p w:rsidR="008C6559" w:rsidRDefault="008C6559" w:rsidP="00404C13">
      <w:pPr>
        <w:pStyle w:val="ListParagraph"/>
        <w:numPr>
          <w:ilvl w:val="0"/>
          <w:numId w:val="18"/>
        </w:numPr>
      </w:pPr>
      <w:r>
        <w:t>Loss of productivity in the workplace</w:t>
      </w:r>
    </w:p>
    <w:p w:rsidR="00A852B7" w:rsidRDefault="00633277" w:rsidP="00404C13">
      <w:pPr>
        <w:pStyle w:val="ListParagraph"/>
        <w:numPr>
          <w:ilvl w:val="0"/>
          <w:numId w:val="18"/>
        </w:numPr>
      </w:pPr>
      <w:r>
        <w:t>Discrimination</w:t>
      </w:r>
      <w:r w:rsidR="00A852B7">
        <w:t xml:space="preserve"> </w:t>
      </w:r>
      <w:r w:rsidR="0005526A">
        <w:t xml:space="preserve">and lack of job security </w:t>
      </w:r>
      <w:r w:rsidR="00A852B7">
        <w:t>affec</w:t>
      </w:r>
      <w:r w:rsidR="0005526A">
        <w:t xml:space="preserve">t levels of satisfaction and morale </w:t>
      </w:r>
      <w:r w:rsidR="00B1583F">
        <w:t>of staff</w:t>
      </w:r>
    </w:p>
    <w:p w:rsidR="00383B82" w:rsidRDefault="00383B82" w:rsidP="00404C13">
      <w:pPr>
        <w:pStyle w:val="ListParagraph"/>
        <w:numPr>
          <w:ilvl w:val="0"/>
          <w:numId w:val="18"/>
        </w:numPr>
      </w:pPr>
      <w:r>
        <w:t>L</w:t>
      </w:r>
      <w:r w:rsidR="00B84782">
        <w:t xml:space="preserve">oss of pregnant employees limits </w:t>
      </w:r>
      <w:r>
        <w:t>diversity in the workplace</w:t>
      </w:r>
    </w:p>
    <w:p w:rsidR="001B3E34" w:rsidRDefault="001B3E34" w:rsidP="001B3E34">
      <w:pPr>
        <w:pStyle w:val="Heading3"/>
      </w:pPr>
      <w:bookmarkStart w:id="21" w:name="_Toc369190237"/>
      <w:r>
        <w:t xml:space="preserve">On </w:t>
      </w:r>
      <w:r w:rsidR="00887141">
        <w:t xml:space="preserve">the </w:t>
      </w:r>
      <w:r>
        <w:t>wider</w:t>
      </w:r>
      <w:r w:rsidR="00887141">
        <w:t xml:space="preserve"> Australian</w:t>
      </w:r>
      <w:r>
        <w:t xml:space="preserve"> community</w:t>
      </w:r>
      <w:bookmarkEnd w:id="21"/>
      <w:r w:rsidR="003536A9" w:rsidRPr="003536A9">
        <w:rPr>
          <w:highlight w:val="yellow"/>
        </w:rPr>
        <w:t xml:space="preserve"> </w:t>
      </w:r>
    </w:p>
    <w:p w:rsidR="00E74A2D" w:rsidRDefault="00E74A2D" w:rsidP="00404C13">
      <w:pPr>
        <w:pStyle w:val="ListParagraph"/>
        <w:numPr>
          <w:ilvl w:val="0"/>
          <w:numId w:val="20"/>
        </w:numPr>
      </w:pPr>
      <w:r>
        <w:t xml:space="preserve">Fosters negative </w:t>
      </w:r>
      <w:r w:rsidR="006764F2">
        <w:t>attitudes</w:t>
      </w:r>
      <w:r w:rsidR="00382494">
        <w:t xml:space="preserve"> </w:t>
      </w:r>
      <w:r>
        <w:t>that pregnant women and parents are undervalued</w:t>
      </w:r>
      <w:r w:rsidR="00016838">
        <w:t xml:space="preserve"> in the community</w:t>
      </w:r>
    </w:p>
    <w:p w:rsidR="00D26353" w:rsidRDefault="00D26353" w:rsidP="00404C13">
      <w:pPr>
        <w:pStyle w:val="ListParagraph"/>
        <w:numPr>
          <w:ilvl w:val="0"/>
          <w:numId w:val="20"/>
        </w:numPr>
      </w:pPr>
      <w:r>
        <w:t xml:space="preserve">Loss of women in the workforce </w:t>
      </w:r>
      <w:r w:rsidR="00DF29C0">
        <w:t xml:space="preserve">can affect </w:t>
      </w:r>
      <w:r w:rsidR="006F54F1">
        <w:t>overall economic productivity and</w:t>
      </w:r>
      <w:r w:rsidR="00B84782">
        <w:t xml:space="preserve"> </w:t>
      </w:r>
      <w:r w:rsidR="00DF29C0">
        <w:t>g</w:t>
      </w:r>
      <w:r w:rsidR="006F54F1">
        <w:t>rowth in Australia’s gross domestic product</w:t>
      </w:r>
    </w:p>
    <w:p w:rsidR="0005526A" w:rsidRDefault="00D26353" w:rsidP="00404C13">
      <w:pPr>
        <w:pStyle w:val="ListParagraph"/>
        <w:numPr>
          <w:ilvl w:val="0"/>
          <w:numId w:val="20"/>
        </w:numPr>
      </w:pPr>
      <w:r>
        <w:t>Women’s lower levels of superannuation savings increases their reliance on age</w:t>
      </w:r>
      <w:r w:rsidR="00C75F36">
        <w:t>d</w:t>
      </w:r>
      <w:r>
        <w:t xml:space="preserve"> pension and other welfare needs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650C6" w:rsidTr="00016838">
        <w:tc>
          <w:tcPr>
            <w:tcW w:w="9286" w:type="dxa"/>
          </w:tcPr>
          <w:p w:rsidR="001A2212" w:rsidRDefault="00E74A2D" w:rsidP="00D90A4C">
            <w:pPr>
              <w:tabs>
                <w:tab w:val="left" w:pos="871"/>
              </w:tabs>
            </w:pPr>
            <w:r>
              <w:t>Q.</w:t>
            </w:r>
            <w:r w:rsidR="000C59AF">
              <w:t>7</w:t>
            </w:r>
            <w:r>
              <w:t>.2.</w:t>
            </w:r>
            <w:r w:rsidR="0071403C">
              <w:t>1</w:t>
            </w:r>
            <w:r>
              <w:t xml:space="preserve"> What are some of </w:t>
            </w:r>
            <w:r w:rsidR="00016838">
              <w:t>the other impacts of discrimination</w:t>
            </w:r>
            <w:r w:rsidR="006764F2">
              <w:t xml:space="preserve"> </w:t>
            </w:r>
            <w:r w:rsidR="00016838">
              <w:t xml:space="preserve">against pregnant employees and </w:t>
            </w:r>
            <w:r w:rsidR="00D90A4C">
              <w:t>women and men</w:t>
            </w:r>
            <w:r w:rsidR="00016838">
              <w:t xml:space="preserve"> returning to work after taking parental leave</w:t>
            </w:r>
            <w:r w:rsidR="00D74F4B">
              <w:t xml:space="preserve"> on</w:t>
            </w:r>
            <w:r w:rsidR="001A2212">
              <w:t>;</w:t>
            </w:r>
          </w:p>
          <w:p w:rsidR="001A2212" w:rsidRDefault="001A2212" w:rsidP="006764F2">
            <w:r>
              <w:t xml:space="preserve">- </w:t>
            </w:r>
            <w:proofErr w:type="gramStart"/>
            <w:r>
              <w:t>women</w:t>
            </w:r>
            <w:proofErr w:type="gramEnd"/>
            <w:r>
              <w:t>?</w:t>
            </w:r>
          </w:p>
          <w:p w:rsidR="001A2212" w:rsidRDefault="001A2212" w:rsidP="006764F2">
            <w:r>
              <w:t xml:space="preserve">- </w:t>
            </w:r>
            <w:proofErr w:type="gramStart"/>
            <w:r w:rsidR="006764F2">
              <w:t>parents</w:t>
            </w:r>
            <w:proofErr w:type="gramEnd"/>
            <w:r w:rsidR="006764F2">
              <w:t xml:space="preserve"> and families</w:t>
            </w:r>
            <w:r w:rsidR="0071403C">
              <w:t>?</w:t>
            </w:r>
          </w:p>
          <w:p w:rsidR="00016838" w:rsidRDefault="001A2212" w:rsidP="006764F2">
            <w:r>
              <w:t xml:space="preserve">- </w:t>
            </w:r>
            <w:proofErr w:type="gramStart"/>
            <w:r w:rsidR="006764F2">
              <w:t>business</w:t>
            </w:r>
            <w:proofErr w:type="gramEnd"/>
            <w:r w:rsidR="006764F2">
              <w:t xml:space="preserve"> and the wider</w:t>
            </w:r>
            <w:r w:rsidR="00D74F4B">
              <w:t xml:space="preserve"> community</w:t>
            </w:r>
            <w:r w:rsidR="00016838">
              <w:t xml:space="preserve">? </w:t>
            </w:r>
          </w:p>
        </w:tc>
      </w:tr>
    </w:tbl>
    <w:p w:rsidR="00C60A11" w:rsidRDefault="00C60A11" w:rsidP="00C60A11">
      <w:pPr>
        <w:pStyle w:val="Heading2"/>
      </w:pPr>
      <w:bookmarkStart w:id="22" w:name="_Toc369190238"/>
      <w:r>
        <w:t xml:space="preserve">Challenges faced by employers as well as leading practices and </w:t>
      </w:r>
      <w:r w:rsidR="00B831A6">
        <w:t>strategies</w:t>
      </w:r>
      <w:r w:rsidR="000110C4">
        <w:t xml:space="preserve"> implemented by employers</w:t>
      </w:r>
      <w:bookmarkEnd w:id="22"/>
    </w:p>
    <w:p w:rsidR="006B6386" w:rsidRPr="006B6386" w:rsidRDefault="00D9253B" w:rsidP="006B6386">
      <w:r>
        <w:t>As mentioned above, t</w:t>
      </w:r>
      <w:r w:rsidR="006B6386">
        <w:t xml:space="preserve">he Review is interested in understanding the challenges faced by employers in accommodating the needs of pregnant employees </w:t>
      </w:r>
      <w:r w:rsidR="006B6386">
        <w:rPr>
          <w:szCs w:val="36"/>
        </w:rPr>
        <w:t>and women and men returning to work after parental leave</w:t>
      </w:r>
      <w:r w:rsidR="006B6386">
        <w:t xml:space="preserve">. It is also interested in identifying, with employers, leading practices and strategies for addressing </w:t>
      </w:r>
      <w:r w:rsidR="002450B0">
        <w:t>these challenges</w:t>
      </w:r>
      <w:r w:rsidR="00600859">
        <w:t xml:space="preserve"> and developing practical and effective recommendations</w:t>
      </w:r>
      <w:r w:rsidR="002450B0">
        <w:t xml:space="preserve">. </w:t>
      </w:r>
    </w:p>
    <w:p w:rsidR="00C577D3" w:rsidRPr="00C577D3" w:rsidRDefault="00546F89" w:rsidP="00C577D3">
      <w:pPr>
        <w:pStyle w:val="Heading1"/>
      </w:pPr>
      <w:bookmarkStart w:id="23" w:name="_Toc369190239"/>
      <w:r>
        <w:t>How</w:t>
      </w:r>
      <w:r w:rsidR="00C650C6">
        <w:t xml:space="preserve"> can you </w:t>
      </w:r>
      <w:r w:rsidR="00E63CBA">
        <w:t xml:space="preserve">participate in the </w:t>
      </w:r>
      <w:r w:rsidR="00D90A4C">
        <w:t>National Review</w:t>
      </w:r>
      <w:r>
        <w:t>?</w:t>
      </w:r>
      <w:bookmarkEnd w:id="23"/>
    </w:p>
    <w:p w:rsidR="0013360F" w:rsidRDefault="00E706D9" w:rsidP="00D73403">
      <w:r>
        <w:t>Individuals and organisation inte</w:t>
      </w:r>
      <w:r w:rsidR="00934F12">
        <w:t xml:space="preserve">rested in participating in the </w:t>
      </w:r>
      <w:r w:rsidR="00D90A4C">
        <w:t>National Review</w:t>
      </w:r>
      <w:r w:rsidR="00934F12">
        <w:t xml:space="preserve"> can do so through consultations or by making a written submission</w:t>
      </w:r>
      <w:r w:rsidR="00D47E1C">
        <w:t xml:space="preserve"> or completing the online questionnaire for employers</w:t>
      </w:r>
      <w:r w:rsidR="00934F12">
        <w:t>.</w:t>
      </w:r>
    </w:p>
    <w:p w:rsidR="00444CD6" w:rsidRPr="0051594A" w:rsidRDefault="0016610A" w:rsidP="00E706D9">
      <w:r w:rsidRPr="0051594A">
        <w:lastRenderedPageBreak/>
        <w:t xml:space="preserve">The information collected through the consultations and </w:t>
      </w:r>
      <w:r w:rsidR="00D47E1C">
        <w:t>written responses</w:t>
      </w:r>
      <w:r w:rsidRPr="0051594A">
        <w:t xml:space="preserve"> will be used for the purposes of understanding the issues and may be drawn upon, quoted or referred to in the National Review’s report. Only de-identified information will be used unless you indicate otherwise. </w:t>
      </w:r>
    </w:p>
    <w:p w:rsidR="003E0991" w:rsidRPr="0051594A" w:rsidRDefault="003E0991" w:rsidP="00E706D9">
      <w:pPr>
        <w:rPr>
          <w:i/>
        </w:rPr>
      </w:pPr>
      <w:r w:rsidRPr="0051594A">
        <w:t xml:space="preserve">Individuals and organisations making submissions should note that any request made under the </w:t>
      </w:r>
      <w:r w:rsidRPr="0051594A">
        <w:rPr>
          <w:i/>
        </w:rPr>
        <w:t xml:space="preserve">Freedom of Information Act 1982 </w:t>
      </w:r>
      <w:r w:rsidRPr="0051594A">
        <w:t>(</w:t>
      </w:r>
      <w:proofErr w:type="spellStart"/>
      <w:r w:rsidRPr="0051594A">
        <w:t>Cth</w:t>
      </w:r>
      <w:proofErr w:type="spellEnd"/>
      <w:r w:rsidRPr="0051594A">
        <w:t xml:space="preserve">) for access to a submission will be determined in accordance with that Act. </w:t>
      </w:r>
      <w:r w:rsidRPr="0051594A">
        <w:rPr>
          <w:lang w:val="en"/>
        </w:rPr>
        <w:t xml:space="preserve">While the </w:t>
      </w:r>
      <w:r w:rsidR="00EF011F" w:rsidRPr="0051594A">
        <w:t>National Review</w:t>
      </w:r>
      <w:r w:rsidRPr="0051594A">
        <w:rPr>
          <w:lang w:val="en"/>
        </w:rPr>
        <w:t xml:space="preserve"> will </w:t>
      </w:r>
      <w:proofErr w:type="spellStart"/>
      <w:r w:rsidRPr="0051594A">
        <w:rPr>
          <w:lang w:val="en"/>
        </w:rPr>
        <w:t>endeavour</w:t>
      </w:r>
      <w:proofErr w:type="spellEnd"/>
      <w:r w:rsidRPr="0051594A">
        <w:rPr>
          <w:lang w:val="en"/>
        </w:rPr>
        <w:t xml:space="preserve"> to identify and protect confidential and exempt material there is no absolute guarantee that the </w:t>
      </w:r>
      <w:r w:rsidR="00EF011F" w:rsidRPr="0051594A">
        <w:t xml:space="preserve">National Review </w:t>
      </w:r>
      <w:r w:rsidRPr="0051594A">
        <w:rPr>
          <w:lang w:val="en"/>
        </w:rPr>
        <w:t>will not be required to reveal confidential information as a result of an FOI request.</w:t>
      </w:r>
      <w:r w:rsidR="0043086F">
        <w:rPr>
          <w:lang w:val="en"/>
        </w:rPr>
        <w:t xml:space="preserve"> Submissions or information you provide is not legally </w:t>
      </w:r>
      <w:r w:rsidR="0051594A">
        <w:rPr>
          <w:lang w:val="en"/>
        </w:rPr>
        <w:t>privileged</w:t>
      </w:r>
      <w:r w:rsidR="0043086F">
        <w:rPr>
          <w:lang w:val="en"/>
        </w:rPr>
        <w:t xml:space="preserve"> and is subject to the ordinary rules of self-incrimination and of defamation as well as the </w:t>
      </w:r>
      <w:r w:rsidR="0043086F">
        <w:rPr>
          <w:i/>
          <w:lang w:val="en"/>
        </w:rPr>
        <w:t>Privacy Act 1988 (</w:t>
      </w:r>
      <w:proofErr w:type="spellStart"/>
      <w:r w:rsidR="0043086F">
        <w:rPr>
          <w:i/>
          <w:lang w:val="en"/>
        </w:rPr>
        <w:t>Cth</w:t>
      </w:r>
      <w:proofErr w:type="spellEnd"/>
      <w:r w:rsidR="0043086F">
        <w:rPr>
          <w:i/>
          <w:lang w:val="en"/>
        </w:rPr>
        <w:t>).</w:t>
      </w:r>
    </w:p>
    <w:p w:rsidR="00E706D9" w:rsidRPr="00D73403" w:rsidRDefault="00E706D9" w:rsidP="00E706D9">
      <w:r>
        <w:t xml:space="preserve">Details on the submission process and further information about the </w:t>
      </w:r>
      <w:r w:rsidR="00EF011F">
        <w:t xml:space="preserve">National Review </w:t>
      </w:r>
      <w:r>
        <w:t xml:space="preserve">can be found at: </w:t>
      </w:r>
      <w:hyperlink r:id="rId16" w:history="1">
        <w:r w:rsidRPr="009158A7">
          <w:rPr>
            <w:rStyle w:val="Hyperlink"/>
          </w:rPr>
          <w:t>http://www.humanrights.gov.au/pregnancy-discrimination</w:t>
        </w:r>
      </w:hyperlink>
      <w:r>
        <w:t xml:space="preserve"> </w:t>
      </w:r>
    </w:p>
    <w:p w:rsidR="002740BC" w:rsidRDefault="00D5465C" w:rsidP="00D73403">
      <w:pPr>
        <w:rPr>
          <w:rStyle w:val="Hyperlink"/>
        </w:rPr>
        <w:sectPr w:rsidR="002740BC" w:rsidSect="00111D6C">
          <w:headerReference w:type="even" r:id="rId17"/>
          <w:headerReference w:type="default" r:id="rId18"/>
          <w:footerReference w:type="default" r:id="rId19"/>
          <w:headerReference w:type="first" r:id="rId20"/>
          <w:endnotePr>
            <w:numFmt w:val="decimal"/>
          </w:endnotePr>
          <w:pgSz w:w="11906" w:h="16838" w:code="9"/>
          <w:pgMar w:top="1134" w:right="1418" w:bottom="1134" w:left="1418" w:header="709" w:footer="709" w:gutter="0"/>
          <w:pgNumType w:start="1"/>
          <w:cols w:space="708"/>
          <w:docGrid w:linePitch="360"/>
        </w:sectPr>
      </w:pPr>
      <w:r>
        <w:t>Submission fo</w:t>
      </w:r>
      <w:r w:rsidR="00154182">
        <w:t xml:space="preserve">rms for affected women and men and </w:t>
      </w:r>
      <w:r>
        <w:t xml:space="preserve">organisations that work with women and </w:t>
      </w:r>
      <w:proofErr w:type="gramStart"/>
      <w:r>
        <w:t>men</w:t>
      </w:r>
      <w:r w:rsidR="00133CE8">
        <w:t>,</w:t>
      </w:r>
      <w:proofErr w:type="gramEnd"/>
      <w:r w:rsidR="00133CE8">
        <w:t xml:space="preserve"> can also be downloaded from</w:t>
      </w:r>
      <w:r w:rsidR="004C1504">
        <w:t xml:space="preserve">: </w:t>
      </w:r>
      <w:hyperlink r:id="rId21" w:history="1">
        <w:r w:rsidR="00133CE8" w:rsidRPr="009158A7">
          <w:rPr>
            <w:rStyle w:val="Hyperlink"/>
          </w:rPr>
          <w:t>http://www.humanrights.gov.au/pregnancy-discrimination</w:t>
        </w:r>
      </w:hyperlink>
      <w:r w:rsidR="00B320AC">
        <w:rPr>
          <w:rStyle w:val="Hyperlink"/>
        </w:rPr>
        <w:t>.</w:t>
      </w:r>
      <w:r w:rsidR="00154182" w:rsidRPr="00154182">
        <w:t xml:space="preserve"> </w:t>
      </w:r>
      <w:r w:rsidR="00154182">
        <w:t>An online questionnaire for employers will be available on the website shortly also.</w:t>
      </w:r>
    </w:p>
    <w:p w:rsidR="002740BC" w:rsidRDefault="002740BC" w:rsidP="00D73403">
      <w:pPr>
        <w:rPr>
          <w:rStyle w:val="Hyperlink"/>
        </w:rPr>
        <w:sectPr w:rsidR="002740BC" w:rsidSect="00111D6C">
          <w:endnotePr>
            <w:numFmt w:val="decimal"/>
          </w:endnotePr>
          <w:type w:val="continuous"/>
          <w:pgSz w:w="11906" w:h="16838" w:code="9"/>
          <w:pgMar w:top="1134" w:right="1418" w:bottom="1134" w:left="1418" w:header="709" w:footer="709" w:gutter="0"/>
          <w:pgNumType w:start="1"/>
          <w:cols w:space="708"/>
          <w:docGrid w:linePitch="360"/>
        </w:sectPr>
      </w:pPr>
    </w:p>
    <w:p w:rsidR="00B04596" w:rsidRDefault="00B04596" w:rsidP="00B04596">
      <w:pPr>
        <w:pStyle w:val="Heading1"/>
        <w:numPr>
          <w:ilvl w:val="0"/>
          <w:numId w:val="0"/>
        </w:numPr>
        <w:rPr>
          <w:lang w:val="en"/>
        </w:rPr>
      </w:pPr>
      <w:bookmarkStart w:id="24" w:name="_Toc369190240"/>
      <w:r>
        <w:rPr>
          <w:lang w:val="en"/>
        </w:rPr>
        <w:lastRenderedPageBreak/>
        <w:t>Attachment A</w:t>
      </w:r>
      <w:bookmarkEnd w:id="24"/>
    </w:p>
    <w:p w:rsidR="00B04596" w:rsidRDefault="00B04596" w:rsidP="00B04596">
      <w:pPr>
        <w:rPr>
          <w:b/>
          <w:sz w:val="26"/>
          <w:lang w:val="en"/>
        </w:rPr>
      </w:pPr>
      <w:r w:rsidRPr="00B04596">
        <w:rPr>
          <w:b/>
          <w:sz w:val="26"/>
          <w:lang w:val="en"/>
        </w:rPr>
        <w:t>Terms of Reference</w:t>
      </w:r>
      <w:r w:rsidR="00A12C94">
        <w:rPr>
          <w:b/>
          <w:sz w:val="26"/>
          <w:lang w:val="en"/>
        </w:rPr>
        <w:t xml:space="preserve"> for the National Review</w:t>
      </w:r>
    </w:p>
    <w:p w:rsidR="00954F2A" w:rsidRPr="000F2299" w:rsidRDefault="00954F2A" w:rsidP="00954F2A">
      <w:pPr>
        <w:rPr>
          <w:rFonts w:cs="Arial"/>
          <w:color w:val="000000"/>
          <w:lang w:val="en-US"/>
        </w:rPr>
      </w:pPr>
      <w:r w:rsidRPr="000F2299">
        <w:rPr>
          <w:rFonts w:cs="Arial"/>
          <w:color w:val="000000"/>
        </w:rPr>
        <w:t xml:space="preserve">The Sex Discrimination Commissioner, on behalf of the Commission, will conduct research to identify the prevalence of discrimination in relation to </w:t>
      </w:r>
      <w:r w:rsidRPr="000F2299">
        <w:rPr>
          <w:rFonts w:cs="Arial"/>
          <w:color w:val="000000"/>
          <w:lang w:val="en-US"/>
        </w:rPr>
        <w:t>pregnancy at work and return to work after parental leave as follows:</w:t>
      </w:r>
    </w:p>
    <w:p w:rsidR="00B04596" w:rsidRPr="00C31078" w:rsidRDefault="00B04596" w:rsidP="00DF0750">
      <w:pPr>
        <w:numPr>
          <w:ilvl w:val="0"/>
          <w:numId w:val="23"/>
        </w:numPr>
        <w:shd w:val="clear" w:color="auto" w:fill="FFFFFF"/>
        <w:spacing w:before="100" w:beforeAutospacing="1" w:after="100" w:afterAutospacing="1"/>
        <w:rPr>
          <w:rFonts w:eastAsia="Times New Roman" w:cs="Arial"/>
          <w:lang w:val="en"/>
        </w:rPr>
      </w:pPr>
      <w:r w:rsidRPr="00C31078">
        <w:rPr>
          <w:rFonts w:eastAsia="Times New Roman" w:cs="Arial"/>
          <w:lang w:val="en"/>
        </w:rPr>
        <w:t xml:space="preserve">A national </w:t>
      </w:r>
      <w:r>
        <w:rPr>
          <w:rFonts w:eastAsia="Times New Roman" w:cs="Arial"/>
          <w:lang w:val="en"/>
        </w:rPr>
        <w:t>telephone</w:t>
      </w:r>
      <w:r w:rsidRPr="00C31078">
        <w:rPr>
          <w:rFonts w:eastAsia="Times New Roman" w:cs="Arial"/>
          <w:lang w:val="en"/>
        </w:rPr>
        <w:t xml:space="preserve"> survey to assess the prevalence, nature and consequences of discrimination relating to pregnancy at work and return to work after parental leave. Selected phone interviews may be conducted with target groups unable to access the online survey.</w:t>
      </w:r>
    </w:p>
    <w:p w:rsidR="00B04596" w:rsidRPr="00C31078" w:rsidRDefault="00B04596" w:rsidP="00B04596">
      <w:pPr>
        <w:numPr>
          <w:ilvl w:val="0"/>
          <w:numId w:val="23"/>
        </w:numPr>
        <w:shd w:val="clear" w:color="auto" w:fill="FFFFFF"/>
        <w:spacing w:before="100" w:beforeAutospacing="1" w:after="100" w:afterAutospacing="1"/>
        <w:rPr>
          <w:rFonts w:eastAsia="Times New Roman" w:cs="Arial"/>
          <w:lang w:val="en"/>
        </w:rPr>
      </w:pPr>
      <w:r w:rsidRPr="00C31078">
        <w:rPr>
          <w:rFonts w:eastAsia="Times New Roman" w:cs="Arial"/>
          <w:lang w:val="en"/>
        </w:rPr>
        <w:t>The Commission would provide an interim report on the survey headline data.</w:t>
      </w:r>
    </w:p>
    <w:p w:rsidR="00B04596" w:rsidRPr="00C31078" w:rsidRDefault="00B04596" w:rsidP="00B04596">
      <w:pPr>
        <w:numPr>
          <w:ilvl w:val="0"/>
          <w:numId w:val="23"/>
        </w:numPr>
        <w:shd w:val="clear" w:color="auto" w:fill="FFFFFF"/>
        <w:spacing w:before="100" w:beforeAutospacing="1" w:after="100" w:afterAutospacing="1"/>
        <w:rPr>
          <w:rFonts w:eastAsia="Times New Roman" w:cs="Arial"/>
          <w:lang w:val="en"/>
        </w:rPr>
      </w:pPr>
      <w:r w:rsidRPr="00C31078">
        <w:rPr>
          <w:rFonts w:eastAsia="Times New Roman" w:cs="Arial"/>
          <w:lang w:val="en"/>
        </w:rPr>
        <w:t xml:space="preserve">The Commission would then convene a series of roundtables and consultations nationally and in regional areas, including with government, industry and employer groups, unions, workers, women’s groups, relevant community and health </w:t>
      </w:r>
      <w:proofErr w:type="spellStart"/>
      <w:r w:rsidRPr="00C31078">
        <w:rPr>
          <w:rFonts w:eastAsia="Times New Roman" w:cs="Arial"/>
          <w:lang w:val="en"/>
        </w:rPr>
        <w:t>organisations</w:t>
      </w:r>
      <w:proofErr w:type="spellEnd"/>
      <w:r w:rsidRPr="00C31078">
        <w:rPr>
          <w:rFonts w:eastAsia="Times New Roman" w:cs="Arial"/>
          <w:lang w:val="en"/>
        </w:rPr>
        <w:t>, and affected women not otherwise represented, to consider the prevalence data and its implications.</w:t>
      </w:r>
    </w:p>
    <w:p w:rsidR="00B04596" w:rsidRPr="00C31078" w:rsidRDefault="00B04596" w:rsidP="00B04596">
      <w:pPr>
        <w:numPr>
          <w:ilvl w:val="0"/>
          <w:numId w:val="23"/>
        </w:numPr>
        <w:shd w:val="clear" w:color="auto" w:fill="FFFFFF"/>
        <w:spacing w:before="100" w:beforeAutospacing="1" w:after="100" w:afterAutospacing="1"/>
        <w:rPr>
          <w:rFonts w:eastAsia="Times New Roman" w:cs="Arial"/>
          <w:lang w:val="en"/>
        </w:rPr>
      </w:pPr>
      <w:r w:rsidRPr="00C31078">
        <w:rPr>
          <w:rFonts w:eastAsia="Times New Roman" w:cs="Arial"/>
          <w:lang w:val="en"/>
        </w:rPr>
        <w:t>Based on the above, the Commission will prepare a research report, including recommendations, which identifies the prevalence of discrimination, adequacy of existing laws, policies procedures and practices, best practice approaches for addressing this, and proposed areas of focus for future activities to address any major matters of concern arising.</w:t>
      </w:r>
    </w:p>
    <w:p w:rsidR="00B04596" w:rsidRDefault="00B04596" w:rsidP="00B04596">
      <w:pPr>
        <w:spacing w:before="0" w:after="0"/>
        <w:rPr>
          <w:rFonts w:eastAsia="Times New Roman" w:cs="Arial"/>
          <w:lang w:val="en"/>
        </w:rPr>
      </w:pPr>
      <w:r w:rsidRPr="00C31078">
        <w:rPr>
          <w:rFonts w:eastAsia="Times New Roman" w:cs="Arial"/>
          <w:lang w:val="en"/>
        </w:rPr>
        <w:t>The Commission will seek to obtain data on the full range of family circumstances, including single parent or separating households, to determine the extent to which the impact of any discrimination may be exacerbated by family circumstances.</w:t>
      </w:r>
      <w:r w:rsidRPr="00C31078">
        <w:rPr>
          <w:rFonts w:eastAsia="Times New Roman" w:cs="Arial"/>
          <w:lang w:val="en"/>
        </w:rPr>
        <w:br/>
      </w:r>
      <w:r w:rsidRPr="00C31078">
        <w:rPr>
          <w:rFonts w:eastAsia="Times New Roman" w:cs="Arial"/>
          <w:lang w:val="en"/>
        </w:rPr>
        <w:br/>
        <w:t xml:space="preserve">In conducting the research, the Commission will consider recent developments in the area (including the introduction and any initial evaluation of the paid parental leave scheme) as well as previous reports (such as the Commission’s National Inquiry into Pregnancy and Work, </w:t>
      </w:r>
      <w:hyperlink r:id="rId22" w:history="1">
        <w:r w:rsidRPr="00C31078">
          <w:rPr>
            <w:rFonts w:eastAsia="Times New Roman" w:cs="Arial"/>
            <w:i/>
            <w:iCs/>
            <w:color w:val="0000CC"/>
            <w:u w:val="single"/>
            <w:lang w:val="en"/>
          </w:rPr>
          <w:t>Pregnant and productive: It’s a right not a privilege to work while pregnant</w:t>
        </w:r>
      </w:hyperlink>
      <w:r w:rsidRPr="00C31078">
        <w:rPr>
          <w:rFonts w:eastAsia="Times New Roman" w:cs="Arial"/>
          <w:lang w:val="en"/>
        </w:rPr>
        <w:t xml:space="preserve"> (1998)).</w:t>
      </w:r>
    </w:p>
    <w:p w:rsidR="00B04596" w:rsidRDefault="00B04596" w:rsidP="00D73403">
      <w:pPr>
        <w:rPr>
          <w:rStyle w:val="Hyperlink"/>
        </w:rPr>
      </w:pPr>
    </w:p>
    <w:sectPr w:rsidR="00B04596" w:rsidSect="00111D6C">
      <w:endnotePr>
        <w:numFmt w:val="decimal"/>
      </w:endnotePr>
      <w:pgSz w:w="11906" w:h="16838" w:code="9"/>
      <w:pgMar w:top="1134" w:right="1418" w:bottom="1134" w:left="141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80" w:rsidRDefault="00753180" w:rsidP="00F14C6D">
      <w:r>
        <w:separator/>
      </w:r>
    </w:p>
  </w:endnote>
  <w:endnote w:type="continuationSeparator" w:id="0">
    <w:p w:rsidR="00753180" w:rsidRDefault="00753180" w:rsidP="00F14C6D">
      <w:r>
        <w:continuationSeparator/>
      </w:r>
    </w:p>
  </w:endnote>
  <w:endnote w:id="1">
    <w:p w:rsidR="00753180" w:rsidRPr="00E15A90" w:rsidRDefault="00753180" w:rsidP="00C77866">
      <w:pPr>
        <w:pStyle w:val="EndnoteText"/>
        <w:rPr>
          <w:i/>
        </w:rPr>
      </w:pPr>
      <w:r>
        <w:rPr>
          <w:rStyle w:val="EndnoteReference"/>
        </w:rPr>
        <w:endnoteRef/>
      </w:r>
      <w:r>
        <w:t xml:space="preserve"> Australian Human Rights Commission (2012) </w:t>
      </w:r>
      <w:r>
        <w:rPr>
          <w:i/>
        </w:rPr>
        <w:t xml:space="preserve">Annual Report 2011 – 2012 </w:t>
      </w:r>
    </w:p>
  </w:endnote>
  <w:endnote w:id="2">
    <w:p w:rsidR="00753180" w:rsidRDefault="00753180" w:rsidP="00F30A34">
      <w:pPr>
        <w:pStyle w:val="EndnoteText"/>
      </w:pPr>
      <w:r>
        <w:rPr>
          <w:rStyle w:val="EndnoteReference"/>
        </w:rPr>
        <w:endnoteRef/>
      </w:r>
      <w:r>
        <w:t xml:space="preserve"> Information provided by Fair Work Ombudsman as of 30 May 2013</w:t>
      </w:r>
    </w:p>
  </w:endnote>
  <w:endnote w:id="3">
    <w:p w:rsidR="00753180" w:rsidRPr="00F155B3" w:rsidRDefault="00753180" w:rsidP="00F30A34">
      <w:pPr>
        <w:pStyle w:val="EndnoteText"/>
      </w:pPr>
      <w:r>
        <w:rPr>
          <w:rStyle w:val="EndnoteReference"/>
        </w:rPr>
        <w:endnoteRef/>
      </w:r>
      <w:r>
        <w:t xml:space="preserve"> Australian Bureau of Statistics (2012) </w:t>
      </w:r>
      <w:r>
        <w:rPr>
          <w:i/>
        </w:rPr>
        <w:t>Pregnancy and Employment Transitions</w:t>
      </w:r>
      <w:r>
        <w:t>, Cat. No. 4913</w:t>
      </w:r>
    </w:p>
  </w:endnote>
  <w:endnote w:id="4">
    <w:p w:rsidR="00753180" w:rsidRDefault="00753180" w:rsidP="00313631">
      <w:pPr>
        <w:pStyle w:val="EndnoteText"/>
      </w:pPr>
      <w:r>
        <w:rPr>
          <w:rStyle w:val="EndnoteReference"/>
        </w:rPr>
        <w:endnoteRef/>
      </w:r>
      <w:r>
        <w:t xml:space="preserve"> Only direct discrimination on the ground of family responsibilities is unlawful: s 7A SDA.</w:t>
      </w:r>
    </w:p>
  </w:endnote>
  <w:endnote w:id="5">
    <w:p w:rsidR="00753180" w:rsidRDefault="00753180" w:rsidP="00313631">
      <w:pPr>
        <w:pStyle w:val="EndnoteText"/>
      </w:pPr>
      <w:r>
        <w:rPr>
          <w:rStyle w:val="EndnoteReference"/>
        </w:rPr>
        <w:endnoteRef/>
      </w:r>
      <w:r>
        <w:t xml:space="preserve"> Employees who are: the parent or carer of a child who is school aged or younger, carers, who have a disability, over 55, experiencing violence from a family member, or who provide support to a family member experiencing violence.</w:t>
      </w:r>
    </w:p>
  </w:endnote>
  <w:endnote w:id="6">
    <w:p w:rsidR="00753180" w:rsidRDefault="00753180" w:rsidP="00313631">
      <w:pPr>
        <w:pStyle w:val="EndnoteText"/>
      </w:pPr>
      <w:r>
        <w:rPr>
          <w:rStyle w:val="EndnoteReference"/>
        </w:rPr>
        <w:endnoteRef/>
      </w:r>
      <w:r>
        <w:t xml:space="preserve"> An appropriate safe job should require the employee to work the same number of ordinary hours of work (unless a different number of ordinary hours </w:t>
      </w:r>
      <w:proofErr w:type="gramStart"/>
      <w:r>
        <w:t>is</w:t>
      </w:r>
      <w:proofErr w:type="gramEnd"/>
      <w:r>
        <w:t xml:space="preserve"> agreed to with the employee) and be at the same pay.</w:t>
      </w:r>
    </w:p>
  </w:endnote>
  <w:endnote w:id="7">
    <w:p w:rsidR="00753180" w:rsidRDefault="00753180" w:rsidP="00313631">
      <w:pPr>
        <w:pStyle w:val="EndnoteText"/>
      </w:pPr>
      <w:r>
        <w:rPr>
          <w:rStyle w:val="EndnoteReference"/>
        </w:rPr>
        <w:endnoteRef/>
      </w:r>
      <w:r>
        <w:t xml:space="preserve"> Fair Work Ombudsman (2013) ‘Fact sheet: Requests for flexible working arrangements and the National Employment Standards’</w:t>
      </w:r>
    </w:p>
  </w:endnote>
  <w:endnote w:id="8">
    <w:p w:rsidR="00753180" w:rsidRDefault="00753180" w:rsidP="00D5465C">
      <w:pPr>
        <w:pStyle w:val="EndnoteText"/>
      </w:pPr>
      <w:r>
        <w:rPr>
          <w:rStyle w:val="EndnoteReference"/>
        </w:rPr>
        <w:endnoteRef/>
      </w:r>
      <w:r>
        <w:t xml:space="preserve"> </w:t>
      </w:r>
      <w:r w:rsidRPr="00264AF4">
        <w:t>Ernst &amp; Young</w:t>
      </w:r>
      <w:r>
        <w:rPr>
          <w:i/>
        </w:rPr>
        <w:t xml:space="preserve"> </w:t>
      </w:r>
      <w:r>
        <w:t>(2013) ‘Untapped opportunity: The role of women in unlocking Australia’s productivity potential’</w:t>
      </w:r>
    </w:p>
  </w:endnote>
  <w:endnote w:id="9">
    <w:p w:rsidR="00753180" w:rsidRDefault="00753180" w:rsidP="00D5465C">
      <w:pPr>
        <w:pStyle w:val="EndnoteText"/>
      </w:pPr>
      <w:r>
        <w:rPr>
          <w:rStyle w:val="EndnoteReference"/>
        </w:rPr>
        <w:endnoteRef/>
      </w:r>
      <w:r>
        <w:t xml:space="preserve"> Grattan Institute (2012) ‘Game-changers: Economic reform priorities for Australia’</w:t>
      </w:r>
    </w:p>
  </w:endnote>
  <w:endnote w:id="10">
    <w:p w:rsidR="00753180" w:rsidRDefault="00753180" w:rsidP="00906716">
      <w:pPr>
        <w:pStyle w:val="EndnoteText"/>
        <w:rPr>
          <w:b/>
          <w:sz w:val="28"/>
          <w:szCs w:val="28"/>
        </w:rPr>
      </w:pPr>
      <w:r>
        <w:rPr>
          <w:rStyle w:val="EndnoteReference"/>
        </w:rPr>
        <w:endnoteRef/>
      </w:r>
      <w:r>
        <w:t xml:space="preserve"> </w:t>
      </w:r>
      <w:r w:rsidRPr="00264AF4">
        <w:t>Ernst &amp; Young</w:t>
      </w:r>
      <w:r>
        <w:rPr>
          <w:i/>
        </w:rPr>
        <w:t xml:space="preserve"> </w:t>
      </w:r>
      <w:r>
        <w:t>(2013) ‘</w:t>
      </w:r>
      <w:proofErr w:type="gramStart"/>
      <w:r>
        <w:t>Untapped</w:t>
      </w:r>
      <w:proofErr w:type="gramEnd"/>
      <w:r>
        <w:t xml:space="preserve"> opportunity: The role of women in unlocking Australia’s productivity potential’. </w:t>
      </w:r>
    </w:p>
    <w:p w:rsidR="00753180" w:rsidRDefault="00753180" w:rsidP="00D5465C">
      <w:pPr>
        <w:pStyle w:val="EndnoteText"/>
        <w:rPr>
          <w:b/>
          <w:sz w:val="28"/>
          <w:szCs w:val="28"/>
        </w:rPr>
      </w:pPr>
    </w:p>
    <w:p w:rsidR="00753180" w:rsidRPr="00264AF4" w:rsidRDefault="00753180" w:rsidP="00906716">
      <w:pPr>
        <w:pStyle w:val="EndnoteText"/>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0" w:rsidRPr="0090165F" w:rsidRDefault="00753180"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0" w:rsidRPr="00AB2E8D" w:rsidRDefault="00753180" w:rsidP="00162A8D">
    <w:pPr>
      <w:pStyle w:val="Footer"/>
      <w:jc w:val="right"/>
      <w:rPr>
        <w:szCs w:val="18"/>
      </w:rPr>
    </w:pPr>
    <w:r w:rsidRPr="00AB2E8D">
      <w:rPr>
        <w:rStyle w:val="PageNumber"/>
        <w:szCs w:val="18"/>
      </w:rPr>
      <w:fldChar w:fldCharType="begin"/>
    </w:r>
    <w:r w:rsidRPr="00AB2E8D">
      <w:rPr>
        <w:rStyle w:val="PageNumber"/>
        <w:szCs w:val="18"/>
      </w:rPr>
      <w:instrText xml:space="preserve"> PAGE </w:instrText>
    </w:r>
    <w:r w:rsidRPr="00AB2E8D">
      <w:rPr>
        <w:rStyle w:val="PageNumber"/>
        <w:szCs w:val="18"/>
      </w:rPr>
      <w:fldChar w:fldCharType="separate"/>
    </w:r>
    <w:r w:rsidR="00153558">
      <w:rPr>
        <w:rStyle w:val="PageNumber"/>
        <w:noProof/>
        <w:szCs w:val="18"/>
      </w:rPr>
      <w:t>7</w:t>
    </w:r>
    <w:r w:rsidRPr="00AB2E8D">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80" w:rsidRDefault="00753180" w:rsidP="00F14C6D">
      <w:r>
        <w:separator/>
      </w:r>
    </w:p>
  </w:footnote>
  <w:footnote w:type="continuationSeparator" w:id="0">
    <w:p w:rsidR="00753180" w:rsidRDefault="00753180"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0" w:rsidRDefault="007531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59776;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0" w:rsidRPr="00D27262" w:rsidRDefault="00753180"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8752;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753180" w:rsidRDefault="00753180"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53180" w:rsidRPr="00B85DD4" w:rsidTr="00165E3C">
      <w:trPr>
        <w:trHeight w:val="1276"/>
      </w:trPr>
      <w:tc>
        <w:tcPr>
          <w:tcW w:w="1508" w:type="dxa"/>
        </w:tcPr>
        <w:p w:rsidR="00753180" w:rsidRPr="00B85DD4" w:rsidRDefault="00753180"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0800;mso-position-horizontal-relative:margin;mso-position-vertical-relative:margin" o:allowincell="f">
                <v:imagedata r:id="rId1" o:title="MS word cover1"/>
                <w10:wrap anchorx="margin" anchory="margin"/>
              </v:shape>
            </w:pict>
          </w:r>
        </w:p>
      </w:tc>
      <w:tc>
        <w:tcPr>
          <w:tcW w:w="2688" w:type="dxa"/>
          <w:vAlign w:val="center"/>
        </w:tcPr>
        <w:p w:rsidR="00753180" w:rsidRPr="00B85DD4" w:rsidRDefault="00753180" w:rsidP="002B1B65">
          <w:pPr>
            <w:spacing w:before="0" w:after="0"/>
            <w:rPr>
              <w:rFonts w:cs="ArialMT"/>
              <w:i/>
              <w:color w:val="808080"/>
              <w:sz w:val="17"/>
            </w:rPr>
          </w:pPr>
        </w:p>
      </w:tc>
      <w:tc>
        <w:tcPr>
          <w:tcW w:w="2302" w:type="dxa"/>
        </w:tcPr>
        <w:p w:rsidR="00753180" w:rsidRPr="00B85DD4" w:rsidRDefault="00753180" w:rsidP="00B520BC">
          <w:pPr>
            <w:pStyle w:val="HeaderFooter"/>
            <w:rPr>
              <w:b/>
              <w:spacing w:val="-20"/>
              <w:sz w:val="40"/>
            </w:rPr>
          </w:pPr>
        </w:p>
      </w:tc>
      <w:tc>
        <w:tcPr>
          <w:tcW w:w="2130" w:type="dxa"/>
        </w:tcPr>
        <w:p w:rsidR="00753180" w:rsidRPr="00B85DD4" w:rsidRDefault="00753180" w:rsidP="00B520BC">
          <w:pPr>
            <w:pStyle w:val="HeaderFooter"/>
            <w:rPr>
              <w:b/>
              <w:spacing w:val="-20"/>
              <w:sz w:val="40"/>
            </w:rPr>
          </w:pPr>
        </w:p>
      </w:tc>
      <w:tc>
        <w:tcPr>
          <w:tcW w:w="1721" w:type="dxa"/>
        </w:tcPr>
        <w:p w:rsidR="00753180" w:rsidRPr="00B85DD4" w:rsidRDefault="00753180" w:rsidP="00B520BC">
          <w:pPr>
            <w:pStyle w:val="HeaderFooter"/>
            <w:spacing w:before="227" w:after="340"/>
            <w:rPr>
              <w:b/>
              <w:spacing w:val="-20"/>
              <w:sz w:val="40"/>
            </w:rPr>
          </w:pPr>
        </w:p>
      </w:tc>
    </w:tr>
  </w:tbl>
  <w:p w:rsidR="00753180" w:rsidRDefault="007531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0" w:rsidRDefault="007531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6704;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0" w:rsidRPr="00D27262" w:rsidRDefault="00753180" w:rsidP="00B34946">
    <w:pPr>
      <w:spacing w:before="0" w:after="60"/>
      <w:jc w:val="right"/>
      <w:rPr>
        <w:sz w:val="22"/>
        <w:szCs w:val="22"/>
      </w:rPr>
    </w:pPr>
    <w:r w:rsidRPr="00D27262">
      <w:rPr>
        <w:sz w:val="22"/>
        <w:szCs w:val="22"/>
      </w:rPr>
      <w:t>Au</w:t>
    </w:r>
    <w:r>
      <w:rPr>
        <w:sz w:val="22"/>
        <w:szCs w:val="22"/>
      </w:rPr>
      <w:t>stralian Human Rights Commission</w:t>
    </w:r>
  </w:p>
  <w:p w:rsidR="00753180" w:rsidRPr="008A156A" w:rsidRDefault="00753180" w:rsidP="00DF0750">
    <w:pPr>
      <w:pStyle w:val="Footer"/>
      <w:jc w:val="right"/>
      <w:rPr>
        <w:b/>
        <w:i/>
        <w:color w:val="auto"/>
        <w:szCs w:val="18"/>
      </w:rPr>
    </w:pPr>
    <w:r w:rsidRPr="008A156A">
      <w:rPr>
        <w:b/>
        <w:i/>
        <w:color w:val="auto"/>
        <w:szCs w:val="18"/>
      </w:rPr>
      <w:t>Supporting Working Parents: Pregnancy and Return to Work National Review</w:t>
    </w:r>
  </w:p>
  <w:p w:rsidR="00753180" w:rsidRPr="00A35DBE" w:rsidRDefault="00753180" w:rsidP="00DF0750">
    <w:pPr>
      <w:pStyle w:val="Footer"/>
      <w:spacing w:after="0"/>
      <w:jc w:val="right"/>
      <w:rPr>
        <w:i/>
        <w:color w:val="auto"/>
        <w:szCs w:val="18"/>
      </w:rPr>
    </w:pPr>
    <w:r w:rsidRPr="00A35DBE">
      <w:rPr>
        <w:b/>
        <w:i/>
        <w:color w:val="auto"/>
        <w:szCs w:val="18"/>
      </w:rPr>
      <w:t>ISSUES PAPER, October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53180" w:rsidRPr="00B85DD4" w:rsidTr="002B1B65">
      <w:trPr>
        <w:trHeight w:val="1603"/>
      </w:trPr>
      <w:tc>
        <w:tcPr>
          <w:tcW w:w="1508" w:type="dxa"/>
        </w:tcPr>
        <w:p w:rsidR="00753180" w:rsidRPr="00B85DD4" w:rsidRDefault="00753180"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7728;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14:anchorId="145B6A16" wp14:editId="12018644">
                <wp:extent cx="819150" cy="819150"/>
                <wp:effectExtent l="0" t="0" r="0" b="0"/>
                <wp:docPr id="4"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753180" w:rsidRPr="00D36BB2" w:rsidRDefault="00753180" w:rsidP="002B1B65">
          <w:pPr>
            <w:pStyle w:val="LogoType"/>
            <w:pBdr>
              <w:bottom w:val="single" w:sz="4" w:space="1" w:color="808080"/>
            </w:pBdr>
            <w:spacing w:line="240" w:lineRule="auto"/>
          </w:pPr>
          <w:r w:rsidRPr="00D36BB2">
            <w:t>Australian</w:t>
          </w:r>
        </w:p>
        <w:p w:rsidR="00753180" w:rsidRPr="00D36BB2" w:rsidRDefault="00753180" w:rsidP="002B1B65">
          <w:pPr>
            <w:pStyle w:val="LogoType"/>
            <w:pBdr>
              <w:bottom w:val="single" w:sz="4" w:space="1" w:color="808080"/>
            </w:pBdr>
            <w:spacing w:line="240" w:lineRule="auto"/>
          </w:pPr>
          <w:r w:rsidRPr="00D36BB2">
            <w:t>Human Rights</w:t>
          </w:r>
        </w:p>
        <w:p w:rsidR="00753180" w:rsidRPr="00D36BB2" w:rsidRDefault="00753180" w:rsidP="002B1B65">
          <w:pPr>
            <w:pStyle w:val="LogoType"/>
            <w:pBdr>
              <w:bottom w:val="single" w:sz="4" w:space="1" w:color="808080"/>
            </w:pBdr>
            <w:spacing w:line="240" w:lineRule="auto"/>
          </w:pPr>
          <w:r w:rsidRPr="00D36BB2">
            <w:t>Commission</w:t>
          </w:r>
        </w:p>
        <w:p w:rsidR="00753180" w:rsidRPr="00B85DD4" w:rsidRDefault="00753180"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753180" w:rsidRPr="00B85DD4" w:rsidRDefault="00753180" w:rsidP="00B520BC">
          <w:pPr>
            <w:pStyle w:val="HeaderFooter"/>
            <w:rPr>
              <w:b/>
              <w:spacing w:val="-20"/>
              <w:sz w:val="40"/>
            </w:rPr>
          </w:pPr>
        </w:p>
      </w:tc>
      <w:tc>
        <w:tcPr>
          <w:tcW w:w="2130" w:type="dxa"/>
        </w:tcPr>
        <w:p w:rsidR="00753180" w:rsidRPr="00B85DD4" w:rsidRDefault="00753180" w:rsidP="00B520BC">
          <w:pPr>
            <w:pStyle w:val="HeaderFooter"/>
            <w:rPr>
              <w:b/>
              <w:spacing w:val="-20"/>
              <w:sz w:val="40"/>
            </w:rPr>
          </w:pPr>
        </w:p>
      </w:tc>
      <w:tc>
        <w:tcPr>
          <w:tcW w:w="1721" w:type="dxa"/>
        </w:tcPr>
        <w:p w:rsidR="00753180" w:rsidRPr="00B85DD4" w:rsidRDefault="00753180" w:rsidP="00B520BC">
          <w:pPr>
            <w:pStyle w:val="HeaderFooter"/>
            <w:spacing w:before="227" w:after="340"/>
            <w:rPr>
              <w:b/>
              <w:spacing w:val="-20"/>
              <w:sz w:val="40"/>
            </w:rPr>
          </w:pPr>
        </w:p>
      </w:tc>
    </w:tr>
  </w:tbl>
  <w:p w:rsidR="00753180" w:rsidRDefault="00753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1C7029"/>
    <w:multiLevelType w:val="hybridMultilevel"/>
    <w:tmpl w:val="35F6A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06035F3"/>
    <w:multiLevelType w:val="hybridMultilevel"/>
    <w:tmpl w:val="EB907E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4161727"/>
    <w:multiLevelType w:val="multilevel"/>
    <w:tmpl w:val="BCC2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EB2193F"/>
    <w:multiLevelType w:val="hybridMultilevel"/>
    <w:tmpl w:val="0D4ECE4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nsid w:val="39CA27A9"/>
    <w:multiLevelType w:val="hybridMultilevel"/>
    <w:tmpl w:val="8D42AFF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49D245F"/>
    <w:multiLevelType w:val="hybridMultilevel"/>
    <w:tmpl w:val="30D02A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8C0560B"/>
    <w:multiLevelType w:val="hybridMultilevel"/>
    <w:tmpl w:val="4FE220F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7D4F05C4"/>
    <w:multiLevelType w:val="hybridMultilevel"/>
    <w:tmpl w:val="A254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8"/>
  </w:num>
  <w:num w:numId="14">
    <w:abstractNumId w:val="13"/>
  </w:num>
  <w:num w:numId="15">
    <w:abstractNumId w:val="11"/>
  </w:num>
  <w:num w:numId="16">
    <w:abstractNumId w:val="23"/>
  </w:num>
  <w:num w:numId="17">
    <w:abstractNumId w:val="17"/>
  </w:num>
  <w:num w:numId="18">
    <w:abstractNumId w:val="16"/>
  </w:num>
  <w:num w:numId="19">
    <w:abstractNumId w:val="21"/>
  </w:num>
  <w:num w:numId="20">
    <w:abstractNumId w:val="22"/>
  </w:num>
  <w:num w:numId="21">
    <w:abstractNumId w:val="10"/>
  </w:num>
  <w:num w:numId="22">
    <w:abstractNumId w:val="12"/>
  </w:num>
  <w:num w:numId="23">
    <w:abstractNumId w:val="14"/>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6B"/>
    <w:rsid w:val="000110C4"/>
    <w:rsid w:val="00014581"/>
    <w:rsid w:val="00016838"/>
    <w:rsid w:val="000329B3"/>
    <w:rsid w:val="00033DDF"/>
    <w:rsid w:val="000458DE"/>
    <w:rsid w:val="0005526A"/>
    <w:rsid w:val="000579B1"/>
    <w:rsid w:val="00070DDA"/>
    <w:rsid w:val="00075F42"/>
    <w:rsid w:val="000859BA"/>
    <w:rsid w:val="00093FEA"/>
    <w:rsid w:val="00094EAA"/>
    <w:rsid w:val="000A1DB8"/>
    <w:rsid w:val="000A48AC"/>
    <w:rsid w:val="000A5ACD"/>
    <w:rsid w:val="000A72C9"/>
    <w:rsid w:val="000B0A5D"/>
    <w:rsid w:val="000B2096"/>
    <w:rsid w:val="000B6327"/>
    <w:rsid w:val="000C09BB"/>
    <w:rsid w:val="000C59AF"/>
    <w:rsid w:val="000C6E16"/>
    <w:rsid w:val="000D6A4D"/>
    <w:rsid w:val="000E130A"/>
    <w:rsid w:val="000E29F5"/>
    <w:rsid w:val="0010243F"/>
    <w:rsid w:val="00111732"/>
    <w:rsid w:val="00111D6C"/>
    <w:rsid w:val="00112149"/>
    <w:rsid w:val="0011306F"/>
    <w:rsid w:val="00113B59"/>
    <w:rsid w:val="00122212"/>
    <w:rsid w:val="00122978"/>
    <w:rsid w:val="001260F8"/>
    <w:rsid w:val="0013280C"/>
    <w:rsid w:val="0013360F"/>
    <w:rsid w:val="00133C61"/>
    <w:rsid w:val="00133CE8"/>
    <w:rsid w:val="00134774"/>
    <w:rsid w:val="00140274"/>
    <w:rsid w:val="0014034D"/>
    <w:rsid w:val="00141F69"/>
    <w:rsid w:val="00145BFB"/>
    <w:rsid w:val="0014697C"/>
    <w:rsid w:val="00146B60"/>
    <w:rsid w:val="00151263"/>
    <w:rsid w:val="00153558"/>
    <w:rsid w:val="00154182"/>
    <w:rsid w:val="00162A8D"/>
    <w:rsid w:val="0016401B"/>
    <w:rsid w:val="001651B6"/>
    <w:rsid w:val="00165E3C"/>
    <w:rsid w:val="0016610A"/>
    <w:rsid w:val="00171A54"/>
    <w:rsid w:val="00173FB5"/>
    <w:rsid w:val="0018048B"/>
    <w:rsid w:val="00183023"/>
    <w:rsid w:val="00185991"/>
    <w:rsid w:val="00191349"/>
    <w:rsid w:val="00192063"/>
    <w:rsid w:val="001A2212"/>
    <w:rsid w:val="001A3103"/>
    <w:rsid w:val="001A6926"/>
    <w:rsid w:val="001B0353"/>
    <w:rsid w:val="001B11F3"/>
    <w:rsid w:val="001B2160"/>
    <w:rsid w:val="001B3E34"/>
    <w:rsid w:val="001B7574"/>
    <w:rsid w:val="001C135F"/>
    <w:rsid w:val="001C1F8B"/>
    <w:rsid w:val="001C3CAB"/>
    <w:rsid w:val="001D466A"/>
    <w:rsid w:val="001D7032"/>
    <w:rsid w:val="001E0EC6"/>
    <w:rsid w:val="001E34DE"/>
    <w:rsid w:val="001E533F"/>
    <w:rsid w:val="001F16A5"/>
    <w:rsid w:val="001F2BBB"/>
    <w:rsid w:val="001F4E01"/>
    <w:rsid w:val="001F5A1C"/>
    <w:rsid w:val="001F62E4"/>
    <w:rsid w:val="00200677"/>
    <w:rsid w:val="00203D4E"/>
    <w:rsid w:val="00212EB2"/>
    <w:rsid w:val="00216C26"/>
    <w:rsid w:val="0023104A"/>
    <w:rsid w:val="00231ED1"/>
    <w:rsid w:val="00234C06"/>
    <w:rsid w:val="00242624"/>
    <w:rsid w:val="002450B0"/>
    <w:rsid w:val="0024557E"/>
    <w:rsid w:val="00251E7C"/>
    <w:rsid w:val="002611CB"/>
    <w:rsid w:val="00264AF4"/>
    <w:rsid w:val="0027148C"/>
    <w:rsid w:val="002740BC"/>
    <w:rsid w:val="002743D2"/>
    <w:rsid w:val="00284464"/>
    <w:rsid w:val="002863D7"/>
    <w:rsid w:val="00291746"/>
    <w:rsid w:val="00295889"/>
    <w:rsid w:val="002A0544"/>
    <w:rsid w:val="002A09D4"/>
    <w:rsid w:val="002A1B50"/>
    <w:rsid w:val="002A63B1"/>
    <w:rsid w:val="002B0911"/>
    <w:rsid w:val="002B1B65"/>
    <w:rsid w:val="002C1866"/>
    <w:rsid w:val="002C19DD"/>
    <w:rsid w:val="002C2420"/>
    <w:rsid w:val="002C3F2E"/>
    <w:rsid w:val="002D2A50"/>
    <w:rsid w:val="002D3174"/>
    <w:rsid w:val="002D5983"/>
    <w:rsid w:val="002D6F45"/>
    <w:rsid w:val="002E44DA"/>
    <w:rsid w:val="002F026E"/>
    <w:rsid w:val="002F0B46"/>
    <w:rsid w:val="002F3F6F"/>
    <w:rsid w:val="002F4CE1"/>
    <w:rsid w:val="002F53A9"/>
    <w:rsid w:val="002F62DC"/>
    <w:rsid w:val="002F761A"/>
    <w:rsid w:val="00300F22"/>
    <w:rsid w:val="00304A37"/>
    <w:rsid w:val="00305CC7"/>
    <w:rsid w:val="00310ED4"/>
    <w:rsid w:val="00312301"/>
    <w:rsid w:val="00312D1A"/>
    <w:rsid w:val="00313631"/>
    <w:rsid w:val="0031492A"/>
    <w:rsid w:val="00316C1A"/>
    <w:rsid w:val="00324231"/>
    <w:rsid w:val="003255FD"/>
    <w:rsid w:val="00331141"/>
    <w:rsid w:val="00333BB7"/>
    <w:rsid w:val="003354E3"/>
    <w:rsid w:val="00341380"/>
    <w:rsid w:val="00344758"/>
    <w:rsid w:val="00347142"/>
    <w:rsid w:val="003523C1"/>
    <w:rsid w:val="003536A9"/>
    <w:rsid w:val="00353CD6"/>
    <w:rsid w:val="00353E99"/>
    <w:rsid w:val="0035433F"/>
    <w:rsid w:val="003565A8"/>
    <w:rsid w:val="003566EA"/>
    <w:rsid w:val="00357747"/>
    <w:rsid w:val="003637DD"/>
    <w:rsid w:val="00365E34"/>
    <w:rsid w:val="00366E42"/>
    <w:rsid w:val="00372C79"/>
    <w:rsid w:val="00373205"/>
    <w:rsid w:val="00382494"/>
    <w:rsid w:val="00383B82"/>
    <w:rsid w:val="00387D4C"/>
    <w:rsid w:val="0039197F"/>
    <w:rsid w:val="00396FD0"/>
    <w:rsid w:val="003A14C2"/>
    <w:rsid w:val="003A4EF7"/>
    <w:rsid w:val="003A6021"/>
    <w:rsid w:val="003A6EEE"/>
    <w:rsid w:val="003B49B7"/>
    <w:rsid w:val="003C3A2D"/>
    <w:rsid w:val="003C4494"/>
    <w:rsid w:val="003D032E"/>
    <w:rsid w:val="003D189D"/>
    <w:rsid w:val="003D25D1"/>
    <w:rsid w:val="003D6305"/>
    <w:rsid w:val="003E0466"/>
    <w:rsid w:val="003E0991"/>
    <w:rsid w:val="003E245D"/>
    <w:rsid w:val="003F4479"/>
    <w:rsid w:val="003F71D5"/>
    <w:rsid w:val="004036E3"/>
    <w:rsid w:val="00404C13"/>
    <w:rsid w:val="004064AD"/>
    <w:rsid w:val="00410660"/>
    <w:rsid w:val="00422417"/>
    <w:rsid w:val="00422FF6"/>
    <w:rsid w:val="004238FF"/>
    <w:rsid w:val="00424233"/>
    <w:rsid w:val="00424E4D"/>
    <w:rsid w:val="004260AE"/>
    <w:rsid w:val="0043086F"/>
    <w:rsid w:val="00433B5D"/>
    <w:rsid w:val="00436CEA"/>
    <w:rsid w:val="004400AD"/>
    <w:rsid w:val="00444CD6"/>
    <w:rsid w:val="004459F3"/>
    <w:rsid w:val="0045774D"/>
    <w:rsid w:val="0047248C"/>
    <w:rsid w:val="00472EFF"/>
    <w:rsid w:val="00474063"/>
    <w:rsid w:val="0047653C"/>
    <w:rsid w:val="00476793"/>
    <w:rsid w:val="0048214A"/>
    <w:rsid w:val="0048725D"/>
    <w:rsid w:val="00491EA6"/>
    <w:rsid w:val="00492A59"/>
    <w:rsid w:val="004A0DE5"/>
    <w:rsid w:val="004A187B"/>
    <w:rsid w:val="004A2D3C"/>
    <w:rsid w:val="004A5DB5"/>
    <w:rsid w:val="004B0B91"/>
    <w:rsid w:val="004B58A1"/>
    <w:rsid w:val="004C1504"/>
    <w:rsid w:val="004C18AB"/>
    <w:rsid w:val="004C4D27"/>
    <w:rsid w:val="004C7412"/>
    <w:rsid w:val="004C7733"/>
    <w:rsid w:val="004C7829"/>
    <w:rsid w:val="004D04BF"/>
    <w:rsid w:val="004E0DFF"/>
    <w:rsid w:val="004E2835"/>
    <w:rsid w:val="004E489F"/>
    <w:rsid w:val="004F1C7C"/>
    <w:rsid w:val="004F2CEB"/>
    <w:rsid w:val="00503442"/>
    <w:rsid w:val="00503A1B"/>
    <w:rsid w:val="005123F0"/>
    <w:rsid w:val="00513540"/>
    <w:rsid w:val="00513941"/>
    <w:rsid w:val="0051594A"/>
    <w:rsid w:val="005171BC"/>
    <w:rsid w:val="0052342C"/>
    <w:rsid w:val="005249F1"/>
    <w:rsid w:val="0053051D"/>
    <w:rsid w:val="00533718"/>
    <w:rsid w:val="00546F89"/>
    <w:rsid w:val="0055692B"/>
    <w:rsid w:val="00564208"/>
    <w:rsid w:val="00566BE3"/>
    <w:rsid w:val="00571CEB"/>
    <w:rsid w:val="0057728C"/>
    <w:rsid w:val="00580CF0"/>
    <w:rsid w:val="00583968"/>
    <w:rsid w:val="00591951"/>
    <w:rsid w:val="005A3CDE"/>
    <w:rsid w:val="005A66DA"/>
    <w:rsid w:val="005C3364"/>
    <w:rsid w:val="005C5D41"/>
    <w:rsid w:val="005D0D36"/>
    <w:rsid w:val="005D11C2"/>
    <w:rsid w:val="005D1F34"/>
    <w:rsid w:val="005D383D"/>
    <w:rsid w:val="005E0CB9"/>
    <w:rsid w:val="005E1C3C"/>
    <w:rsid w:val="005E67A9"/>
    <w:rsid w:val="005F108C"/>
    <w:rsid w:val="005F28C2"/>
    <w:rsid w:val="005F311C"/>
    <w:rsid w:val="005F7763"/>
    <w:rsid w:val="00600859"/>
    <w:rsid w:val="00602CE3"/>
    <w:rsid w:val="00610BB9"/>
    <w:rsid w:val="00610BDA"/>
    <w:rsid w:val="00612A72"/>
    <w:rsid w:val="00624169"/>
    <w:rsid w:val="00633277"/>
    <w:rsid w:val="006348BC"/>
    <w:rsid w:val="00640551"/>
    <w:rsid w:val="00642A25"/>
    <w:rsid w:val="0064747C"/>
    <w:rsid w:val="00654793"/>
    <w:rsid w:val="00656149"/>
    <w:rsid w:val="006646C3"/>
    <w:rsid w:val="00667D49"/>
    <w:rsid w:val="006764F2"/>
    <w:rsid w:val="006810D7"/>
    <w:rsid w:val="00686D4A"/>
    <w:rsid w:val="00690C72"/>
    <w:rsid w:val="0069322D"/>
    <w:rsid w:val="0069534F"/>
    <w:rsid w:val="006961B3"/>
    <w:rsid w:val="006A0398"/>
    <w:rsid w:val="006A2CB9"/>
    <w:rsid w:val="006A6BB3"/>
    <w:rsid w:val="006B6386"/>
    <w:rsid w:val="006B63B7"/>
    <w:rsid w:val="006C1058"/>
    <w:rsid w:val="006C3401"/>
    <w:rsid w:val="006D0E3A"/>
    <w:rsid w:val="006D5EE5"/>
    <w:rsid w:val="006E5990"/>
    <w:rsid w:val="006E5A6D"/>
    <w:rsid w:val="006F1DBD"/>
    <w:rsid w:val="006F29C6"/>
    <w:rsid w:val="006F4891"/>
    <w:rsid w:val="006F54F1"/>
    <w:rsid w:val="00700632"/>
    <w:rsid w:val="00711370"/>
    <w:rsid w:val="0071403C"/>
    <w:rsid w:val="007201BC"/>
    <w:rsid w:val="00722DA1"/>
    <w:rsid w:val="00724974"/>
    <w:rsid w:val="00725765"/>
    <w:rsid w:val="00730EB2"/>
    <w:rsid w:val="0073603B"/>
    <w:rsid w:val="00740365"/>
    <w:rsid w:val="007429F6"/>
    <w:rsid w:val="00753180"/>
    <w:rsid w:val="007540BF"/>
    <w:rsid w:val="00763768"/>
    <w:rsid w:val="00764F9A"/>
    <w:rsid w:val="007706B4"/>
    <w:rsid w:val="00770DCB"/>
    <w:rsid w:val="0077106C"/>
    <w:rsid w:val="00775485"/>
    <w:rsid w:val="0077699A"/>
    <w:rsid w:val="00780DB7"/>
    <w:rsid w:val="0078629C"/>
    <w:rsid w:val="0078753B"/>
    <w:rsid w:val="00793F5F"/>
    <w:rsid w:val="0079610B"/>
    <w:rsid w:val="007B4F31"/>
    <w:rsid w:val="007C24CB"/>
    <w:rsid w:val="007D2F60"/>
    <w:rsid w:val="007D519B"/>
    <w:rsid w:val="007D5AFD"/>
    <w:rsid w:val="007D5D89"/>
    <w:rsid w:val="007E0A92"/>
    <w:rsid w:val="007E51C9"/>
    <w:rsid w:val="007E5B88"/>
    <w:rsid w:val="007E6EFB"/>
    <w:rsid w:val="007F0D0B"/>
    <w:rsid w:val="008007A8"/>
    <w:rsid w:val="00801E71"/>
    <w:rsid w:val="008042D9"/>
    <w:rsid w:val="0080666E"/>
    <w:rsid w:val="00814FC0"/>
    <w:rsid w:val="008201CF"/>
    <w:rsid w:val="00823A3F"/>
    <w:rsid w:val="0084179E"/>
    <w:rsid w:val="0084418E"/>
    <w:rsid w:val="00857C56"/>
    <w:rsid w:val="008724DE"/>
    <w:rsid w:val="00876ED5"/>
    <w:rsid w:val="00881162"/>
    <w:rsid w:val="008820E4"/>
    <w:rsid w:val="0088559C"/>
    <w:rsid w:val="00887141"/>
    <w:rsid w:val="00891379"/>
    <w:rsid w:val="008A156A"/>
    <w:rsid w:val="008A3D57"/>
    <w:rsid w:val="008A45C1"/>
    <w:rsid w:val="008A494E"/>
    <w:rsid w:val="008A6079"/>
    <w:rsid w:val="008A6835"/>
    <w:rsid w:val="008B23BC"/>
    <w:rsid w:val="008B2A76"/>
    <w:rsid w:val="008C54E7"/>
    <w:rsid w:val="008C6559"/>
    <w:rsid w:val="008D2113"/>
    <w:rsid w:val="008D3A5F"/>
    <w:rsid w:val="008D5010"/>
    <w:rsid w:val="008D5104"/>
    <w:rsid w:val="008E0290"/>
    <w:rsid w:val="008E056B"/>
    <w:rsid w:val="008E1FB2"/>
    <w:rsid w:val="008E3D60"/>
    <w:rsid w:val="008E3F4C"/>
    <w:rsid w:val="008F3672"/>
    <w:rsid w:val="0090165F"/>
    <w:rsid w:val="00901B82"/>
    <w:rsid w:val="00902357"/>
    <w:rsid w:val="00906716"/>
    <w:rsid w:val="009075DA"/>
    <w:rsid w:val="00911CF3"/>
    <w:rsid w:val="00912B09"/>
    <w:rsid w:val="0092100B"/>
    <w:rsid w:val="00924EB9"/>
    <w:rsid w:val="00927723"/>
    <w:rsid w:val="0093385C"/>
    <w:rsid w:val="00934AE3"/>
    <w:rsid w:val="00934DC5"/>
    <w:rsid w:val="00934F12"/>
    <w:rsid w:val="00937D76"/>
    <w:rsid w:val="00940F6C"/>
    <w:rsid w:val="00954F2A"/>
    <w:rsid w:val="0096481C"/>
    <w:rsid w:val="00965D1B"/>
    <w:rsid w:val="00966C2F"/>
    <w:rsid w:val="0097512B"/>
    <w:rsid w:val="00985FE4"/>
    <w:rsid w:val="0099715F"/>
    <w:rsid w:val="009A1BE1"/>
    <w:rsid w:val="009A599C"/>
    <w:rsid w:val="009B104E"/>
    <w:rsid w:val="009B5391"/>
    <w:rsid w:val="009C15CE"/>
    <w:rsid w:val="009C2E2F"/>
    <w:rsid w:val="009C7367"/>
    <w:rsid w:val="009D4E69"/>
    <w:rsid w:val="009D67F6"/>
    <w:rsid w:val="009E0167"/>
    <w:rsid w:val="009E0FE1"/>
    <w:rsid w:val="009E5BF1"/>
    <w:rsid w:val="009F4E0B"/>
    <w:rsid w:val="00A0406E"/>
    <w:rsid w:val="00A06339"/>
    <w:rsid w:val="00A11307"/>
    <w:rsid w:val="00A1186A"/>
    <w:rsid w:val="00A12C94"/>
    <w:rsid w:val="00A13AF3"/>
    <w:rsid w:val="00A150C2"/>
    <w:rsid w:val="00A203E4"/>
    <w:rsid w:val="00A25C20"/>
    <w:rsid w:val="00A27745"/>
    <w:rsid w:val="00A27791"/>
    <w:rsid w:val="00A316E7"/>
    <w:rsid w:val="00A34AC8"/>
    <w:rsid w:val="00A34E93"/>
    <w:rsid w:val="00A35DBE"/>
    <w:rsid w:val="00A379DC"/>
    <w:rsid w:val="00A41355"/>
    <w:rsid w:val="00A43B92"/>
    <w:rsid w:val="00A45090"/>
    <w:rsid w:val="00A54251"/>
    <w:rsid w:val="00A5646B"/>
    <w:rsid w:val="00A6179E"/>
    <w:rsid w:val="00A63BD6"/>
    <w:rsid w:val="00A63FFD"/>
    <w:rsid w:val="00A64316"/>
    <w:rsid w:val="00A64D41"/>
    <w:rsid w:val="00A75204"/>
    <w:rsid w:val="00A804D9"/>
    <w:rsid w:val="00A80B6D"/>
    <w:rsid w:val="00A852B7"/>
    <w:rsid w:val="00A91C59"/>
    <w:rsid w:val="00A92F92"/>
    <w:rsid w:val="00A95F9D"/>
    <w:rsid w:val="00A96892"/>
    <w:rsid w:val="00AA0666"/>
    <w:rsid w:val="00AA2051"/>
    <w:rsid w:val="00AB09F4"/>
    <w:rsid w:val="00AB2E8D"/>
    <w:rsid w:val="00AC1179"/>
    <w:rsid w:val="00AC28E0"/>
    <w:rsid w:val="00AC343C"/>
    <w:rsid w:val="00AC4238"/>
    <w:rsid w:val="00AC584C"/>
    <w:rsid w:val="00AC5911"/>
    <w:rsid w:val="00AD411C"/>
    <w:rsid w:val="00AD7224"/>
    <w:rsid w:val="00AE7C45"/>
    <w:rsid w:val="00AF30E9"/>
    <w:rsid w:val="00AF6156"/>
    <w:rsid w:val="00AF6426"/>
    <w:rsid w:val="00B0419B"/>
    <w:rsid w:val="00B04596"/>
    <w:rsid w:val="00B07E5A"/>
    <w:rsid w:val="00B12E1C"/>
    <w:rsid w:val="00B14B0F"/>
    <w:rsid w:val="00B1556C"/>
    <w:rsid w:val="00B1583F"/>
    <w:rsid w:val="00B20189"/>
    <w:rsid w:val="00B24B1D"/>
    <w:rsid w:val="00B277E0"/>
    <w:rsid w:val="00B320AC"/>
    <w:rsid w:val="00B34946"/>
    <w:rsid w:val="00B35C0D"/>
    <w:rsid w:val="00B47256"/>
    <w:rsid w:val="00B519FD"/>
    <w:rsid w:val="00B520BC"/>
    <w:rsid w:val="00B52AA4"/>
    <w:rsid w:val="00B624CD"/>
    <w:rsid w:val="00B63D24"/>
    <w:rsid w:val="00B64A5E"/>
    <w:rsid w:val="00B74207"/>
    <w:rsid w:val="00B831A6"/>
    <w:rsid w:val="00B842E2"/>
    <w:rsid w:val="00B84782"/>
    <w:rsid w:val="00B85287"/>
    <w:rsid w:val="00B924E6"/>
    <w:rsid w:val="00B96F00"/>
    <w:rsid w:val="00BA0B01"/>
    <w:rsid w:val="00BA262D"/>
    <w:rsid w:val="00BA45AB"/>
    <w:rsid w:val="00BA4BDC"/>
    <w:rsid w:val="00BA5698"/>
    <w:rsid w:val="00BA7EF7"/>
    <w:rsid w:val="00BB365B"/>
    <w:rsid w:val="00BB7F9E"/>
    <w:rsid w:val="00BC0FB2"/>
    <w:rsid w:val="00BC7667"/>
    <w:rsid w:val="00BC79EB"/>
    <w:rsid w:val="00BD427C"/>
    <w:rsid w:val="00BD7B01"/>
    <w:rsid w:val="00BD7FCF"/>
    <w:rsid w:val="00BE504B"/>
    <w:rsid w:val="00BE5DD2"/>
    <w:rsid w:val="00BE5DD6"/>
    <w:rsid w:val="00BF211C"/>
    <w:rsid w:val="00BF3590"/>
    <w:rsid w:val="00BF6419"/>
    <w:rsid w:val="00C03388"/>
    <w:rsid w:val="00C0721E"/>
    <w:rsid w:val="00C226F7"/>
    <w:rsid w:val="00C24863"/>
    <w:rsid w:val="00C25BDA"/>
    <w:rsid w:val="00C302A6"/>
    <w:rsid w:val="00C31078"/>
    <w:rsid w:val="00C33104"/>
    <w:rsid w:val="00C42963"/>
    <w:rsid w:val="00C547A4"/>
    <w:rsid w:val="00C577D3"/>
    <w:rsid w:val="00C60811"/>
    <w:rsid w:val="00C60A11"/>
    <w:rsid w:val="00C637B2"/>
    <w:rsid w:val="00C6455D"/>
    <w:rsid w:val="00C650C6"/>
    <w:rsid w:val="00C67216"/>
    <w:rsid w:val="00C70B32"/>
    <w:rsid w:val="00C75F36"/>
    <w:rsid w:val="00C77866"/>
    <w:rsid w:val="00C8351A"/>
    <w:rsid w:val="00C854D4"/>
    <w:rsid w:val="00C865A8"/>
    <w:rsid w:val="00C86811"/>
    <w:rsid w:val="00C90556"/>
    <w:rsid w:val="00CA0D78"/>
    <w:rsid w:val="00CA1BBB"/>
    <w:rsid w:val="00CA4855"/>
    <w:rsid w:val="00CA57EB"/>
    <w:rsid w:val="00CB24FE"/>
    <w:rsid w:val="00CB77CB"/>
    <w:rsid w:val="00CD3109"/>
    <w:rsid w:val="00CD3241"/>
    <w:rsid w:val="00CD58FD"/>
    <w:rsid w:val="00CD6A35"/>
    <w:rsid w:val="00CD6BA5"/>
    <w:rsid w:val="00CE56E2"/>
    <w:rsid w:val="00CF5CE8"/>
    <w:rsid w:val="00D05D39"/>
    <w:rsid w:val="00D06C39"/>
    <w:rsid w:val="00D13199"/>
    <w:rsid w:val="00D13FEC"/>
    <w:rsid w:val="00D2020E"/>
    <w:rsid w:val="00D22D04"/>
    <w:rsid w:val="00D2482F"/>
    <w:rsid w:val="00D26049"/>
    <w:rsid w:val="00D26353"/>
    <w:rsid w:val="00D27C49"/>
    <w:rsid w:val="00D307CF"/>
    <w:rsid w:val="00D30857"/>
    <w:rsid w:val="00D343FA"/>
    <w:rsid w:val="00D37D41"/>
    <w:rsid w:val="00D418FF"/>
    <w:rsid w:val="00D47E1C"/>
    <w:rsid w:val="00D5465C"/>
    <w:rsid w:val="00D6254E"/>
    <w:rsid w:val="00D64EDE"/>
    <w:rsid w:val="00D650AC"/>
    <w:rsid w:val="00D65C76"/>
    <w:rsid w:val="00D73403"/>
    <w:rsid w:val="00D734C7"/>
    <w:rsid w:val="00D74F4B"/>
    <w:rsid w:val="00D7505D"/>
    <w:rsid w:val="00D82AC4"/>
    <w:rsid w:val="00D90A4C"/>
    <w:rsid w:val="00D9253B"/>
    <w:rsid w:val="00D92644"/>
    <w:rsid w:val="00DA2F73"/>
    <w:rsid w:val="00DA6515"/>
    <w:rsid w:val="00DA6ADC"/>
    <w:rsid w:val="00DB0198"/>
    <w:rsid w:val="00DB75AC"/>
    <w:rsid w:val="00DC08A6"/>
    <w:rsid w:val="00DC462F"/>
    <w:rsid w:val="00DD6A21"/>
    <w:rsid w:val="00DE60CA"/>
    <w:rsid w:val="00DE7E28"/>
    <w:rsid w:val="00DF0750"/>
    <w:rsid w:val="00DF29C0"/>
    <w:rsid w:val="00E032EA"/>
    <w:rsid w:val="00E06DE6"/>
    <w:rsid w:val="00E115D1"/>
    <w:rsid w:val="00E1604E"/>
    <w:rsid w:val="00E21060"/>
    <w:rsid w:val="00E24FA3"/>
    <w:rsid w:val="00E26B28"/>
    <w:rsid w:val="00E26F24"/>
    <w:rsid w:val="00E31465"/>
    <w:rsid w:val="00E31851"/>
    <w:rsid w:val="00E328CD"/>
    <w:rsid w:val="00E36B95"/>
    <w:rsid w:val="00E4003F"/>
    <w:rsid w:val="00E42BBF"/>
    <w:rsid w:val="00E458F6"/>
    <w:rsid w:val="00E45954"/>
    <w:rsid w:val="00E53712"/>
    <w:rsid w:val="00E57BB8"/>
    <w:rsid w:val="00E60A44"/>
    <w:rsid w:val="00E63CBA"/>
    <w:rsid w:val="00E64615"/>
    <w:rsid w:val="00E701A7"/>
    <w:rsid w:val="00E7044F"/>
    <w:rsid w:val="00E706D9"/>
    <w:rsid w:val="00E70974"/>
    <w:rsid w:val="00E74A2D"/>
    <w:rsid w:val="00E83894"/>
    <w:rsid w:val="00E91C30"/>
    <w:rsid w:val="00E927EB"/>
    <w:rsid w:val="00E9532E"/>
    <w:rsid w:val="00E95683"/>
    <w:rsid w:val="00EA44D9"/>
    <w:rsid w:val="00EA571F"/>
    <w:rsid w:val="00EA62B9"/>
    <w:rsid w:val="00EA6D58"/>
    <w:rsid w:val="00EB110C"/>
    <w:rsid w:val="00EB5618"/>
    <w:rsid w:val="00EB6A76"/>
    <w:rsid w:val="00EC39EA"/>
    <w:rsid w:val="00EC5F37"/>
    <w:rsid w:val="00EC6419"/>
    <w:rsid w:val="00EE5CE0"/>
    <w:rsid w:val="00EE7C77"/>
    <w:rsid w:val="00EF011F"/>
    <w:rsid w:val="00EF154C"/>
    <w:rsid w:val="00EF3410"/>
    <w:rsid w:val="00EF51D3"/>
    <w:rsid w:val="00F1156E"/>
    <w:rsid w:val="00F14C6D"/>
    <w:rsid w:val="00F15E44"/>
    <w:rsid w:val="00F25A76"/>
    <w:rsid w:val="00F309A5"/>
    <w:rsid w:val="00F30A34"/>
    <w:rsid w:val="00F31790"/>
    <w:rsid w:val="00F45ACE"/>
    <w:rsid w:val="00F46960"/>
    <w:rsid w:val="00F47092"/>
    <w:rsid w:val="00F55787"/>
    <w:rsid w:val="00F55CAF"/>
    <w:rsid w:val="00F560A4"/>
    <w:rsid w:val="00F613D6"/>
    <w:rsid w:val="00F62C04"/>
    <w:rsid w:val="00F735B1"/>
    <w:rsid w:val="00F750A3"/>
    <w:rsid w:val="00F775ED"/>
    <w:rsid w:val="00F903B1"/>
    <w:rsid w:val="00FA2D12"/>
    <w:rsid w:val="00FA4916"/>
    <w:rsid w:val="00FB018F"/>
    <w:rsid w:val="00FB13A4"/>
    <w:rsid w:val="00FD01B5"/>
    <w:rsid w:val="00FD54B1"/>
    <w:rsid w:val="00FD6692"/>
    <w:rsid w:val="00FD66A9"/>
    <w:rsid w:val="00FF1C8E"/>
    <w:rsid w:val="00FF3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E701A7"/>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E701A7"/>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0458DE"/>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0458DE"/>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bolderyeartitle">
    <w:name w:val="bolder year title"/>
    <w:basedOn w:val="MainTitle"/>
    <w:qFormat/>
    <w:rsid w:val="004459F3"/>
    <w:rPr>
      <w:rFonts w:ascii="Arial Black" w:hAnsi="Arial Black"/>
      <w:sz w:val="64"/>
    </w:rPr>
  </w:style>
  <w:style w:type="paragraph" w:styleId="ListParagraph">
    <w:name w:val="List Paragraph"/>
    <w:basedOn w:val="Normal"/>
    <w:uiPriority w:val="34"/>
    <w:qFormat/>
    <w:rsid w:val="00940F6C"/>
    <w:pPr>
      <w:ind w:left="720"/>
      <w:contextualSpacing/>
    </w:pPr>
  </w:style>
  <w:style w:type="paragraph" w:styleId="Quote">
    <w:name w:val="Quote"/>
    <w:basedOn w:val="Normal"/>
    <w:next w:val="Normal"/>
    <w:link w:val="QuoteChar"/>
    <w:uiPriority w:val="29"/>
    <w:qFormat/>
    <w:rsid w:val="00DA6515"/>
    <w:pPr>
      <w:spacing w:before="0"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DA6515"/>
    <w:rPr>
      <w:rFonts w:asciiTheme="minorHAnsi" w:eastAsiaTheme="minorEastAsia" w:hAnsiTheme="minorHAnsi" w:cstheme="minorBidi"/>
      <w:i/>
      <w:iCs/>
      <w:color w:val="000000" w:themeColor="text1"/>
      <w:sz w:val="22"/>
      <w:szCs w:val="22"/>
      <w:lang w:val="en-US" w:eastAsia="ja-JP"/>
    </w:rPr>
  </w:style>
  <w:style w:type="paragraph" w:styleId="NoSpacing">
    <w:name w:val="No Spacing"/>
    <w:uiPriority w:val="1"/>
    <w:qFormat/>
    <w:rsid w:val="00A91C59"/>
    <w:rPr>
      <w:rFonts w:ascii="Arial" w:eastAsia="MS Mincho" w:hAnsi="Arial"/>
      <w:sz w:val="24"/>
      <w:szCs w:val="24"/>
    </w:rPr>
  </w:style>
  <w:style w:type="character" w:styleId="CommentReference">
    <w:name w:val="annotation reference"/>
    <w:basedOn w:val="DefaultParagraphFont"/>
    <w:locked/>
    <w:rsid w:val="00722DA1"/>
    <w:rPr>
      <w:sz w:val="16"/>
      <w:szCs w:val="16"/>
    </w:rPr>
  </w:style>
  <w:style w:type="paragraph" w:styleId="CommentText">
    <w:name w:val="annotation text"/>
    <w:basedOn w:val="Normal"/>
    <w:link w:val="CommentTextChar"/>
    <w:locked/>
    <w:rsid w:val="00722DA1"/>
    <w:rPr>
      <w:sz w:val="20"/>
      <w:szCs w:val="20"/>
    </w:rPr>
  </w:style>
  <w:style w:type="character" w:customStyle="1" w:styleId="CommentTextChar">
    <w:name w:val="Comment Text Char"/>
    <w:basedOn w:val="DefaultParagraphFont"/>
    <w:link w:val="CommentText"/>
    <w:rsid w:val="00722DA1"/>
    <w:rPr>
      <w:rFonts w:ascii="Arial" w:eastAsia="MS Mincho" w:hAnsi="Arial"/>
    </w:rPr>
  </w:style>
  <w:style w:type="paragraph" w:styleId="CommentSubject">
    <w:name w:val="annotation subject"/>
    <w:basedOn w:val="CommentText"/>
    <w:next w:val="CommentText"/>
    <w:link w:val="CommentSubjectChar"/>
    <w:locked/>
    <w:rsid w:val="00722DA1"/>
    <w:rPr>
      <w:b/>
      <w:bCs/>
    </w:rPr>
  </w:style>
  <w:style w:type="character" w:customStyle="1" w:styleId="CommentSubjectChar">
    <w:name w:val="Comment Subject Char"/>
    <w:basedOn w:val="CommentTextChar"/>
    <w:link w:val="CommentSubject"/>
    <w:rsid w:val="00722DA1"/>
    <w:rPr>
      <w:rFonts w:ascii="Arial" w:eastAsia="MS Mincho" w:hAnsi="Arial"/>
      <w:b/>
      <w:bCs/>
    </w:rPr>
  </w:style>
  <w:style w:type="character" w:customStyle="1" w:styleId="FootnoteTextChar">
    <w:name w:val="Footnote Text Char"/>
    <w:basedOn w:val="DefaultParagraphFont"/>
    <w:link w:val="FootnoteText"/>
    <w:semiHidden/>
    <w:locked/>
    <w:rsid w:val="00313631"/>
    <w:rPr>
      <w:rFonts w:ascii="Arial" w:eastAsia="MS Mincho" w:hAnsi="Arial"/>
    </w:rPr>
  </w:style>
  <w:style w:type="paragraph" w:customStyle="1" w:styleId="Default">
    <w:name w:val="Default"/>
    <w:rsid w:val="0031363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E701A7"/>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E701A7"/>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0458DE"/>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0458DE"/>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bolderyeartitle">
    <w:name w:val="bolder year title"/>
    <w:basedOn w:val="MainTitle"/>
    <w:qFormat/>
    <w:rsid w:val="004459F3"/>
    <w:rPr>
      <w:rFonts w:ascii="Arial Black" w:hAnsi="Arial Black"/>
      <w:sz w:val="64"/>
    </w:rPr>
  </w:style>
  <w:style w:type="paragraph" w:styleId="ListParagraph">
    <w:name w:val="List Paragraph"/>
    <w:basedOn w:val="Normal"/>
    <w:uiPriority w:val="34"/>
    <w:qFormat/>
    <w:rsid w:val="00940F6C"/>
    <w:pPr>
      <w:ind w:left="720"/>
      <w:contextualSpacing/>
    </w:pPr>
  </w:style>
  <w:style w:type="paragraph" w:styleId="Quote">
    <w:name w:val="Quote"/>
    <w:basedOn w:val="Normal"/>
    <w:next w:val="Normal"/>
    <w:link w:val="QuoteChar"/>
    <w:uiPriority w:val="29"/>
    <w:qFormat/>
    <w:rsid w:val="00DA6515"/>
    <w:pPr>
      <w:spacing w:before="0"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DA6515"/>
    <w:rPr>
      <w:rFonts w:asciiTheme="minorHAnsi" w:eastAsiaTheme="minorEastAsia" w:hAnsiTheme="minorHAnsi" w:cstheme="minorBidi"/>
      <w:i/>
      <w:iCs/>
      <w:color w:val="000000" w:themeColor="text1"/>
      <w:sz w:val="22"/>
      <w:szCs w:val="22"/>
      <w:lang w:val="en-US" w:eastAsia="ja-JP"/>
    </w:rPr>
  </w:style>
  <w:style w:type="paragraph" w:styleId="NoSpacing">
    <w:name w:val="No Spacing"/>
    <w:uiPriority w:val="1"/>
    <w:qFormat/>
    <w:rsid w:val="00A91C59"/>
    <w:rPr>
      <w:rFonts w:ascii="Arial" w:eastAsia="MS Mincho" w:hAnsi="Arial"/>
      <w:sz w:val="24"/>
      <w:szCs w:val="24"/>
    </w:rPr>
  </w:style>
  <w:style w:type="character" w:styleId="CommentReference">
    <w:name w:val="annotation reference"/>
    <w:basedOn w:val="DefaultParagraphFont"/>
    <w:locked/>
    <w:rsid w:val="00722DA1"/>
    <w:rPr>
      <w:sz w:val="16"/>
      <w:szCs w:val="16"/>
    </w:rPr>
  </w:style>
  <w:style w:type="paragraph" w:styleId="CommentText">
    <w:name w:val="annotation text"/>
    <w:basedOn w:val="Normal"/>
    <w:link w:val="CommentTextChar"/>
    <w:locked/>
    <w:rsid w:val="00722DA1"/>
    <w:rPr>
      <w:sz w:val="20"/>
      <w:szCs w:val="20"/>
    </w:rPr>
  </w:style>
  <w:style w:type="character" w:customStyle="1" w:styleId="CommentTextChar">
    <w:name w:val="Comment Text Char"/>
    <w:basedOn w:val="DefaultParagraphFont"/>
    <w:link w:val="CommentText"/>
    <w:rsid w:val="00722DA1"/>
    <w:rPr>
      <w:rFonts w:ascii="Arial" w:eastAsia="MS Mincho" w:hAnsi="Arial"/>
    </w:rPr>
  </w:style>
  <w:style w:type="paragraph" w:styleId="CommentSubject">
    <w:name w:val="annotation subject"/>
    <w:basedOn w:val="CommentText"/>
    <w:next w:val="CommentText"/>
    <w:link w:val="CommentSubjectChar"/>
    <w:locked/>
    <w:rsid w:val="00722DA1"/>
    <w:rPr>
      <w:b/>
      <w:bCs/>
    </w:rPr>
  </w:style>
  <w:style w:type="character" w:customStyle="1" w:styleId="CommentSubjectChar">
    <w:name w:val="Comment Subject Char"/>
    <w:basedOn w:val="CommentTextChar"/>
    <w:link w:val="CommentSubject"/>
    <w:rsid w:val="00722DA1"/>
    <w:rPr>
      <w:rFonts w:ascii="Arial" w:eastAsia="MS Mincho" w:hAnsi="Arial"/>
      <w:b/>
      <w:bCs/>
    </w:rPr>
  </w:style>
  <w:style w:type="character" w:customStyle="1" w:styleId="FootnoteTextChar">
    <w:name w:val="Footnote Text Char"/>
    <w:basedOn w:val="DefaultParagraphFont"/>
    <w:link w:val="FootnoteText"/>
    <w:semiHidden/>
    <w:locked/>
    <w:rsid w:val="00313631"/>
    <w:rPr>
      <w:rFonts w:ascii="Arial" w:eastAsia="MS Mincho" w:hAnsi="Arial"/>
    </w:rPr>
  </w:style>
  <w:style w:type="paragraph" w:customStyle="1" w:styleId="Default">
    <w:name w:val="Default"/>
    <w:rsid w:val="003136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5518234">
      <w:bodyDiv w:val="1"/>
      <w:marLeft w:val="0"/>
      <w:marRight w:val="0"/>
      <w:marTop w:val="0"/>
      <w:marBottom w:val="0"/>
      <w:divBdr>
        <w:top w:val="none" w:sz="0" w:space="0" w:color="auto"/>
        <w:left w:val="none" w:sz="0" w:space="0" w:color="auto"/>
        <w:bottom w:val="none" w:sz="0" w:space="0" w:color="auto"/>
        <w:right w:val="none" w:sz="0" w:space="0" w:color="auto"/>
      </w:divBdr>
      <w:divsChild>
        <w:div w:id="2036222906">
          <w:marLeft w:val="0"/>
          <w:marRight w:val="0"/>
          <w:marTop w:val="0"/>
          <w:marBottom w:val="0"/>
          <w:divBdr>
            <w:top w:val="none" w:sz="0" w:space="0" w:color="auto"/>
            <w:left w:val="none" w:sz="0" w:space="0" w:color="auto"/>
            <w:bottom w:val="none" w:sz="0" w:space="0" w:color="auto"/>
            <w:right w:val="none" w:sz="0" w:space="0" w:color="auto"/>
          </w:divBdr>
          <w:divsChild>
            <w:div w:id="1726636549">
              <w:marLeft w:val="0"/>
              <w:marRight w:val="0"/>
              <w:marTop w:val="0"/>
              <w:marBottom w:val="0"/>
              <w:divBdr>
                <w:top w:val="none" w:sz="0" w:space="0" w:color="auto"/>
                <w:left w:val="none" w:sz="0" w:space="0" w:color="auto"/>
                <w:bottom w:val="none" w:sz="0" w:space="0" w:color="auto"/>
                <w:right w:val="none" w:sz="0" w:space="0" w:color="auto"/>
              </w:divBdr>
              <w:divsChild>
                <w:div w:id="1382048657">
                  <w:marLeft w:val="0"/>
                  <w:marRight w:val="0"/>
                  <w:marTop w:val="0"/>
                  <w:marBottom w:val="0"/>
                  <w:divBdr>
                    <w:top w:val="none" w:sz="0" w:space="0" w:color="auto"/>
                    <w:left w:val="none" w:sz="0" w:space="0" w:color="auto"/>
                    <w:bottom w:val="none" w:sz="0" w:space="0" w:color="auto"/>
                    <w:right w:val="none" w:sz="0" w:space="0" w:color="auto"/>
                  </w:divBdr>
                  <w:divsChild>
                    <w:div w:id="6568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788163149">
      <w:bodyDiv w:val="1"/>
      <w:marLeft w:val="0"/>
      <w:marRight w:val="0"/>
      <w:marTop w:val="0"/>
      <w:marBottom w:val="0"/>
      <w:divBdr>
        <w:top w:val="none" w:sz="0" w:space="0" w:color="auto"/>
        <w:left w:val="none" w:sz="0" w:space="0" w:color="auto"/>
        <w:bottom w:val="none" w:sz="0" w:space="0" w:color="auto"/>
        <w:right w:val="none" w:sz="0" w:space="0" w:color="auto"/>
      </w:divBdr>
      <w:divsChild>
        <w:div w:id="966155800">
          <w:marLeft w:val="0"/>
          <w:marRight w:val="0"/>
          <w:marTop w:val="0"/>
          <w:marBottom w:val="0"/>
          <w:divBdr>
            <w:top w:val="none" w:sz="0" w:space="0" w:color="auto"/>
            <w:left w:val="none" w:sz="0" w:space="0" w:color="auto"/>
            <w:bottom w:val="none" w:sz="0" w:space="0" w:color="auto"/>
            <w:right w:val="none" w:sz="0" w:space="0" w:color="auto"/>
          </w:divBdr>
          <w:divsChild>
            <w:div w:id="1765304666">
              <w:marLeft w:val="0"/>
              <w:marRight w:val="0"/>
              <w:marTop w:val="0"/>
              <w:marBottom w:val="0"/>
              <w:divBdr>
                <w:top w:val="none" w:sz="0" w:space="0" w:color="auto"/>
                <w:left w:val="none" w:sz="0" w:space="0" w:color="auto"/>
                <w:bottom w:val="none" w:sz="0" w:space="0" w:color="auto"/>
                <w:right w:val="none" w:sz="0" w:space="0" w:color="auto"/>
              </w:divBdr>
              <w:divsChild>
                <w:div w:id="700908700">
                  <w:marLeft w:val="0"/>
                  <w:marRight w:val="0"/>
                  <w:marTop w:val="0"/>
                  <w:marBottom w:val="0"/>
                  <w:divBdr>
                    <w:top w:val="none" w:sz="0" w:space="0" w:color="auto"/>
                    <w:left w:val="none" w:sz="0" w:space="0" w:color="auto"/>
                    <w:bottom w:val="none" w:sz="0" w:space="0" w:color="auto"/>
                    <w:right w:val="none" w:sz="0" w:space="0" w:color="auto"/>
                  </w:divBdr>
                  <w:divsChild>
                    <w:div w:id="1731688524">
                      <w:marLeft w:val="0"/>
                      <w:marRight w:val="0"/>
                      <w:marTop w:val="0"/>
                      <w:marBottom w:val="0"/>
                      <w:divBdr>
                        <w:top w:val="none" w:sz="0" w:space="0" w:color="auto"/>
                        <w:left w:val="none" w:sz="0" w:space="0" w:color="auto"/>
                        <w:bottom w:val="none" w:sz="0" w:space="0" w:color="auto"/>
                        <w:right w:val="none" w:sz="0" w:space="0" w:color="auto"/>
                      </w:divBdr>
                      <w:divsChild>
                        <w:div w:id="1067189434">
                          <w:marLeft w:val="0"/>
                          <w:marRight w:val="0"/>
                          <w:marTop w:val="0"/>
                          <w:marBottom w:val="0"/>
                          <w:divBdr>
                            <w:top w:val="none" w:sz="0" w:space="0" w:color="auto"/>
                            <w:left w:val="none" w:sz="0" w:space="0" w:color="auto"/>
                            <w:bottom w:val="none" w:sz="0" w:space="0" w:color="auto"/>
                            <w:right w:val="none" w:sz="0" w:space="0" w:color="auto"/>
                          </w:divBdr>
                          <w:divsChild>
                            <w:div w:id="846140469">
                              <w:marLeft w:val="0"/>
                              <w:marRight w:val="0"/>
                              <w:marTop w:val="0"/>
                              <w:marBottom w:val="0"/>
                              <w:divBdr>
                                <w:top w:val="none" w:sz="0" w:space="0" w:color="auto"/>
                                <w:left w:val="none" w:sz="0" w:space="0" w:color="auto"/>
                                <w:bottom w:val="none" w:sz="0" w:space="0" w:color="auto"/>
                                <w:right w:val="none" w:sz="0" w:space="0" w:color="auto"/>
                              </w:divBdr>
                              <w:divsChild>
                                <w:div w:id="6393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External%20Projects\Pregnancy%20RTW%20Review\Issues%20paper\Issues%20Paper%20-%20National%20Review%20on%20Discrimination%20in%20Relation%20to%20Pregnancy%20and%20Return%20to%20Work.docx"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humanrights.gov.au/pregnancy-discrimination"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umanrights.gov.au/pregnancy-discriminatio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umanrights.gov.au/sites/default/files/content/sex_discrimination/publication/pregnancy/guidelines/Pregnancy_guidelines.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humanrights.gov.au/publications/pregnant-and-productive-its-right-not-privilege-work-while-pregnant-1999" TargetMode="External"/><Relationship Id="rId22" Type="http://schemas.openxmlformats.org/officeDocument/2006/relationships/hyperlink" Target="http://www.humanrights.gov.au/publications/pregnant-and-productive-its-right-not-privilege-work-while-pregnant-1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566F-3A09-4C30-B6D7-66CE3413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Document.dot</Template>
  <TotalTime>20</TotalTime>
  <Pages>11</Pages>
  <Words>2971</Words>
  <Characters>18809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Angela Zaballa</dc:creator>
  <cp:lastModifiedBy>Lisa Pusey</cp:lastModifiedBy>
  <cp:revision>9</cp:revision>
  <cp:lastPrinted>2013-10-24T22:59:00Z</cp:lastPrinted>
  <dcterms:created xsi:type="dcterms:W3CDTF">2013-10-10T06:40:00Z</dcterms:created>
  <dcterms:modified xsi:type="dcterms:W3CDTF">2013-10-24T22:59:00Z</dcterms:modified>
</cp:coreProperties>
</file>