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41183C88">
            <wp:simplePos x="0" y="0"/>
            <wp:positionH relativeFrom="page">
              <wp:align>right</wp:align>
            </wp:positionH>
            <wp:positionV relativeFrom="paragraph">
              <wp:posOffset>-900752</wp:posOffset>
            </wp:positionV>
            <wp:extent cx="7546039" cy="10673324"/>
            <wp:effectExtent l="0" t="0" r="0" b="0"/>
            <wp:wrapNone/>
            <wp:docPr id="410697244" name="Picture 4" descr="Title page with Indigenous art - copyright Paul Bong. Text reads: Voice Referendum - Symbolic change or substantive reform.&#10;Accompanied by Australian Human Rights Commission and IndigenousX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Indigenous art - copyright Paul Bong. Text reads: Voice Referendum - Symbolic change or substantive reform.&#10;Accompanied by Australian Human Rights Commission and IndigenousX logos."/>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716307">
      <w:pPr>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31044D3F" w14:textId="77777777" w:rsidR="00DF23BC" w:rsidRDefault="00DF23BC" w:rsidP="00DF23BC">
      <w:pPr>
        <w:rPr>
          <w:rFonts w:ascii="Open Sans" w:hAnsi="Open Sans" w:cs="Open Sans"/>
          <w:b/>
          <w:bCs/>
          <w:color w:val="4B6C5B"/>
          <w:sz w:val="28"/>
          <w:szCs w:val="28"/>
          <w:lang w:val="en-US"/>
        </w:rPr>
      </w:pPr>
    </w:p>
    <w:p w14:paraId="0D144920" w14:textId="77777777" w:rsidR="00DF23BC" w:rsidRPr="00B14850" w:rsidRDefault="00DF23BC" w:rsidP="00DF23BC">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70528" behindDoc="1" locked="0" layoutInCell="1" allowOverlap="1" wp14:anchorId="5DFACEF0" wp14:editId="79E1AAFF">
            <wp:simplePos x="0" y="0"/>
            <wp:positionH relativeFrom="page">
              <wp:align>right</wp:align>
            </wp:positionH>
            <wp:positionV relativeFrom="paragraph">
              <wp:posOffset>-559124</wp:posOffset>
            </wp:positionV>
            <wp:extent cx="7565998" cy="2101215"/>
            <wp:effectExtent l="0" t="0" r="0" b="0"/>
            <wp:wrapNone/>
            <wp:docPr id="1114256131" name="Picture 1114256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56131" name="Picture 1114256131">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65998" cy="2101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669504" behindDoc="0" locked="0" layoutInCell="1" allowOverlap="1" wp14:anchorId="6169E25C" wp14:editId="361DC8A7">
                <wp:simplePos x="0" y="0"/>
                <wp:positionH relativeFrom="column">
                  <wp:posOffset>283362</wp:posOffset>
                </wp:positionH>
                <wp:positionV relativeFrom="paragraph">
                  <wp:posOffset>218363</wp:posOffset>
                </wp:positionV>
                <wp:extent cx="6085489" cy="982639"/>
                <wp:effectExtent l="0" t="0" r="0" b="0"/>
                <wp:wrapNone/>
                <wp:docPr id="1509771342" name="Text Box 12"/>
                <wp:cNvGraphicFramePr/>
                <a:graphic xmlns:a="http://schemas.openxmlformats.org/drawingml/2006/main">
                  <a:graphicData uri="http://schemas.microsoft.com/office/word/2010/wordprocessingShape">
                    <wps:wsp>
                      <wps:cNvSpPr txBox="1"/>
                      <wps:spPr>
                        <a:xfrm>
                          <a:off x="0" y="0"/>
                          <a:ext cx="6085489" cy="982639"/>
                        </a:xfrm>
                        <a:prstGeom prst="rect">
                          <a:avLst/>
                        </a:prstGeom>
                        <a:noFill/>
                        <a:ln w="6350">
                          <a:noFill/>
                        </a:ln>
                      </wps:spPr>
                      <wps:txbx>
                        <w:txbxContent>
                          <w:p w14:paraId="27819380" w14:textId="77777777" w:rsidR="00DF23BC" w:rsidRPr="007846C4" w:rsidRDefault="00DF23BC" w:rsidP="00DF23BC">
                            <w:pPr>
                              <w:rPr>
                                <w:rFonts w:ascii="Open Sans" w:hAnsi="Open Sans" w:cs="Open Sans"/>
                                <w:color w:val="96C0DD"/>
                                <w:sz w:val="46"/>
                                <w:szCs w:val="46"/>
                                <w:lang w:val="en-US"/>
                              </w:rPr>
                            </w:pPr>
                            <w:r>
                              <w:rPr>
                                <w:rFonts w:ascii="Open Sans" w:hAnsi="Open Sans" w:cs="Open Sans"/>
                                <w:color w:val="96C0DD"/>
                                <w:sz w:val="46"/>
                                <w:szCs w:val="46"/>
                                <w:lang w:val="en-US"/>
                              </w:rPr>
                              <w:t>SYMBOLIC CHANGE OR SUBSTANTIVE REFORM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69E25C" id="_x0000_t202" coordsize="21600,21600" o:spt="202" path="m,l,21600r21600,l21600,xe">
                <v:stroke joinstyle="miter"/>
                <v:path gradientshapeok="t" o:connecttype="rect"/>
              </v:shapetype>
              <v:shape id="Text Box 12" o:spid="_x0000_s1026" type="#_x0000_t202" style="position:absolute;margin-left:22.3pt;margin-top:17.2pt;width:479.15pt;height:77.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JB9FwIAACwEAAAOAAAAZHJzL2Uyb0RvYy54bWysU02P2jAQvVfqf7B8LwksUIgIK7orqkpo&#10;dyV2tWfj2CSS43FtQ0J/fcdO+NC2p6oXZ8YzmY/3n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" filled="f" stroked="f" strokeweight=".5pt">
                <v:textbox>
                  <w:txbxContent>
                    <w:p w14:paraId="27819380" w14:textId="77777777" w:rsidR="00DF23BC" w:rsidRPr="007846C4" w:rsidRDefault="00DF23BC" w:rsidP="00DF23BC">
                      <w:pPr>
                        <w:rPr>
                          <w:rFonts w:ascii="Open Sans" w:hAnsi="Open Sans" w:cs="Open Sans"/>
                          <w:color w:val="96C0DD"/>
                          <w:sz w:val="46"/>
                          <w:szCs w:val="46"/>
                          <w:lang w:val="en-US"/>
                        </w:rPr>
                      </w:pPr>
                      <w:r>
                        <w:rPr>
                          <w:rFonts w:ascii="Open Sans" w:hAnsi="Open Sans" w:cs="Open Sans"/>
                          <w:color w:val="96C0DD"/>
                          <w:sz w:val="46"/>
                          <w:szCs w:val="46"/>
                          <w:lang w:val="en-US"/>
                        </w:rPr>
                        <w:t>SYMBOLIC CHANGE OR SUBSTANTIVE REFORM</w:t>
                      </w:r>
                    </w:p>
                  </w:txbxContent>
                </v:textbox>
              </v:shape>
            </w:pict>
          </mc:Fallback>
        </mc:AlternateContent>
      </w:r>
      <w:r>
        <w:rPr>
          <w:rFonts w:ascii="Open Sans" w:hAnsi="Open Sans" w:cs="Open Sans"/>
          <w:noProof/>
          <w:sz w:val="24"/>
          <w:szCs w:val="24"/>
          <w:lang w:val="en-US"/>
        </w:rPr>
        <w:drawing>
          <wp:anchor distT="0" distB="0" distL="114300" distR="114300" simplePos="0" relativeHeight="251668480" behindDoc="1" locked="0" layoutInCell="1" allowOverlap="1" wp14:anchorId="2FA7715B" wp14:editId="45B47CDC">
            <wp:simplePos x="0" y="0"/>
            <wp:positionH relativeFrom="page">
              <wp:align>left</wp:align>
            </wp:positionH>
            <wp:positionV relativeFrom="paragraph">
              <wp:posOffset>-914400</wp:posOffset>
            </wp:positionV>
            <wp:extent cx="7550150" cy="2096814"/>
            <wp:effectExtent l="0" t="0" r="0" b="0"/>
            <wp:wrapNone/>
            <wp:docPr id="1752032696" name="Picture 17520326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32696" name="Picture 1752032696">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5FEEE" w14:textId="77777777" w:rsidR="00DF23BC" w:rsidRDefault="00DF23BC" w:rsidP="00DF23BC">
      <w:pPr>
        <w:rPr>
          <w:rFonts w:ascii="Open Sans" w:hAnsi="Open Sans" w:cs="Open Sans"/>
          <w:b/>
          <w:bCs/>
          <w:color w:val="9D655A"/>
          <w:sz w:val="28"/>
          <w:szCs w:val="28"/>
          <w:lang w:val="en-US"/>
        </w:rPr>
      </w:pPr>
    </w:p>
    <w:p w14:paraId="3E51D40B" w14:textId="77777777" w:rsidR="00DF23BC" w:rsidRDefault="00DF23BC" w:rsidP="00DF23BC">
      <w:pPr>
        <w:rPr>
          <w:rFonts w:ascii="Open Sans" w:hAnsi="Open Sans" w:cs="Open Sans"/>
          <w:b/>
          <w:bCs/>
          <w:color w:val="9D655A"/>
          <w:sz w:val="28"/>
          <w:szCs w:val="28"/>
          <w:lang w:val="en-US"/>
        </w:rPr>
      </w:pPr>
    </w:p>
    <w:p w14:paraId="64406CD5" w14:textId="77777777" w:rsidR="00DF23BC" w:rsidRDefault="00DF23BC" w:rsidP="00DF23BC">
      <w:pPr>
        <w:rPr>
          <w:rFonts w:ascii="Open Sans" w:hAnsi="Open Sans" w:cs="Open Sans"/>
          <w:b/>
          <w:bCs/>
          <w:color w:val="9D655A"/>
          <w:sz w:val="28"/>
          <w:szCs w:val="28"/>
        </w:rPr>
      </w:pPr>
    </w:p>
    <w:p w14:paraId="169C021F" w14:textId="77777777" w:rsidR="00DF23BC" w:rsidRDefault="00DF23BC" w:rsidP="00DF23BC">
      <w:pPr>
        <w:rPr>
          <w:rFonts w:ascii="Open Sans" w:hAnsi="Open Sans" w:cs="Open Sans"/>
          <w:b/>
          <w:bCs/>
          <w:color w:val="9D655A"/>
          <w:sz w:val="28"/>
          <w:szCs w:val="28"/>
        </w:rPr>
      </w:pPr>
    </w:p>
    <w:p w14:paraId="7A0A1176" w14:textId="77777777" w:rsidR="00DF23BC" w:rsidRPr="001338DE" w:rsidRDefault="00DF23BC" w:rsidP="00DF23BC">
      <w:pPr>
        <w:rPr>
          <w:rFonts w:ascii="Open Sans" w:hAnsi="Open Sans" w:cs="Open Sans"/>
          <w:b/>
          <w:bCs/>
          <w:color w:val="231F20"/>
          <w:sz w:val="28"/>
          <w:szCs w:val="28"/>
        </w:rPr>
      </w:pPr>
      <w:r w:rsidRPr="001338DE">
        <w:rPr>
          <w:rFonts w:ascii="Open Sans" w:hAnsi="Open Sans" w:cs="Open Sans"/>
          <w:b/>
          <w:bCs/>
          <w:color w:val="231F20"/>
          <w:sz w:val="28"/>
          <w:szCs w:val="28"/>
        </w:rPr>
        <w:t xml:space="preserve">What is symbolic change? </w:t>
      </w:r>
    </w:p>
    <w:p w14:paraId="6F4CD087" w14:textId="77777777" w:rsidR="00DF23BC" w:rsidRPr="00C62CCB" w:rsidRDefault="00DF23BC" w:rsidP="00DF23BC">
      <w:pPr>
        <w:rPr>
          <w:rFonts w:ascii="Open Sans" w:hAnsi="Open Sans" w:cs="Open Sans"/>
          <w:sz w:val="24"/>
          <w:szCs w:val="24"/>
        </w:rPr>
      </w:pPr>
      <w:r>
        <w:rPr>
          <w:rFonts w:ascii="Open Sans" w:hAnsi="Open Sans" w:cs="Open Sans"/>
          <w:sz w:val="24"/>
          <w:szCs w:val="24"/>
        </w:rPr>
        <w:t>A s</w:t>
      </w:r>
      <w:r w:rsidRPr="00C62CCB">
        <w:rPr>
          <w:rFonts w:ascii="Open Sans" w:hAnsi="Open Sans" w:cs="Open Sans"/>
          <w:sz w:val="24"/>
          <w:szCs w:val="24"/>
        </w:rPr>
        <w:t xml:space="preserve">ymbolic </w:t>
      </w:r>
      <w:r>
        <w:rPr>
          <w:rFonts w:ascii="Open Sans" w:hAnsi="Open Sans" w:cs="Open Sans"/>
          <w:sz w:val="24"/>
          <w:szCs w:val="24"/>
        </w:rPr>
        <w:t xml:space="preserve">change to </w:t>
      </w:r>
      <w:r w:rsidRPr="00C62CCB">
        <w:rPr>
          <w:rFonts w:ascii="Open Sans" w:hAnsi="Open Sans" w:cs="Open Sans"/>
          <w:sz w:val="24"/>
          <w:szCs w:val="24"/>
        </w:rPr>
        <w:t xml:space="preserve">the Australian Constitution is a change that </w:t>
      </w:r>
      <w:r>
        <w:rPr>
          <w:rFonts w:ascii="Open Sans" w:hAnsi="Open Sans" w:cs="Open Sans"/>
          <w:sz w:val="24"/>
          <w:szCs w:val="24"/>
        </w:rPr>
        <w:t>does not affect any existing duties, powers or legal relationships</w:t>
      </w:r>
      <w:r w:rsidRPr="00C62CCB">
        <w:rPr>
          <w:rFonts w:ascii="Open Sans" w:hAnsi="Open Sans" w:cs="Open Sans"/>
          <w:sz w:val="24"/>
          <w:szCs w:val="24"/>
        </w:rPr>
        <w:t>.</w:t>
      </w:r>
    </w:p>
    <w:p w14:paraId="70E8C433" w14:textId="77777777" w:rsidR="00DF23BC" w:rsidRPr="00C62CCB" w:rsidRDefault="00DF23BC" w:rsidP="00DF23BC">
      <w:pPr>
        <w:rPr>
          <w:rFonts w:ascii="Open Sans" w:hAnsi="Open Sans" w:cs="Open Sans"/>
          <w:sz w:val="24"/>
          <w:szCs w:val="24"/>
        </w:rPr>
      </w:pPr>
      <w:r>
        <w:rPr>
          <w:rFonts w:ascii="Open Sans" w:hAnsi="Open Sans" w:cs="Open Sans"/>
          <w:sz w:val="24"/>
          <w:szCs w:val="24"/>
        </w:rPr>
        <w:t>For example, s</w:t>
      </w:r>
      <w:r w:rsidRPr="61EFBFA9">
        <w:rPr>
          <w:rFonts w:ascii="Open Sans" w:hAnsi="Open Sans" w:cs="Open Sans"/>
          <w:sz w:val="24"/>
          <w:szCs w:val="24"/>
        </w:rPr>
        <w:t xml:space="preserve">ome </w:t>
      </w:r>
      <w:r>
        <w:rPr>
          <w:rFonts w:ascii="Open Sans" w:hAnsi="Open Sans" w:cs="Open Sans"/>
          <w:sz w:val="24"/>
          <w:szCs w:val="24"/>
        </w:rPr>
        <w:t xml:space="preserve">people </w:t>
      </w:r>
      <w:r w:rsidRPr="61EFBFA9">
        <w:rPr>
          <w:rFonts w:ascii="Open Sans" w:hAnsi="Open Sans" w:cs="Open Sans"/>
          <w:sz w:val="24"/>
          <w:szCs w:val="24"/>
        </w:rPr>
        <w:t>support the idea of constitutional recognition in the form of a</w:t>
      </w:r>
      <w:r>
        <w:rPr>
          <w:rFonts w:ascii="Open Sans" w:hAnsi="Open Sans" w:cs="Open Sans"/>
          <w:sz w:val="24"/>
          <w:szCs w:val="24"/>
        </w:rPr>
        <w:t>n introduction or</w:t>
      </w:r>
      <w:r w:rsidRPr="61EFBFA9">
        <w:rPr>
          <w:rFonts w:ascii="Open Sans" w:hAnsi="Open Sans" w:cs="Open Sans"/>
          <w:sz w:val="24"/>
          <w:szCs w:val="24"/>
        </w:rPr>
        <w:t xml:space="preserve"> </w:t>
      </w:r>
      <w:r>
        <w:rPr>
          <w:rFonts w:ascii="Open Sans" w:hAnsi="Open Sans" w:cs="Open Sans"/>
          <w:sz w:val="24"/>
          <w:szCs w:val="24"/>
        </w:rPr>
        <w:t>‘</w:t>
      </w:r>
      <w:r w:rsidRPr="61EFBFA9">
        <w:rPr>
          <w:rFonts w:ascii="Open Sans" w:hAnsi="Open Sans" w:cs="Open Sans"/>
          <w:sz w:val="24"/>
          <w:szCs w:val="24"/>
        </w:rPr>
        <w:t>preamble</w:t>
      </w:r>
      <w:r>
        <w:rPr>
          <w:rFonts w:ascii="Open Sans" w:hAnsi="Open Sans" w:cs="Open Sans"/>
          <w:sz w:val="24"/>
          <w:szCs w:val="24"/>
        </w:rPr>
        <w:t>’</w:t>
      </w:r>
      <w:r w:rsidRPr="61EFBFA9">
        <w:rPr>
          <w:rFonts w:ascii="Open Sans" w:hAnsi="Open Sans" w:cs="Open Sans"/>
          <w:sz w:val="24"/>
          <w:szCs w:val="24"/>
        </w:rPr>
        <w:t xml:space="preserve"> to the </w:t>
      </w:r>
      <w:r>
        <w:rPr>
          <w:rFonts w:ascii="Open Sans" w:hAnsi="Open Sans" w:cs="Open Sans"/>
          <w:sz w:val="24"/>
          <w:szCs w:val="24"/>
        </w:rPr>
        <w:t>C</w:t>
      </w:r>
      <w:r w:rsidRPr="61EFBFA9">
        <w:rPr>
          <w:rFonts w:ascii="Open Sans" w:hAnsi="Open Sans" w:cs="Open Sans"/>
          <w:sz w:val="24"/>
          <w:szCs w:val="24"/>
        </w:rPr>
        <w:t>onstitution</w:t>
      </w:r>
      <w:r>
        <w:rPr>
          <w:rFonts w:ascii="Open Sans" w:hAnsi="Open Sans" w:cs="Open Sans"/>
          <w:sz w:val="24"/>
          <w:szCs w:val="24"/>
        </w:rPr>
        <w:t xml:space="preserve">. Such a </w:t>
      </w:r>
      <w:r w:rsidRPr="455CE4A2">
        <w:rPr>
          <w:rFonts w:ascii="Open Sans" w:hAnsi="Open Sans" w:cs="Open Sans"/>
          <w:sz w:val="24"/>
          <w:szCs w:val="24"/>
        </w:rPr>
        <w:t>preamble</w:t>
      </w:r>
      <w:r>
        <w:rPr>
          <w:rFonts w:ascii="Open Sans" w:hAnsi="Open Sans" w:cs="Open Sans"/>
          <w:sz w:val="24"/>
          <w:szCs w:val="24"/>
        </w:rPr>
        <w:t xml:space="preserve"> would </w:t>
      </w:r>
      <w:r w:rsidRPr="61EFBFA9">
        <w:rPr>
          <w:rFonts w:ascii="Open Sans" w:hAnsi="Open Sans" w:cs="Open Sans"/>
          <w:sz w:val="24"/>
          <w:szCs w:val="24"/>
        </w:rPr>
        <w:t xml:space="preserve">recognise </w:t>
      </w:r>
      <w:r w:rsidRPr="455CE4A2">
        <w:rPr>
          <w:rFonts w:ascii="Open Sans" w:hAnsi="Open Sans" w:cs="Open Sans"/>
          <w:sz w:val="24"/>
          <w:szCs w:val="24"/>
        </w:rPr>
        <w:t xml:space="preserve">that </w:t>
      </w:r>
      <w:r w:rsidRPr="61EFBFA9">
        <w:rPr>
          <w:rFonts w:ascii="Open Sans" w:hAnsi="Open Sans" w:cs="Open Sans"/>
          <w:sz w:val="24"/>
          <w:szCs w:val="24"/>
        </w:rPr>
        <w:t xml:space="preserve">Indigenous peoples </w:t>
      </w:r>
      <w:r w:rsidRPr="4489A01A">
        <w:rPr>
          <w:rFonts w:ascii="Open Sans" w:hAnsi="Open Sans" w:cs="Open Sans"/>
          <w:sz w:val="24"/>
          <w:szCs w:val="24"/>
        </w:rPr>
        <w:t>are</w:t>
      </w:r>
      <w:r w:rsidRPr="61EFBFA9">
        <w:rPr>
          <w:rFonts w:ascii="Open Sans" w:hAnsi="Open Sans" w:cs="Open Sans"/>
          <w:sz w:val="24"/>
          <w:szCs w:val="24"/>
        </w:rPr>
        <w:t xml:space="preserve"> the original inhabitants of the lands and waters now known as Australia. </w:t>
      </w:r>
      <w:r>
        <w:rPr>
          <w:rFonts w:ascii="Open Sans" w:hAnsi="Open Sans" w:cs="Open Sans"/>
          <w:sz w:val="24"/>
          <w:szCs w:val="24"/>
        </w:rPr>
        <w:t>However, that recognition would not have any direct legal consequence</w:t>
      </w:r>
      <w:r w:rsidRPr="480C90BF">
        <w:rPr>
          <w:rFonts w:ascii="Open Sans" w:eastAsia="Open Sans" w:hAnsi="Open Sans" w:cs="Open Sans"/>
          <w:sz w:val="24"/>
          <w:szCs w:val="24"/>
        </w:rPr>
        <w:t>.</w:t>
      </w:r>
    </w:p>
    <w:p w14:paraId="2CBBCDCB" w14:textId="77777777" w:rsidR="00DF23BC" w:rsidRPr="00C62CCB" w:rsidRDefault="00DF23BC" w:rsidP="00DF23BC">
      <w:pPr>
        <w:rPr>
          <w:rFonts w:ascii="Open Sans" w:hAnsi="Open Sans" w:cs="Open Sans"/>
          <w:sz w:val="24"/>
          <w:szCs w:val="24"/>
        </w:rPr>
      </w:pPr>
      <w:r w:rsidRPr="61EFBFA9">
        <w:rPr>
          <w:rFonts w:ascii="Open Sans" w:hAnsi="Open Sans" w:cs="Open Sans"/>
          <w:sz w:val="24"/>
          <w:szCs w:val="24"/>
        </w:rPr>
        <w:t>The Australian Constitution does not currently have a preamble.</w:t>
      </w:r>
      <w:r w:rsidRPr="61EFBFA9" w:rsidDel="002A7281">
        <w:rPr>
          <w:rFonts w:ascii="Open Sans" w:hAnsi="Open Sans" w:cs="Open Sans"/>
          <w:sz w:val="24"/>
          <w:szCs w:val="24"/>
          <w:highlight w:val="white"/>
        </w:rPr>
        <w:t xml:space="preserve"> </w:t>
      </w:r>
    </w:p>
    <w:p w14:paraId="3BD2A290" w14:textId="77777777" w:rsidR="00DF23BC" w:rsidRPr="006600B1" w:rsidRDefault="00DF23BC" w:rsidP="00DF23BC">
      <w:pPr>
        <w:rPr>
          <w:rFonts w:ascii="Open Sans" w:hAnsi="Open Sans" w:cs="Open Sans"/>
          <w:sz w:val="24"/>
          <w:szCs w:val="24"/>
        </w:rPr>
      </w:pPr>
    </w:p>
    <w:p w14:paraId="1AB34289" w14:textId="77777777" w:rsidR="00DF23BC" w:rsidRPr="001338DE" w:rsidRDefault="00DF23BC" w:rsidP="00DF23BC">
      <w:pPr>
        <w:rPr>
          <w:rFonts w:ascii="Open Sans" w:hAnsi="Open Sans" w:cs="Open Sans"/>
          <w:b/>
          <w:bCs/>
          <w:color w:val="231F20"/>
          <w:sz w:val="28"/>
          <w:szCs w:val="28"/>
        </w:rPr>
      </w:pPr>
      <w:r w:rsidRPr="001338DE">
        <w:rPr>
          <w:rFonts w:ascii="Open Sans" w:hAnsi="Open Sans" w:cs="Open Sans"/>
          <w:b/>
          <w:bCs/>
          <w:color w:val="231F20"/>
          <w:sz w:val="28"/>
          <w:szCs w:val="28"/>
        </w:rPr>
        <w:t xml:space="preserve">What is substantive reform? </w:t>
      </w:r>
    </w:p>
    <w:p w14:paraId="6A0C3B89" w14:textId="77777777" w:rsidR="00DF23BC" w:rsidRPr="006600B1" w:rsidRDefault="00DF23BC" w:rsidP="00DF23BC">
      <w:pPr>
        <w:rPr>
          <w:rFonts w:ascii="Open Sans" w:hAnsi="Open Sans" w:cs="Open Sans"/>
          <w:sz w:val="24"/>
          <w:szCs w:val="24"/>
        </w:rPr>
      </w:pPr>
      <w:r w:rsidRPr="733EBB9A">
        <w:rPr>
          <w:rFonts w:ascii="Open Sans" w:hAnsi="Open Sans" w:cs="Open Sans"/>
          <w:sz w:val="24"/>
          <w:szCs w:val="24"/>
        </w:rPr>
        <w:t xml:space="preserve">The proposed Indigenous Voice to Parliament is an example of substantive </w:t>
      </w:r>
      <w:r>
        <w:rPr>
          <w:rFonts w:ascii="Open Sans" w:hAnsi="Open Sans" w:cs="Open Sans"/>
          <w:sz w:val="24"/>
          <w:szCs w:val="24"/>
        </w:rPr>
        <w:t xml:space="preserve">legal </w:t>
      </w:r>
      <w:r w:rsidRPr="733EBB9A">
        <w:rPr>
          <w:rFonts w:ascii="Open Sans" w:hAnsi="Open Sans" w:cs="Open Sans"/>
          <w:sz w:val="24"/>
          <w:szCs w:val="24"/>
        </w:rPr>
        <w:t>reform</w:t>
      </w:r>
      <w:r>
        <w:rPr>
          <w:rFonts w:ascii="Open Sans" w:hAnsi="Open Sans" w:cs="Open Sans"/>
          <w:sz w:val="24"/>
          <w:szCs w:val="24"/>
        </w:rPr>
        <w:t>. This is because</w:t>
      </w:r>
      <w:r w:rsidRPr="733EBB9A">
        <w:rPr>
          <w:rFonts w:ascii="Open Sans" w:hAnsi="Open Sans" w:cs="Open Sans"/>
          <w:sz w:val="24"/>
          <w:szCs w:val="24"/>
        </w:rPr>
        <w:t xml:space="preserve"> it would </w:t>
      </w:r>
      <w:r>
        <w:rPr>
          <w:rFonts w:ascii="Open Sans" w:hAnsi="Open Sans" w:cs="Open Sans"/>
          <w:sz w:val="24"/>
          <w:szCs w:val="24"/>
        </w:rPr>
        <w:t>provide for a new constitutionally entrenched legal entity with the function of making representations to the Parliament and the Australian Government on matters relating to Aboriginal and Torres Strait Islander peoples</w:t>
      </w:r>
      <w:r w:rsidRPr="006600B1">
        <w:rPr>
          <w:rFonts w:ascii="Open Sans" w:hAnsi="Open Sans" w:cs="Open Sans"/>
          <w:sz w:val="24"/>
          <w:szCs w:val="24"/>
        </w:rPr>
        <w:t xml:space="preserve">. </w:t>
      </w:r>
    </w:p>
    <w:p w14:paraId="7254F8B1" w14:textId="77777777" w:rsidR="00DF23BC" w:rsidRDefault="00DF23BC" w:rsidP="00DF23BC">
      <w:pPr>
        <w:rPr>
          <w:rFonts w:ascii="Open Sans" w:hAnsi="Open Sans" w:cs="Open Sans"/>
          <w:sz w:val="24"/>
          <w:szCs w:val="24"/>
        </w:rPr>
      </w:pPr>
      <w:r>
        <w:rPr>
          <w:rFonts w:ascii="Open Sans" w:hAnsi="Open Sans" w:cs="Open Sans"/>
          <w:sz w:val="24"/>
          <w:szCs w:val="24"/>
        </w:rPr>
        <w:t>The proposed amendment to the Constitution would also give the Parliament a new power to make laws about the composition, functions, powers and procedures of the Voice.</w:t>
      </w:r>
    </w:p>
    <w:p w14:paraId="049C623A" w14:textId="75399972" w:rsidR="002C7DAD" w:rsidRPr="00DF23BC" w:rsidRDefault="00DF23BC" w:rsidP="00716307">
      <w:pPr>
        <w:rPr>
          <w:rFonts w:ascii="Open Sans" w:hAnsi="Open Sans" w:cs="Open Sans"/>
          <w:sz w:val="24"/>
          <w:szCs w:val="24"/>
        </w:rPr>
      </w:pPr>
      <w:r w:rsidRPr="0D1342F1">
        <w:rPr>
          <w:rFonts w:ascii="Open Sans" w:hAnsi="Open Sans" w:cs="Open Sans"/>
          <w:sz w:val="24"/>
          <w:szCs w:val="24"/>
        </w:rPr>
        <w:t xml:space="preserve">Whether or not the substantive reform being offered is appropriate and/or adequate is something individuals must ask themselves when considering whether they will write yes or no in the upcoming </w:t>
      </w:r>
      <w:hyperlink r:id="rId9" w:history="1">
        <w:r w:rsidRPr="00D130A5">
          <w:rPr>
            <w:rStyle w:val="Hyperlink"/>
            <w:rFonts w:ascii="Open Sans" w:hAnsi="Open Sans" w:cs="Open Sans"/>
            <w:sz w:val="24"/>
            <w:szCs w:val="24"/>
          </w:rPr>
          <w:t>referendum</w:t>
        </w:r>
      </w:hyperlink>
      <w:r w:rsidRPr="0D1342F1">
        <w:rPr>
          <w:rFonts w:ascii="Open Sans" w:hAnsi="Open Sans" w:cs="Open Sans"/>
          <w:sz w:val="24"/>
          <w:szCs w:val="24"/>
        </w:rPr>
        <w:t xml:space="preserve">. Take the time to learn more about the </w:t>
      </w:r>
      <w:r w:rsidRPr="00D130A5">
        <w:rPr>
          <w:rFonts w:ascii="Open Sans" w:hAnsi="Open Sans" w:cs="Open Sans"/>
          <w:sz w:val="24"/>
          <w:szCs w:val="24"/>
        </w:rPr>
        <w:t>proposed changes</w:t>
      </w:r>
      <w:r w:rsidRPr="0D1342F1">
        <w:rPr>
          <w:rFonts w:ascii="Open Sans" w:hAnsi="Open Sans" w:cs="Open Sans"/>
          <w:sz w:val="24"/>
          <w:szCs w:val="24"/>
        </w:rPr>
        <w:t xml:space="preserve"> as well as the long history of Indigenous advocacy, </w:t>
      </w:r>
      <w:r w:rsidRPr="00486C50">
        <w:rPr>
          <w:rFonts w:ascii="Open Sans" w:hAnsi="Open Sans" w:cs="Open Sans"/>
          <w:sz w:val="24"/>
          <w:szCs w:val="24"/>
        </w:rPr>
        <w:t xml:space="preserve">starting with the </w:t>
      </w:r>
      <w:hyperlink r:id="rId10" w:history="1">
        <w:r w:rsidRPr="00486C50">
          <w:rPr>
            <w:rStyle w:val="Hyperlink"/>
            <w:rFonts w:ascii="Open Sans" w:hAnsi="Open Sans" w:cs="Open Sans"/>
            <w:sz w:val="24"/>
            <w:szCs w:val="24"/>
          </w:rPr>
          <w:t>information available in the ‘history of Aboriginal and Torres Strait Islander peoples advocating for the right to be heard’ section of th</w:t>
        </w:r>
        <w:r>
          <w:rPr>
            <w:rStyle w:val="Hyperlink"/>
            <w:rFonts w:ascii="Open Sans" w:hAnsi="Open Sans" w:cs="Open Sans"/>
            <w:sz w:val="24"/>
            <w:szCs w:val="24"/>
          </w:rPr>
          <w:t>e Voice referendum resource ki</w:t>
        </w:r>
        <w:r w:rsidRPr="00486C50">
          <w:rPr>
            <w:rStyle w:val="Hyperlink"/>
            <w:rFonts w:ascii="Open Sans" w:hAnsi="Open Sans" w:cs="Open Sans"/>
            <w:sz w:val="24"/>
            <w:szCs w:val="24"/>
          </w:rPr>
          <w:t>t</w:t>
        </w:r>
      </w:hyperlink>
      <w:r w:rsidRPr="0D1342F1">
        <w:rPr>
          <w:rFonts w:ascii="Open Sans" w:hAnsi="Open Sans" w:cs="Open Sans"/>
          <w:sz w:val="24"/>
          <w:szCs w:val="24"/>
        </w:rPr>
        <w:t>.</w:t>
      </w:r>
    </w:p>
    <w:p w14:paraId="2F829C9C" w14:textId="5CBC61DA" w:rsidR="0079712E" w:rsidRDefault="0079712E"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0A40664C">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12"/>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3FA041" w14:textId="77777777" w:rsidR="00D00C6F" w:rsidRDefault="00D00C6F" w:rsidP="00716307">
      <w:pPr>
        <w:spacing w:after="0" w:line="240" w:lineRule="auto"/>
      </w:pPr>
      <w:r>
        <w:separator/>
      </w:r>
    </w:p>
  </w:endnote>
  <w:endnote w:type="continuationSeparator" w:id="0">
    <w:p w14:paraId="1BEF1B90" w14:textId="77777777" w:rsidR="00D00C6F" w:rsidRDefault="00D00C6F" w:rsidP="00716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7"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0FF26" w14:textId="77777777" w:rsidR="00D00C6F" w:rsidRDefault="00D00C6F" w:rsidP="00716307">
      <w:pPr>
        <w:spacing w:after="0" w:line="240" w:lineRule="auto"/>
      </w:pPr>
      <w:r>
        <w:separator/>
      </w:r>
    </w:p>
  </w:footnote>
  <w:footnote w:type="continuationSeparator" w:id="0">
    <w:p w14:paraId="370D09A2" w14:textId="77777777" w:rsidR="00D00C6F" w:rsidRDefault="00D00C6F"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618005">
    <w:abstractNumId w:val="0"/>
  </w:num>
  <w:num w:numId="2" w16cid:durableId="361440796">
    <w:abstractNumId w:val="2"/>
  </w:num>
  <w:num w:numId="3" w16cid:durableId="1612591892">
    <w:abstractNumId w:val="1"/>
  </w:num>
  <w:num w:numId="4" w16cid:durableId="9485877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YUhBvmLvmtrsJ0jlkBZHomO62jztROKGjpNjzwrVuaxs3UpnrPTCYxR7D8BdbgdsBLkNH8t83Yc2SDwmHZPlQ==" w:salt="o8y/GjOKueElbc480tCd0w=="/>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105A20"/>
    <w:rsid w:val="001212CE"/>
    <w:rsid w:val="001609D4"/>
    <w:rsid w:val="00197F44"/>
    <w:rsid w:val="00204A28"/>
    <w:rsid w:val="00247901"/>
    <w:rsid w:val="0027411A"/>
    <w:rsid w:val="002C7DAD"/>
    <w:rsid w:val="003A4513"/>
    <w:rsid w:val="003F102E"/>
    <w:rsid w:val="0051355B"/>
    <w:rsid w:val="00526474"/>
    <w:rsid w:val="005D4948"/>
    <w:rsid w:val="006019BF"/>
    <w:rsid w:val="00632F9B"/>
    <w:rsid w:val="0063638D"/>
    <w:rsid w:val="006A6B01"/>
    <w:rsid w:val="006D56E6"/>
    <w:rsid w:val="00716307"/>
    <w:rsid w:val="0079712E"/>
    <w:rsid w:val="007A7F17"/>
    <w:rsid w:val="008812F1"/>
    <w:rsid w:val="008E5008"/>
    <w:rsid w:val="009B2EBA"/>
    <w:rsid w:val="009D2EC5"/>
    <w:rsid w:val="00A54261"/>
    <w:rsid w:val="00AC7FA6"/>
    <w:rsid w:val="00B10433"/>
    <w:rsid w:val="00C150DD"/>
    <w:rsid w:val="00C91C95"/>
    <w:rsid w:val="00CC5A48"/>
    <w:rsid w:val="00CF4184"/>
    <w:rsid w:val="00D00C6F"/>
    <w:rsid w:val="00D14E5F"/>
    <w:rsid w:val="00D43324"/>
    <w:rsid w:val="00D85082"/>
    <w:rsid w:val="00DC29E6"/>
    <w:rsid w:val="00DF23BC"/>
    <w:rsid w:val="00E13BDB"/>
    <w:rsid w:val="00E14B6C"/>
    <w:rsid w:val="00E61D92"/>
    <w:rsid w:val="00E9039E"/>
    <w:rsid w:val="00EA5D57"/>
    <w:rsid w:val="00EC4E4F"/>
    <w:rsid w:val="00FC55E6"/>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hyperlink" Target="https://humanrights.gov.au/our-work/aboriginal-and-torres-strait-islander-social-justice/history-aboriginal-and-torres-strait" TargetMode="External"/><Relationship Id="rId4" Type="http://schemas.openxmlformats.org/officeDocument/2006/relationships/webSettings" Target="webSettings.xml"/><Relationship Id="rId9" Type="http://schemas.openxmlformats.org/officeDocument/2006/relationships/hyperlink" Target="https://humanrights.gov.au/our-work/aboriginal-and-torres-strait-islander-social-justice/referendums-and-constitutional-change"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Pages>
  <Words>291</Words>
  <Characters>1662</Characters>
  <Application>Microsoft Office Word</Application>
  <DocSecurity>8</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8</cp:revision>
  <cp:lastPrinted>2023-08-07T00:05:00Z</cp:lastPrinted>
  <dcterms:created xsi:type="dcterms:W3CDTF">2023-08-07T00:08:00Z</dcterms:created>
  <dcterms:modified xsi:type="dcterms:W3CDTF">2023-08-07T00:51:00Z</dcterms:modified>
</cp:coreProperties>
</file>