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476E30" w14:textId="2AE4AC16" w:rsidR="00832256" w:rsidRPr="00AB4037" w:rsidRDefault="00A63D0F" w:rsidP="00832256">
      <w:pPr>
        <w:rPr>
          <w:rFonts w:cs="Open Sans"/>
          <w:szCs w:val="24"/>
        </w:rPr>
      </w:pPr>
      <w:r>
        <w:rPr>
          <w:rFonts w:cs="Open Sans"/>
          <w:noProof/>
          <w:szCs w:val="24"/>
        </w:rPr>
        <w:drawing>
          <wp:anchor distT="0" distB="0" distL="114300" distR="114300" simplePos="0" relativeHeight="251658240" behindDoc="1" locked="0" layoutInCell="1" allowOverlap="1" wp14:anchorId="21AAA2BC" wp14:editId="50AD53C1">
            <wp:simplePos x="0" y="0"/>
            <wp:positionH relativeFrom="column">
              <wp:posOffset>-903605</wp:posOffset>
            </wp:positionH>
            <wp:positionV relativeFrom="paragraph">
              <wp:posOffset>-1150477</wp:posOffset>
            </wp:positionV>
            <wp:extent cx="7520468" cy="10690214"/>
            <wp:effectExtent l="0" t="0" r="0" b="381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 AusHRC 129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0468" cy="10690214"/>
                    </a:xfrm>
                    <a:prstGeom prst="rect">
                      <a:avLst/>
                    </a:prstGeom>
                  </pic:spPr>
                </pic:pic>
              </a:graphicData>
            </a:graphic>
            <wp14:sizeRelH relativeFrom="margin">
              <wp14:pctWidth>0</wp14:pctWidth>
            </wp14:sizeRelH>
            <wp14:sizeRelV relativeFrom="margin">
              <wp14:pctHeight>0</wp14:pctHeight>
            </wp14:sizeRelV>
          </wp:anchor>
        </w:drawing>
      </w:r>
    </w:p>
    <w:p w14:paraId="095ADE37" w14:textId="5B8101DE" w:rsidR="008217BE" w:rsidRDefault="008217BE">
      <w:pPr>
        <w:spacing w:after="160" w:line="259" w:lineRule="auto"/>
        <w:rPr>
          <w:rFonts w:cs="Open Sans"/>
          <w:szCs w:val="24"/>
        </w:rPr>
      </w:pPr>
      <w:r>
        <w:rPr>
          <w:rFonts w:cs="Open Sans"/>
          <w:szCs w:val="24"/>
        </w:rPr>
        <w:br w:type="page"/>
      </w:r>
    </w:p>
    <w:p w14:paraId="7456BD86" w14:textId="77777777" w:rsidR="00C86917" w:rsidRDefault="00C86917" w:rsidP="008217BE">
      <w:pPr>
        <w:pStyle w:val="CopyrightText"/>
        <w:rPr>
          <w:sz w:val="20"/>
          <w:szCs w:val="20"/>
        </w:rPr>
      </w:pPr>
    </w:p>
    <w:p w14:paraId="444CD328" w14:textId="77777777" w:rsidR="00C86917" w:rsidRDefault="00C86917" w:rsidP="008217BE">
      <w:pPr>
        <w:pStyle w:val="CopyrightText"/>
        <w:rPr>
          <w:sz w:val="20"/>
          <w:szCs w:val="20"/>
        </w:rPr>
      </w:pPr>
    </w:p>
    <w:p w14:paraId="6BDCDC97" w14:textId="3EB1C12E" w:rsidR="008217BE" w:rsidRPr="008217BE" w:rsidRDefault="008217BE" w:rsidP="008217BE">
      <w:pPr>
        <w:pStyle w:val="CopyrightText"/>
        <w:rPr>
          <w:sz w:val="20"/>
          <w:szCs w:val="20"/>
        </w:rPr>
      </w:pPr>
      <w:r w:rsidRPr="008217BE">
        <w:rPr>
          <w:sz w:val="20"/>
          <w:szCs w:val="20"/>
        </w:rPr>
        <w:t>© Australian Human Rights Commission 201</w:t>
      </w:r>
      <w:r w:rsidR="00C86917">
        <w:rPr>
          <w:sz w:val="20"/>
          <w:szCs w:val="20"/>
        </w:rPr>
        <w:t>9</w:t>
      </w:r>
      <w:r w:rsidRPr="008217BE">
        <w:rPr>
          <w:sz w:val="20"/>
          <w:szCs w:val="20"/>
        </w:rPr>
        <w:t>.</w:t>
      </w:r>
    </w:p>
    <w:p w14:paraId="13076F9D" w14:textId="77777777" w:rsidR="008217BE" w:rsidRPr="008217BE" w:rsidRDefault="008217BE" w:rsidP="008217BE">
      <w:pPr>
        <w:pStyle w:val="CopyrightText"/>
        <w:rPr>
          <w:sz w:val="20"/>
          <w:szCs w:val="20"/>
        </w:rPr>
      </w:pPr>
      <w:r w:rsidRPr="008217BE">
        <w:rPr>
          <w:sz w:val="20"/>
          <w:szCs w:val="20"/>
        </w:rPr>
        <w:t>The Australian Human Rights Commission encourages the dissemination and exchange of information presented in this publication.</w:t>
      </w:r>
    </w:p>
    <w:p w14:paraId="1F519D19" w14:textId="60D07B4A" w:rsidR="008217BE" w:rsidRPr="008217BE" w:rsidRDefault="008217BE" w:rsidP="008217BE">
      <w:pPr>
        <w:pStyle w:val="CopyrightText"/>
        <w:rPr>
          <w:sz w:val="20"/>
          <w:szCs w:val="20"/>
        </w:rPr>
      </w:pPr>
      <w:r w:rsidRPr="008217BE">
        <w:rPr>
          <w:noProof/>
          <w:sz w:val="20"/>
          <w:szCs w:val="20"/>
        </w:rPr>
        <w:drawing>
          <wp:inline distT="0" distB="0" distL="0" distR="0" wp14:anchorId="39169D53" wp14:editId="339E5205">
            <wp:extent cx="711200" cy="2413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11200" cy="241300"/>
                    </a:xfrm>
                    <a:prstGeom prst="rect">
                      <a:avLst/>
                    </a:prstGeom>
                  </pic:spPr>
                </pic:pic>
              </a:graphicData>
            </a:graphic>
          </wp:inline>
        </w:drawing>
      </w:r>
    </w:p>
    <w:p w14:paraId="1904915D" w14:textId="77777777" w:rsidR="008217BE" w:rsidRPr="008217BE" w:rsidRDefault="008217BE" w:rsidP="008217BE">
      <w:pPr>
        <w:pStyle w:val="CopyrightText"/>
        <w:rPr>
          <w:sz w:val="20"/>
          <w:szCs w:val="20"/>
        </w:rPr>
      </w:pPr>
      <w:r w:rsidRPr="008217BE">
        <w:rPr>
          <w:sz w:val="20"/>
          <w:szCs w:val="20"/>
        </w:rPr>
        <w:t>All material presented in this publication is licensed under the Creative Commons Attribution 4.0 International Licence, with the exception of:</w:t>
      </w:r>
    </w:p>
    <w:p w14:paraId="5F4968FC" w14:textId="77777777" w:rsidR="008217BE" w:rsidRPr="008217BE" w:rsidRDefault="008217BE" w:rsidP="008217BE">
      <w:pPr>
        <w:pStyle w:val="CopyrightText"/>
        <w:spacing w:after="0"/>
        <w:ind w:left="283" w:hanging="113"/>
        <w:rPr>
          <w:sz w:val="20"/>
          <w:szCs w:val="20"/>
        </w:rPr>
      </w:pPr>
      <w:r w:rsidRPr="008217BE">
        <w:rPr>
          <w:sz w:val="20"/>
          <w:szCs w:val="20"/>
        </w:rPr>
        <w:t>•</w:t>
      </w:r>
      <w:r w:rsidRPr="008217BE">
        <w:rPr>
          <w:sz w:val="20"/>
          <w:szCs w:val="20"/>
        </w:rPr>
        <w:tab/>
        <w:t>photographs and images;</w:t>
      </w:r>
    </w:p>
    <w:p w14:paraId="1E4D8156" w14:textId="77777777" w:rsidR="008217BE" w:rsidRPr="008217BE" w:rsidRDefault="008217BE" w:rsidP="008217BE">
      <w:pPr>
        <w:pStyle w:val="CopyrightText"/>
        <w:spacing w:after="0"/>
        <w:ind w:left="283" w:hanging="113"/>
        <w:rPr>
          <w:sz w:val="20"/>
          <w:szCs w:val="20"/>
        </w:rPr>
      </w:pPr>
      <w:r w:rsidRPr="008217BE">
        <w:rPr>
          <w:sz w:val="20"/>
          <w:szCs w:val="20"/>
        </w:rPr>
        <w:t>•</w:t>
      </w:r>
      <w:r w:rsidRPr="008217BE">
        <w:rPr>
          <w:sz w:val="20"/>
          <w:szCs w:val="20"/>
        </w:rPr>
        <w:tab/>
        <w:t>the Commission’s logo, any branding or trademarks;</w:t>
      </w:r>
    </w:p>
    <w:p w14:paraId="1E678867" w14:textId="77777777" w:rsidR="008217BE" w:rsidRPr="008217BE" w:rsidRDefault="008217BE" w:rsidP="008217BE">
      <w:pPr>
        <w:pStyle w:val="CopyrightText"/>
        <w:spacing w:after="0"/>
        <w:ind w:left="283" w:hanging="113"/>
        <w:rPr>
          <w:sz w:val="20"/>
          <w:szCs w:val="20"/>
        </w:rPr>
      </w:pPr>
      <w:r w:rsidRPr="008217BE">
        <w:rPr>
          <w:sz w:val="20"/>
          <w:szCs w:val="20"/>
        </w:rPr>
        <w:t>•</w:t>
      </w:r>
      <w:r w:rsidRPr="008217BE">
        <w:rPr>
          <w:sz w:val="20"/>
          <w:szCs w:val="20"/>
        </w:rPr>
        <w:tab/>
        <w:t>content or material provided by third parties; and</w:t>
      </w:r>
    </w:p>
    <w:p w14:paraId="04E887D3" w14:textId="6B72EAAA" w:rsidR="008217BE" w:rsidRPr="008217BE" w:rsidRDefault="008217BE" w:rsidP="008217BE">
      <w:pPr>
        <w:pStyle w:val="CopyrightText"/>
        <w:spacing w:after="170"/>
        <w:ind w:left="283" w:hanging="113"/>
        <w:rPr>
          <w:outline/>
          <w:sz w:val="20"/>
          <w:szCs w:val="20"/>
          <w14:textOutline w14:w="9525" w14:cap="flat" w14:cmpd="sng" w14:algn="ctr">
            <w14:solidFill>
              <w14:srgbClr w14:val="000000"/>
            </w14:solidFill>
            <w14:prstDash w14:val="solid"/>
            <w14:round/>
          </w14:textOutline>
          <w14:textFill>
            <w14:noFill/>
          </w14:textFill>
        </w:rPr>
      </w:pPr>
      <w:r w:rsidRPr="008217BE">
        <w:rPr>
          <w:sz w:val="20"/>
          <w:szCs w:val="20"/>
        </w:rPr>
        <w:t>•</w:t>
      </w:r>
      <w:r w:rsidRPr="008217BE">
        <w:rPr>
          <w:sz w:val="20"/>
          <w:szCs w:val="20"/>
        </w:rPr>
        <w:tab/>
        <w:t>where otherwise indicated.</w:t>
      </w:r>
    </w:p>
    <w:p w14:paraId="67AF6A2A" w14:textId="77777777" w:rsidR="008217BE" w:rsidRPr="008217BE" w:rsidRDefault="008217BE" w:rsidP="008217BE">
      <w:pPr>
        <w:pStyle w:val="CopyrightText"/>
        <w:rPr>
          <w:sz w:val="20"/>
          <w:szCs w:val="20"/>
        </w:rPr>
      </w:pPr>
      <w:r w:rsidRPr="008217BE">
        <w:rPr>
          <w:sz w:val="20"/>
          <w:szCs w:val="20"/>
        </w:rPr>
        <w:t xml:space="preserve">To view a copy of this licence, visit </w:t>
      </w:r>
      <w:r w:rsidRPr="008217BE">
        <w:rPr>
          <w:rStyle w:val="Bold"/>
          <w:rFonts w:ascii="Open Sans" w:hAnsi="Open Sans" w:cs="Open Sans"/>
          <w:sz w:val="20"/>
          <w:szCs w:val="20"/>
        </w:rPr>
        <w:t>http://creativecommons.org/licenses/by/4.0/legalcode</w:t>
      </w:r>
      <w:r w:rsidRPr="008217BE">
        <w:rPr>
          <w:sz w:val="20"/>
          <w:szCs w:val="20"/>
        </w:rPr>
        <w:t>.</w:t>
      </w:r>
    </w:p>
    <w:p w14:paraId="4F88B628" w14:textId="77777777" w:rsidR="008217BE" w:rsidRPr="008217BE" w:rsidRDefault="008217BE" w:rsidP="008217BE">
      <w:pPr>
        <w:pStyle w:val="CopyrightText"/>
        <w:rPr>
          <w:sz w:val="20"/>
          <w:szCs w:val="20"/>
        </w:rPr>
      </w:pPr>
      <w:r w:rsidRPr="008217BE">
        <w:rPr>
          <w:sz w:val="20"/>
          <w:szCs w:val="20"/>
        </w:rPr>
        <w:t>In essence, you are free to copy, communicate and adapt the publication, as long as you attribute the Australian Human Rights Commission and abide by the other licence terms.</w:t>
      </w:r>
    </w:p>
    <w:p w14:paraId="4AC101C2" w14:textId="3329BEA3" w:rsidR="008217BE" w:rsidRPr="008217BE" w:rsidRDefault="008217BE" w:rsidP="008217BE">
      <w:pPr>
        <w:pStyle w:val="CopyrightText"/>
        <w:spacing w:after="170"/>
        <w:rPr>
          <w:sz w:val="20"/>
          <w:szCs w:val="20"/>
        </w:rPr>
      </w:pPr>
      <w:r w:rsidRPr="008217BE">
        <w:rPr>
          <w:rStyle w:val="Bold"/>
          <w:rFonts w:ascii="Open Sans" w:hAnsi="Open Sans" w:cs="Open Sans"/>
          <w:sz w:val="20"/>
          <w:szCs w:val="20"/>
        </w:rPr>
        <w:t>Please give attribution to:</w:t>
      </w:r>
      <w:r w:rsidRPr="008217BE">
        <w:rPr>
          <w:sz w:val="20"/>
          <w:szCs w:val="20"/>
        </w:rPr>
        <w:t xml:space="preserve"> © Australian Human Rights Commission 201</w:t>
      </w:r>
      <w:r w:rsidR="00C86917">
        <w:rPr>
          <w:sz w:val="20"/>
          <w:szCs w:val="20"/>
        </w:rPr>
        <w:t>9</w:t>
      </w:r>
      <w:r w:rsidRPr="008217BE">
        <w:rPr>
          <w:sz w:val="20"/>
          <w:szCs w:val="20"/>
        </w:rPr>
        <w:t>.</w:t>
      </w:r>
    </w:p>
    <w:p w14:paraId="696D5886" w14:textId="77777777" w:rsidR="008217BE" w:rsidRPr="008217BE" w:rsidRDefault="008217BE" w:rsidP="008217BE">
      <w:pPr>
        <w:pStyle w:val="CopyrightText"/>
        <w:spacing w:after="170"/>
        <w:rPr>
          <w:sz w:val="20"/>
          <w:szCs w:val="20"/>
        </w:rPr>
      </w:pPr>
      <w:r w:rsidRPr="008217BE">
        <w:rPr>
          <w:rStyle w:val="Bold"/>
          <w:rFonts w:ascii="Open Sans" w:hAnsi="Open Sans" w:cs="Open Sans"/>
          <w:sz w:val="20"/>
          <w:szCs w:val="20"/>
        </w:rPr>
        <w:t>ISSN 1837-1183</w:t>
      </w:r>
    </w:p>
    <w:p w14:paraId="22E9FFD9" w14:textId="77777777" w:rsidR="008217BE" w:rsidRPr="008217BE" w:rsidRDefault="008217BE" w:rsidP="008217BE">
      <w:pPr>
        <w:pStyle w:val="CopyrightText"/>
        <w:rPr>
          <w:rStyle w:val="Bold"/>
          <w:rFonts w:ascii="Open Sans" w:hAnsi="Open Sans" w:cs="Open Sans"/>
          <w:sz w:val="20"/>
          <w:szCs w:val="20"/>
        </w:rPr>
      </w:pPr>
      <w:r w:rsidRPr="008217BE">
        <w:rPr>
          <w:rStyle w:val="Bold"/>
          <w:rFonts w:ascii="Open Sans" w:hAnsi="Open Sans" w:cs="Open Sans"/>
          <w:sz w:val="20"/>
          <w:szCs w:val="20"/>
        </w:rPr>
        <w:t>Further information</w:t>
      </w:r>
    </w:p>
    <w:p w14:paraId="0608E248" w14:textId="77777777" w:rsidR="008217BE" w:rsidRPr="008217BE" w:rsidRDefault="008217BE" w:rsidP="008217BE">
      <w:pPr>
        <w:pStyle w:val="CopyrightText"/>
        <w:rPr>
          <w:sz w:val="20"/>
          <w:szCs w:val="20"/>
        </w:rPr>
      </w:pPr>
      <w:r w:rsidRPr="008217BE">
        <w:rPr>
          <w:sz w:val="20"/>
          <w:szCs w:val="20"/>
        </w:rPr>
        <w:t>For further information about the Australian Human Rights Commission or copyright in this publication, please contact:</w:t>
      </w:r>
    </w:p>
    <w:p w14:paraId="1DDD8B59" w14:textId="77777777" w:rsidR="008217BE" w:rsidRPr="008217BE" w:rsidRDefault="008217BE" w:rsidP="008217BE">
      <w:pPr>
        <w:pStyle w:val="CopyrightText"/>
        <w:spacing w:after="0"/>
        <w:rPr>
          <w:sz w:val="20"/>
          <w:szCs w:val="20"/>
        </w:rPr>
      </w:pPr>
      <w:r w:rsidRPr="008217BE">
        <w:rPr>
          <w:sz w:val="20"/>
          <w:szCs w:val="20"/>
        </w:rPr>
        <w:t>Communications Unit</w:t>
      </w:r>
    </w:p>
    <w:p w14:paraId="573788BB" w14:textId="77777777" w:rsidR="008217BE" w:rsidRPr="008217BE" w:rsidRDefault="008217BE" w:rsidP="008217BE">
      <w:pPr>
        <w:pStyle w:val="CopyrightText"/>
        <w:spacing w:after="0"/>
        <w:rPr>
          <w:sz w:val="20"/>
          <w:szCs w:val="20"/>
        </w:rPr>
      </w:pPr>
      <w:r w:rsidRPr="008217BE">
        <w:rPr>
          <w:sz w:val="20"/>
          <w:szCs w:val="20"/>
        </w:rPr>
        <w:t>Australian Human Rights Commission</w:t>
      </w:r>
    </w:p>
    <w:p w14:paraId="08855F01" w14:textId="77777777" w:rsidR="008217BE" w:rsidRPr="008217BE" w:rsidRDefault="008217BE" w:rsidP="008217BE">
      <w:pPr>
        <w:pStyle w:val="CopyrightText"/>
        <w:spacing w:after="0"/>
        <w:rPr>
          <w:sz w:val="20"/>
          <w:szCs w:val="20"/>
        </w:rPr>
      </w:pPr>
      <w:r w:rsidRPr="008217BE">
        <w:rPr>
          <w:sz w:val="20"/>
          <w:szCs w:val="20"/>
        </w:rPr>
        <w:t>GPO Box 5218</w:t>
      </w:r>
    </w:p>
    <w:p w14:paraId="7F9A6082" w14:textId="77777777" w:rsidR="008217BE" w:rsidRPr="008217BE" w:rsidRDefault="008217BE" w:rsidP="008217BE">
      <w:pPr>
        <w:pStyle w:val="CopyrightText"/>
        <w:spacing w:after="0"/>
        <w:rPr>
          <w:sz w:val="20"/>
          <w:szCs w:val="20"/>
        </w:rPr>
      </w:pPr>
      <w:r w:rsidRPr="008217BE">
        <w:rPr>
          <w:sz w:val="20"/>
          <w:szCs w:val="20"/>
        </w:rPr>
        <w:t>SYDNEY NSW 2001</w:t>
      </w:r>
    </w:p>
    <w:p w14:paraId="60754F70" w14:textId="77777777" w:rsidR="008217BE" w:rsidRPr="008217BE" w:rsidRDefault="008217BE" w:rsidP="008217BE">
      <w:pPr>
        <w:pStyle w:val="CopyrightText"/>
        <w:spacing w:after="0"/>
        <w:rPr>
          <w:sz w:val="20"/>
          <w:szCs w:val="20"/>
        </w:rPr>
      </w:pPr>
      <w:r w:rsidRPr="008217BE">
        <w:rPr>
          <w:sz w:val="20"/>
          <w:szCs w:val="20"/>
        </w:rPr>
        <w:t>Telephone: (02) 9284 9600</w:t>
      </w:r>
    </w:p>
    <w:p w14:paraId="0F757167" w14:textId="77777777" w:rsidR="008217BE" w:rsidRPr="008217BE" w:rsidRDefault="008217BE" w:rsidP="0069296B">
      <w:pPr>
        <w:pStyle w:val="CopyrightText"/>
        <w:spacing w:after="240"/>
        <w:rPr>
          <w:rStyle w:val="Hyperlink"/>
          <w:rFonts w:cs="Open Sans"/>
          <w:sz w:val="20"/>
          <w:szCs w:val="20"/>
        </w:rPr>
      </w:pPr>
      <w:r w:rsidRPr="008217BE">
        <w:rPr>
          <w:sz w:val="20"/>
          <w:szCs w:val="20"/>
        </w:rPr>
        <w:t>Email: communications@humanrights.gov.au.</w:t>
      </w:r>
    </w:p>
    <w:p w14:paraId="278C3D9B" w14:textId="77777777" w:rsidR="008217BE" w:rsidRPr="008217BE" w:rsidRDefault="008217BE" w:rsidP="008217BE">
      <w:pPr>
        <w:pStyle w:val="CopyrightText"/>
        <w:rPr>
          <w:sz w:val="20"/>
          <w:szCs w:val="20"/>
        </w:rPr>
      </w:pPr>
      <w:r w:rsidRPr="008217BE">
        <w:rPr>
          <w:rStyle w:val="Bold"/>
          <w:rFonts w:ascii="Open Sans" w:hAnsi="Open Sans" w:cs="Open Sans"/>
          <w:sz w:val="20"/>
          <w:szCs w:val="20"/>
        </w:rPr>
        <w:t>Design and layout</w:t>
      </w:r>
      <w:r w:rsidRPr="008217BE">
        <w:rPr>
          <w:sz w:val="20"/>
          <w:szCs w:val="20"/>
        </w:rPr>
        <w:t xml:space="preserve"> Dancingirl Designs</w:t>
      </w:r>
    </w:p>
    <w:p w14:paraId="7F317C3C" w14:textId="4A243E32" w:rsidR="00832256" w:rsidRPr="008217BE" w:rsidRDefault="008217BE" w:rsidP="008217BE">
      <w:pPr>
        <w:rPr>
          <w:rFonts w:cs="Open Sans"/>
          <w:sz w:val="20"/>
        </w:rPr>
      </w:pPr>
      <w:r w:rsidRPr="008217BE">
        <w:rPr>
          <w:rStyle w:val="Bold"/>
          <w:rFonts w:ascii="Open Sans" w:hAnsi="Open Sans" w:cs="Open Sans"/>
          <w:sz w:val="20"/>
        </w:rPr>
        <w:t>Printing</w:t>
      </w:r>
      <w:r w:rsidRPr="008217BE">
        <w:rPr>
          <w:rFonts w:cs="Open Sans"/>
          <w:sz w:val="20"/>
        </w:rPr>
        <w:t xml:space="preserve"> Masterprint Pty Limited</w:t>
      </w:r>
    </w:p>
    <w:p w14:paraId="7E0B8EFD" w14:textId="77777777" w:rsidR="00832256" w:rsidRPr="008217BE" w:rsidRDefault="00832256" w:rsidP="00832256">
      <w:pPr>
        <w:rPr>
          <w:rFonts w:cs="Open Sans"/>
          <w:sz w:val="20"/>
        </w:rPr>
      </w:pPr>
    </w:p>
    <w:p w14:paraId="1C797AC9" w14:textId="77777777" w:rsidR="00832256" w:rsidRPr="008217BE" w:rsidRDefault="00832256" w:rsidP="00832256">
      <w:pPr>
        <w:rPr>
          <w:rFonts w:cs="Open Sans"/>
          <w:sz w:val="20"/>
        </w:rPr>
      </w:pPr>
    </w:p>
    <w:p w14:paraId="7B683786" w14:textId="77777777" w:rsidR="00832256" w:rsidRPr="008217BE" w:rsidRDefault="00832256" w:rsidP="00832256">
      <w:pPr>
        <w:rPr>
          <w:rFonts w:cs="Open Sans"/>
          <w:sz w:val="20"/>
        </w:rPr>
      </w:pPr>
    </w:p>
    <w:p w14:paraId="68270CF5" w14:textId="32A1682E" w:rsidR="008217BE" w:rsidRDefault="008217BE">
      <w:pPr>
        <w:spacing w:after="160" w:line="259" w:lineRule="auto"/>
        <w:rPr>
          <w:rFonts w:cs="Open Sans"/>
          <w:sz w:val="20"/>
        </w:rPr>
      </w:pPr>
      <w:r>
        <w:rPr>
          <w:rFonts w:cs="Open Sans"/>
          <w:sz w:val="20"/>
        </w:rPr>
        <w:br w:type="page"/>
      </w:r>
    </w:p>
    <w:p w14:paraId="08AA909B" w14:textId="61132BC2" w:rsidR="00832256" w:rsidRDefault="00832256" w:rsidP="00832256">
      <w:pPr>
        <w:rPr>
          <w:rFonts w:cs="Open Sans"/>
          <w:szCs w:val="24"/>
        </w:rPr>
      </w:pPr>
    </w:p>
    <w:p w14:paraId="37828BEA" w14:textId="77777777" w:rsidR="008217BE" w:rsidRPr="00AB4037" w:rsidRDefault="008217BE" w:rsidP="00832256">
      <w:pPr>
        <w:rPr>
          <w:rFonts w:cs="Open Sans"/>
          <w:szCs w:val="24"/>
        </w:rPr>
      </w:pPr>
    </w:p>
    <w:p w14:paraId="127A3C70" w14:textId="77777777" w:rsidR="00832256" w:rsidRPr="00AB4037" w:rsidRDefault="00832256" w:rsidP="00832256">
      <w:pPr>
        <w:rPr>
          <w:rFonts w:cs="Open Sans"/>
          <w:szCs w:val="24"/>
        </w:rPr>
      </w:pPr>
    </w:p>
    <w:p w14:paraId="63505A06" w14:textId="77777777" w:rsidR="00832256" w:rsidRPr="00AB4037" w:rsidRDefault="00832256" w:rsidP="00832256">
      <w:pPr>
        <w:rPr>
          <w:rFonts w:cs="Open Sans"/>
          <w:szCs w:val="24"/>
        </w:rPr>
      </w:pPr>
    </w:p>
    <w:p w14:paraId="1C9A79AA" w14:textId="00A797C2" w:rsidR="00832256" w:rsidRPr="008217BE" w:rsidRDefault="002C0C5F" w:rsidP="00832256">
      <w:pPr>
        <w:rPr>
          <w:rFonts w:cs="Open Sans"/>
          <w:b/>
          <w:sz w:val="36"/>
          <w:szCs w:val="36"/>
        </w:rPr>
      </w:pPr>
      <w:r w:rsidRPr="008217BE">
        <w:rPr>
          <w:rFonts w:cs="Open Sans"/>
          <w:b/>
          <w:sz w:val="36"/>
          <w:szCs w:val="36"/>
        </w:rPr>
        <w:t xml:space="preserve">Mr IB and Mr IC </w:t>
      </w:r>
      <w:r w:rsidR="00832256" w:rsidRPr="008217BE">
        <w:rPr>
          <w:rFonts w:cs="Open Sans"/>
          <w:b/>
          <w:sz w:val="36"/>
          <w:szCs w:val="36"/>
        </w:rPr>
        <w:t xml:space="preserve">v </w:t>
      </w:r>
      <w:r w:rsidR="00A52258" w:rsidRPr="008217BE">
        <w:rPr>
          <w:rFonts w:cs="Open Sans"/>
          <w:b/>
          <w:sz w:val="36"/>
          <w:szCs w:val="36"/>
        </w:rPr>
        <w:t xml:space="preserve">Commonwealth of Australia (Department of </w:t>
      </w:r>
      <w:r w:rsidR="00090AB5" w:rsidRPr="008217BE">
        <w:rPr>
          <w:rFonts w:cs="Open Sans"/>
          <w:b/>
          <w:sz w:val="36"/>
          <w:szCs w:val="36"/>
        </w:rPr>
        <w:t>Home Affairs</w:t>
      </w:r>
      <w:r w:rsidR="00A52258" w:rsidRPr="008217BE">
        <w:rPr>
          <w:rFonts w:cs="Open Sans"/>
          <w:b/>
          <w:sz w:val="36"/>
          <w:szCs w:val="36"/>
        </w:rPr>
        <w:t>)</w:t>
      </w:r>
    </w:p>
    <w:p w14:paraId="6D3A2E4B" w14:textId="77777777" w:rsidR="00832256" w:rsidRPr="008217BE" w:rsidRDefault="00A52258" w:rsidP="00832256">
      <w:pPr>
        <w:rPr>
          <w:rFonts w:cs="Open Sans"/>
          <w:sz w:val="32"/>
          <w:szCs w:val="32"/>
        </w:rPr>
      </w:pPr>
      <w:r w:rsidRPr="008217BE">
        <w:rPr>
          <w:rFonts w:cs="Open Sans"/>
          <w:sz w:val="32"/>
          <w:szCs w:val="32"/>
        </w:rPr>
        <w:t>[2019</w:t>
      </w:r>
      <w:r w:rsidR="00832256" w:rsidRPr="008217BE">
        <w:rPr>
          <w:rFonts w:cs="Open Sans"/>
          <w:sz w:val="32"/>
          <w:szCs w:val="32"/>
        </w:rPr>
        <w:t xml:space="preserve">] </w:t>
      </w:r>
      <w:proofErr w:type="spellStart"/>
      <w:r w:rsidRPr="008217BE">
        <w:rPr>
          <w:rFonts w:cs="Open Sans"/>
          <w:sz w:val="32"/>
          <w:szCs w:val="32"/>
        </w:rPr>
        <w:t>AusHRC</w:t>
      </w:r>
      <w:proofErr w:type="spellEnd"/>
      <w:r w:rsidRPr="008217BE">
        <w:rPr>
          <w:rFonts w:cs="Open Sans"/>
          <w:sz w:val="32"/>
          <w:szCs w:val="32"/>
        </w:rPr>
        <w:t xml:space="preserve"> 129</w:t>
      </w:r>
    </w:p>
    <w:p w14:paraId="6C0EF4A5" w14:textId="77777777" w:rsidR="00832256" w:rsidRPr="008217BE" w:rsidRDefault="00832256" w:rsidP="00832256">
      <w:pPr>
        <w:rPr>
          <w:rFonts w:cs="Open Sans"/>
          <w:i/>
          <w:szCs w:val="24"/>
        </w:rPr>
      </w:pPr>
      <w:r w:rsidRPr="008217BE">
        <w:rPr>
          <w:rFonts w:cs="Open Sans"/>
          <w:i/>
          <w:szCs w:val="24"/>
        </w:rPr>
        <w:t xml:space="preserve">Report into </w:t>
      </w:r>
      <w:r w:rsidR="00A52258" w:rsidRPr="008217BE">
        <w:rPr>
          <w:rFonts w:cs="Open Sans"/>
          <w:i/>
          <w:szCs w:val="24"/>
        </w:rPr>
        <w:t>arbitrary detention</w:t>
      </w:r>
      <w:r w:rsidRPr="008217BE">
        <w:rPr>
          <w:rFonts w:cs="Open Sans"/>
          <w:i/>
          <w:szCs w:val="24"/>
        </w:rPr>
        <w:t xml:space="preserve"> </w:t>
      </w:r>
    </w:p>
    <w:p w14:paraId="14CC5275" w14:textId="77777777" w:rsidR="00832256" w:rsidRPr="008217BE" w:rsidRDefault="00832256" w:rsidP="00832256">
      <w:pPr>
        <w:rPr>
          <w:rFonts w:cs="Open Sans"/>
          <w:szCs w:val="24"/>
        </w:rPr>
      </w:pPr>
    </w:p>
    <w:p w14:paraId="7D84175C" w14:textId="77777777" w:rsidR="00832256" w:rsidRPr="008217BE" w:rsidRDefault="00832256" w:rsidP="00832256">
      <w:pPr>
        <w:rPr>
          <w:rFonts w:cs="Open Sans"/>
          <w:szCs w:val="24"/>
        </w:rPr>
      </w:pPr>
    </w:p>
    <w:p w14:paraId="4F8121DA" w14:textId="263E7311" w:rsidR="00832256" w:rsidRPr="008217BE" w:rsidRDefault="00832256" w:rsidP="00832256">
      <w:pPr>
        <w:rPr>
          <w:rFonts w:cs="Open Sans"/>
          <w:szCs w:val="24"/>
        </w:rPr>
      </w:pPr>
      <w:r w:rsidRPr="008217BE">
        <w:rPr>
          <w:rFonts w:cs="Open Sans"/>
          <w:szCs w:val="24"/>
        </w:rPr>
        <w:t>Austral</w:t>
      </w:r>
      <w:r w:rsidR="00A52258" w:rsidRPr="008217BE">
        <w:rPr>
          <w:rFonts w:cs="Open Sans"/>
          <w:szCs w:val="24"/>
        </w:rPr>
        <w:t>ian Human Rights Commission 2019</w:t>
      </w:r>
    </w:p>
    <w:p w14:paraId="44D10B99" w14:textId="22B6BDCE" w:rsidR="008217BE" w:rsidRDefault="008217BE" w:rsidP="00832256">
      <w:pPr>
        <w:rPr>
          <w:rFonts w:cs="Open Sans"/>
          <w:szCs w:val="24"/>
        </w:rPr>
      </w:pPr>
    </w:p>
    <w:p w14:paraId="579C5DC7" w14:textId="24C6823F" w:rsidR="008217BE" w:rsidRDefault="008217BE" w:rsidP="00832256">
      <w:pPr>
        <w:rPr>
          <w:rFonts w:cs="Open Sans"/>
          <w:szCs w:val="24"/>
        </w:rPr>
      </w:pPr>
    </w:p>
    <w:p w14:paraId="6E7F7464" w14:textId="2AA10170" w:rsidR="008217BE" w:rsidRDefault="008217BE" w:rsidP="00832256">
      <w:pPr>
        <w:rPr>
          <w:rFonts w:cs="Open Sans"/>
          <w:szCs w:val="24"/>
        </w:rPr>
      </w:pPr>
    </w:p>
    <w:p w14:paraId="641F1A42" w14:textId="2C8EE9F0" w:rsidR="008217BE" w:rsidRDefault="008217BE" w:rsidP="00832256">
      <w:pPr>
        <w:rPr>
          <w:rFonts w:cs="Open Sans"/>
          <w:szCs w:val="24"/>
        </w:rPr>
      </w:pPr>
    </w:p>
    <w:p w14:paraId="01B16AF1" w14:textId="77777777" w:rsidR="008217BE" w:rsidRDefault="008217BE" w:rsidP="00832256">
      <w:pPr>
        <w:rPr>
          <w:rFonts w:cs="Open Sans"/>
          <w:szCs w:val="24"/>
        </w:rPr>
      </w:pPr>
    </w:p>
    <w:p w14:paraId="4BA43064" w14:textId="74E13FB8" w:rsidR="008217BE" w:rsidRDefault="008217BE" w:rsidP="00832256">
      <w:pPr>
        <w:rPr>
          <w:rFonts w:cs="Open Sans"/>
          <w:szCs w:val="24"/>
        </w:rPr>
      </w:pPr>
    </w:p>
    <w:p w14:paraId="00567C6B" w14:textId="10EFD10B" w:rsidR="008217BE" w:rsidRDefault="008217BE" w:rsidP="00832256">
      <w:pPr>
        <w:rPr>
          <w:rFonts w:cs="Open Sans"/>
          <w:szCs w:val="24"/>
        </w:rPr>
      </w:pPr>
    </w:p>
    <w:p w14:paraId="5B334101" w14:textId="4EBD963E" w:rsidR="008217BE" w:rsidRPr="008217BE" w:rsidRDefault="008217BE" w:rsidP="00832256">
      <w:pPr>
        <w:rPr>
          <w:rFonts w:cs="Open Sans"/>
          <w:iCs/>
          <w:szCs w:val="24"/>
        </w:rPr>
      </w:pPr>
      <w:r w:rsidRPr="008217BE">
        <w:rPr>
          <w:rFonts w:cs="Open Sans"/>
          <w:iCs/>
          <w:noProof/>
          <w:szCs w:val="24"/>
        </w:rPr>
        <w:drawing>
          <wp:inline distT="0" distB="0" distL="0" distR="0" wp14:anchorId="5A399ACB" wp14:editId="6EF44884">
            <wp:extent cx="1689100" cy="5461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89100" cy="546100"/>
                    </a:xfrm>
                    <a:prstGeom prst="rect">
                      <a:avLst/>
                    </a:prstGeom>
                  </pic:spPr>
                </pic:pic>
              </a:graphicData>
            </a:graphic>
          </wp:inline>
        </w:drawing>
      </w:r>
    </w:p>
    <w:p w14:paraId="27FC84BC" w14:textId="77777777" w:rsidR="00832256" w:rsidRPr="00AB4037" w:rsidRDefault="00832256" w:rsidP="00832256">
      <w:pPr>
        <w:rPr>
          <w:rFonts w:cs="Open Sans"/>
          <w:szCs w:val="24"/>
        </w:rPr>
      </w:pPr>
    </w:p>
    <w:p w14:paraId="1D7CE04A" w14:textId="77777777" w:rsidR="00A52258" w:rsidRPr="00AB4037" w:rsidRDefault="00832256" w:rsidP="008217BE">
      <w:pPr>
        <w:spacing w:after="0"/>
        <w:rPr>
          <w:rFonts w:cs="Open Sans"/>
        </w:rPr>
      </w:pPr>
      <w:r>
        <w:br w:type="page"/>
      </w:r>
      <w:r w:rsidR="00A52258" w:rsidRPr="00AB4037">
        <w:rPr>
          <w:rFonts w:cs="Open Sans"/>
        </w:rPr>
        <w:lastRenderedPageBreak/>
        <w:t>The Hon Christian Porter MP</w:t>
      </w:r>
    </w:p>
    <w:p w14:paraId="5AB52F01" w14:textId="0B6E1C7A" w:rsidR="00A52258" w:rsidRPr="00AB4037" w:rsidRDefault="00A52258" w:rsidP="008217BE">
      <w:pPr>
        <w:spacing w:after="0"/>
        <w:rPr>
          <w:rFonts w:cs="Open Sans"/>
        </w:rPr>
      </w:pPr>
      <w:r w:rsidRPr="00AB4037">
        <w:rPr>
          <w:rFonts w:cs="Open Sans"/>
        </w:rPr>
        <w:t>Attorney-General</w:t>
      </w:r>
    </w:p>
    <w:p w14:paraId="73D91513" w14:textId="77777777" w:rsidR="00A52258" w:rsidRPr="00AB4037" w:rsidRDefault="00A52258" w:rsidP="008217BE">
      <w:pPr>
        <w:spacing w:after="0"/>
        <w:rPr>
          <w:rFonts w:cs="Open Sans"/>
          <w:color w:val="231F20"/>
        </w:rPr>
      </w:pPr>
      <w:r w:rsidRPr="00AB4037">
        <w:rPr>
          <w:rFonts w:cs="Open Sans"/>
          <w:color w:val="231F20"/>
        </w:rPr>
        <w:t>Parliament House</w:t>
      </w:r>
    </w:p>
    <w:p w14:paraId="6A0A6054" w14:textId="77777777" w:rsidR="00A52258" w:rsidRPr="00AB4037" w:rsidRDefault="00A52258" w:rsidP="00A52258">
      <w:pPr>
        <w:rPr>
          <w:rFonts w:cs="Open Sans"/>
        </w:rPr>
      </w:pPr>
      <w:r w:rsidRPr="00AB4037">
        <w:rPr>
          <w:rFonts w:cs="Open Sans"/>
          <w:color w:val="231F20"/>
        </w:rPr>
        <w:t>Canberra ACT 2600</w:t>
      </w:r>
    </w:p>
    <w:p w14:paraId="2B1E5C0C" w14:textId="77777777" w:rsidR="00A52258" w:rsidRPr="00AB4037" w:rsidRDefault="00A52258" w:rsidP="00A52258">
      <w:pPr>
        <w:rPr>
          <w:rFonts w:cs="Open Sans"/>
          <w:szCs w:val="24"/>
        </w:rPr>
      </w:pPr>
    </w:p>
    <w:p w14:paraId="46BDF08E" w14:textId="77777777" w:rsidR="00A52258" w:rsidRPr="00AB4037" w:rsidRDefault="00A52258" w:rsidP="00A52258">
      <w:pPr>
        <w:contextualSpacing/>
        <w:rPr>
          <w:rFonts w:cs="Open Sans"/>
          <w:szCs w:val="24"/>
        </w:rPr>
      </w:pPr>
      <w:r w:rsidRPr="00AB4037">
        <w:rPr>
          <w:rFonts w:cs="Open Sans"/>
          <w:szCs w:val="24"/>
        </w:rPr>
        <w:t>Dear Attorney</w:t>
      </w:r>
    </w:p>
    <w:p w14:paraId="7FC25A43" w14:textId="77777777" w:rsidR="00A52258" w:rsidRPr="00AB4037" w:rsidRDefault="00A52258" w:rsidP="00A52258">
      <w:pPr>
        <w:contextualSpacing/>
        <w:rPr>
          <w:rFonts w:cs="Open Sans"/>
          <w:szCs w:val="24"/>
        </w:rPr>
      </w:pPr>
    </w:p>
    <w:p w14:paraId="5E0DC502" w14:textId="77777777" w:rsidR="00A52258" w:rsidRPr="00483037" w:rsidRDefault="00A52258" w:rsidP="00A52258">
      <w:pPr>
        <w:contextualSpacing/>
        <w:rPr>
          <w:rFonts w:cs="Open Sans"/>
          <w:i/>
          <w:szCs w:val="24"/>
        </w:rPr>
      </w:pPr>
      <w:r w:rsidRPr="00A52258">
        <w:rPr>
          <w:rFonts w:cs="Open Sans"/>
          <w:szCs w:val="24"/>
        </w:rPr>
        <w:t xml:space="preserve">I have completed my report pursuant to s 11(1)(f) of the </w:t>
      </w:r>
      <w:r w:rsidRPr="00483037">
        <w:rPr>
          <w:rFonts w:cs="Open Sans"/>
          <w:i/>
          <w:szCs w:val="24"/>
        </w:rPr>
        <w:t>Australian Human Rights</w:t>
      </w:r>
    </w:p>
    <w:p w14:paraId="6299F2A7" w14:textId="35645F14" w:rsidR="00483037" w:rsidRDefault="00A52258" w:rsidP="00A52258">
      <w:pPr>
        <w:contextualSpacing/>
        <w:rPr>
          <w:rFonts w:cs="Open Sans"/>
          <w:szCs w:val="24"/>
        </w:rPr>
      </w:pPr>
      <w:r w:rsidRPr="00483037">
        <w:rPr>
          <w:rFonts w:cs="Open Sans"/>
          <w:i/>
          <w:szCs w:val="24"/>
        </w:rPr>
        <w:t>Commission Act 1986</w:t>
      </w:r>
      <w:r w:rsidRPr="00A52258">
        <w:rPr>
          <w:rFonts w:cs="Open Sans"/>
          <w:szCs w:val="24"/>
        </w:rPr>
        <w:t xml:space="preserve"> (</w:t>
      </w:r>
      <w:proofErr w:type="spellStart"/>
      <w:r w:rsidRPr="00A52258">
        <w:rPr>
          <w:rFonts w:cs="Open Sans"/>
          <w:szCs w:val="24"/>
        </w:rPr>
        <w:t>Cth</w:t>
      </w:r>
      <w:proofErr w:type="spellEnd"/>
      <w:r w:rsidRPr="00A52258">
        <w:rPr>
          <w:rFonts w:cs="Open Sans"/>
          <w:szCs w:val="24"/>
        </w:rPr>
        <w:t xml:space="preserve">) into the complaint of arbitrary detention made by </w:t>
      </w:r>
      <w:r w:rsidR="00483037" w:rsidRPr="00483037">
        <w:rPr>
          <w:rFonts w:cs="Open Sans"/>
          <w:szCs w:val="24"/>
        </w:rPr>
        <w:t xml:space="preserve">Mr </w:t>
      </w:r>
      <w:r w:rsidR="002C0C5F">
        <w:rPr>
          <w:rFonts w:cs="Open Sans"/>
          <w:szCs w:val="24"/>
        </w:rPr>
        <w:t>IB</w:t>
      </w:r>
      <w:r w:rsidR="00483037" w:rsidRPr="00483037">
        <w:rPr>
          <w:rFonts w:cs="Open Sans"/>
          <w:szCs w:val="24"/>
        </w:rPr>
        <w:t xml:space="preserve"> and </w:t>
      </w:r>
      <w:r w:rsidR="00483037" w:rsidRPr="005353B3">
        <w:rPr>
          <w:rFonts w:cs="Open Sans"/>
          <w:szCs w:val="24"/>
        </w:rPr>
        <w:t xml:space="preserve">Mr </w:t>
      </w:r>
      <w:r w:rsidR="002C0C5F" w:rsidRPr="005353B3">
        <w:rPr>
          <w:rFonts w:cs="Open Sans"/>
          <w:szCs w:val="24"/>
        </w:rPr>
        <w:t>IC</w:t>
      </w:r>
      <w:r w:rsidR="00483037" w:rsidRPr="005353B3">
        <w:rPr>
          <w:rFonts w:cs="Open Sans"/>
          <w:szCs w:val="24"/>
        </w:rPr>
        <w:t xml:space="preserve"> </w:t>
      </w:r>
      <w:r w:rsidRPr="005353B3">
        <w:rPr>
          <w:rFonts w:cs="Open Sans"/>
          <w:szCs w:val="24"/>
        </w:rPr>
        <w:t>against the Commonwealth of Australia</w:t>
      </w:r>
      <w:r w:rsidR="005353B3" w:rsidRPr="005353B3">
        <w:rPr>
          <w:rFonts w:cs="Open Sans"/>
          <w:szCs w:val="24"/>
        </w:rPr>
        <w:t>—</w:t>
      </w:r>
      <w:r w:rsidRPr="005353B3">
        <w:rPr>
          <w:rFonts w:cs="Open Sans"/>
          <w:szCs w:val="24"/>
        </w:rPr>
        <w:t>specifically, against the former Department</w:t>
      </w:r>
      <w:r w:rsidR="00483037" w:rsidRPr="005353B3">
        <w:rPr>
          <w:rFonts w:cs="Open Sans"/>
          <w:szCs w:val="24"/>
        </w:rPr>
        <w:t xml:space="preserve"> </w:t>
      </w:r>
      <w:r w:rsidRPr="005353B3">
        <w:rPr>
          <w:rFonts w:cs="Open Sans"/>
          <w:szCs w:val="24"/>
        </w:rPr>
        <w:t>of Immigration and Border Protection and now the Department of Home Affairs (the</w:t>
      </w:r>
      <w:r w:rsidR="00483037" w:rsidRPr="005353B3">
        <w:rPr>
          <w:rFonts w:cs="Open Sans"/>
          <w:szCs w:val="24"/>
        </w:rPr>
        <w:t xml:space="preserve"> </w:t>
      </w:r>
      <w:r w:rsidRPr="005353B3">
        <w:rPr>
          <w:rFonts w:cs="Open Sans"/>
          <w:szCs w:val="24"/>
        </w:rPr>
        <w:t>department).</w:t>
      </w:r>
    </w:p>
    <w:p w14:paraId="71C4DFC0" w14:textId="77777777" w:rsidR="008217BE" w:rsidRDefault="008217BE" w:rsidP="00A52258">
      <w:pPr>
        <w:contextualSpacing/>
        <w:rPr>
          <w:rFonts w:cs="Open Sans"/>
          <w:szCs w:val="24"/>
        </w:rPr>
      </w:pPr>
    </w:p>
    <w:p w14:paraId="46FEE93A" w14:textId="2E3CE90A" w:rsidR="00483037" w:rsidRPr="005353B3" w:rsidRDefault="002C0C5F" w:rsidP="00A52258">
      <w:pPr>
        <w:contextualSpacing/>
        <w:rPr>
          <w:rFonts w:cs="Open Sans"/>
          <w:szCs w:val="24"/>
        </w:rPr>
      </w:pPr>
      <w:r w:rsidRPr="005353B3">
        <w:rPr>
          <w:rFonts w:cs="Open Sans"/>
          <w:szCs w:val="24"/>
        </w:rPr>
        <w:t xml:space="preserve">Mr IB and Mr IC </w:t>
      </w:r>
      <w:r w:rsidR="00A52258" w:rsidRPr="005353B3">
        <w:rPr>
          <w:rFonts w:cs="Open Sans"/>
          <w:szCs w:val="24"/>
        </w:rPr>
        <w:t xml:space="preserve">complain that </w:t>
      </w:r>
      <w:r w:rsidR="00483037" w:rsidRPr="005353B3">
        <w:rPr>
          <w:rFonts w:cs="Open Sans"/>
          <w:szCs w:val="24"/>
        </w:rPr>
        <w:t>their</w:t>
      </w:r>
      <w:r w:rsidR="00A52258" w:rsidRPr="005353B3">
        <w:rPr>
          <w:rFonts w:cs="Open Sans"/>
          <w:szCs w:val="24"/>
        </w:rPr>
        <w:t xml:space="preserve"> detention in an immigration detention facility was arbitrary, contrary to article 9 of the </w:t>
      </w:r>
      <w:r w:rsidR="00A52258" w:rsidRPr="005353B3">
        <w:rPr>
          <w:rFonts w:cs="Open Sans"/>
          <w:i/>
          <w:szCs w:val="24"/>
        </w:rPr>
        <w:t>International Covenant on</w:t>
      </w:r>
      <w:r w:rsidR="00483037" w:rsidRPr="005353B3">
        <w:rPr>
          <w:rFonts w:cs="Open Sans"/>
          <w:i/>
          <w:szCs w:val="24"/>
        </w:rPr>
        <w:t xml:space="preserve"> </w:t>
      </w:r>
      <w:r w:rsidR="00A52258" w:rsidRPr="005353B3">
        <w:rPr>
          <w:rFonts w:cs="Open Sans"/>
          <w:i/>
          <w:szCs w:val="24"/>
        </w:rPr>
        <w:t>Civil and Political Rights</w:t>
      </w:r>
      <w:r w:rsidR="00A52258" w:rsidRPr="005353B3">
        <w:rPr>
          <w:rFonts w:cs="Open Sans"/>
          <w:szCs w:val="24"/>
        </w:rPr>
        <w:t xml:space="preserve"> (ICCPR).</w:t>
      </w:r>
    </w:p>
    <w:p w14:paraId="3C4639E0" w14:textId="77777777" w:rsidR="005353B3" w:rsidRPr="005353B3" w:rsidRDefault="005353B3" w:rsidP="00A52258">
      <w:pPr>
        <w:contextualSpacing/>
        <w:rPr>
          <w:rFonts w:cs="Open Sans"/>
          <w:szCs w:val="24"/>
        </w:rPr>
      </w:pPr>
    </w:p>
    <w:p w14:paraId="6D271E1D" w14:textId="77777777" w:rsidR="005353B3" w:rsidRPr="005353B3" w:rsidRDefault="00A52258" w:rsidP="00A52258">
      <w:pPr>
        <w:contextualSpacing/>
        <w:rPr>
          <w:rFonts w:cs="Open Sans"/>
          <w:szCs w:val="24"/>
        </w:rPr>
      </w:pPr>
      <w:r w:rsidRPr="005353B3">
        <w:rPr>
          <w:rFonts w:cs="Open Sans"/>
          <w:szCs w:val="24"/>
        </w:rPr>
        <w:t xml:space="preserve">As a result of this inquiry, I have found </w:t>
      </w:r>
      <w:r w:rsidR="005353B3" w:rsidRPr="005353B3">
        <w:rPr>
          <w:rFonts w:cs="Open Sans"/>
          <w:color w:val="231F20"/>
          <w:szCs w:val="24"/>
        </w:rPr>
        <w:t xml:space="preserve">that </w:t>
      </w:r>
      <w:r w:rsidR="005353B3" w:rsidRPr="005353B3">
        <w:rPr>
          <w:rFonts w:cs="Open Sans"/>
          <w:spacing w:val="0"/>
          <w:szCs w:val="24"/>
        </w:rPr>
        <w:t xml:space="preserve">Mr IB’s </w:t>
      </w:r>
      <w:r w:rsidR="005353B3" w:rsidRPr="005353B3">
        <w:rPr>
          <w:rFonts w:cs="Open Sans"/>
          <w:color w:val="231F20"/>
          <w:szCs w:val="24"/>
        </w:rPr>
        <w:t xml:space="preserve">detention, for a period of almost two years, was arbitrary and inconsistent with his right to liberty under article 9 of the ICCPR. I also find that </w:t>
      </w:r>
      <w:r w:rsidR="005353B3" w:rsidRPr="005353B3">
        <w:rPr>
          <w:rFonts w:cs="Open Sans"/>
          <w:spacing w:val="0"/>
          <w:szCs w:val="24"/>
        </w:rPr>
        <w:t xml:space="preserve">Mr </w:t>
      </w:r>
      <w:r w:rsidR="005353B3" w:rsidRPr="005353B3">
        <w:rPr>
          <w:rFonts w:cs="Open Sans"/>
          <w:spacing w:val="0"/>
        </w:rPr>
        <w:t>IC</w:t>
      </w:r>
      <w:r w:rsidR="005353B3" w:rsidRPr="005353B3">
        <w:rPr>
          <w:rFonts w:cs="Open Sans"/>
          <w:color w:val="231F20"/>
          <w:szCs w:val="24"/>
        </w:rPr>
        <w:t>’s detention, for a period of more than two years, was arbitrary and inconsistent with his right to liberty under article 9 of the ICCPR.</w:t>
      </w:r>
    </w:p>
    <w:p w14:paraId="10BB3347" w14:textId="77777777" w:rsidR="00483037" w:rsidRPr="005353B3" w:rsidRDefault="00483037" w:rsidP="00A52258">
      <w:pPr>
        <w:contextualSpacing/>
        <w:rPr>
          <w:rFonts w:cs="Open Sans"/>
          <w:szCs w:val="24"/>
        </w:rPr>
      </w:pPr>
    </w:p>
    <w:p w14:paraId="78AADE44" w14:textId="77777777" w:rsidR="00A52258" w:rsidRPr="005353B3" w:rsidRDefault="00A52258" w:rsidP="00A52258">
      <w:pPr>
        <w:contextualSpacing/>
        <w:rPr>
          <w:rFonts w:cs="Open Sans"/>
          <w:szCs w:val="24"/>
        </w:rPr>
      </w:pPr>
      <w:r w:rsidRPr="005353B3">
        <w:rPr>
          <w:rFonts w:cs="Open Sans"/>
          <w:szCs w:val="24"/>
        </w:rPr>
        <w:t xml:space="preserve">The department provided a response to my findings and recommendations on </w:t>
      </w:r>
      <w:r w:rsidR="005353B3" w:rsidRPr="005353B3">
        <w:rPr>
          <w:rFonts w:cs="Open Sans"/>
          <w:szCs w:val="24"/>
        </w:rPr>
        <w:t>7 December 2018</w:t>
      </w:r>
      <w:r w:rsidRPr="005353B3">
        <w:rPr>
          <w:rFonts w:cs="Open Sans"/>
          <w:szCs w:val="24"/>
        </w:rPr>
        <w:t>. That response can be found in Part 7 of this report.</w:t>
      </w:r>
    </w:p>
    <w:p w14:paraId="4E1DCEBD" w14:textId="77777777" w:rsidR="00483037" w:rsidRPr="005353B3" w:rsidRDefault="00483037" w:rsidP="00A52258">
      <w:pPr>
        <w:contextualSpacing/>
        <w:rPr>
          <w:rFonts w:cs="Open Sans"/>
          <w:szCs w:val="24"/>
        </w:rPr>
      </w:pPr>
    </w:p>
    <w:p w14:paraId="58384F27" w14:textId="68D7139E" w:rsidR="008217BE" w:rsidRDefault="00A52258" w:rsidP="00A52258">
      <w:pPr>
        <w:rPr>
          <w:rFonts w:cs="Open Sans"/>
          <w:szCs w:val="24"/>
        </w:rPr>
      </w:pPr>
      <w:r w:rsidRPr="00AB4037">
        <w:rPr>
          <w:rFonts w:cs="Open Sans"/>
          <w:szCs w:val="24"/>
        </w:rPr>
        <w:t>I enclose a copy of my report</w:t>
      </w:r>
      <w:r w:rsidR="008217BE">
        <w:rPr>
          <w:rFonts w:cs="Open Sans"/>
          <w:szCs w:val="24"/>
        </w:rPr>
        <w:t>.</w:t>
      </w:r>
    </w:p>
    <w:p w14:paraId="1E1885C4" w14:textId="77777777" w:rsidR="008217BE" w:rsidRPr="00AB4037" w:rsidRDefault="008217BE" w:rsidP="00A52258">
      <w:pPr>
        <w:rPr>
          <w:rFonts w:cs="Open Sans"/>
          <w:szCs w:val="24"/>
        </w:rPr>
      </w:pPr>
    </w:p>
    <w:p w14:paraId="22EE5BD0" w14:textId="77777777" w:rsidR="00A52258" w:rsidRDefault="00A52258" w:rsidP="00A52258">
      <w:pPr>
        <w:rPr>
          <w:rFonts w:cs="Open Sans"/>
          <w:szCs w:val="24"/>
        </w:rPr>
      </w:pPr>
      <w:r w:rsidRPr="00AB4037">
        <w:rPr>
          <w:rFonts w:cs="Open Sans"/>
          <w:szCs w:val="24"/>
        </w:rPr>
        <w:t>Yours sincerely,</w:t>
      </w:r>
    </w:p>
    <w:p w14:paraId="3680BABB" w14:textId="77777777" w:rsidR="008217BE" w:rsidRDefault="008217BE" w:rsidP="00A52258">
      <w:pPr>
        <w:rPr>
          <w:noProof/>
          <w:lang w:eastAsia="en-AU"/>
        </w:rPr>
      </w:pPr>
    </w:p>
    <w:p w14:paraId="14314621" w14:textId="77777777" w:rsidR="00A52258" w:rsidRPr="00AB4037" w:rsidRDefault="00A52258" w:rsidP="008217BE">
      <w:pPr>
        <w:spacing w:after="0"/>
        <w:rPr>
          <w:rFonts w:cs="Open Sans"/>
          <w:szCs w:val="24"/>
        </w:rPr>
      </w:pPr>
      <w:r w:rsidRPr="00AB4037">
        <w:rPr>
          <w:rFonts w:cs="Open Sans"/>
          <w:szCs w:val="24"/>
        </w:rPr>
        <w:t>Emeritus Professor Rosalind Croucher AM</w:t>
      </w:r>
    </w:p>
    <w:p w14:paraId="415C2E37" w14:textId="77777777" w:rsidR="00A52258" w:rsidRPr="00AB4037" w:rsidRDefault="00A52258" w:rsidP="008217BE">
      <w:pPr>
        <w:spacing w:after="0"/>
        <w:rPr>
          <w:rFonts w:cs="Open Sans"/>
          <w:b/>
          <w:szCs w:val="24"/>
        </w:rPr>
      </w:pPr>
      <w:r w:rsidRPr="00AB4037">
        <w:rPr>
          <w:rFonts w:cs="Open Sans"/>
          <w:b/>
          <w:szCs w:val="24"/>
        </w:rPr>
        <w:t xml:space="preserve">President </w:t>
      </w:r>
    </w:p>
    <w:p w14:paraId="42795B46" w14:textId="5CBB5C20" w:rsidR="00A52258" w:rsidRPr="00AB4037" w:rsidRDefault="00A52258" w:rsidP="00A52258">
      <w:pPr>
        <w:rPr>
          <w:rFonts w:cs="Open Sans"/>
          <w:szCs w:val="24"/>
        </w:rPr>
      </w:pPr>
      <w:r w:rsidRPr="00AB4037">
        <w:rPr>
          <w:rFonts w:cs="Open Sans"/>
          <w:szCs w:val="24"/>
        </w:rPr>
        <w:t>Australian Human Rights Commission</w:t>
      </w:r>
    </w:p>
    <w:p w14:paraId="44AF6D50" w14:textId="1ACA191C" w:rsidR="00A52258" w:rsidRDefault="00090AB5" w:rsidP="00A52258">
      <w:pPr>
        <w:rPr>
          <w:rFonts w:cs="Open Sans"/>
          <w:szCs w:val="24"/>
        </w:rPr>
      </w:pPr>
      <w:r>
        <w:rPr>
          <w:rFonts w:cs="Open Sans"/>
          <w:szCs w:val="24"/>
        </w:rPr>
        <w:t xml:space="preserve">May </w:t>
      </w:r>
      <w:r w:rsidR="00483037">
        <w:rPr>
          <w:rFonts w:cs="Open Sans"/>
          <w:szCs w:val="24"/>
        </w:rPr>
        <w:t>2019</w:t>
      </w:r>
    </w:p>
    <w:p w14:paraId="19016A96" w14:textId="77777777" w:rsidR="005353B3" w:rsidRDefault="005353B3">
      <w:pPr>
        <w:spacing w:after="160" w:line="259" w:lineRule="auto"/>
        <w:rPr>
          <w:b/>
          <w:bCs/>
          <w:sz w:val="36"/>
          <w:szCs w:val="36"/>
        </w:rPr>
      </w:pPr>
      <w:bookmarkStart w:id="0" w:name="_Toc4578156"/>
      <w:r>
        <w:rPr>
          <w:sz w:val="36"/>
          <w:szCs w:val="36"/>
        </w:rPr>
        <w:br w:type="page"/>
      </w:r>
    </w:p>
    <w:bookmarkEnd w:id="0"/>
    <w:p w14:paraId="17DBA4B8" w14:textId="2F220F5E" w:rsidR="00832256" w:rsidRPr="00EB38BA" w:rsidRDefault="00EB38BA" w:rsidP="00EB38BA">
      <w:pPr>
        <w:spacing w:after="400"/>
        <w:rPr>
          <w:b/>
          <w:bCs/>
          <w:sz w:val="36"/>
          <w:szCs w:val="36"/>
        </w:rPr>
      </w:pPr>
      <w:r w:rsidRPr="00EB38BA">
        <w:rPr>
          <w:b/>
          <w:bCs/>
          <w:sz w:val="36"/>
          <w:szCs w:val="36"/>
        </w:rPr>
        <w:lastRenderedPageBreak/>
        <w:t>Contents</w:t>
      </w:r>
    </w:p>
    <w:p w14:paraId="582A6672" w14:textId="049F6450" w:rsidR="00EB38BA" w:rsidRDefault="00832256">
      <w:pPr>
        <w:pStyle w:val="TOC1"/>
        <w:rPr>
          <w:rFonts w:asciiTheme="minorHAnsi" w:eastAsiaTheme="minorEastAsia" w:hAnsiTheme="minorHAnsi" w:cstheme="minorBidi"/>
          <w:b w:val="0"/>
          <w:bCs w:val="0"/>
          <w:noProof/>
          <w:spacing w:val="0"/>
          <w:szCs w:val="24"/>
          <w:lang w:val="it-IT" w:eastAsia="it-IT"/>
        </w:rPr>
      </w:pPr>
      <w:r w:rsidRPr="00DA2855">
        <w:rPr>
          <w:sz w:val="22"/>
        </w:rPr>
        <w:fldChar w:fldCharType="begin"/>
      </w:r>
      <w:r w:rsidRPr="00DA2855">
        <w:rPr>
          <w:sz w:val="22"/>
        </w:rPr>
        <w:instrText xml:space="preserve"> TOC \o "1-3" \h \z \u </w:instrText>
      </w:r>
      <w:r w:rsidRPr="00DA2855">
        <w:rPr>
          <w:sz w:val="22"/>
        </w:rPr>
        <w:fldChar w:fldCharType="separate"/>
      </w:r>
      <w:hyperlink w:anchor="_Toc9516506" w:history="1">
        <w:r w:rsidR="00EB38BA" w:rsidRPr="007A1B97">
          <w:rPr>
            <w:rStyle w:val="Hyperlink"/>
            <w:noProof/>
          </w:rPr>
          <w:t>1</w:t>
        </w:r>
        <w:r w:rsidR="00EB38BA">
          <w:rPr>
            <w:rFonts w:asciiTheme="minorHAnsi" w:eastAsiaTheme="minorEastAsia" w:hAnsiTheme="minorHAnsi" w:cstheme="minorBidi"/>
            <w:b w:val="0"/>
            <w:bCs w:val="0"/>
            <w:noProof/>
            <w:spacing w:val="0"/>
            <w:szCs w:val="24"/>
            <w:lang w:val="it-IT" w:eastAsia="it-IT"/>
          </w:rPr>
          <w:tab/>
        </w:r>
        <w:r w:rsidR="00EB38BA" w:rsidRPr="007A1B97">
          <w:rPr>
            <w:rStyle w:val="Hyperlink"/>
            <w:rFonts w:cs="Arial"/>
            <w:noProof/>
          </w:rPr>
          <w:t>Introduction</w:t>
        </w:r>
        <w:r w:rsidR="00EB38BA">
          <w:rPr>
            <w:noProof/>
            <w:webHidden/>
          </w:rPr>
          <w:tab/>
        </w:r>
        <w:r w:rsidR="00EB38BA">
          <w:rPr>
            <w:noProof/>
            <w:webHidden/>
          </w:rPr>
          <w:fldChar w:fldCharType="begin"/>
        </w:r>
        <w:r w:rsidR="00EB38BA">
          <w:rPr>
            <w:noProof/>
            <w:webHidden/>
          </w:rPr>
          <w:instrText xml:space="preserve"> PAGEREF _Toc9516506 \h </w:instrText>
        </w:r>
        <w:r w:rsidR="00EB38BA">
          <w:rPr>
            <w:noProof/>
            <w:webHidden/>
          </w:rPr>
        </w:r>
        <w:r w:rsidR="00EB38BA">
          <w:rPr>
            <w:noProof/>
            <w:webHidden/>
          </w:rPr>
          <w:fldChar w:fldCharType="separate"/>
        </w:r>
        <w:r w:rsidR="00EB38BA">
          <w:rPr>
            <w:noProof/>
            <w:webHidden/>
          </w:rPr>
          <w:t>7</w:t>
        </w:r>
        <w:r w:rsidR="00EB38BA">
          <w:rPr>
            <w:noProof/>
            <w:webHidden/>
          </w:rPr>
          <w:fldChar w:fldCharType="end"/>
        </w:r>
      </w:hyperlink>
    </w:p>
    <w:p w14:paraId="6DA90425" w14:textId="37F223D1" w:rsidR="00EB38BA" w:rsidRDefault="005C193C" w:rsidP="00EB38BA">
      <w:pPr>
        <w:pStyle w:val="TOC1"/>
        <w:rPr>
          <w:rFonts w:asciiTheme="minorHAnsi" w:eastAsiaTheme="minorEastAsia" w:hAnsiTheme="minorHAnsi" w:cstheme="minorBidi"/>
          <w:noProof/>
          <w:spacing w:val="0"/>
          <w:szCs w:val="24"/>
          <w:lang w:val="it-IT" w:eastAsia="it-IT"/>
        </w:rPr>
      </w:pPr>
      <w:hyperlink w:anchor="_Toc9516507" w:history="1">
        <w:r w:rsidR="00EB38BA" w:rsidRPr="007A1B97">
          <w:rPr>
            <w:rStyle w:val="Hyperlink"/>
            <w:noProof/>
          </w:rPr>
          <w:t>2</w:t>
        </w:r>
        <w:r w:rsidR="00EB38BA">
          <w:rPr>
            <w:rFonts w:asciiTheme="minorHAnsi" w:eastAsiaTheme="minorEastAsia" w:hAnsiTheme="minorHAnsi" w:cstheme="minorBidi"/>
            <w:noProof/>
            <w:spacing w:val="0"/>
            <w:szCs w:val="24"/>
            <w:lang w:val="it-IT" w:eastAsia="it-IT"/>
          </w:rPr>
          <w:tab/>
        </w:r>
        <w:r w:rsidR="00EB38BA" w:rsidRPr="007A1B97">
          <w:rPr>
            <w:rStyle w:val="Hyperlink"/>
            <w:rFonts w:cs="Arial"/>
            <w:noProof/>
          </w:rPr>
          <w:t>Summary of findings and recommendations</w:t>
        </w:r>
        <w:r w:rsidR="00EB38BA">
          <w:rPr>
            <w:noProof/>
            <w:webHidden/>
          </w:rPr>
          <w:tab/>
        </w:r>
        <w:r w:rsidR="00EB38BA">
          <w:rPr>
            <w:noProof/>
            <w:webHidden/>
          </w:rPr>
          <w:fldChar w:fldCharType="begin"/>
        </w:r>
        <w:r w:rsidR="00EB38BA">
          <w:rPr>
            <w:noProof/>
            <w:webHidden/>
          </w:rPr>
          <w:instrText xml:space="preserve"> PAGEREF _Toc9516507 \h </w:instrText>
        </w:r>
        <w:r w:rsidR="00EB38BA">
          <w:rPr>
            <w:noProof/>
            <w:webHidden/>
          </w:rPr>
        </w:r>
        <w:r w:rsidR="00EB38BA">
          <w:rPr>
            <w:noProof/>
            <w:webHidden/>
          </w:rPr>
          <w:fldChar w:fldCharType="separate"/>
        </w:r>
        <w:r w:rsidR="00EB38BA">
          <w:rPr>
            <w:noProof/>
            <w:webHidden/>
          </w:rPr>
          <w:t>7</w:t>
        </w:r>
        <w:r w:rsidR="00EB38BA">
          <w:rPr>
            <w:noProof/>
            <w:webHidden/>
          </w:rPr>
          <w:fldChar w:fldCharType="end"/>
        </w:r>
      </w:hyperlink>
    </w:p>
    <w:p w14:paraId="0810EC64" w14:textId="40AE60BC" w:rsidR="00EB38BA" w:rsidRDefault="005C193C">
      <w:pPr>
        <w:pStyle w:val="TOC1"/>
        <w:rPr>
          <w:rFonts w:asciiTheme="minorHAnsi" w:eastAsiaTheme="minorEastAsia" w:hAnsiTheme="minorHAnsi" w:cstheme="minorBidi"/>
          <w:b w:val="0"/>
          <w:bCs w:val="0"/>
          <w:noProof/>
          <w:spacing w:val="0"/>
          <w:szCs w:val="24"/>
          <w:lang w:val="it-IT" w:eastAsia="it-IT"/>
        </w:rPr>
      </w:pPr>
      <w:hyperlink w:anchor="_Toc9516508" w:history="1">
        <w:r w:rsidR="00EB38BA" w:rsidRPr="007A1B97">
          <w:rPr>
            <w:rStyle w:val="Hyperlink"/>
            <w:noProof/>
          </w:rPr>
          <w:t>3</w:t>
        </w:r>
        <w:r w:rsidR="00EB38BA">
          <w:rPr>
            <w:rFonts w:asciiTheme="minorHAnsi" w:eastAsiaTheme="minorEastAsia" w:hAnsiTheme="minorHAnsi" w:cstheme="minorBidi"/>
            <w:b w:val="0"/>
            <w:bCs w:val="0"/>
            <w:noProof/>
            <w:spacing w:val="0"/>
            <w:szCs w:val="24"/>
            <w:lang w:val="it-IT" w:eastAsia="it-IT"/>
          </w:rPr>
          <w:tab/>
        </w:r>
        <w:r w:rsidR="00EB38BA" w:rsidRPr="007A1B97">
          <w:rPr>
            <w:rStyle w:val="Hyperlink"/>
            <w:rFonts w:cs="Arial"/>
            <w:noProof/>
          </w:rPr>
          <w:t>Background</w:t>
        </w:r>
        <w:r w:rsidR="00EB38BA">
          <w:rPr>
            <w:noProof/>
            <w:webHidden/>
          </w:rPr>
          <w:tab/>
        </w:r>
        <w:r w:rsidR="00EB38BA">
          <w:rPr>
            <w:noProof/>
            <w:webHidden/>
          </w:rPr>
          <w:fldChar w:fldCharType="begin"/>
        </w:r>
        <w:r w:rsidR="00EB38BA">
          <w:rPr>
            <w:noProof/>
            <w:webHidden/>
          </w:rPr>
          <w:instrText xml:space="preserve"> PAGEREF _Toc9516508 \h </w:instrText>
        </w:r>
        <w:r w:rsidR="00EB38BA">
          <w:rPr>
            <w:noProof/>
            <w:webHidden/>
          </w:rPr>
        </w:r>
        <w:r w:rsidR="00EB38BA">
          <w:rPr>
            <w:noProof/>
            <w:webHidden/>
          </w:rPr>
          <w:fldChar w:fldCharType="separate"/>
        </w:r>
        <w:r w:rsidR="00EB38BA">
          <w:rPr>
            <w:noProof/>
            <w:webHidden/>
          </w:rPr>
          <w:t>8</w:t>
        </w:r>
        <w:r w:rsidR="00EB38BA">
          <w:rPr>
            <w:noProof/>
            <w:webHidden/>
          </w:rPr>
          <w:fldChar w:fldCharType="end"/>
        </w:r>
      </w:hyperlink>
    </w:p>
    <w:p w14:paraId="0C497001" w14:textId="7EBD3A02" w:rsidR="00EB38BA" w:rsidRDefault="005C193C">
      <w:pPr>
        <w:pStyle w:val="TOC2"/>
        <w:tabs>
          <w:tab w:val="right" w:leader="dot" w:pos="9016"/>
        </w:tabs>
        <w:rPr>
          <w:rFonts w:asciiTheme="minorHAnsi" w:eastAsiaTheme="minorEastAsia" w:hAnsiTheme="minorHAnsi" w:cstheme="minorBidi"/>
          <w:b/>
          <w:i/>
          <w:noProof/>
          <w:spacing w:val="0"/>
          <w:szCs w:val="24"/>
          <w:lang w:val="it-IT" w:eastAsia="it-IT"/>
        </w:rPr>
      </w:pPr>
      <w:hyperlink w:anchor="_Toc9516509" w:history="1">
        <w:r w:rsidR="00EB38BA" w:rsidRPr="007A1B97">
          <w:rPr>
            <w:rStyle w:val="Hyperlink"/>
            <w:noProof/>
          </w:rPr>
          <w:t>3.1</w:t>
        </w:r>
        <w:r w:rsidR="00EB38BA">
          <w:rPr>
            <w:rFonts w:asciiTheme="minorHAnsi" w:eastAsiaTheme="minorEastAsia" w:hAnsiTheme="minorHAnsi" w:cstheme="minorBidi"/>
            <w:b/>
            <w:i/>
            <w:noProof/>
            <w:spacing w:val="0"/>
            <w:szCs w:val="24"/>
            <w:lang w:val="it-IT" w:eastAsia="it-IT"/>
          </w:rPr>
          <w:tab/>
        </w:r>
        <w:r w:rsidR="00EB38BA" w:rsidRPr="007A1B97">
          <w:rPr>
            <w:rStyle w:val="Hyperlink"/>
            <w:rFonts w:cs="Arial"/>
            <w:noProof/>
          </w:rPr>
          <w:t>Mr IB</w:t>
        </w:r>
        <w:r w:rsidR="00EB38BA">
          <w:rPr>
            <w:noProof/>
            <w:webHidden/>
          </w:rPr>
          <w:tab/>
        </w:r>
        <w:r w:rsidR="00EB38BA">
          <w:rPr>
            <w:noProof/>
            <w:webHidden/>
          </w:rPr>
          <w:fldChar w:fldCharType="begin"/>
        </w:r>
        <w:r w:rsidR="00EB38BA">
          <w:rPr>
            <w:noProof/>
            <w:webHidden/>
          </w:rPr>
          <w:instrText xml:space="preserve"> PAGEREF _Toc9516509 \h </w:instrText>
        </w:r>
        <w:r w:rsidR="00EB38BA">
          <w:rPr>
            <w:noProof/>
            <w:webHidden/>
          </w:rPr>
        </w:r>
        <w:r w:rsidR="00EB38BA">
          <w:rPr>
            <w:noProof/>
            <w:webHidden/>
          </w:rPr>
          <w:fldChar w:fldCharType="separate"/>
        </w:r>
        <w:r w:rsidR="00EB38BA">
          <w:rPr>
            <w:noProof/>
            <w:webHidden/>
          </w:rPr>
          <w:t>8</w:t>
        </w:r>
        <w:r w:rsidR="00EB38BA">
          <w:rPr>
            <w:noProof/>
            <w:webHidden/>
          </w:rPr>
          <w:fldChar w:fldCharType="end"/>
        </w:r>
      </w:hyperlink>
    </w:p>
    <w:p w14:paraId="785A8843" w14:textId="3C6D0F22" w:rsidR="00EB38BA" w:rsidRDefault="005C193C">
      <w:pPr>
        <w:pStyle w:val="TOC2"/>
        <w:tabs>
          <w:tab w:val="right" w:leader="dot" w:pos="9016"/>
        </w:tabs>
        <w:rPr>
          <w:rFonts w:asciiTheme="minorHAnsi" w:eastAsiaTheme="minorEastAsia" w:hAnsiTheme="minorHAnsi" w:cstheme="minorBidi"/>
          <w:b/>
          <w:i/>
          <w:noProof/>
          <w:spacing w:val="0"/>
          <w:szCs w:val="24"/>
          <w:lang w:val="it-IT" w:eastAsia="it-IT"/>
        </w:rPr>
      </w:pPr>
      <w:hyperlink w:anchor="_Toc9516510" w:history="1">
        <w:r w:rsidR="00EB38BA" w:rsidRPr="007A1B97">
          <w:rPr>
            <w:rStyle w:val="Hyperlink"/>
            <w:noProof/>
          </w:rPr>
          <w:t>3.2</w:t>
        </w:r>
        <w:r w:rsidR="00EB38BA">
          <w:rPr>
            <w:rFonts w:asciiTheme="minorHAnsi" w:eastAsiaTheme="minorEastAsia" w:hAnsiTheme="minorHAnsi" w:cstheme="minorBidi"/>
            <w:b/>
            <w:i/>
            <w:noProof/>
            <w:spacing w:val="0"/>
            <w:szCs w:val="24"/>
            <w:lang w:val="it-IT" w:eastAsia="it-IT"/>
          </w:rPr>
          <w:tab/>
        </w:r>
        <w:r w:rsidR="00EB38BA" w:rsidRPr="007A1B97">
          <w:rPr>
            <w:rStyle w:val="Hyperlink"/>
            <w:rFonts w:cs="Arial"/>
            <w:noProof/>
          </w:rPr>
          <w:t xml:space="preserve">Mr </w:t>
        </w:r>
        <w:r w:rsidR="00EB38BA" w:rsidRPr="007A1B97">
          <w:rPr>
            <w:rStyle w:val="Hyperlink"/>
            <w:noProof/>
          </w:rPr>
          <w:t>IC</w:t>
        </w:r>
        <w:r w:rsidR="00EB38BA">
          <w:rPr>
            <w:noProof/>
            <w:webHidden/>
          </w:rPr>
          <w:tab/>
        </w:r>
        <w:r w:rsidR="00EB38BA">
          <w:rPr>
            <w:noProof/>
            <w:webHidden/>
          </w:rPr>
          <w:fldChar w:fldCharType="begin"/>
        </w:r>
        <w:r w:rsidR="00EB38BA">
          <w:rPr>
            <w:noProof/>
            <w:webHidden/>
          </w:rPr>
          <w:instrText xml:space="preserve"> PAGEREF _Toc9516510 \h </w:instrText>
        </w:r>
        <w:r w:rsidR="00EB38BA">
          <w:rPr>
            <w:noProof/>
            <w:webHidden/>
          </w:rPr>
        </w:r>
        <w:r w:rsidR="00EB38BA">
          <w:rPr>
            <w:noProof/>
            <w:webHidden/>
          </w:rPr>
          <w:fldChar w:fldCharType="separate"/>
        </w:r>
        <w:r w:rsidR="00EB38BA">
          <w:rPr>
            <w:noProof/>
            <w:webHidden/>
          </w:rPr>
          <w:t>9</w:t>
        </w:r>
        <w:r w:rsidR="00EB38BA">
          <w:rPr>
            <w:noProof/>
            <w:webHidden/>
          </w:rPr>
          <w:fldChar w:fldCharType="end"/>
        </w:r>
      </w:hyperlink>
    </w:p>
    <w:p w14:paraId="442A717E" w14:textId="0FE2BE62" w:rsidR="00EB38BA" w:rsidRDefault="005C193C">
      <w:pPr>
        <w:pStyle w:val="TOC2"/>
        <w:tabs>
          <w:tab w:val="right" w:leader="dot" w:pos="9016"/>
        </w:tabs>
        <w:rPr>
          <w:rFonts w:asciiTheme="minorHAnsi" w:eastAsiaTheme="minorEastAsia" w:hAnsiTheme="minorHAnsi" w:cstheme="minorBidi"/>
          <w:b/>
          <w:i/>
          <w:noProof/>
          <w:spacing w:val="0"/>
          <w:szCs w:val="24"/>
          <w:lang w:val="it-IT" w:eastAsia="it-IT"/>
        </w:rPr>
      </w:pPr>
      <w:hyperlink w:anchor="_Toc9516511" w:history="1">
        <w:r w:rsidR="00EB38BA" w:rsidRPr="007A1B97">
          <w:rPr>
            <w:rStyle w:val="Hyperlink"/>
            <w:noProof/>
          </w:rPr>
          <w:t>3.3</w:t>
        </w:r>
        <w:r w:rsidR="00EB38BA">
          <w:rPr>
            <w:rFonts w:asciiTheme="minorHAnsi" w:eastAsiaTheme="minorEastAsia" w:hAnsiTheme="minorHAnsi" w:cstheme="minorBidi"/>
            <w:b/>
            <w:i/>
            <w:noProof/>
            <w:spacing w:val="0"/>
            <w:szCs w:val="24"/>
            <w:lang w:val="it-IT" w:eastAsia="it-IT"/>
          </w:rPr>
          <w:tab/>
        </w:r>
        <w:r w:rsidR="00EB38BA" w:rsidRPr="007A1B97">
          <w:rPr>
            <w:rStyle w:val="Hyperlink"/>
            <w:rFonts w:cs="Arial"/>
            <w:noProof/>
          </w:rPr>
          <w:t>Current circumstances</w:t>
        </w:r>
        <w:r w:rsidR="00EB38BA">
          <w:rPr>
            <w:noProof/>
            <w:webHidden/>
          </w:rPr>
          <w:tab/>
        </w:r>
        <w:r w:rsidR="00EB38BA">
          <w:rPr>
            <w:noProof/>
            <w:webHidden/>
          </w:rPr>
          <w:fldChar w:fldCharType="begin"/>
        </w:r>
        <w:r w:rsidR="00EB38BA">
          <w:rPr>
            <w:noProof/>
            <w:webHidden/>
          </w:rPr>
          <w:instrText xml:space="preserve"> PAGEREF _Toc9516511 \h </w:instrText>
        </w:r>
        <w:r w:rsidR="00EB38BA">
          <w:rPr>
            <w:noProof/>
            <w:webHidden/>
          </w:rPr>
        </w:r>
        <w:r w:rsidR="00EB38BA">
          <w:rPr>
            <w:noProof/>
            <w:webHidden/>
          </w:rPr>
          <w:fldChar w:fldCharType="separate"/>
        </w:r>
        <w:r w:rsidR="00EB38BA">
          <w:rPr>
            <w:noProof/>
            <w:webHidden/>
          </w:rPr>
          <w:t>10</w:t>
        </w:r>
        <w:r w:rsidR="00EB38BA">
          <w:rPr>
            <w:noProof/>
            <w:webHidden/>
          </w:rPr>
          <w:fldChar w:fldCharType="end"/>
        </w:r>
      </w:hyperlink>
    </w:p>
    <w:p w14:paraId="2B50D20E" w14:textId="4539486C" w:rsidR="00EB38BA" w:rsidRDefault="005C193C">
      <w:pPr>
        <w:pStyle w:val="TOC1"/>
        <w:rPr>
          <w:rFonts w:asciiTheme="minorHAnsi" w:eastAsiaTheme="minorEastAsia" w:hAnsiTheme="minorHAnsi" w:cstheme="minorBidi"/>
          <w:b w:val="0"/>
          <w:bCs w:val="0"/>
          <w:noProof/>
          <w:spacing w:val="0"/>
          <w:szCs w:val="24"/>
          <w:lang w:val="it-IT" w:eastAsia="it-IT"/>
        </w:rPr>
      </w:pPr>
      <w:hyperlink w:anchor="_Toc9516512" w:history="1">
        <w:r w:rsidR="00EB38BA" w:rsidRPr="007A1B97">
          <w:rPr>
            <w:rStyle w:val="Hyperlink"/>
            <w:noProof/>
          </w:rPr>
          <w:t>4</w:t>
        </w:r>
        <w:r w:rsidR="00EB38BA">
          <w:rPr>
            <w:rFonts w:asciiTheme="minorHAnsi" w:eastAsiaTheme="minorEastAsia" w:hAnsiTheme="minorHAnsi" w:cstheme="minorBidi"/>
            <w:b w:val="0"/>
            <w:bCs w:val="0"/>
            <w:noProof/>
            <w:spacing w:val="0"/>
            <w:szCs w:val="24"/>
            <w:lang w:val="it-IT" w:eastAsia="it-IT"/>
          </w:rPr>
          <w:tab/>
        </w:r>
        <w:r w:rsidR="00EB38BA" w:rsidRPr="007A1B97">
          <w:rPr>
            <w:rStyle w:val="Hyperlink"/>
            <w:rFonts w:cs="Arial"/>
            <w:noProof/>
          </w:rPr>
          <w:t>Legislative framework</w:t>
        </w:r>
        <w:r w:rsidR="00EB38BA">
          <w:rPr>
            <w:noProof/>
            <w:webHidden/>
          </w:rPr>
          <w:tab/>
        </w:r>
        <w:r w:rsidR="00EB38BA">
          <w:rPr>
            <w:noProof/>
            <w:webHidden/>
          </w:rPr>
          <w:fldChar w:fldCharType="begin"/>
        </w:r>
        <w:r w:rsidR="00EB38BA">
          <w:rPr>
            <w:noProof/>
            <w:webHidden/>
          </w:rPr>
          <w:instrText xml:space="preserve"> PAGEREF _Toc9516512 \h </w:instrText>
        </w:r>
        <w:r w:rsidR="00EB38BA">
          <w:rPr>
            <w:noProof/>
            <w:webHidden/>
          </w:rPr>
        </w:r>
        <w:r w:rsidR="00EB38BA">
          <w:rPr>
            <w:noProof/>
            <w:webHidden/>
          </w:rPr>
          <w:fldChar w:fldCharType="separate"/>
        </w:r>
        <w:r w:rsidR="00EB38BA">
          <w:rPr>
            <w:noProof/>
            <w:webHidden/>
          </w:rPr>
          <w:t>11</w:t>
        </w:r>
        <w:r w:rsidR="00EB38BA">
          <w:rPr>
            <w:noProof/>
            <w:webHidden/>
          </w:rPr>
          <w:fldChar w:fldCharType="end"/>
        </w:r>
      </w:hyperlink>
    </w:p>
    <w:p w14:paraId="56973069" w14:textId="72E49232" w:rsidR="00EB38BA" w:rsidRDefault="005C193C">
      <w:pPr>
        <w:pStyle w:val="TOC2"/>
        <w:tabs>
          <w:tab w:val="right" w:leader="dot" w:pos="9016"/>
        </w:tabs>
        <w:rPr>
          <w:rFonts w:asciiTheme="minorHAnsi" w:eastAsiaTheme="minorEastAsia" w:hAnsiTheme="minorHAnsi" w:cstheme="minorBidi"/>
          <w:b/>
          <w:i/>
          <w:noProof/>
          <w:spacing w:val="0"/>
          <w:szCs w:val="24"/>
          <w:lang w:val="it-IT" w:eastAsia="it-IT"/>
        </w:rPr>
      </w:pPr>
      <w:hyperlink w:anchor="_Toc9516513" w:history="1">
        <w:r w:rsidR="00EB38BA" w:rsidRPr="007A1B97">
          <w:rPr>
            <w:rStyle w:val="Hyperlink"/>
            <w:noProof/>
          </w:rPr>
          <w:t>4.1</w:t>
        </w:r>
        <w:r w:rsidR="00EB38BA">
          <w:rPr>
            <w:rFonts w:asciiTheme="minorHAnsi" w:eastAsiaTheme="minorEastAsia" w:hAnsiTheme="minorHAnsi" w:cstheme="minorBidi"/>
            <w:b/>
            <w:i/>
            <w:noProof/>
            <w:spacing w:val="0"/>
            <w:szCs w:val="24"/>
            <w:lang w:val="it-IT" w:eastAsia="it-IT"/>
          </w:rPr>
          <w:tab/>
        </w:r>
        <w:r w:rsidR="00EB38BA" w:rsidRPr="007A1B97">
          <w:rPr>
            <w:rStyle w:val="Hyperlink"/>
            <w:rFonts w:cs="Arial"/>
            <w:noProof/>
          </w:rPr>
          <w:t>Functions of the Commission</w:t>
        </w:r>
        <w:r w:rsidR="00EB38BA">
          <w:rPr>
            <w:noProof/>
            <w:webHidden/>
          </w:rPr>
          <w:tab/>
        </w:r>
        <w:r w:rsidR="00EB38BA">
          <w:rPr>
            <w:noProof/>
            <w:webHidden/>
          </w:rPr>
          <w:fldChar w:fldCharType="begin"/>
        </w:r>
        <w:r w:rsidR="00EB38BA">
          <w:rPr>
            <w:noProof/>
            <w:webHidden/>
          </w:rPr>
          <w:instrText xml:space="preserve"> PAGEREF _Toc9516513 \h </w:instrText>
        </w:r>
        <w:r w:rsidR="00EB38BA">
          <w:rPr>
            <w:noProof/>
            <w:webHidden/>
          </w:rPr>
        </w:r>
        <w:r w:rsidR="00EB38BA">
          <w:rPr>
            <w:noProof/>
            <w:webHidden/>
          </w:rPr>
          <w:fldChar w:fldCharType="separate"/>
        </w:r>
        <w:r w:rsidR="00EB38BA">
          <w:rPr>
            <w:noProof/>
            <w:webHidden/>
          </w:rPr>
          <w:t>11</w:t>
        </w:r>
        <w:r w:rsidR="00EB38BA">
          <w:rPr>
            <w:noProof/>
            <w:webHidden/>
          </w:rPr>
          <w:fldChar w:fldCharType="end"/>
        </w:r>
      </w:hyperlink>
    </w:p>
    <w:p w14:paraId="0129175F" w14:textId="76D77294" w:rsidR="00EB38BA" w:rsidRDefault="005C193C">
      <w:pPr>
        <w:pStyle w:val="TOC2"/>
        <w:tabs>
          <w:tab w:val="right" w:leader="dot" w:pos="9016"/>
        </w:tabs>
        <w:rPr>
          <w:rFonts w:asciiTheme="minorHAnsi" w:eastAsiaTheme="minorEastAsia" w:hAnsiTheme="minorHAnsi" w:cstheme="minorBidi"/>
          <w:b/>
          <w:i/>
          <w:noProof/>
          <w:spacing w:val="0"/>
          <w:szCs w:val="24"/>
          <w:lang w:val="it-IT" w:eastAsia="it-IT"/>
        </w:rPr>
      </w:pPr>
      <w:hyperlink w:anchor="_Toc9516514" w:history="1">
        <w:r w:rsidR="00EB38BA" w:rsidRPr="007A1B97">
          <w:rPr>
            <w:rStyle w:val="Hyperlink"/>
            <w:noProof/>
          </w:rPr>
          <w:t>4.2</w:t>
        </w:r>
        <w:r w:rsidR="00EB38BA">
          <w:rPr>
            <w:rFonts w:asciiTheme="minorHAnsi" w:eastAsiaTheme="minorEastAsia" w:hAnsiTheme="minorHAnsi" w:cstheme="minorBidi"/>
            <w:b/>
            <w:i/>
            <w:noProof/>
            <w:spacing w:val="0"/>
            <w:szCs w:val="24"/>
            <w:lang w:val="it-IT" w:eastAsia="it-IT"/>
          </w:rPr>
          <w:tab/>
        </w:r>
        <w:r w:rsidR="00EB38BA" w:rsidRPr="007A1B97">
          <w:rPr>
            <w:rStyle w:val="Hyperlink"/>
            <w:rFonts w:cs="Arial"/>
            <w:noProof/>
          </w:rPr>
          <w:t>What is an ‘act’ or ‘practice’</w:t>
        </w:r>
        <w:r w:rsidR="00EB38BA">
          <w:rPr>
            <w:noProof/>
            <w:webHidden/>
          </w:rPr>
          <w:tab/>
        </w:r>
        <w:r w:rsidR="00EB38BA">
          <w:rPr>
            <w:noProof/>
            <w:webHidden/>
          </w:rPr>
          <w:fldChar w:fldCharType="begin"/>
        </w:r>
        <w:r w:rsidR="00EB38BA">
          <w:rPr>
            <w:noProof/>
            <w:webHidden/>
          </w:rPr>
          <w:instrText xml:space="preserve"> PAGEREF _Toc9516514 \h </w:instrText>
        </w:r>
        <w:r w:rsidR="00EB38BA">
          <w:rPr>
            <w:noProof/>
            <w:webHidden/>
          </w:rPr>
        </w:r>
        <w:r w:rsidR="00EB38BA">
          <w:rPr>
            <w:noProof/>
            <w:webHidden/>
          </w:rPr>
          <w:fldChar w:fldCharType="separate"/>
        </w:r>
        <w:r w:rsidR="00EB38BA">
          <w:rPr>
            <w:noProof/>
            <w:webHidden/>
          </w:rPr>
          <w:t>11</w:t>
        </w:r>
        <w:r w:rsidR="00EB38BA">
          <w:rPr>
            <w:noProof/>
            <w:webHidden/>
          </w:rPr>
          <w:fldChar w:fldCharType="end"/>
        </w:r>
      </w:hyperlink>
    </w:p>
    <w:p w14:paraId="20724838" w14:textId="4537126C" w:rsidR="00EB38BA" w:rsidRDefault="005C193C">
      <w:pPr>
        <w:pStyle w:val="TOC2"/>
        <w:tabs>
          <w:tab w:val="right" w:leader="dot" w:pos="9016"/>
        </w:tabs>
        <w:rPr>
          <w:rFonts w:asciiTheme="minorHAnsi" w:eastAsiaTheme="minorEastAsia" w:hAnsiTheme="minorHAnsi" w:cstheme="minorBidi"/>
          <w:b/>
          <w:i/>
          <w:noProof/>
          <w:spacing w:val="0"/>
          <w:szCs w:val="24"/>
          <w:lang w:val="it-IT" w:eastAsia="it-IT"/>
        </w:rPr>
      </w:pPr>
      <w:hyperlink w:anchor="_Toc9516515" w:history="1">
        <w:r w:rsidR="00EB38BA" w:rsidRPr="007A1B97">
          <w:rPr>
            <w:rStyle w:val="Hyperlink"/>
            <w:noProof/>
          </w:rPr>
          <w:t>4.3</w:t>
        </w:r>
        <w:r w:rsidR="00EB38BA">
          <w:rPr>
            <w:rFonts w:asciiTheme="minorHAnsi" w:eastAsiaTheme="minorEastAsia" w:hAnsiTheme="minorHAnsi" w:cstheme="minorBidi"/>
            <w:b/>
            <w:i/>
            <w:noProof/>
            <w:spacing w:val="0"/>
            <w:szCs w:val="24"/>
            <w:lang w:val="it-IT" w:eastAsia="it-IT"/>
          </w:rPr>
          <w:tab/>
        </w:r>
        <w:r w:rsidR="00EB38BA" w:rsidRPr="007A1B97">
          <w:rPr>
            <w:rStyle w:val="Hyperlink"/>
            <w:rFonts w:cs="Arial"/>
            <w:noProof/>
          </w:rPr>
          <w:t>What is a human right?</w:t>
        </w:r>
        <w:r w:rsidR="00EB38BA">
          <w:rPr>
            <w:noProof/>
            <w:webHidden/>
          </w:rPr>
          <w:tab/>
        </w:r>
        <w:r w:rsidR="00EB38BA">
          <w:rPr>
            <w:noProof/>
            <w:webHidden/>
          </w:rPr>
          <w:fldChar w:fldCharType="begin"/>
        </w:r>
        <w:r w:rsidR="00EB38BA">
          <w:rPr>
            <w:noProof/>
            <w:webHidden/>
          </w:rPr>
          <w:instrText xml:space="preserve"> PAGEREF _Toc9516515 \h </w:instrText>
        </w:r>
        <w:r w:rsidR="00EB38BA">
          <w:rPr>
            <w:noProof/>
            <w:webHidden/>
          </w:rPr>
        </w:r>
        <w:r w:rsidR="00EB38BA">
          <w:rPr>
            <w:noProof/>
            <w:webHidden/>
          </w:rPr>
          <w:fldChar w:fldCharType="separate"/>
        </w:r>
        <w:r w:rsidR="00EB38BA">
          <w:rPr>
            <w:noProof/>
            <w:webHidden/>
          </w:rPr>
          <w:t>12</w:t>
        </w:r>
        <w:r w:rsidR="00EB38BA">
          <w:rPr>
            <w:noProof/>
            <w:webHidden/>
          </w:rPr>
          <w:fldChar w:fldCharType="end"/>
        </w:r>
      </w:hyperlink>
    </w:p>
    <w:p w14:paraId="5B49425E" w14:textId="7EBF069C" w:rsidR="00EB38BA" w:rsidRDefault="005C193C">
      <w:pPr>
        <w:pStyle w:val="TOC2"/>
        <w:tabs>
          <w:tab w:val="right" w:leader="dot" w:pos="9016"/>
        </w:tabs>
        <w:rPr>
          <w:rFonts w:asciiTheme="minorHAnsi" w:eastAsiaTheme="minorEastAsia" w:hAnsiTheme="minorHAnsi" w:cstheme="minorBidi"/>
          <w:b/>
          <w:i/>
          <w:noProof/>
          <w:spacing w:val="0"/>
          <w:szCs w:val="24"/>
          <w:lang w:val="it-IT" w:eastAsia="it-IT"/>
        </w:rPr>
      </w:pPr>
      <w:hyperlink w:anchor="_Toc9516516" w:history="1">
        <w:r w:rsidR="00EB38BA" w:rsidRPr="007A1B97">
          <w:rPr>
            <w:rStyle w:val="Hyperlink"/>
            <w:noProof/>
          </w:rPr>
          <w:t>4.4</w:t>
        </w:r>
        <w:r w:rsidR="00EB38BA">
          <w:rPr>
            <w:rFonts w:asciiTheme="minorHAnsi" w:eastAsiaTheme="minorEastAsia" w:hAnsiTheme="minorHAnsi" w:cstheme="minorBidi"/>
            <w:b/>
            <w:i/>
            <w:noProof/>
            <w:spacing w:val="0"/>
            <w:szCs w:val="24"/>
            <w:lang w:val="it-IT" w:eastAsia="it-IT"/>
          </w:rPr>
          <w:tab/>
        </w:r>
        <w:r w:rsidR="00EB38BA" w:rsidRPr="007A1B97">
          <w:rPr>
            <w:rStyle w:val="Hyperlink"/>
            <w:rFonts w:cs="Arial"/>
            <w:noProof/>
          </w:rPr>
          <w:t>Article 9 of the ICCPR</w:t>
        </w:r>
        <w:r w:rsidR="00EB38BA">
          <w:rPr>
            <w:noProof/>
            <w:webHidden/>
          </w:rPr>
          <w:tab/>
        </w:r>
        <w:r w:rsidR="00EB38BA">
          <w:rPr>
            <w:noProof/>
            <w:webHidden/>
          </w:rPr>
          <w:fldChar w:fldCharType="begin"/>
        </w:r>
        <w:r w:rsidR="00EB38BA">
          <w:rPr>
            <w:noProof/>
            <w:webHidden/>
          </w:rPr>
          <w:instrText xml:space="preserve"> PAGEREF _Toc9516516 \h </w:instrText>
        </w:r>
        <w:r w:rsidR="00EB38BA">
          <w:rPr>
            <w:noProof/>
            <w:webHidden/>
          </w:rPr>
        </w:r>
        <w:r w:rsidR="00EB38BA">
          <w:rPr>
            <w:noProof/>
            <w:webHidden/>
          </w:rPr>
          <w:fldChar w:fldCharType="separate"/>
        </w:r>
        <w:r w:rsidR="00EB38BA">
          <w:rPr>
            <w:noProof/>
            <w:webHidden/>
          </w:rPr>
          <w:t>12</w:t>
        </w:r>
        <w:r w:rsidR="00EB38BA">
          <w:rPr>
            <w:noProof/>
            <w:webHidden/>
          </w:rPr>
          <w:fldChar w:fldCharType="end"/>
        </w:r>
      </w:hyperlink>
    </w:p>
    <w:p w14:paraId="2483F411" w14:textId="3A179981" w:rsidR="00EB38BA" w:rsidRDefault="005C193C">
      <w:pPr>
        <w:pStyle w:val="TOC1"/>
        <w:rPr>
          <w:rFonts w:asciiTheme="minorHAnsi" w:eastAsiaTheme="minorEastAsia" w:hAnsiTheme="minorHAnsi" w:cstheme="minorBidi"/>
          <w:b w:val="0"/>
          <w:bCs w:val="0"/>
          <w:noProof/>
          <w:spacing w:val="0"/>
          <w:szCs w:val="24"/>
          <w:lang w:val="it-IT" w:eastAsia="it-IT"/>
        </w:rPr>
      </w:pPr>
      <w:hyperlink w:anchor="_Toc9516517" w:history="1">
        <w:r w:rsidR="00EB38BA" w:rsidRPr="007A1B97">
          <w:rPr>
            <w:rStyle w:val="Hyperlink"/>
            <w:noProof/>
          </w:rPr>
          <w:t>5</w:t>
        </w:r>
        <w:r w:rsidR="00EB38BA">
          <w:rPr>
            <w:rFonts w:asciiTheme="minorHAnsi" w:eastAsiaTheme="minorEastAsia" w:hAnsiTheme="minorHAnsi" w:cstheme="minorBidi"/>
            <w:b w:val="0"/>
            <w:bCs w:val="0"/>
            <w:noProof/>
            <w:spacing w:val="0"/>
            <w:szCs w:val="24"/>
            <w:lang w:val="it-IT" w:eastAsia="it-IT"/>
          </w:rPr>
          <w:tab/>
        </w:r>
        <w:r w:rsidR="00EB38BA" w:rsidRPr="007A1B97">
          <w:rPr>
            <w:rStyle w:val="Hyperlink"/>
            <w:rFonts w:cs="Arial"/>
            <w:noProof/>
          </w:rPr>
          <w:t>Assessment – Arbitrary detention</w:t>
        </w:r>
        <w:r w:rsidR="00EB38BA">
          <w:rPr>
            <w:noProof/>
            <w:webHidden/>
          </w:rPr>
          <w:tab/>
        </w:r>
        <w:r w:rsidR="00EB38BA">
          <w:rPr>
            <w:noProof/>
            <w:webHidden/>
          </w:rPr>
          <w:fldChar w:fldCharType="begin"/>
        </w:r>
        <w:r w:rsidR="00EB38BA">
          <w:rPr>
            <w:noProof/>
            <w:webHidden/>
          </w:rPr>
          <w:instrText xml:space="preserve"> PAGEREF _Toc9516517 \h </w:instrText>
        </w:r>
        <w:r w:rsidR="00EB38BA">
          <w:rPr>
            <w:noProof/>
            <w:webHidden/>
          </w:rPr>
        </w:r>
        <w:r w:rsidR="00EB38BA">
          <w:rPr>
            <w:noProof/>
            <w:webHidden/>
          </w:rPr>
          <w:fldChar w:fldCharType="separate"/>
        </w:r>
        <w:r w:rsidR="00EB38BA">
          <w:rPr>
            <w:noProof/>
            <w:webHidden/>
          </w:rPr>
          <w:t>14</w:t>
        </w:r>
        <w:r w:rsidR="00EB38BA">
          <w:rPr>
            <w:noProof/>
            <w:webHidden/>
          </w:rPr>
          <w:fldChar w:fldCharType="end"/>
        </w:r>
      </w:hyperlink>
    </w:p>
    <w:p w14:paraId="7536FF26" w14:textId="27E8797A" w:rsidR="00EB38BA" w:rsidRDefault="005C193C">
      <w:pPr>
        <w:pStyle w:val="TOC2"/>
        <w:tabs>
          <w:tab w:val="right" w:leader="dot" w:pos="9016"/>
        </w:tabs>
        <w:rPr>
          <w:rFonts w:asciiTheme="minorHAnsi" w:eastAsiaTheme="minorEastAsia" w:hAnsiTheme="minorHAnsi" w:cstheme="minorBidi"/>
          <w:b/>
          <w:i/>
          <w:noProof/>
          <w:spacing w:val="0"/>
          <w:szCs w:val="24"/>
          <w:lang w:val="it-IT" w:eastAsia="it-IT"/>
        </w:rPr>
      </w:pPr>
      <w:hyperlink w:anchor="_Toc9516518" w:history="1">
        <w:r w:rsidR="00EB38BA" w:rsidRPr="007A1B97">
          <w:rPr>
            <w:rStyle w:val="Hyperlink"/>
            <w:noProof/>
          </w:rPr>
          <w:t>5.1</w:t>
        </w:r>
        <w:r w:rsidR="00EB38BA">
          <w:rPr>
            <w:rFonts w:asciiTheme="minorHAnsi" w:eastAsiaTheme="minorEastAsia" w:hAnsiTheme="minorHAnsi" w:cstheme="minorBidi"/>
            <w:b/>
            <w:i/>
            <w:noProof/>
            <w:spacing w:val="0"/>
            <w:szCs w:val="24"/>
            <w:lang w:val="it-IT" w:eastAsia="it-IT"/>
          </w:rPr>
          <w:tab/>
        </w:r>
        <w:r w:rsidR="00EB38BA" w:rsidRPr="007A1B97">
          <w:rPr>
            <w:rStyle w:val="Hyperlink"/>
            <w:rFonts w:cs="Arial"/>
            <w:noProof/>
          </w:rPr>
          <w:t>Alternatives to detention</w:t>
        </w:r>
        <w:r w:rsidR="00EB38BA">
          <w:rPr>
            <w:noProof/>
            <w:webHidden/>
          </w:rPr>
          <w:tab/>
        </w:r>
        <w:r w:rsidR="00EB38BA">
          <w:rPr>
            <w:noProof/>
            <w:webHidden/>
          </w:rPr>
          <w:fldChar w:fldCharType="begin"/>
        </w:r>
        <w:r w:rsidR="00EB38BA">
          <w:rPr>
            <w:noProof/>
            <w:webHidden/>
          </w:rPr>
          <w:instrText xml:space="preserve"> PAGEREF _Toc9516518 \h </w:instrText>
        </w:r>
        <w:r w:rsidR="00EB38BA">
          <w:rPr>
            <w:noProof/>
            <w:webHidden/>
          </w:rPr>
        </w:r>
        <w:r w:rsidR="00EB38BA">
          <w:rPr>
            <w:noProof/>
            <w:webHidden/>
          </w:rPr>
          <w:fldChar w:fldCharType="separate"/>
        </w:r>
        <w:r w:rsidR="00EB38BA">
          <w:rPr>
            <w:noProof/>
            <w:webHidden/>
          </w:rPr>
          <w:t>14</w:t>
        </w:r>
        <w:r w:rsidR="00EB38BA">
          <w:rPr>
            <w:noProof/>
            <w:webHidden/>
          </w:rPr>
          <w:fldChar w:fldCharType="end"/>
        </w:r>
      </w:hyperlink>
    </w:p>
    <w:p w14:paraId="59E73FE0" w14:textId="0A70672D" w:rsidR="00EB38BA" w:rsidRPr="00EB38BA" w:rsidRDefault="00EB38BA">
      <w:pPr>
        <w:pStyle w:val="TOC3"/>
        <w:tabs>
          <w:tab w:val="left" w:pos="1202"/>
          <w:tab w:val="right" w:leader="dot" w:pos="9016"/>
        </w:tabs>
        <w:rPr>
          <w:rFonts w:asciiTheme="minorHAnsi" w:eastAsiaTheme="minorEastAsia" w:hAnsiTheme="minorHAnsi" w:cstheme="minorBidi"/>
          <w:i w:val="0"/>
          <w:iCs/>
          <w:spacing w:val="0"/>
          <w:szCs w:val="24"/>
          <w:lang w:val="it-IT" w:eastAsia="it-IT"/>
        </w:rPr>
      </w:pPr>
      <w:hyperlink w:anchor="_Toc9516519" w:history="1">
        <w:r w:rsidRPr="00EB38BA">
          <w:rPr>
            <w:rStyle w:val="Hyperlink"/>
            <w:rFonts w:ascii="Arial" w:eastAsia="Arial" w:hAnsi="Arial" w:cs="Arial"/>
            <w:i w:val="0"/>
            <w:iCs/>
            <w:spacing w:val="-10"/>
          </w:rPr>
          <w:t>(a)</w:t>
        </w:r>
        <w:r w:rsidRPr="00EB38BA">
          <w:rPr>
            <w:rFonts w:asciiTheme="minorHAnsi" w:eastAsiaTheme="minorEastAsia" w:hAnsiTheme="minorHAnsi" w:cstheme="minorBidi"/>
            <w:i w:val="0"/>
            <w:iCs/>
            <w:spacing w:val="0"/>
            <w:szCs w:val="24"/>
            <w:lang w:val="it-IT" w:eastAsia="it-IT"/>
          </w:rPr>
          <w:tab/>
        </w:r>
        <w:r w:rsidRPr="00EB38BA">
          <w:rPr>
            <w:rStyle w:val="Hyperlink"/>
            <w:i w:val="0"/>
            <w:iCs/>
          </w:rPr>
          <w:t>Discretionary power to grant a visa under s 195A</w:t>
        </w:r>
        <w:r w:rsidRPr="00EB38BA">
          <w:rPr>
            <w:i w:val="0"/>
            <w:iCs/>
            <w:webHidden/>
          </w:rPr>
          <w:tab/>
        </w:r>
        <w:r w:rsidRPr="00EB38BA">
          <w:rPr>
            <w:i w:val="0"/>
            <w:iCs/>
            <w:webHidden/>
          </w:rPr>
          <w:fldChar w:fldCharType="begin"/>
        </w:r>
        <w:r w:rsidRPr="00EB38BA">
          <w:rPr>
            <w:i w:val="0"/>
            <w:iCs/>
            <w:webHidden/>
          </w:rPr>
          <w:instrText xml:space="preserve"> PAGEREF _Toc9516519 \h </w:instrText>
        </w:r>
        <w:r w:rsidRPr="00EB38BA">
          <w:rPr>
            <w:i w:val="0"/>
            <w:iCs/>
            <w:webHidden/>
          </w:rPr>
        </w:r>
        <w:r w:rsidRPr="00EB38BA">
          <w:rPr>
            <w:i w:val="0"/>
            <w:iCs/>
            <w:webHidden/>
          </w:rPr>
          <w:fldChar w:fldCharType="separate"/>
        </w:r>
        <w:r w:rsidRPr="00EB38BA">
          <w:rPr>
            <w:i w:val="0"/>
            <w:iCs/>
            <w:webHidden/>
          </w:rPr>
          <w:t>14</w:t>
        </w:r>
        <w:r w:rsidRPr="00EB38BA">
          <w:rPr>
            <w:i w:val="0"/>
            <w:iCs/>
            <w:webHidden/>
          </w:rPr>
          <w:fldChar w:fldCharType="end"/>
        </w:r>
      </w:hyperlink>
    </w:p>
    <w:p w14:paraId="178A63F2" w14:textId="5A1629F5" w:rsidR="00EB38BA" w:rsidRPr="00EB38BA" w:rsidRDefault="005C193C">
      <w:pPr>
        <w:pStyle w:val="TOC3"/>
        <w:tabs>
          <w:tab w:val="left" w:pos="1202"/>
          <w:tab w:val="right" w:leader="dot" w:pos="9016"/>
        </w:tabs>
        <w:rPr>
          <w:rFonts w:asciiTheme="minorHAnsi" w:eastAsiaTheme="minorEastAsia" w:hAnsiTheme="minorHAnsi" w:cstheme="minorBidi"/>
          <w:i w:val="0"/>
          <w:iCs/>
          <w:spacing w:val="0"/>
          <w:szCs w:val="24"/>
          <w:lang w:val="it-IT" w:eastAsia="it-IT"/>
        </w:rPr>
      </w:pPr>
      <w:hyperlink w:anchor="_Toc9516520" w:history="1">
        <w:r w:rsidR="00EB38BA" w:rsidRPr="00EB38BA">
          <w:rPr>
            <w:rStyle w:val="Hyperlink"/>
            <w:rFonts w:ascii="Arial" w:eastAsia="Arial" w:hAnsi="Arial" w:cs="Arial"/>
            <w:i w:val="0"/>
            <w:iCs/>
            <w:spacing w:val="-10"/>
          </w:rPr>
          <w:t>(b)</w:t>
        </w:r>
        <w:r w:rsidR="00EB38BA" w:rsidRPr="00EB38BA">
          <w:rPr>
            <w:rFonts w:asciiTheme="minorHAnsi" w:eastAsiaTheme="minorEastAsia" w:hAnsiTheme="minorHAnsi" w:cstheme="minorBidi"/>
            <w:i w:val="0"/>
            <w:iCs/>
            <w:spacing w:val="0"/>
            <w:szCs w:val="24"/>
            <w:lang w:val="it-IT" w:eastAsia="it-IT"/>
          </w:rPr>
          <w:tab/>
        </w:r>
        <w:r w:rsidR="00EB38BA" w:rsidRPr="00EB38BA">
          <w:rPr>
            <w:rStyle w:val="Hyperlink"/>
            <w:i w:val="0"/>
            <w:iCs/>
          </w:rPr>
          <w:t>Discretionary power to make a residence determination under s</w:t>
        </w:r>
        <w:r w:rsidR="00EB38BA" w:rsidRPr="00EB38BA">
          <w:rPr>
            <w:rStyle w:val="Hyperlink"/>
            <w:rFonts w:cs="Arial"/>
            <w:i w:val="0"/>
            <w:iCs/>
          </w:rPr>
          <w:t> </w:t>
        </w:r>
        <w:r w:rsidR="00EB38BA" w:rsidRPr="00EB38BA">
          <w:rPr>
            <w:rStyle w:val="Hyperlink"/>
            <w:i w:val="0"/>
            <w:iCs/>
          </w:rPr>
          <w:t>197AB</w:t>
        </w:r>
        <w:r w:rsidR="00EB38BA" w:rsidRPr="00EB38BA">
          <w:rPr>
            <w:i w:val="0"/>
            <w:iCs/>
            <w:webHidden/>
          </w:rPr>
          <w:tab/>
        </w:r>
        <w:r w:rsidR="00EB38BA" w:rsidRPr="00EB38BA">
          <w:rPr>
            <w:i w:val="0"/>
            <w:iCs/>
            <w:webHidden/>
          </w:rPr>
          <w:fldChar w:fldCharType="begin"/>
        </w:r>
        <w:r w:rsidR="00EB38BA" w:rsidRPr="00EB38BA">
          <w:rPr>
            <w:i w:val="0"/>
            <w:iCs/>
            <w:webHidden/>
          </w:rPr>
          <w:instrText xml:space="preserve"> PAGEREF _Toc9516520 \h </w:instrText>
        </w:r>
        <w:r w:rsidR="00EB38BA" w:rsidRPr="00EB38BA">
          <w:rPr>
            <w:i w:val="0"/>
            <w:iCs/>
            <w:webHidden/>
          </w:rPr>
        </w:r>
        <w:r w:rsidR="00EB38BA" w:rsidRPr="00EB38BA">
          <w:rPr>
            <w:i w:val="0"/>
            <w:iCs/>
            <w:webHidden/>
          </w:rPr>
          <w:fldChar w:fldCharType="separate"/>
        </w:r>
        <w:r w:rsidR="00EB38BA" w:rsidRPr="00EB38BA">
          <w:rPr>
            <w:i w:val="0"/>
            <w:iCs/>
            <w:webHidden/>
          </w:rPr>
          <w:t>15</w:t>
        </w:r>
        <w:r w:rsidR="00EB38BA" w:rsidRPr="00EB38BA">
          <w:rPr>
            <w:i w:val="0"/>
            <w:iCs/>
            <w:webHidden/>
          </w:rPr>
          <w:fldChar w:fldCharType="end"/>
        </w:r>
      </w:hyperlink>
    </w:p>
    <w:p w14:paraId="33290026" w14:textId="1FD412CE" w:rsidR="00EB38BA" w:rsidRDefault="005C193C">
      <w:pPr>
        <w:pStyle w:val="TOC2"/>
        <w:tabs>
          <w:tab w:val="right" w:leader="dot" w:pos="9016"/>
        </w:tabs>
        <w:rPr>
          <w:rFonts w:asciiTheme="minorHAnsi" w:eastAsiaTheme="minorEastAsia" w:hAnsiTheme="minorHAnsi" w:cstheme="minorBidi"/>
          <w:b/>
          <w:i/>
          <w:noProof/>
          <w:spacing w:val="0"/>
          <w:szCs w:val="24"/>
          <w:lang w:val="it-IT" w:eastAsia="it-IT"/>
        </w:rPr>
      </w:pPr>
      <w:hyperlink w:anchor="_Toc9516521" w:history="1">
        <w:r w:rsidR="00EB38BA" w:rsidRPr="007A1B97">
          <w:rPr>
            <w:rStyle w:val="Hyperlink"/>
            <w:noProof/>
          </w:rPr>
          <w:t>5.2</w:t>
        </w:r>
        <w:r w:rsidR="00EB38BA">
          <w:rPr>
            <w:rFonts w:asciiTheme="minorHAnsi" w:eastAsiaTheme="minorEastAsia" w:hAnsiTheme="minorHAnsi" w:cstheme="minorBidi"/>
            <w:b/>
            <w:i/>
            <w:noProof/>
            <w:spacing w:val="0"/>
            <w:szCs w:val="24"/>
            <w:lang w:val="it-IT" w:eastAsia="it-IT"/>
          </w:rPr>
          <w:tab/>
        </w:r>
        <w:r w:rsidR="00EB38BA" w:rsidRPr="007A1B97">
          <w:rPr>
            <w:rStyle w:val="Hyperlink"/>
            <w:rFonts w:cs="Arial"/>
            <w:noProof/>
          </w:rPr>
          <w:t>The department’s response</w:t>
        </w:r>
        <w:r w:rsidR="00EB38BA">
          <w:rPr>
            <w:noProof/>
            <w:webHidden/>
          </w:rPr>
          <w:tab/>
        </w:r>
        <w:r w:rsidR="00EB38BA">
          <w:rPr>
            <w:noProof/>
            <w:webHidden/>
          </w:rPr>
          <w:fldChar w:fldCharType="begin"/>
        </w:r>
        <w:r w:rsidR="00EB38BA">
          <w:rPr>
            <w:noProof/>
            <w:webHidden/>
          </w:rPr>
          <w:instrText xml:space="preserve"> PAGEREF _Toc9516521 \h </w:instrText>
        </w:r>
        <w:r w:rsidR="00EB38BA">
          <w:rPr>
            <w:noProof/>
            <w:webHidden/>
          </w:rPr>
        </w:r>
        <w:r w:rsidR="00EB38BA">
          <w:rPr>
            <w:noProof/>
            <w:webHidden/>
          </w:rPr>
          <w:fldChar w:fldCharType="separate"/>
        </w:r>
        <w:r w:rsidR="00EB38BA">
          <w:rPr>
            <w:noProof/>
            <w:webHidden/>
          </w:rPr>
          <w:t>16</w:t>
        </w:r>
        <w:r w:rsidR="00EB38BA">
          <w:rPr>
            <w:noProof/>
            <w:webHidden/>
          </w:rPr>
          <w:fldChar w:fldCharType="end"/>
        </w:r>
      </w:hyperlink>
    </w:p>
    <w:p w14:paraId="46F7855A" w14:textId="44F41229" w:rsidR="00EB38BA" w:rsidRDefault="005C193C">
      <w:pPr>
        <w:pStyle w:val="TOC2"/>
        <w:tabs>
          <w:tab w:val="right" w:leader="dot" w:pos="9016"/>
        </w:tabs>
        <w:rPr>
          <w:rFonts w:asciiTheme="minorHAnsi" w:eastAsiaTheme="minorEastAsia" w:hAnsiTheme="minorHAnsi" w:cstheme="minorBidi"/>
          <w:b/>
          <w:i/>
          <w:noProof/>
          <w:spacing w:val="0"/>
          <w:szCs w:val="24"/>
          <w:lang w:val="it-IT" w:eastAsia="it-IT"/>
        </w:rPr>
      </w:pPr>
      <w:hyperlink w:anchor="_Toc9516522" w:history="1">
        <w:r w:rsidR="00EB38BA" w:rsidRPr="007A1B97">
          <w:rPr>
            <w:rStyle w:val="Hyperlink"/>
            <w:noProof/>
          </w:rPr>
          <w:t>5.3</w:t>
        </w:r>
        <w:r w:rsidR="00EB38BA">
          <w:rPr>
            <w:rFonts w:asciiTheme="minorHAnsi" w:eastAsiaTheme="minorEastAsia" w:hAnsiTheme="minorHAnsi" w:cstheme="minorBidi"/>
            <w:b/>
            <w:i/>
            <w:noProof/>
            <w:spacing w:val="0"/>
            <w:szCs w:val="24"/>
            <w:lang w:val="it-IT" w:eastAsia="it-IT"/>
          </w:rPr>
          <w:tab/>
        </w:r>
        <w:r w:rsidR="00EB38BA" w:rsidRPr="007A1B97">
          <w:rPr>
            <w:rStyle w:val="Hyperlink"/>
            <w:rFonts w:cs="Arial"/>
            <w:noProof/>
          </w:rPr>
          <w:t>Findings</w:t>
        </w:r>
        <w:r w:rsidR="00EB38BA">
          <w:rPr>
            <w:noProof/>
            <w:webHidden/>
          </w:rPr>
          <w:tab/>
        </w:r>
        <w:r w:rsidR="00EB38BA">
          <w:rPr>
            <w:noProof/>
            <w:webHidden/>
          </w:rPr>
          <w:fldChar w:fldCharType="begin"/>
        </w:r>
        <w:r w:rsidR="00EB38BA">
          <w:rPr>
            <w:noProof/>
            <w:webHidden/>
          </w:rPr>
          <w:instrText xml:space="preserve"> PAGEREF _Toc9516522 \h </w:instrText>
        </w:r>
        <w:r w:rsidR="00EB38BA">
          <w:rPr>
            <w:noProof/>
            <w:webHidden/>
          </w:rPr>
        </w:r>
        <w:r w:rsidR="00EB38BA">
          <w:rPr>
            <w:noProof/>
            <w:webHidden/>
          </w:rPr>
          <w:fldChar w:fldCharType="separate"/>
        </w:r>
        <w:r w:rsidR="00EB38BA">
          <w:rPr>
            <w:noProof/>
            <w:webHidden/>
          </w:rPr>
          <w:t>17</w:t>
        </w:r>
        <w:r w:rsidR="00EB38BA">
          <w:rPr>
            <w:noProof/>
            <w:webHidden/>
          </w:rPr>
          <w:fldChar w:fldCharType="end"/>
        </w:r>
      </w:hyperlink>
    </w:p>
    <w:p w14:paraId="20C3957B" w14:textId="4299C14C" w:rsidR="00EB38BA" w:rsidRPr="00EB38BA" w:rsidRDefault="005C193C">
      <w:pPr>
        <w:pStyle w:val="TOC3"/>
        <w:tabs>
          <w:tab w:val="left" w:pos="1202"/>
          <w:tab w:val="right" w:leader="dot" w:pos="9016"/>
        </w:tabs>
        <w:rPr>
          <w:rFonts w:asciiTheme="minorHAnsi" w:eastAsiaTheme="minorEastAsia" w:hAnsiTheme="minorHAnsi" w:cstheme="minorBidi"/>
          <w:i w:val="0"/>
          <w:iCs/>
          <w:spacing w:val="0"/>
          <w:szCs w:val="24"/>
          <w:lang w:val="it-IT" w:eastAsia="it-IT"/>
        </w:rPr>
      </w:pPr>
      <w:hyperlink w:anchor="_Toc9516523" w:history="1">
        <w:r w:rsidR="00EB38BA" w:rsidRPr="00EB38BA">
          <w:rPr>
            <w:rStyle w:val="Hyperlink"/>
            <w:rFonts w:ascii="Arial" w:hAnsi="Arial"/>
            <w:i w:val="0"/>
            <w:iCs/>
          </w:rPr>
          <w:t>(a)</w:t>
        </w:r>
        <w:r w:rsidR="00EB38BA" w:rsidRPr="00EB38BA">
          <w:rPr>
            <w:rFonts w:asciiTheme="minorHAnsi" w:eastAsiaTheme="minorEastAsia" w:hAnsiTheme="minorHAnsi" w:cstheme="minorBidi"/>
            <w:i w:val="0"/>
            <w:iCs/>
            <w:spacing w:val="0"/>
            <w:szCs w:val="24"/>
            <w:lang w:val="it-IT" w:eastAsia="it-IT"/>
          </w:rPr>
          <w:tab/>
        </w:r>
        <w:r w:rsidR="00EB38BA" w:rsidRPr="00EB38BA">
          <w:rPr>
            <w:rStyle w:val="Hyperlink"/>
            <w:i w:val="0"/>
            <w:iCs/>
          </w:rPr>
          <w:t>Act or practice of the Commonwealth</w:t>
        </w:r>
        <w:r w:rsidR="00EB38BA" w:rsidRPr="00EB38BA">
          <w:rPr>
            <w:i w:val="0"/>
            <w:iCs/>
            <w:webHidden/>
          </w:rPr>
          <w:tab/>
        </w:r>
        <w:r w:rsidR="00EB38BA" w:rsidRPr="00EB38BA">
          <w:rPr>
            <w:i w:val="0"/>
            <w:iCs/>
            <w:webHidden/>
          </w:rPr>
          <w:fldChar w:fldCharType="begin"/>
        </w:r>
        <w:r w:rsidR="00EB38BA" w:rsidRPr="00EB38BA">
          <w:rPr>
            <w:i w:val="0"/>
            <w:iCs/>
            <w:webHidden/>
          </w:rPr>
          <w:instrText xml:space="preserve"> PAGEREF _Toc9516523 \h </w:instrText>
        </w:r>
        <w:r w:rsidR="00EB38BA" w:rsidRPr="00EB38BA">
          <w:rPr>
            <w:i w:val="0"/>
            <w:iCs/>
            <w:webHidden/>
          </w:rPr>
        </w:r>
        <w:r w:rsidR="00EB38BA" w:rsidRPr="00EB38BA">
          <w:rPr>
            <w:i w:val="0"/>
            <w:iCs/>
            <w:webHidden/>
          </w:rPr>
          <w:fldChar w:fldCharType="separate"/>
        </w:r>
        <w:r w:rsidR="00EB38BA" w:rsidRPr="00EB38BA">
          <w:rPr>
            <w:i w:val="0"/>
            <w:iCs/>
            <w:webHidden/>
          </w:rPr>
          <w:t>17</w:t>
        </w:r>
        <w:r w:rsidR="00EB38BA" w:rsidRPr="00EB38BA">
          <w:rPr>
            <w:i w:val="0"/>
            <w:iCs/>
            <w:webHidden/>
          </w:rPr>
          <w:fldChar w:fldCharType="end"/>
        </w:r>
      </w:hyperlink>
    </w:p>
    <w:p w14:paraId="0A4A439D" w14:textId="06EC62DF" w:rsidR="00EB38BA" w:rsidRPr="00EB38BA" w:rsidRDefault="005C193C">
      <w:pPr>
        <w:pStyle w:val="TOC3"/>
        <w:tabs>
          <w:tab w:val="left" w:pos="1202"/>
          <w:tab w:val="right" w:leader="dot" w:pos="9016"/>
        </w:tabs>
        <w:rPr>
          <w:rFonts w:asciiTheme="minorHAnsi" w:eastAsiaTheme="minorEastAsia" w:hAnsiTheme="minorHAnsi" w:cstheme="minorBidi"/>
          <w:i w:val="0"/>
          <w:iCs/>
          <w:spacing w:val="0"/>
          <w:szCs w:val="24"/>
          <w:lang w:val="it-IT" w:eastAsia="it-IT"/>
        </w:rPr>
      </w:pPr>
      <w:hyperlink w:anchor="_Toc9516524" w:history="1">
        <w:r w:rsidR="00EB38BA" w:rsidRPr="00EB38BA">
          <w:rPr>
            <w:rStyle w:val="Hyperlink"/>
            <w:rFonts w:ascii="Arial" w:hAnsi="Arial"/>
            <w:i w:val="0"/>
            <w:iCs/>
          </w:rPr>
          <w:t>(b)</w:t>
        </w:r>
        <w:r w:rsidR="00EB38BA" w:rsidRPr="00EB38BA">
          <w:rPr>
            <w:rFonts w:asciiTheme="minorHAnsi" w:eastAsiaTheme="minorEastAsia" w:hAnsiTheme="minorHAnsi" w:cstheme="minorBidi"/>
            <w:i w:val="0"/>
            <w:iCs/>
            <w:spacing w:val="0"/>
            <w:szCs w:val="24"/>
            <w:lang w:val="it-IT" w:eastAsia="it-IT"/>
          </w:rPr>
          <w:tab/>
        </w:r>
        <w:r w:rsidR="00EB38BA" w:rsidRPr="00EB38BA">
          <w:rPr>
            <w:rStyle w:val="Hyperlink"/>
            <w:i w:val="0"/>
            <w:iCs/>
          </w:rPr>
          <w:t>Breach of article 9</w:t>
        </w:r>
        <w:r w:rsidR="00EB38BA" w:rsidRPr="00EB38BA">
          <w:rPr>
            <w:i w:val="0"/>
            <w:iCs/>
            <w:webHidden/>
          </w:rPr>
          <w:tab/>
        </w:r>
        <w:r w:rsidR="00EB38BA" w:rsidRPr="00EB38BA">
          <w:rPr>
            <w:i w:val="0"/>
            <w:iCs/>
            <w:webHidden/>
          </w:rPr>
          <w:fldChar w:fldCharType="begin"/>
        </w:r>
        <w:r w:rsidR="00EB38BA" w:rsidRPr="00EB38BA">
          <w:rPr>
            <w:i w:val="0"/>
            <w:iCs/>
            <w:webHidden/>
          </w:rPr>
          <w:instrText xml:space="preserve"> PAGEREF _Toc9516524 \h </w:instrText>
        </w:r>
        <w:r w:rsidR="00EB38BA" w:rsidRPr="00EB38BA">
          <w:rPr>
            <w:i w:val="0"/>
            <w:iCs/>
            <w:webHidden/>
          </w:rPr>
        </w:r>
        <w:r w:rsidR="00EB38BA" w:rsidRPr="00EB38BA">
          <w:rPr>
            <w:i w:val="0"/>
            <w:iCs/>
            <w:webHidden/>
          </w:rPr>
          <w:fldChar w:fldCharType="separate"/>
        </w:r>
        <w:r w:rsidR="00EB38BA" w:rsidRPr="00EB38BA">
          <w:rPr>
            <w:i w:val="0"/>
            <w:iCs/>
            <w:webHidden/>
          </w:rPr>
          <w:t>18</w:t>
        </w:r>
        <w:r w:rsidR="00EB38BA" w:rsidRPr="00EB38BA">
          <w:rPr>
            <w:i w:val="0"/>
            <w:iCs/>
            <w:webHidden/>
          </w:rPr>
          <w:fldChar w:fldCharType="end"/>
        </w:r>
      </w:hyperlink>
    </w:p>
    <w:p w14:paraId="5E108CCA" w14:textId="573F2B0A" w:rsidR="00EB38BA" w:rsidRDefault="005C193C">
      <w:pPr>
        <w:pStyle w:val="TOC1"/>
        <w:rPr>
          <w:rFonts w:asciiTheme="minorHAnsi" w:eastAsiaTheme="minorEastAsia" w:hAnsiTheme="minorHAnsi" w:cstheme="minorBidi"/>
          <w:b w:val="0"/>
          <w:bCs w:val="0"/>
          <w:noProof/>
          <w:spacing w:val="0"/>
          <w:szCs w:val="24"/>
          <w:lang w:val="it-IT" w:eastAsia="it-IT"/>
        </w:rPr>
      </w:pPr>
      <w:hyperlink w:anchor="_Toc9516525" w:history="1">
        <w:r w:rsidR="00EB38BA" w:rsidRPr="007A1B97">
          <w:rPr>
            <w:rStyle w:val="Hyperlink"/>
            <w:noProof/>
          </w:rPr>
          <w:t>6</w:t>
        </w:r>
        <w:r w:rsidR="00EB38BA">
          <w:rPr>
            <w:rFonts w:asciiTheme="minorHAnsi" w:eastAsiaTheme="minorEastAsia" w:hAnsiTheme="minorHAnsi" w:cstheme="minorBidi"/>
            <w:b w:val="0"/>
            <w:bCs w:val="0"/>
            <w:noProof/>
            <w:spacing w:val="0"/>
            <w:szCs w:val="24"/>
            <w:lang w:val="it-IT" w:eastAsia="it-IT"/>
          </w:rPr>
          <w:tab/>
        </w:r>
        <w:r w:rsidR="00EB38BA" w:rsidRPr="007A1B97">
          <w:rPr>
            <w:rStyle w:val="Hyperlink"/>
            <w:rFonts w:cs="Arial"/>
            <w:noProof/>
          </w:rPr>
          <w:t>Recommendations</w:t>
        </w:r>
        <w:r w:rsidR="00EB38BA">
          <w:rPr>
            <w:noProof/>
            <w:webHidden/>
          </w:rPr>
          <w:tab/>
        </w:r>
        <w:r w:rsidR="00EB38BA">
          <w:rPr>
            <w:noProof/>
            <w:webHidden/>
          </w:rPr>
          <w:fldChar w:fldCharType="begin"/>
        </w:r>
        <w:r w:rsidR="00EB38BA">
          <w:rPr>
            <w:noProof/>
            <w:webHidden/>
          </w:rPr>
          <w:instrText xml:space="preserve"> PAGEREF _Toc9516525 \h </w:instrText>
        </w:r>
        <w:r w:rsidR="00EB38BA">
          <w:rPr>
            <w:noProof/>
            <w:webHidden/>
          </w:rPr>
        </w:r>
        <w:r w:rsidR="00EB38BA">
          <w:rPr>
            <w:noProof/>
            <w:webHidden/>
          </w:rPr>
          <w:fldChar w:fldCharType="separate"/>
        </w:r>
        <w:r w:rsidR="00EB38BA">
          <w:rPr>
            <w:noProof/>
            <w:webHidden/>
          </w:rPr>
          <w:t>21</w:t>
        </w:r>
        <w:r w:rsidR="00EB38BA">
          <w:rPr>
            <w:noProof/>
            <w:webHidden/>
          </w:rPr>
          <w:fldChar w:fldCharType="end"/>
        </w:r>
      </w:hyperlink>
    </w:p>
    <w:p w14:paraId="3BF60869" w14:textId="428132F5" w:rsidR="00EB38BA" w:rsidRDefault="005C193C">
      <w:pPr>
        <w:pStyle w:val="TOC1"/>
        <w:rPr>
          <w:rFonts w:asciiTheme="minorHAnsi" w:eastAsiaTheme="minorEastAsia" w:hAnsiTheme="minorHAnsi" w:cstheme="minorBidi"/>
          <w:b w:val="0"/>
          <w:bCs w:val="0"/>
          <w:noProof/>
          <w:spacing w:val="0"/>
          <w:szCs w:val="24"/>
          <w:lang w:val="it-IT" w:eastAsia="it-IT"/>
        </w:rPr>
      </w:pPr>
      <w:hyperlink w:anchor="_Toc9516526" w:history="1">
        <w:r w:rsidR="00EB38BA" w:rsidRPr="007A1B97">
          <w:rPr>
            <w:rStyle w:val="Hyperlink"/>
            <w:noProof/>
          </w:rPr>
          <w:t>7</w:t>
        </w:r>
        <w:r w:rsidR="00EB38BA">
          <w:rPr>
            <w:rFonts w:asciiTheme="minorHAnsi" w:eastAsiaTheme="minorEastAsia" w:hAnsiTheme="minorHAnsi" w:cstheme="minorBidi"/>
            <w:b w:val="0"/>
            <w:bCs w:val="0"/>
            <w:noProof/>
            <w:spacing w:val="0"/>
            <w:szCs w:val="24"/>
            <w:lang w:val="it-IT" w:eastAsia="it-IT"/>
          </w:rPr>
          <w:tab/>
        </w:r>
        <w:r w:rsidR="00EB38BA" w:rsidRPr="007A1B97">
          <w:rPr>
            <w:rStyle w:val="Hyperlink"/>
            <w:rFonts w:cs="Arial"/>
            <w:noProof/>
          </w:rPr>
          <w:t>The department’s response to my findings and recommendations</w:t>
        </w:r>
        <w:r w:rsidR="00EB38BA">
          <w:rPr>
            <w:noProof/>
            <w:webHidden/>
          </w:rPr>
          <w:tab/>
        </w:r>
        <w:r w:rsidR="00EB38BA">
          <w:rPr>
            <w:noProof/>
            <w:webHidden/>
          </w:rPr>
          <w:fldChar w:fldCharType="begin"/>
        </w:r>
        <w:r w:rsidR="00EB38BA">
          <w:rPr>
            <w:noProof/>
            <w:webHidden/>
          </w:rPr>
          <w:instrText xml:space="preserve"> PAGEREF _Toc9516526 \h </w:instrText>
        </w:r>
        <w:r w:rsidR="00EB38BA">
          <w:rPr>
            <w:noProof/>
            <w:webHidden/>
          </w:rPr>
        </w:r>
        <w:r w:rsidR="00EB38BA">
          <w:rPr>
            <w:noProof/>
            <w:webHidden/>
          </w:rPr>
          <w:fldChar w:fldCharType="separate"/>
        </w:r>
        <w:r w:rsidR="00EB38BA">
          <w:rPr>
            <w:noProof/>
            <w:webHidden/>
          </w:rPr>
          <w:t>22</w:t>
        </w:r>
        <w:r w:rsidR="00EB38BA">
          <w:rPr>
            <w:noProof/>
            <w:webHidden/>
          </w:rPr>
          <w:fldChar w:fldCharType="end"/>
        </w:r>
      </w:hyperlink>
    </w:p>
    <w:p w14:paraId="10FE1D5A" w14:textId="70D28AF9" w:rsidR="00832256" w:rsidRPr="00DA2855" w:rsidRDefault="00832256" w:rsidP="00DA2855">
      <w:pPr>
        <w:spacing w:after="120"/>
        <w:ind w:left="567" w:hanging="567"/>
        <w:rPr>
          <w:rFonts w:cs="Arial"/>
          <w:b/>
        </w:rPr>
      </w:pPr>
      <w:r w:rsidRPr="00DA2855">
        <w:rPr>
          <w:rFonts w:cs="Open Sans"/>
          <w:b/>
          <w:sz w:val="22"/>
        </w:rPr>
        <w:fldChar w:fldCharType="end"/>
      </w:r>
      <w:r w:rsidRPr="00DA2855">
        <w:rPr>
          <w:rFonts w:cs="Arial"/>
          <w:b/>
        </w:rPr>
        <w:br w:type="page"/>
      </w:r>
    </w:p>
    <w:p w14:paraId="7FB8BB31" w14:textId="07AF2EC6" w:rsidR="00832256" w:rsidRPr="00235F73" w:rsidRDefault="00832256" w:rsidP="00230BB5">
      <w:pPr>
        <w:pStyle w:val="Heading1"/>
        <w:tabs>
          <w:tab w:val="clear" w:pos="851"/>
          <w:tab w:val="num" w:pos="709"/>
        </w:tabs>
        <w:spacing w:line="300" w:lineRule="exact"/>
        <w:rPr>
          <w:rFonts w:cs="Arial"/>
          <w:spacing w:val="0"/>
          <w:sz w:val="36"/>
          <w:szCs w:val="36"/>
        </w:rPr>
      </w:pPr>
      <w:bookmarkStart w:id="1" w:name="_Toc9516506"/>
      <w:r w:rsidRPr="00235F73">
        <w:rPr>
          <w:rFonts w:cs="Arial"/>
          <w:spacing w:val="0"/>
          <w:sz w:val="36"/>
          <w:szCs w:val="36"/>
        </w:rPr>
        <w:lastRenderedPageBreak/>
        <w:t>Introduction</w:t>
      </w:r>
      <w:bookmarkEnd w:id="1"/>
    </w:p>
    <w:p w14:paraId="6CF23B29" w14:textId="77777777" w:rsidR="00832256" w:rsidRPr="00931D25" w:rsidRDefault="00832256" w:rsidP="00832256">
      <w:pPr>
        <w:numPr>
          <w:ilvl w:val="0"/>
          <w:numId w:val="7"/>
        </w:numPr>
        <w:spacing w:before="240" w:line="300" w:lineRule="exact"/>
        <w:rPr>
          <w:rFonts w:cs="Arial"/>
          <w:spacing w:val="0"/>
          <w:szCs w:val="24"/>
        </w:rPr>
      </w:pPr>
      <w:r w:rsidRPr="00EC64EB">
        <w:rPr>
          <w:szCs w:val="24"/>
        </w:rPr>
        <w:t xml:space="preserve">This is a notice setting out the findings of the Australian Human Rights Commission (Commission) following an inquiry into </w:t>
      </w:r>
      <w:r>
        <w:rPr>
          <w:szCs w:val="24"/>
        </w:rPr>
        <w:t>c</w:t>
      </w:r>
      <w:r w:rsidRPr="00931D25">
        <w:rPr>
          <w:rFonts w:cs="Arial"/>
          <w:spacing w:val="0"/>
          <w:szCs w:val="24"/>
        </w:rPr>
        <w:t xml:space="preserve">omplaints by two individuals, Mr </w:t>
      </w:r>
      <w:r w:rsidR="002C0C5F">
        <w:rPr>
          <w:rFonts w:cs="Arial"/>
          <w:spacing w:val="0"/>
          <w:szCs w:val="24"/>
        </w:rPr>
        <w:t>IB</w:t>
      </w:r>
      <w:r w:rsidRPr="00931D25">
        <w:rPr>
          <w:rFonts w:cs="Arial"/>
          <w:spacing w:val="0"/>
          <w:szCs w:val="24"/>
        </w:rPr>
        <w:t xml:space="preserve"> and Mr </w:t>
      </w:r>
      <w:r w:rsidR="002C0C5F">
        <w:rPr>
          <w:rFonts w:cs="Arial"/>
          <w:spacing w:val="0"/>
          <w:szCs w:val="24"/>
        </w:rPr>
        <w:t>IC</w:t>
      </w:r>
      <w:r w:rsidR="00FA218A">
        <w:rPr>
          <w:rFonts w:cs="Arial"/>
          <w:spacing w:val="0"/>
          <w:szCs w:val="24"/>
        </w:rPr>
        <w:t xml:space="preserve">. </w:t>
      </w:r>
      <w:r w:rsidRPr="00931D25">
        <w:rPr>
          <w:rFonts w:cs="Arial"/>
          <w:spacing w:val="0"/>
          <w:szCs w:val="24"/>
        </w:rPr>
        <w:t xml:space="preserve">The complaints are </w:t>
      </w:r>
      <w:r w:rsidRPr="00931D25">
        <w:rPr>
          <w:spacing w:val="0"/>
          <w:szCs w:val="24"/>
        </w:rPr>
        <w:t>against the Commonwealth of Australia—specifically, against the former Department of Immigration and Border Protection and now the Department of Home Affairs (department) alleging a breach of human rights</w:t>
      </w:r>
      <w:r w:rsidRPr="00931D25">
        <w:rPr>
          <w:rFonts w:cs="Arial"/>
          <w:spacing w:val="0"/>
          <w:szCs w:val="24"/>
        </w:rPr>
        <w:t>.</w:t>
      </w:r>
    </w:p>
    <w:p w14:paraId="23D4978C" w14:textId="48894EB2" w:rsidR="00832256" w:rsidRPr="00931D25" w:rsidRDefault="00832256" w:rsidP="00832256">
      <w:pPr>
        <w:numPr>
          <w:ilvl w:val="0"/>
          <w:numId w:val="7"/>
        </w:numPr>
        <w:spacing w:before="240" w:line="300" w:lineRule="exact"/>
        <w:rPr>
          <w:rFonts w:cs="Arial"/>
          <w:spacing w:val="0"/>
          <w:szCs w:val="24"/>
        </w:rPr>
      </w:pPr>
      <w:r w:rsidRPr="00931D25">
        <w:rPr>
          <w:rFonts w:cs="Arial"/>
          <w:spacing w:val="0"/>
          <w:szCs w:val="24"/>
        </w:rPr>
        <w:t xml:space="preserve">Mr </w:t>
      </w:r>
      <w:r w:rsidR="002C0C5F">
        <w:rPr>
          <w:rFonts w:cs="Arial"/>
          <w:spacing w:val="0"/>
          <w:szCs w:val="24"/>
        </w:rPr>
        <w:t>IB</w:t>
      </w:r>
      <w:r w:rsidRPr="00931D25">
        <w:rPr>
          <w:rFonts w:cs="Arial"/>
          <w:spacing w:val="0"/>
          <w:szCs w:val="24"/>
        </w:rPr>
        <w:t xml:space="preserve"> and Mr </w:t>
      </w:r>
      <w:r w:rsidR="002C0C5F">
        <w:rPr>
          <w:rFonts w:cs="Arial"/>
          <w:spacing w:val="0"/>
          <w:szCs w:val="24"/>
        </w:rPr>
        <w:t>IC</w:t>
      </w:r>
      <w:r w:rsidRPr="00931D25">
        <w:rPr>
          <w:rFonts w:cs="Arial"/>
          <w:spacing w:val="0"/>
          <w:szCs w:val="24"/>
        </w:rPr>
        <w:t xml:space="preserve"> were each </w:t>
      </w:r>
      <w:r w:rsidRPr="00931D25">
        <w:rPr>
          <w:spacing w:val="0"/>
          <w:szCs w:val="24"/>
        </w:rPr>
        <w:t>detained in</w:t>
      </w:r>
      <w:r w:rsidRPr="00931D25">
        <w:rPr>
          <w:rFonts w:cs="Arial"/>
          <w:spacing w:val="0"/>
          <w:szCs w:val="24"/>
        </w:rPr>
        <w:t xml:space="preserve"> closed immigration detention facilities </w:t>
      </w:r>
      <w:r w:rsidRPr="00931D25">
        <w:rPr>
          <w:spacing w:val="0"/>
          <w:szCs w:val="24"/>
        </w:rPr>
        <w:t>for approximately two years. They</w:t>
      </w:r>
      <w:r w:rsidRPr="00931D25">
        <w:rPr>
          <w:rFonts w:cs="Arial"/>
          <w:spacing w:val="0"/>
          <w:szCs w:val="24"/>
        </w:rPr>
        <w:t xml:space="preserve"> complain that their detention was ‘arbitrary’, contrary to article 9 of the </w:t>
      </w:r>
      <w:r w:rsidRPr="00931D25">
        <w:rPr>
          <w:rFonts w:cs="Arial"/>
          <w:i/>
          <w:spacing w:val="0"/>
          <w:szCs w:val="24"/>
        </w:rPr>
        <w:t xml:space="preserve">International Covenant on Civil and Political Rights </w:t>
      </w:r>
      <w:r w:rsidRPr="00931D25">
        <w:rPr>
          <w:rFonts w:cs="Arial"/>
          <w:spacing w:val="0"/>
          <w:szCs w:val="24"/>
        </w:rPr>
        <w:t>(ICCPR).</w:t>
      </w:r>
      <w:r w:rsidRPr="00931D25">
        <w:rPr>
          <w:rStyle w:val="EndnoteReference"/>
          <w:spacing w:val="0"/>
          <w:szCs w:val="24"/>
        </w:rPr>
        <w:endnoteReference w:id="1"/>
      </w:r>
    </w:p>
    <w:p w14:paraId="2DC68EE2" w14:textId="7262D72F" w:rsidR="00832256" w:rsidRPr="00931D25" w:rsidRDefault="00832256" w:rsidP="00832256">
      <w:pPr>
        <w:numPr>
          <w:ilvl w:val="0"/>
          <w:numId w:val="7"/>
        </w:numPr>
        <w:spacing w:before="240" w:line="300" w:lineRule="exact"/>
        <w:rPr>
          <w:rFonts w:cs="Arial"/>
          <w:spacing w:val="0"/>
          <w:szCs w:val="24"/>
        </w:rPr>
      </w:pPr>
      <w:r w:rsidRPr="00931D25">
        <w:rPr>
          <w:rFonts w:cs="Arial"/>
          <w:spacing w:val="0"/>
          <w:szCs w:val="24"/>
        </w:rPr>
        <w:t>The Commission is inquiring into these complaints collectively as they are similar in substance and share common themes.</w:t>
      </w:r>
    </w:p>
    <w:p w14:paraId="35643058" w14:textId="77777777" w:rsidR="00832256" w:rsidRDefault="00832256" w:rsidP="00832256">
      <w:pPr>
        <w:pStyle w:val="ListParagraph"/>
        <w:numPr>
          <w:ilvl w:val="0"/>
          <w:numId w:val="7"/>
        </w:numPr>
        <w:spacing w:before="240" w:line="300" w:lineRule="exact"/>
        <w:contextualSpacing w:val="0"/>
        <w:rPr>
          <w:rFonts w:cs="Arial"/>
          <w:spacing w:val="0"/>
          <w:szCs w:val="24"/>
        </w:rPr>
      </w:pPr>
      <w:r w:rsidRPr="00931D25">
        <w:rPr>
          <w:rFonts w:cs="Arial"/>
          <w:spacing w:val="0"/>
          <w:szCs w:val="24"/>
        </w:rPr>
        <w:t xml:space="preserve">This inquiry is being undertaken pursuant to s 11(1)(f) of the </w:t>
      </w:r>
      <w:r w:rsidRPr="00931D25">
        <w:rPr>
          <w:rFonts w:cs="Arial"/>
          <w:i/>
          <w:spacing w:val="0"/>
          <w:szCs w:val="24"/>
        </w:rPr>
        <w:t>Australian Human Rights Commission Act 1986</w:t>
      </w:r>
      <w:r w:rsidRPr="00931D25">
        <w:rPr>
          <w:rFonts w:cs="Arial"/>
          <w:spacing w:val="0"/>
          <w:szCs w:val="24"/>
        </w:rPr>
        <w:t xml:space="preserve"> (</w:t>
      </w:r>
      <w:proofErr w:type="spellStart"/>
      <w:r w:rsidRPr="00931D25">
        <w:rPr>
          <w:rFonts w:cs="Arial"/>
          <w:spacing w:val="0"/>
          <w:szCs w:val="24"/>
        </w:rPr>
        <w:t>Cth</w:t>
      </w:r>
      <w:proofErr w:type="spellEnd"/>
      <w:r w:rsidRPr="00931D25">
        <w:rPr>
          <w:rFonts w:cs="Arial"/>
          <w:spacing w:val="0"/>
          <w:szCs w:val="24"/>
        </w:rPr>
        <w:t xml:space="preserve">) (AHRC Act). </w:t>
      </w:r>
    </w:p>
    <w:p w14:paraId="5F9F7B4E" w14:textId="71CD4145" w:rsidR="00832256" w:rsidRPr="00D30D63" w:rsidRDefault="00832256" w:rsidP="00832256">
      <w:pPr>
        <w:pStyle w:val="ListParagraph"/>
        <w:numPr>
          <w:ilvl w:val="0"/>
          <w:numId w:val="7"/>
        </w:numPr>
        <w:spacing w:before="240" w:line="300" w:lineRule="exact"/>
        <w:contextualSpacing w:val="0"/>
        <w:rPr>
          <w:rFonts w:cs="Arial"/>
          <w:spacing w:val="0"/>
          <w:szCs w:val="24"/>
        </w:rPr>
      </w:pPr>
      <w:r>
        <w:t>This</w:t>
      </w:r>
      <w:r w:rsidRPr="008979B1">
        <w:t xml:space="preserve"> notice </w:t>
      </w:r>
      <w:r>
        <w:t>is issued pursuant to</w:t>
      </w:r>
      <w:r w:rsidRPr="008979B1">
        <w:t xml:space="preserve"> s</w:t>
      </w:r>
      <w:r>
        <w:t> </w:t>
      </w:r>
      <w:r w:rsidRPr="008979B1">
        <w:t xml:space="preserve">29(2) of the AHRC Act setting out the findings </w:t>
      </w:r>
      <w:r>
        <w:t xml:space="preserve">and recommendations </w:t>
      </w:r>
      <w:r w:rsidRPr="008979B1">
        <w:t xml:space="preserve">of the Commission in relation to </w:t>
      </w:r>
      <w:r w:rsidR="00D30D63">
        <w:t>Mr IB and Mr IC</w:t>
      </w:r>
      <w:r w:rsidRPr="008979B1">
        <w:t>’s complaint</w:t>
      </w:r>
      <w:r w:rsidR="005C193C">
        <w:t>s</w:t>
      </w:r>
      <w:r w:rsidR="00D30D63">
        <w:t>.</w:t>
      </w:r>
    </w:p>
    <w:p w14:paraId="044A494A" w14:textId="569CDD54" w:rsidR="00D30D63" w:rsidRPr="00D30D63" w:rsidRDefault="00D30D63" w:rsidP="00D30D63">
      <w:pPr>
        <w:pStyle w:val="ListParagraph"/>
        <w:numPr>
          <w:ilvl w:val="0"/>
          <w:numId w:val="7"/>
        </w:numPr>
        <w:spacing w:before="240"/>
        <w:contextualSpacing w:val="0"/>
        <w:rPr>
          <w:szCs w:val="24"/>
        </w:rPr>
      </w:pPr>
      <w:r w:rsidRPr="00931D25">
        <w:rPr>
          <w:rFonts w:cs="Arial"/>
          <w:spacing w:val="0"/>
          <w:szCs w:val="24"/>
        </w:rPr>
        <w:t xml:space="preserve">Mr </w:t>
      </w:r>
      <w:r>
        <w:rPr>
          <w:rFonts w:cs="Arial"/>
          <w:spacing w:val="0"/>
          <w:szCs w:val="24"/>
        </w:rPr>
        <w:t>IB</w:t>
      </w:r>
      <w:r w:rsidRPr="00931D25">
        <w:rPr>
          <w:rFonts w:cs="Arial"/>
          <w:spacing w:val="0"/>
          <w:szCs w:val="24"/>
        </w:rPr>
        <w:t xml:space="preserve"> and Mr </w:t>
      </w:r>
      <w:r>
        <w:rPr>
          <w:spacing w:val="0"/>
        </w:rPr>
        <w:t>IC</w:t>
      </w:r>
      <w:r w:rsidRPr="00931D25">
        <w:rPr>
          <w:rFonts w:cs="Arial"/>
          <w:spacing w:val="0"/>
          <w:szCs w:val="24"/>
        </w:rPr>
        <w:t xml:space="preserve"> </w:t>
      </w:r>
      <w:r w:rsidRPr="00EC64EB">
        <w:rPr>
          <w:szCs w:val="24"/>
        </w:rPr>
        <w:t>ha</w:t>
      </w:r>
      <w:r>
        <w:rPr>
          <w:szCs w:val="24"/>
        </w:rPr>
        <w:t>ve</w:t>
      </w:r>
      <w:r w:rsidRPr="00EC64EB">
        <w:rPr>
          <w:szCs w:val="24"/>
        </w:rPr>
        <w:t xml:space="preserve"> requested that </w:t>
      </w:r>
      <w:r>
        <w:rPr>
          <w:szCs w:val="24"/>
        </w:rPr>
        <w:t>their</w:t>
      </w:r>
      <w:r w:rsidRPr="00EC64EB">
        <w:rPr>
          <w:szCs w:val="24"/>
        </w:rPr>
        <w:t xml:space="preserve"> name</w:t>
      </w:r>
      <w:r>
        <w:rPr>
          <w:szCs w:val="24"/>
        </w:rPr>
        <w:t>s</w:t>
      </w:r>
      <w:r w:rsidRPr="00EC64EB">
        <w:rPr>
          <w:szCs w:val="24"/>
        </w:rPr>
        <w:t xml:space="preserve"> not be published in connection with this inquiry. I consider that the preservation of </w:t>
      </w:r>
      <w:r>
        <w:rPr>
          <w:szCs w:val="24"/>
        </w:rPr>
        <w:t>their</w:t>
      </w:r>
      <w:r w:rsidRPr="00EC64EB">
        <w:rPr>
          <w:szCs w:val="24"/>
        </w:rPr>
        <w:t xml:space="preserve"> anonymity is necessary to protect </w:t>
      </w:r>
      <w:r>
        <w:rPr>
          <w:szCs w:val="24"/>
        </w:rPr>
        <w:t>their</w:t>
      </w:r>
      <w:r w:rsidRPr="00EC64EB">
        <w:rPr>
          <w:szCs w:val="24"/>
        </w:rPr>
        <w:t xml:space="preserve"> human rights. Accordingly, I have given a direction under </w:t>
      </w:r>
      <w:r w:rsidRPr="008979B1">
        <w:rPr>
          <w:szCs w:val="24"/>
        </w:rPr>
        <w:t>s</w:t>
      </w:r>
      <w:r>
        <w:rPr>
          <w:szCs w:val="24"/>
        </w:rPr>
        <w:t> </w:t>
      </w:r>
      <w:r w:rsidRPr="00EC64EB">
        <w:rPr>
          <w:szCs w:val="24"/>
        </w:rPr>
        <w:t xml:space="preserve">14(2) of the AHRC Act and </w:t>
      </w:r>
      <w:r>
        <w:rPr>
          <w:szCs w:val="24"/>
        </w:rPr>
        <w:t xml:space="preserve">will </w:t>
      </w:r>
      <w:r w:rsidRPr="00EC64EB">
        <w:rPr>
          <w:szCs w:val="24"/>
        </w:rPr>
        <w:t xml:space="preserve">refer </w:t>
      </w:r>
      <w:r w:rsidRPr="00CE39DB">
        <w:rPr>
          <w:szCs w:val="24"/>
        </w:rPr>
        <w:t xml:space="preserve">to </w:t>
      </w:r>
      <w:r w:rsidRPr="00CE39DB">
        <w:rPr>
          <w:rFonts w:cs="Arial"/>
          <w:spacing w:val="0"/>
          <w:szCs w:val="24"/>
        </w:rPr>
        <w:t xml:space="preserve">Mr </w:t>
      </w:r>
      <w:r w:rsidR="00493E80">
        <w:rPr>
          <w:rFonts w:cs="Arial"/>
          <w:spacing w:val="0"/>
          <w:szCs w:val="24"/>
        </w:rPr>
        <w:t>IB</w:t>
      </w:r>
      <w:r w:rsidRPr="00CE39DB">
        <w:rPr>
          <w:rFonts w:cs="Arial"/>
          <w:spacing w:val="0"/>
          <w:szCs w:val="24"/>
        </w:rPr>
        <w:t xml:space="preserve"> </w:t>
      </w:r>
      <w:r w:rsidRPr="00CE39DB">
        <w:rPr>
          <w:szCs w:val="24"/>
        </w:rPr>
        <w:t xml:space="preserve">by the pseudonym ‘IB’, </w:t>
      </w:r>
      <w:r w:rsidRPr="00CE39DB">
        <w:rPr>
          <w:rFonts w:cs="Arial"/>
          <w:spacing w:val="0"/>
          <w:szCs w:val="24"/>
        </w:rPr>
        <w:t xml:space="preserve">and Mr </w:t>
      </w:r>
      <w:r>
        <w:rPr>
          <w:spacing w:val="0"/>
        </w:rPr>
        <w:t>IC</w:t>
      </w:r>
      <w:r w:rsidRPr="00CE39DB">
        <w:rPr>
          <w:szCs w:val="24"/>
        </w:rPr>
        <w:t xml:space="preserve"> by the pseudonym ‘IC’, in</w:t>
      </w:r>
      <w:r w:rsidRPr="003D1F52">
        <w:rPr>
          <w:szCs w:val="24"/>
        </w:rPr>
        <w:t xml:space="preserve"> the</w:t>
      </w:r>
      <w:r>
        <w:rPr>
          <w:szCs w:val="24"/>
        </w:rPr>
        <w:t xml:space="preserve"> Commission’s report to the Minister</w:t>
      </w:r>
      <w:r w:rsidRPr="00EC64EB">
        <w:rPr>
          <w:szCs w:val="24"/>
        </w:rPr>
        <w:t>.</w:t>
      </w:r>
    </w:p>
    <w:p w14:paraId="30EA4937" w14:textId="77777777" w:rsidR="00832256" w:rsidRPr="00230BB5" w:rsidRDefault="00832256" w:rsidP="00230BB5">
      <w:pPr>
        <w:pStyle w:val="Heading1"/>
        <w:tabs>
          <w:tab w:val="clear" w:pos="851"/>
          <w:tab w:val="num" w:pos="709"/>
        </w:tabs>
        <w:spacing w:line="300" w:lineRule="exact"/>
        <w:rPr>
          <w:rFonts w:cs="Arial"/>
          <w:spacing w:val="0"/>
          <w:sz w:val="36"/>
          <w:szCs w:val="36"/>
        </w:rPr>
      </w:pPr>
      <w:bookmarkStart w:id="2" w:name="_Toc508355966"/>
      <w:bookmarkStart w:id="3" w:name="_Toc9516507"/>
      <w:r w:rsidRPr="00230BB5">
        <w:rPr>
          <w:rFonts w:cs="Arial"/>
          <w:spacing w:val="0"/>
          <w:sz w:val="36"/>
          <w:szCs w:val="36"/>
        </w:rPr>
        <w:t>Summary of findings and recommendations</w:t>
      </w:r>
      <w:bookmarkEnd w:id="2"/>
      <w:bookmarkEnd w:id="3"/>
    </w:p>
    <w:p w14:paraId="270798B3" w14:textId="5AE3B11C" w:rsidR="00832256" w:rsidRPr="00931D25" w:rsidRDefault="00832256" w:rsidP="00832256">
      <w:pPr>
        <w:pStyle w:val="ListParagraph"/>
        <w:keepNext/>
        <w:numPr>
          <w:ilvl w:val="0"/>
          <w:numId w:val="7"/>
        </w:numPr>
        <w:spacing w:before="240" w:line="300" w:lineRule="exact"/>
        <w:contextualSpacing w:val="0"/>
        <w:rPr>
          <w:rFonts w:cs="Arial"/>
          <w:spacing w:val="0"/>
          <w:szCs w:val="24"/>
        </w:rPr>
      </w:pPr>
      <w:r w:rsidRPr="008979B1">
        <w:rPr>
          <w:szCs w:val="24"/>
        </w:rPr>
        <w:t xml:space="preserve">As a result of conducting this inquiry, I </w:t>
      </w:r>
      <w:r>
        <w:rPr>
          <w:szCs w:val="24"/>
        </w:rPr>
        <w:t xml:space="preserve">find </w:t>
      </w:r>
      <w:r w:rsidRPr="00931D25">
        <w:rPr>
          <w:rFonts w:cs="Arial"/>
          <w:spacing w:val="0"/>
          <w:szCs w:val="24"/>
        </w:rPr>
        <w:t>that:</w:t>
      </w:r>
    </w:p>
    <w:p w14:paraId="6979DD12" w14:textId="77777777" w:rsidR="00832256" w:rsidRPr="00931D25" w:rsidRDefault="00832256" w:rsidP="00832256">
      <w:pPr>
        <w:pStyle w:val="ListParagraph"/>
        <w:widowControl w:val="0"/>
        <w:numPr>
          <w:ilvl w:val="1"/>
          <w:numId w:val="7"/>
        </w:numPr>
        <w:tabs>
          <w:tab w:val="left" w:pos="1701"/>
        </w:tabs>
        <w:autoSpaceDE w:val="0"/>
        <w:autoSpaceDN w:val="0"/>
        <w:spacing w:before="120" w:after="60" w:line="300" w:lineRule="exact"/>
        <w:contextualSpacing w:val="0"/>
        <w:rPr>
          <w:spacing w:val="0"/>
        </w:rPr>
      </w:pPr>
      <w:r w:rsidRPr="00931D25">
        <w:rPr>
          <w:spacing w:val="0"/>
        </w:rPr>
        <w:t xml:space="preserve">the department’s failure to refer Mr </w:t>
      </w:r>
      <w:r w:rsidR="002C0C5F">
        <w:rPr>
          <w:spacing w:val="0"/>
        </w:rPr>
        <w:t>IB</w:t>
      </w:r>
      <w:r w:rsidRPr="00931D25">
        <w:rPr>
          <w:spacing w:val="0"/>
        </w:rPr>
        <w:t xml:space="preserve">’s case to the Minister for the consideration of the exercise of his discretionary powers from 30 September 2014 to </w:t>
      </w:r>
      <w:r w:rsidRPr="00931D25">
        <w:rPr>
          <w:rFonts w:cs="Arial"/>
          <w:spacing w:val="0"/>
          <w:szCs w:val="24"/>
        </w:rPr>
        <w:t xml:space="preserve">12 September </w:t>
      </w:r>
      <w:r w:rsidRPr="00931D25">
        <w:rPr>
          <w:spacing w:val="0"/>
        </w:rPr>
        <w:t>2016 led to his detention being arbitrary and inconsistent with article 9 of the ICCPR</w:t>
      </w:r>
    </w:p>
    <w:p w14:paraId="0322F7C6" w14:textId="77777777" w:rsidR="00832256" w:rsidRPr="00931D25" w:rsidRDefault="00832256" w:rsidP="00832256">
      <w:pPr>
        <w:pStyle w:val="ListParagraph"/>
        <w:widowControl w:val="0"/>
        <w:numPr>
          <w:ilvl w:val="1"/>
          <w:numId w:val="7"/>
        </w:numPr>
        <w:tabs>
          <w:tab w:val="left" w:pos="1701"/>
        </w:tabs>
        <w:autoSpaceDE w:val="0"/>
        <w:autoSpaceDN w:val="0"/>
        <w:spacing w:before="120" w:after="60" w:line="300" w:lineRule="exact"/>
        <w:contextualSpacing w:val="0"/>
        <w:rPr>
          <w:spacing w:val="0"/>
        </w:rPr>
      </w:pPr>
      <w:r w:rsidRPr="00931D25">
        <w:rPr>
          <w:rFonts w:cs="Arial"/>
          <w:spacing w:val="0"/>
          <w:szCs w:val="24"/>
        </w:rPr>
        <w:t xml:space="preserve">Mr </w:t>
      </w:r>
      <w:r w:rsidR="002C0C5F">
        <w:rPr>
          <w:rFonts w:cs="Arial"/>
          <w:spacing w:val="0"/>
          <w:szCs w:val="24"/>
        </w:rPr>
        <w:t>IB</w:t>
      </w:r>
      <w:r w:rsidRPr="00931D25">
        <w:rPr>
          <w:rFonts w:cs="Arial"/>
          <w:spacing w:val="0"/>
          <w:szCs w:val="24"/>
        </w:rPr>
        <w:t xml:space="preserve">’s </w:t>
      </w:r>
      <w:r w:rsidRPr="00931D25">
        <w:rPr>
          <w:spacing w:val="0"/>
        </w:rPr>
        <w:t>detention for almost 2 years was arbitrary and inconsistent with his rights under article 9 of t</w:t>
      </w:r>
      <w:r w:rsidR="00D30D63">
        <w:rPr>
          <w:spacing w:val="0"/>
        </w:rPr>
        <w:t>he ICCPR</w:t>
      </w:r>
    </w:p>
    <w:p w14:paraId="6F88208C" w14:textId="77777777" w:rsidR="00832256" w:rsidRPr="00931D25" w:rsidRDefault="00832256" w:rsidP="00832256">
      <w:pPr>
        <w:pStyle w:val="ListParagraph"/>
        <w:widowControl w:val="0"/>
        <w:numPr>
          <w:ilvl w:val="1"/>
          <w:numId w:val="7"/>
        </w:numPr>
        <w:tabs>
          <w:tab w:val="left" w:pos="1701"/>
        </w:tabs>
        <w:autoSpaceDE w:val="0"/>
        <w:autoSpaceDN w:val="0"/>
        <w:spacing w:before="120" w:after="60" w:line="300" w:lineRule="exact"/>
        <w:contextualSpacing w:val="0"/>
        <w:rPr>
          <w:spacing w:val="0"/>
        </w:rPr>
      </w:pPr>
      <w:r w:rsidRPr="00931D25">
        <w:rPr>
          <w:spacing w:val="0"/>
        </w:rPr>
        <w:t xml:space="preserve">the department’s failure to refer Mr </w:t>
      </w:r>
      <w:r w:rsidR="00B806BC">
        <w:rPr>
          <w:spacing w:val="0"/>
        </w:rPr>
        <w:t>IC</w:t>
      </w:r>
      <w:r w:rsidRPr="00931D25">
        <w:rPr>
          <w:spacing w:val="0"/>
        </w:rPr>
        <w:t xml:space="preserve">’s case to the Minister for the consideration of the exercise of his discretionary powers from 28 August 2014 to </w:t>
      </w:r>
      <w:r w:rsidRPr="00931D25">
        <w:rPr>
          <w:rFonts w:cs="Arial"/>
          <w:spacing w:val="0"/>
          <w:szCs w:val="24"/>
        </w:rPr>
        <w:t xml:space="preserve">12 September </w:t>
      </w:r>
      <w:r w:rsidRPr="00931D25">
        <w:rPr>
          <w:spacing w:val="0"/>
        </w:rPr>
        <w:t>2016 led to his detention being arbitrary and inconsistent with article 9 of the ICCPR</w:t>
      </w:r>
    </w:p>
    <w:p w14:paraId="54558EDA" w14:textId="77777777" w:rsidR="00832256" w:rsidRPr="00931D25" w:rsidRDefault="00832256" w:rsidP="00832256">
      <w:pPr>
        <w:pStyle w:val="ListParagraph"/>
        <w:widowControl w:val="0"/>
        <w:numPr>
          <w:ilvl w:val="1"/>
          <w:numId w:val="7"/>
        </w:numPr>
        <w:tabs>
          <w:tab w:val="left" w:pos="1701"/>
        </w:tabs>
        <w:autoSpaceDE w:val="0"/>
        <w:autoSpaceDN w:val="0"/>
        <w:spacing w:before="120" w:after="60" w:line="300" w:lineRule="exact"/>
        <w:contextualSpacing w:val="0"/>
        <w:rPr>
          <w:spacing w:val="0"/>
        </w:rPr>
      </w:pPr>
      <w:r w:rsidRPr="00931D25">
        <w:rPr>
          <w:rFonts w:cs="Arial"/>
          <w:spacing w:val="0"/>
          <w:szCs w:val="24"/>
        </w:rPr>
        <w:lastRenderedPageBreak/>
        <w:t xml:space="preserve">Mr </w:t>
      </w:r>
      <w:r w:rsidR="00B806BC">
        <w:rPr>
          <w:spacing w:val="0"/>
        </w:rPr>
        <w:t>IC</w:t>
      </w:r>
      <w:r w:rsidRPr="00931D25">
        <w:rPr>
          <w:rFonts w:cs="Arial"/>
          <w:spacing w:val="0"/>
          <w:szCs w:val="24"/>
        </w:rPr>
        <w:t xml:space="preserve">’s </w:t>
      </w:r>
      <w:r w:rsidRPr="00931D25">
        <w:rPr>
          <w:spacing w:val="0"/>
        </w:rPr>
        <w:t>detention for just over 2 years was arbitrary and inconsistent with his rights under article 9 of the ICCPR.</w:t>
      </w:r>
    </w:p>
    <w:p w14:paraId="715612A4" w14:textId="77777777" w:rsidR="00832256" w:rsidRPr="002003F6" w:rsidRDefault="00832256" w:rsidP="00832256">
      <w:pPr>
        <w:pStyle w:val="ListParagraph"/>
        <w:widowControl w:val="0"/>
        <w:numPr>
          <w:ilvl w:val="0"/>
          <w:numId w:val="7"/>
        </w:numPr>
        <w:autoSpaceDE w:val="0"/>
        <w:autoSpaceDN w:val="0"/>
        <w:spacing w:before="240"/>
        <w:contextualSpacing w:val="0"/>
      </w:pPr>
      <w:r w:rsidRPr="002003F6">
        <w:t>In light of these findings, I recommend that:</w:t>
      </w:r>
    </w:p>
    <w:p w14:paraId="0E16086E" w14:textId="77777777" w:rsidR="00832256" w:rsidRPr="00363CBA" w:rsidRDefault="00832256" w:rsidP="00832256">
      <w:pPr>
        <w:pStyle w:val="ListParagraph"/>
        <w:widowControl w:val="0"/>
        <w:numPr>
          <w:ilvl w:val="1"/>
          <w:numId w:val="7"/>
        </w:numPr>
        <w:tabs>
          <w:tab w:val="left" w:pos="1701"/>
        </w:tabs>
        <w:autoSpaceDE w:val="0"/>
        <w:autoSpaceDN w:val="0"/>
        <w:spacing w:before="120" w:after="60" w:line="300" w:lineRule="exact"/>
        <w:contextualSpacing w:val="0"/>
      </w:pPr>
      <w:r w:rsidRPr="00363CBA">
        <w:t xml:space="preserve">For cohorts and individuals with no countervailing security concerns who cannot be returned involuntarily, the department considers alternatives to closed detention at the earliest possible opportunity. </w:t>
      </w:r>
    </w:p>
    <w:p w14:paraId="7E4E1855" w14:textId="2DD0833A" w:rsidR="00832256" w:rsidRPr="00235F73" w:rsidRDefault="00832256" w:rsidP="00230BB5">
      <w:pPr>
        <w:pStyle w:val="Heading1"/>
        <w:tabs>
          <w:tab w:val="clear" w:pos="851"/>
          <w:tab w:val="num" w:pos="709"/>
        </w:tabs>
        <w:spacing w:line="300" w:lineRule="exact"/>
        <w:rPr>
          <w:rFonts w:cs="Arial"/>
          <w:spacing w:val="0"/>
          <w:sz w:val="36"/>
          <w:szCs w:val="36"/>
        </w:rPr>
      </w:pPr>
      <w:bookmarkStart w:id="4" w:name="_Toc9516508"/>
      <w:r w:rsidRPr="00235F73">
        <w:rPr>
          <w:rFonts w:cs="Arial"/>
          <w:spacing w:val="0"/>
          <w:sz w:val="36"/>
          <w:szCs w:val="36"/>
        </w:rPr>
        <w:t>Background</w:t>
      </w:r>
      <w:bookmarkEnd w:id="4"/>
    </w:p>
    <w:p w14:paraId="150873CF" w14:textId="0CE4515C" w:rsidR="00832256" w:rsidRPr="00931D25" w:rsidRDefault="00832256" w:rsidP="00832256">
      <w:pPr>
        <w:numPr>
          <w:ilvl w:val="0"/>
          <w:numId w:val="7"/>
        </w:numPr>
        <w:spacing w:before="240" w:line="300" w:lineRule="exact"/>
        <w:rPr>
          <w:rFonts w:cs="Arial"/>
          <w:spacing w:val="0"/>
          <w:szCs w:val="24"/>
        </w:rPr>
      </w:pPr>
      <w:r w:rsidRPr="00931D25">
        <w:rPr>
          <w:rFonts w:cs="Arial"/>
          <w:spacing w:val="0"/>
          <w:szCs w:val="24"/>
        </w:rPr>
        <w:t>The two complainants are Iranian nationals who came to Australia by boat seeking asylum. After an initial period in detention, they were released and permitted to live in the community while their claims for protection were being processed. Each ultimately received negative protection decisions and exhausted their avenues of judicial review. Subsequently, upon expiry of their BVEs, they were returned to immigration detention.</w:t>
      </w:r>
    </w:p>
    <w:p w14:paraId="004F9AA7" w14:textId="0D08279C" w:rsidR="00832256" w:rsidRPr="00931D25" w:rsidRDefault="00832256" w:rsidP="00832256">
      <w:pPr>
        <w:numPr>
          <w:ilvl w:val="0"/>
          <w:numId w:val="7"/>
        </w:numPr>
        <w:spacing w:before="240" w:line="300" w:lineRule="exact"/>
        <w:rPr>
          <w:rFonts w:cs="Arial"/>
          <w:spacing w:val="0"/>
          <w:szCs w:val="24"/>
        </w:rPr>
      </w:pPr>
      <w:r w:rsidRPr="00931D25">
        <w:rPr>
          <w:rFonts w:cs="Arial"/>
          <w:spacing w:val="0"/>
          <w:szCs w:val="24"/>
        </w:rPr>
        <w:t xml:space="preserve">Mr </w:t>
      </w:r>
      <w:r w:rsidR="002C0C5F">
        <w:rPr>
          <w:rFonts w:cs="Arial"/>
          <w:spacing w:val="0"/>
          <w:szCs w:val="24"/>
        </w:rPr>
        <w:t>IB</w:t>
      </w:r>
      <w:r w:rsidRPr="00931D25">
        <w:rPr>
          <w:rFonts w:cs="Arial"/>
          <w:spacing w:val="0"/>
          <w:szCs w:val="24"/>
        </w:rPr>
        <w:t xml:space="preserve"> was re-detained on 30 September 2014 and remained in closed immigration detention for just under 2 years, until he was granted a BVE on and released into the community sometime in late September 2016. Mr </w:t>
      </w:r>
      <w:r w:rsidR="00B806BC">
        <w:rPr>
          <w:spacing w:val="0"/>
        </w:rPr>
        <w:t>IC</w:t>
      </w:r>
      <w:r w:rsidRPr="00931D25">
        <w:rPr>
          <w:rFonts w:cs="Arial"/>
          <w:spacing w:val="0"/>
          <w:szCs w:val="24"/>
        </w:rPr>
        <w:t xml:space="preserve"> was re-detained on 28 August 2014 and remained in closed immigration detention for 25 months, until he was granted a BVE and released into the community on 21 September 2016.</w:t>
      </w:r>
    </w:p>
    <w:p w14:paraId="08ECB2F7" w14:textId="77777777" w:rsidR="00832256" w:rsidRPr="00D30D63" w:rsidRDefault="00832256" w:rsidP="00832256">
      <w:pPr>
        <w:pStyle w:val="Heading2"/>
        <w:tabs>
          <w:tab w:val="num" w:pos="2411"/>
        </w:tabs>
        <w:spacing w:line="300" w:lineRule="exact"/>
        <w:ind w:left="709" w:hanging="709"/>
        <w:rPr>
          <w:rFonts w:cs="Arial"/>
          <w:i/>
          <w:spacing w:val="0"/>
        </w:rPr>
      </w:pPr>
      <w:bookmarkStart w:id="5" w:name="_Toc9516509"/>
      <w:r w:rsidRPr="00D30D63">
        <w:rPr>
          <w:rFonts w:cs="Arial"/>
          <w:spacing w:val="0"/>
        </w:rPr>
        <w:t xml:space="preserve">Mr </w:t>
      </w:r>
      <w:r w:rsidR="002C0C5F" w:rsidRPr="00D30D63">
        <w:rPr>
          <w:rFonts w:cs="Arial"/>
          <w:spacing w:val="0"/>
          <w:szCs w:val="24"/>
        </w:rPr>
        <w:t>IB</w:t>
      </w:r>
      <w:bookmarkEnd w:id="5"/>
    </w:p>
    <w:p w14:paraId="7B9A6D58" w14:textId="7B989445" w:rsidR="00832256" w:rsidRPr="00931D25" w:rsidRDefault="00832256" w:rsidP="00832256">
      <w:pPr>
        <w:numPr>
          <w:ilvl w:val="0"/>
          <w:numId w:val="7"/>
        </w:numPr>
        <w:spacing w:before="240" w:line="300" w:lineRule="exact"/>
        <w:rPr>
          <w:rFonts w:cs="Arial"/>
          <w:spacing w:val="0"/>
          <w:szCs w:val="24"/>
        </w:rPr>
      </w:pPr>
      <w:r w:rsidRPr="00931D25">
        <w:rPr>
          <w:rFonts w:cs="Arial"/>
          <w:spacing w:val="0"/>
          <w:szCs w:val="24"/>
        </w:rPr>
        <w:t xml:space="preserve">Mr </w:t>
      </w:r>
      <w:r w:rsidR="002C0C5F">
        <w:rPr>
          <w:rFonts w:cs="Arial"/>
          <w:spacing w:val="0"/>
          <w:szCs w:val="24"/>
        </w:rPr>
        <w:t>IB</w:t>
      </w:r>
      <w:r w:rsidRPr="00931D25">
        <w:rPr>
          <w:rFonts w:cs="Arial"/>
          <w:spacing w:val="0"/>
          <w:szCs w:val="24"/>
        </w:rPr>
        <w:t xml:space="preserve"> arrived in Australia by boat without a visa on 13 April 2012. As an ‘illegal maritime arrival’</w:t>
      </w:r>
      <w:r w:rsidRPr="00931D25">
        <w:rPr>
          <w:rStyle w:val="EndnoteReference"/>
          <w:spacing w:val="0"/>
          <w:szCs w:val="24"/>
        </w:rPr>
        <w:endnoteReference w:id="2"/>
      </w:r>
      <w:r w:rsidRPr="00931D25">
        <w:rPr>
          <w:rFonts w:cs="Arial"/>
          <w:spacing w:val="0"/>
          <w:szCs w:val="24"/>
        </w:rPr>
        <w:t xml:space="preserve"> (IMA) and unlawful non-citizen</w:t>
      </w:r>
      <w:r w:rsidR="00D42A20" w:rsidRPr="00931D25">
        <w:rPr>
          <w:rFonts w:cs="Arial"/>
          <w:spacing w:val="0"/>
          <w:szCs w:val="24"/>
        </w:rPr>
        <w:t>,</w:t>
      </w:r>
      <w:r w:rsidRPr="00931D25">
        <w:rPr>
          <w:rStyle w:val="EndnoteReference"/>
          <w:spacing w:val="0"/>
          <w:szCs w:val="24"/>
        </w:rPr>
        <w:endnoteReference w:id="3"/>
      </w:r>
      <w:r w:rsidRPr="00931D25">
        <w:rPr>
          <w:rFonts w:cs="Arial"/>
          <w:spacing w:val="0"/>
          <w:szCs w:val="24"/>
        </w:rPr>
        <w:t xml:space="preserve"> he was detained upon arrival in Australia under s 189(3) of the </w:t>
      </w:r>
      <w:r w:rsidRPr="00931D25">
        <w:rPr>
          <w:rFonts w:cs="Arial"/>
          <w:i/>
          <w:spacing w:val="0"/>
          <w:szCs w:val="24"/>
        </w:rPr>
        <w:t xml:space="preserve">Migration Act 1958 </w:t>
      </w:r>
      <w:r w:rsidRPr="00931D25">
        <w:rPr>
          <w:rFonts w:cs="Arial"/>
          <w:spacing w:val="0"/>
          <w:szCs w:val="24"/>
        </w:rPr>
        <w:t>(</w:t>
      </w:r>
      <w:proofErr w:type="spellStart"/>
      <w:r w:rsidRPr="00931D25">
        <w:rPr>
          <w:rFonts w:cs="Arial"/>
          <w:spacing w:val="0"/>
          <w:szCs w:val="24"/>
        </w:rPr>
        <w:t>Cth</w:t>
      </w:r>
      <w:proofErr w:type="spellEnd"/>
      <w:r w:rsidRPr="00931D25">
        <w:rPr>
          <w:rFonts w:cs="Arial"/>
          <w:spacing w:val="0"/>
          <w:szCs w:val="24"/>
        </w:rPr>
        <w:t>) (Migration Act) in immigration detention facilities on Christmas Island.</w:t>
      </w:r>
    </w:p>
    <w:p w14:paraId="6E61B959" w14:textId="46A86A76" w:rsidR="00832256" w:rsidRPr="00931D25" w:rsidRDefault="00832256" w:rsidP="00832256">
      <w:pPr>
        <w:numPr>
          <w:ilvl w:val="0"/>
          <w:numId w:val="7"/>
        </w:numPr>
        <w:spacing w:before="240" w:line="300" w:lineRule="exact"/>
        <w:rPr>
          <w:rFonts w:cs="Arial"/>
          <w:spacing w:val="0"/>
          <w:szCs w:val="24"/>
        </w:rPr>
      </w:pPr>
      <w:r w:rsidRPr="00931D25">
        <w:rPr>
          <w:rFonts w:cs="Arial"/>
          <w:spacing w:val="0"/>
          <w:szCs w:val="24"/>
        </w:rPr>
        <w:t xml:space="preserve">Mr </w:t>
      </w:r>
      <w:r w:rsidR="002C0C5F">
        <w:rPr>
          <w:rFonts w:cs="Arial"/>
          <w:spacing w:val="0"/>
          <w:szCs w:val="24"/>
        </w:rPr>
        <w:t>IB</w:t>
      </w:r>
      <w:r w:rsidRPr="00931D25">
        <w:rPr>
          <w:rFonts w:cs="Arial"/>
          <w:spacing w:val="0"/>
          <w:szCs w:val="24"/>
        </w:rPr>
        <w:t xml:space="preserve"> was transferred from Christmas Island to immigration detention centres on the Australian mainland, with detention continuing under s 189(1) of the Migration Act.</w:t>
      </w:r>
    </w:p>
    <w:p w14:paraId="36108E15" w14:textId="77777777" w:rsidR="00832256" w:rsidRPr="00931D25" w:rsidRDefault="00832256" w:rsidP="00832256">
      <w:pPr>
        <w:numPr>
          <w:ilvl w:val="0"/>
          <w:numId w:val="7"/>
        </w:numPr>
        <w:spacing w:before="240" w:line="300" w:lineRule="exact"/>
        <w:rPr>
          <w:rFonts w:cs="Arial"/>
          <w:spacing w:val="0"/>
          <w:szCs w:val="24"/>
        </w:rPr>
      </w:pPr>
      <w:r w:rsidRPr="00931D25">
        <w:rPr>
          <w:rFonts w:cs="Arial"/>
          <w:spacing w:val="0"/>
          <w:szCs w:val="24"/>
        </w:rPr>
        <w:t xml:space="preserve">As an IMA, Mr </w:t>
      </w:r>
      <w:r w:rsidR="002C0C5F">
        <w:rPr>
          <w:rFonts w:cs="Arial"/>
          <w:spacing w:val="0"/>
          <w:szCs w:val="24"/>
        </w:rPr>
        <w:t>IB</w:t>
      </w:r>
      <w:r w:rsidRPr="00931D25">
        <w:rPr>
          <w:rFonts w:cs="Arial"/>
          <w:spacing w:val="0"/>
          <w:szCs w:val="24"/>
        </w:rPr>
        <w:t xml:space="preserve"> was barred under s 46A of the Migration Act from lodging a protection visa application. This bar was lifted by a former Assistant Minister for Immigration and Border Protection, and Mr </w:t>
      </w:r>
      <w:r w:rsidR="002C0C5F">
        <w:rPr>
          <w:rFonts w:cs="Arial"/>
          <w:spacing w:val="0"/>
          <w:szCs w:val="24"/>
        </w:rPr>
        <w:t>IB</w:t>
      </w:r>
      <w:r w:rsidRPr="00931D25">
        <w:rPr>
          <w:rFonts w:cs="Arial"/>
          <w:spacing w:val="0"/>
          <w:szCs w:val="24"/>
        </w:rPr>
        <w:t xml:space="preserve"> was allowed to apply for a protection visa on 22 July 2012. On 30 August 2012, Mr </w:t>
      </w:r>
      <w:r w:rsidR="002C0C5F">
        <w:rPr>
          <w:rFonts w:cs="Arial"/>
          <w:spacing w:val="0"/>
          <w:szCs w:val="24"/>
        </w:rPr>
        <w:t>IB</w:t>
      </w:r>
      <w:r w:rsidRPr="00931D25">
        <w:rPr>
          <w:rFonts w:cs="Arial"/>
          <w:spacing w:val="0"/>
          <w:szCs w:val="24"/>
        </w:rPr>
        <w:t xml:space="preserve"> was granted a BVE and released from detention.</w:t>
      </w:r>
    </w:p>
    <w:p w14:paraId="3427941F" w14:textId="77777777" w:rsidR="00832256" w:rsidRPr="00931D25" w:rsidRDefault="00832256" w:rsidP="00832256">
      <w:pPr>
        <w:keepNext/>
        <w:numPr>
          <w:ilvl w:val="0"/>
          <w:numId w:val="7"/>
        </w:numPr>
        <w:spacing w:before="240" w:line="300" w:lineRule="exact"/>
        <w:rPr>
          <w:rFonts w:cs="Arial"/>
          <w:spacing w:val="0"/>
          <w:szCs w:val="24"/>
        </w:rPr>
      </w:pPr>
      <w:r w:rsidRPr="00931D25">
        <w:rPr>
          <w:rFonts w:cs="Arial"/>
          <w:spacing w:val="0"/>
          <w:szCs w:val="24"/>
        </w:rPr>
        <w:lastRenderedPageBreak/>
        <w:t xml:space="preserve">The department refused to grant Mr </w:t>
      </w:r>
      <w:r w:rsidR="002C0C5F">
        <w:rPr>
          <w:rFonts w:cs="Arial"/>
          <w:spacing w:val="0"/>
          <w:szCs w:val="24"/>
        </w:rPr>
        <w:t>IB</w:t>
      </w:r>
      <w:r w:rsidRPr="00931D25">
        <w:rPr>
          <w:rFonts w:cs="Arial"/>
          <w:spacing w:val="0"/>
          <w:szCs w:val="24"/>
        </w:rPr>
        <w:t xml:space="preserve"> a protection visa, and the Refugee Review Tribunal affirmed the department’s decision. On 18 August 2014, he was granted a BVE valid to 29 September 2014. With no ongoing departmental or judicial matters, Mr </w:t>
      </w:r>
      <w:r w:rsidR="002C0C5F">
        <w:rPr>
          <w:rFonts w:cs="Arial"/>
          <w:spacing w:val="0"/>
          <w:szCs w:val="24"/>
        </w:rPr>
        <w:t>IB</w:t>
      </w:r>
      <w:r w:rsidRPr="00931D25">
        <w:rPr>
          <w:rFonts w:cs="Arial"/>
          <w:spacing w:val="0"/>
          <w:szCs w:val="24"/>
        </w:rPr>
        <w:t xml:space="preserve"> was considered by the department to be ‘finally determined’ and was expected to cooperate with a return to Iran.</w:t>
      </w:r>
    </w:p>
    <w:p w14:paraId="6D6A3097" w14:textId="77777777" w:rsidR="00832256" w:rsidRPr="00931D25" w:rsidRDefault="00832256" w:rsidP="00832256">
      <w:pPr>
        <w:numPr>
          <w:ilvl w:val="0"/>
          <w:numId w:val="7"/>
        </w:numPr>
        <w:spacing w:before="240" w:line="300" w:lineRule="exact"/>
        <w:rPr>
          <w:rFonts w:cs="Arial"/>
          <w:spacing w:val="0"/>
          <w:szCs w:val="24"/>
        </w:rPr>
      </w:pPr>
      <w:r w:rsidRPr="00931D25">
        <w:rPr>
          <w:rFonts w:cs="Arial"/>
          <w:spacing w:val="0"/>
          <w:szCs w:val="24"/>
        </w:rPr>
        <w:t xml:space="preserve">As an unlawful non-citizen and having failed to make arrangements to depart Australia in accordance with the conditions of his BVE, Mr </w:t>
      </w:r>
      <w:r w:rsidR="002C0C5F">
        <w:rPr>
          <w:rFonts w:cs="Arial"/>
          <w:spacing w:val="0"/>
          <w:szCs w:val="24"/>
        </w:rPr>
        <w:t>IB</w:t>
      </w:r>
      <w:r w:rsidRPr="00931D25">
        <w:rPr>
          <w:rFonts w:cs="Arial"/>
          <w:spacing w:val="0"/>
          <w:szCs w:val="24"/>
        </w:rPr>
        <w:t xml:space="preserve"> was re-detained on 30 September 2014. He was released into the community sometime in late September 2016 having been granted a BVE by the Minister for Immigration and Border Protection (following submissions prepared by the department on 12 September 2016).</w:t>
      </w:r>
    </w:p>
    <w:p w14:paraId="1DD70E10" w14:textId="36C75A82" w:rsidR="00832256" w:rsidRPr="00931D25" w:rsidRDefault="00832256" w:rsidP="00832256">
      <w:pPr>
        <w:numPr>
          <w:ilvl w:val="0"/>
          <w:numId w:val="7"/>
        </w:numPr>
        <w:spacing w:before="240" w:line="300" w:lineRule="exact"/>
        <w:rPr>
          <w:rFonts w:cs="Arial"/>
          <w:spacing w:val="0"/>
          <w:szCs w:val="24"/>
        </w:rPr>
      </w:pPr>
      <w:r w:rsidRPr="00931D25">
        <w:rPr>
          <w:rFonts w:cs="Arial"/>
          <w:spacing w:val="0"/>
          <w:szCs w:val="24"/>
        </w:rPr>
        <w:t xml:space="preserve">Mr </w:t>
      </w:r>
      <w:r w:rsidR="002C0C5F">
        <w:rPr>
          <w:rFonts w:cs="Arial"/>
          <w:spacing w:val="0"/>
          <w:szCs w:val="24"/>
        </w:rPr>
        <w:t>IB</w:t>
      </w:r>
      <w:r w:rsidRPr="00931D25">
        <w:rPr>
          <w:rFonts w:cs="Arial"/>
          <w:spacing w:val="0"/>
          <w:szCs w:val="24"/>
        </w:rPr>
        <w:t xml:space="preserve"> complains that the period of immigration detention from September 2014 until September 2016 is ‘arbitrary’ and amounts to a breach of his human rights under article 9 of the ICCPR.</w:t>
      </w:r>
    </w:p>
    <w:p w14:paraId="5E43435E" w14:textId="4609035D" w:rsidR="00832256" w:rsidRPr="00AD02F3" w:rsidRDefault="00832256" w:rsidP="00832256">
      <w:pPr>
        <w:pStyle w:val="Heading2"/>
        <w:tabs>
          <w:tab w:val="num" w:pos="2411"/>
        </w:tabs>
        <w:spacing w:line="300" w:lineRule="exact"/>
        <w:ind w:left="709" w:hanging="709"/>
        <w:rPr>
          <w:rFonts w:cs="Arial"/>
          <w:i/>
          <w:spacing w:val="0"/>
        </w:rPr>
      </w:pPr>
      <w:bookmarkStart w:id="6" w:name="_Toc9516510"/>
      <w:r w:rsidRPr="00AD02F3">
        <w:rPr>
          <w:rFonts w:cs="Arial"/>
          <w:spacing w:val="0"/>
        </w:rPr>
        <w:t xml:space="preserve">Mr </w:t>
      </w:r>
      <w:r w:rsidR="00B806BC" w:rsidRPr="00AD02F3">
        <w:rPr>
          <w:spacing w:val="0"/>
        </w:rPr>
        <w:t>IC</w:t>
      </w:r>
      <w:bookmarkEnd w:id="6"/>
    </w:p>
    <w:p w14:paraId="557C58E5" w14:textId="62D2E019" w:rsidR="00832256" w:rsidRPr="00931D25" w:rsidRDefault="00832256" w:rsidP="00832256">
      <w:pPr>
        <w:numPr>
          <w:ilvl w:val="0"/>
          <w:numId w:val="7"/>
        </w:numPr>
        <w:spacing w:before="240" w:line="300" w:lineRule="exact"/>
        <w:rPr>
          <w:rFonts w:cs="Arial"/>
          <w:spacing w:val="0"/>
          <w:szCs w:val="24"/>
        </w:rPr>
      </w:pPr>
      <w:r w:rsidRPr="00931D25">
        <w:rPr>
          <w:rFonts w:cs="Arial"/>
          <w:spacing w:val="0"/>
          <w:szCs w:val="24"/>
        </w:rPr>
        <w:t xml:space="preserve">Mr </w:t>
      </w:r>
      <w:r w:rsidR="00B806BC">
        <w:rPr>
          <w:spacing w:val="0"/>
        </w:rPr>
        <w:t>IC</w:t>
      </w:r>
      <w:r w:rsidRPr="00931D25">
        <w:rPr>
          <w:rFonts w:cs="Arial"/>
          <w:spacing w:val="0"/>
          <w:szCs w:val="24"/>
        </w:rPr>
        <w:t xml:space="preserve"> arrived in Australia by boat without a visa on 22 November 2011 and thus was also an ‘illegal maritime arrival’ and unlawful non-citizen. He was detained upon arrival in Australia under s 189(3) of the Migration Act in immigration detention facilities on Christmas Island.</w:t>
      </w:r>
    </w:p>
    <w:p w14:paraId="1E6B2AAD" w14:textId="77777777" w:rsidR="00832256" w:rsidRPr="00931D25" w:rsidRDefault="00832256" w:rsidP="00832256">
      <w:pPr>
        <w:numPr>
          <w:ilvl w:val="0"/>
          <w:numId w:val="7"/>
        </w:numPr>
        <w:spacing w:before="240" w:line="300" w:lineRule="exact"/>
        <w:rPr>
          <w:rFonts w:cs="Arial"/>
          <w:spacing w:val="0"/>
          <w:szCs w:val="24"/>
        </w:rPr>
      </w:pPr>
      <w:r w:rsidRPr="00931D25">
        <w:rPr>
          <w:rFonts w:cs="Arial"/>
          <w:spacing w:val="0"/>
          <w:szCs w:val="24"/>
        </w:rPr>
        <w:t xml:space="preserve">Mr </w:t>
      </w:r>
      <w:r w:rsidR="00B806BC">
        <w:rPr>
          <w:spacing w:val="0"/>
        </w:rPr>
        <w:t>IC</w:t>
      </w:r>
      <w:r w:rsidRPr="00931D25">
        <w:rPr>
          <w:rFonts w:cs="Arial"/>
          <w:spacing w:val="0"/>
          <w:szCs w:val="24"/>
        </w:rPr>
        <w:t xml:space="preserve"> was transferred from Christmas Island to an immigration detention centre (IDC) on the Australian mainland, with detention continuing under s 189(1) of the Migration Act. On 5 February 2012, he was interviewed regarding his claims for protection and on 26 March 2012, </w:t>
      </w:r>
      <w:r w:rsidR="00AD02F3">
        <w:rPr>
          <w:rFonts w:cs="Arial"/>
          <w:spacing w:val="0"/>
          <w:szCs w:val="24"/>
        </w:rPr>
        <w:t xml:space="preserve">and </w:t>
      </w:r>
      <w:r w:rsidRPr="00931D25">
        <w:rPr>
          <w:rFonts w:cs="Arial"/>
          <w:spacing w:val="0"/>
          <w:szCs w:val="24"/>
        </w:rPr>
        <w:t xml:space="preserve">received a negative protection outcome from the department. Mr </w:t>
      </w:r>
      <w:r w:rsidR="00B806BC">
        <w:rPr>
          <w:spacing w:val="0"/>
        </w:rPr>
        <w:t>IC</w:t>
      </w:r>
      <w:r w:rsidRPr="00931D25">
        <w:rPr>
          <w:rFonts w:cs="Arial"/>
          <w:spacing w:val="0"/>
          <w:szCs w:val="24"/>
        </w:rPr>
        <w:t xml:space="preserve"> sought judicial review of this decision.</w:t>
      </w:r>
    </w:p>
    <w:p w14:paraId="1050EE64" w14:textId="4EEC0CB4" w:rsidR="00832256" w:rsidRPr="00931D25" w:rsidRDefault="00832256" w:rsidP="00832256">
      <w:pPr>
        <w:keepNext/>
        <w:numPr>
          <w:ilvl w:val="0"/>
          <w:numId w:val="7"/>
        </w:numPr>
        <w:spacing w:before="240" w:line="300" w:lineRule="exact"/>
        <w:rPr>
          <w:rFonts w:cs="Arial"/>
          <w:spacing w:val="0"/>
          <w:szCs w:val="24"/>
        </w:rPr>
      </w:pPr>
      <w:r w:rsidRPr="00931D25">
        <w:rPr>
          <w:rFonts w:cs="Arial"/>
          <w:spacing w:val="0"/>
          <w:szCs w:val="24"/>
        </w:rPr>
        <w:lastRenderedPageBreak/>
        <w:t xml:space="preserve">On 21 June 2012, the Minister intervened under s 197AB of the Migration Act to grant Mr </w:t>
      </w:r>
      <w:r w:rsidR="00B806BC">
        <w:rPr>
          <w:spacing w:val="0"/>
        </w:rPr>
        <w:t>IC</w:t>
      </w:r>
      <w:r w:rsidRPr="00931D25">
        <w:rPr>
          <w:rFonts w:cs="Arial"/>
          <w:spacing w:val="0"/>
          <w:szCs w:val="24"/>
        </w:rPr>
        <w:t xml:space="preserve"> a residence determination and shortly thereafter he was placed into ‘community detention’ in Sydney. On the basis that he had an ongoing judicial review matter, Mr </w:t>
      </w:r>
      <w:r w:rsidR="00B806BC">
        <w:rPr>
          <w:spacing w:val="0"/>
        </w:rPr>
        <w:t>IC</w:t>
      </w:r>
      <w:r w:rsidRPr="00931D25">
        <w:rPr>
          <w:rFonts w:cs="Arial"/>
          <w:spacing w:val="0"/>
          <w:szCs w:val="24"/>
        </w:rPr>
        <w:t xml:space="preserve"> was granted a further BVE in February 2013. He received a negative judicial review outcome on 28 November 2013.</w:t>
      </w:r>
    </w:p>
    <w:p w14:paraId="0BD62702" w14:textId="77777777" w:rsidR="00832256" w:rsidRPr="00931D25" w:rsidRDefault="00832256" w:rsidP="00832256">
      <w:pPr>
        <w:keepNext/>
        <w:numPr>
          <w:ilvl w:val="0"/>
          <w:numId w:val="7"/>
        </w:numPr>
        <w:spacing w:before="240" w:line="300" w:lineRule="exact"/>
        <w:rPr>
          <w:rFonts w:cs="Arial"/>
          <w:spacing w:val="0"/>
          <w:szCs w:val="24"/>
        </w:rPr>
      </w:pPr>
      <w:r w:rsidRPr="00931D25">
        <w:rPr>
          <w:rFonts w:cs="Arial"/>
          <w:spacing w:val="0"/>
          <w:szCs w:val="24"/>
        </w:rPr>
        <w:t xml:space="preserve">On 16 July 2014, Mr </w:t>
      </w:r>
      <w:r w:rsidR="00B806BC">
        <w:rPr>
          <w:spacing w:val="0"/>
        </w:rPr>
        <w:t>IC</w:t>
      </w:r>
      <w:r w:rsidRPr="00931D25">
        <w:rPr>
          <w:rFonts w:cs="Arial"/>
          <w:spacing w:val="0"/>
          <w:szCs w:val="24"/>
        </w:rPr>
        <w:t xml:space="preserve"> was granted a BVE on ‘departure grounds’ and directed to attend a departmental interview on 28 August 2014. As an unlawful non-citizen and having failed to make departure arrangements, Mr </w:t>
      </w:r>
      <w:r w:rsidR="00B806BC">
        <w:rPr>
          <w:spacing w:val="0"/>
        </w:rPr>
        <w:t>IC</w:t>
      </w:r>
      <w:r w:rsidRPr="00931D25">
        <w:rPr>
          <w:rFonts w:cs="Arial"/>
          <w:spacing w:val="0"/>
          <w:szCs w:val="24"/>
        </w:rPr>
        <w:t xml:space="preserve"> was re-detained on that date. He was released into the community on 21 September 2016 having been granted a BVE by the Minister (following submissions prepared by the department on 12 September 2016).</w:t>
      </w:r>
    </w:p>
    <w:p w14:paraId="31A31F71" w14:textId="6536574D" w:rsidR="00832256" w:rsidRPr="00931D25" w:rsidRDefault="00832256" w:rsidP="00832256">
      <w:pPr>
        <w:numPr>
          <w:ilvl w:val="0"/>
          <w:numId w:val="7"/>
        </w:numPr>
        <w:spacing w:before="240" w:line="300" w:lineRule="exact"/>
        <w:rPr>
          <w:rFonts w:cs="Arial"/>
          <w:spacing w:val="0"/>
          <w:szCs w:val="24"/>
        </w:rPr>
      </w:pPr>
      <w:r w:rsidRPr="00931D25">
        <w:rPr>
          <w:rFonts w:cs="Arial"/>
          <w:spacing w:val="0"/>
          <w:szCs w:val="24"/>
        </w:rPr>
        <w:t xml:space="preserve">Mr </w:t>
      </w:r>
      <w:r w:rsidR="00B806BC">
        <w:rPr>
          <w:spacing w:val="0"/>
        </w:rPr>
        <w:t>IC</w:t>
      </w:r>
      <w:r w:rsidRPr="00931D25">
        <w:rPr>
          <w:rFonts w:cs="Arial"/>
          <w:spacing w:val="0"/>
          <w:szCs w:val="24"/>
        </w:rPr>
        <w:t xml:space="preserve"> complains that the period of immigration detention from August 2014 until September 2016 is ‘arbitrary’ and amounts to a breach of his human rights under article 9 of the ICCPR.</w:t>
      </w:r>
    </w:p>
    <w:p w14:paraId="59F9EFDE" w14:textId="58984906" w:rsidR="00832256" w:rsidRPr="00AD02F3" w:rsidRDefault="00832256" w:rsidP="00832256">
      <w:pPr>
        <w:pStyle w:val="Heading2"/>
        <w:tabs>
          <w:tab w:val="num" w:pos="2411"/>
        </w:tabs>
        <w:spacing w:line="300" w:lineRule="exact"/>
        <w:ind w:left="709" w:hanging="709"/>
        <w:rPr>
          <w:rFonts w:cs="Arial"/>
          <w:i/>
          <w:spacing w:val="0"/>
        </w:rPr>
      </w:pPr>
      <w:bookmarkStart w:id="7" w:name="_Toc9516511"/>
      <w:r w:rsidRPr="00AD02F3">
        <w:rPr>
          <w:rFonts w:cs="Arial"/>
          <w:spacing w:val="0"/>
        </w:rPr>
        <w:t>Current circumstances</w:t>
      </w:r>
      <w:bookmarkEnd w:id="7"/>
    </w:p>
    <w:p w14:paraId="6473EBDE" w14:textId="7AA91FF0" w:rsidR="00832256" w:rsidRPr="00931D25" w:rsidRDefault="00832256" w:rsidP="00832256">
      <w:pPr>
        <w:numPr>
          <w:ilvl w:val="0"/>
          <w:numId w:val="7"/>
        </w:numPr>
        <w:spacing w:before="240" w:line="300" w:lineRule="exact"/>
        <w:rPr>
          <w:rFonts w:cs="Arial"/>
          <w:spacing w:val="0"/>
          <w:szCs w:val="24"/>
        </w:rPr>
      </w:pPr>
      <w:r w:rsidRPr="00931D25">
        <w:rPr>
          <w:rFonts w:cs="Arial"/>
          <w:spacing w:val="0"/>
          <w:szCs w:val="24"/>
        </w:rPr>
        <w:t xml:space="preserve">As mentioned above, as a result of Ministerial Intervention, Mr </w:t>
      </w:r>
      <w:r w:rsidR="002C0C5F">
        <w:rPr>
          <w:rFonts w:cs="Arial"/>
          <w:spacing w:val="0"/>
          <w:szCs w:val="24"/>
        </w:rPr>
        <w:t>IB</w:t>
      </w:r>
      <w:r w:rsidRPr="00931D25">
        <w:rPr>
          <w:rFonts w:cs="Arial"/>
          <w:spacing w:val="0"/>
          <w:szCs w:val="24"/>
        </w:rPr>
        <w:t xml:space="preserve"> and Mr </w:t>
      </w:r>
      <w:r w:rsidR="00B806BC">
        <w:rPr>
          <w:spacing w:val="0"/>
        </w:rPr>
        <w:t>IC</w:t>
      </w:r>
      <w:r w:rsidRPr="00931D25">
        <w:rPr>
          <w:rFonts w:cs="Arial"/>
          <w:spacing w:val="0"/>
          <w:szCs w:val="24"/>
        </w:rPr>
        <w:t xml:space="preserve"> were granted BVEs and released into the community in December 2016. </w:t>
      </w:r>
      <w:r w:rsidR="0077025A">
        <w:rPr>
          <w:rFonts w:cs="Arial"/>
          <w:spacing w:val="0"/>
          <w:szCs w:val="24"/>
        </w:rPr>
        <w:t>As at 6 November 2018, t</w:t>
      </w:r>
      <w:r w:rsidRPr="00931D25">
        <w:rPr>
          <w:rFonts w:cs="Arial"/>
          <w:spacing w:val="0"/>
          <w:szCs w:val="24"/>
        </w:rPr>
        <w:t>hey remain</w:t>
      </w:r>
      <w:r w:rsidR="000066B8">
        <w:rPr>
          <w:rFonts w:cs="Arial"/>
          <w:spacing w:val="0"/>
          <w:szCs w:val="24"/>
        </w:rPr>
        <w:t>ed</w:t>
      </w:r>
      <w:r w:rsidRPr="00931D25">
        <w:rPr>
          <w:rFonts w:cs="Arial"/>
          <w:spacing w:val="0"/>
          <w:szCs w:val="24"/>
        </w:rPr>
        <w:t xml:space="preserve"> in the community. Their </w:t>
      </w:r>
      <w:r w:rsidR="000066B8">
        <w:rPr>
          <w:rFonts w:cs="Arial"/>
          <w:spacing w:val="0"/>
          <w:szCs w:val="24"/>
        </w:rPr>
        <w:t xml:space="preserve">then </w:t>
      </w:r>
      <w:r w:rsidRPr="00931D25">
        <w:rPr>
          <w:rFonts w:cs="Arial"/>
          <w:spacing w:val="0"/>
          <w:szCs w:val="24"/>
        </w:rPr>
        <w:t xml:space="preserve">current visas </w:t>
      </w:r>
      <w:r w:rsidR="000066B8">
        <w:rPr>
          <w:rFonts w:cs="Arial"/>
          <w:spacing w:val="0"/>
          <w:szCs w:val="24"/>
        </w:rPr>
        <w:t>were</w:t>
      </w:r>
      <w:r w:rsidR="000066B8" w:rsidRPr="00931D25">
        <w:rPr>
          <w:rFonts w:cs="Arial"/>
          <w:spacing w:val="0"/>
          <w:szCs w:val="24"/>
        </w:rPr>
        <w:t xml:space="preserve"> </w:t>
      </w:r>
      <w:r w:rsidRPr="00931D25">
        <w:rPr>
          <w:rFonts w:cs="Arial"/>
          <w:spacing w:val="0"/>
          <w:szCs w:val="24"/>
        </w:rPr>
        <w:t xml:space="preserve">due to expire in April 2018 (6 April for Mr </w:t>
      </w:r>
      <w:r w:rsidR="002C0C5F">
        <w:rPr>
          <w:rFonts w:cs="Arial"/>
          <w:spacing w:val="0"/>
          <w:szCs w:val="24"/>
        </w:rPr>
        <w:t>IB</w:t>
      </w:r>
      <w:r w:rsidRPr="00931D25">
        <w:rPr>
          <w:rFonts w:cs="Arial"/>
          <w:spacing w:val="0"/>
          <w:szCs w:val="24"/>
        </w:rPr>
        <w:t xml:space="preserve">, and 25 April for Mr </w:t>
      </w:r>
      <w:r w:rsidR="00B806BC">
        <w:rPr>
          <w:spacing w:val="0"/>
        </w:rPr>
        <w:t>IC</w:t>
      </w:r>
      <w:r w:rsidRPr="00931D25">
        <w:rPr>
          <w:rFonts w:cs="Arial"/>
          <w:spacing w:val="0"/>
          <w:szCs w:val="24"/>
        </w:rPr>
        <w:t>).</w:t>
      </w:r>
    </w:p>
    <w:p w14:paraId="4E2C83C8" w14:textId="7E7BB6C9" w:rsidR="00832256" w:rsidRPr="00931D25" w:rsidRDefault="00832256" w:rsidP="00832256">
      <w:pPr>
        <w:numPr>
          <w:ilvl w:val="0"/>
          <w:numId w:val="7"/>
        </w:numPr>
        <w:spacing w:before="240" w:line="300" w:lineRule="exact"/>
        <w:rPr>
          <w:rFonts w:cs="Arial"/>
          <w:spacing w:val="0"/>
          <w:szCs w:val="24"/>
        </w:rPr>
      </w:pPr>
      <w:r w:rsidRPr="00931D25">
        <w:rPr>
          <w:rFonts w:cs="Arial"/>
          <w:spacing w:val="0"/>
          <w:szCs w:val="24"/>
        </w:rPr>
        <w:t xml:space="preserve">The complainants are considered by the department to be ‘finally determined’ and on a ‘removal pathway’, because they have no current matters before the department, tribunals or courts. However, the complainants are not willing to return to Iran voluntarily: Mr </w:t>
      </w:r>
      <w:r w:rsidR="002C0C5F">
        <w:rPr>
          <w:rFonts w:cs="Arial"/>
          <w:spacing w:val="0"/>
          <w:szCs w:val="24"/>
        </w:rPr>
        <w:t>IB</w:t>
      </w:r>
      <w:r w:rsidRPr="00931D25">
        <w:rPr>
          <w:rFonts w:cs="Arial"/>
          <w:spacing w:val="0"/>
          <w:szCs w:val="24"/>
        </w:rPr>
        <w:t xml:space="preserve"> has stated that he would ‘prefer to die here than return to Iran and be tortured and killed’</w:t>
      </w:r>
      <w:r w:rsidRPr="00931D25">
        <w:rPr>
          <w:rStyle w:val="EndnoteReference"/>
          <w:spacing w:val="0"/>
          <w:szCs w:val="24"/>
        </w:rPr>
        <w:endnoteReference w:id="4"/>
      </w:r>
      <w:r w:rsidRPr="00931D25">
        <w:rPr>
          <w:rFonts w:cs="Arial"/>
          <w:spacing w:val="0"/>
          <w:szCs w:val="24"/>
        </w:rPr>
        <w:t xml:space="preserve"> and Mr </w:t>
      </w:r>
      <w:r w:rsidR="00B806BC">
        <w:rPr>
          <w:spacing w:val="0"/>
        </w:rPr>
        <w:t>IC</w:t>
      </w:r>
      <w:r w:rsidRPr="00931D25">
        <w:rPr>
          <w:rFonts w:cs="Arial"/>
          <w:spacing w:val="0"/>
          <w:szCs w:val="24"/>
        </w:rPr>
        <w:t xml:space="preserve"> has stated that he ‘has extreme fears and worries about having to return back to Iran’</w:t>
      </w:r>
      <w:r w:rsidR="008217BE" w:rsidRPr="00931D25">
        <w:rPr>
          <w:rFonts w:cs="Arial"/>
          <w:spacing w:val="0"/>
          <w:szCs w:val="24"/>
        </w:rPr>
        <w:t>.</w:t>
      </w:r>
      <w:r w:rsidRPr="00931D25">
        <w:rPr>
          <w:rStyle w:val="EndnoteReference"/>
          <w:spacing w:val="0"/>
          <w:szCs w:val="24"/>
        </w:rPr>
        <w:endnoteReference w:id="5"/>
      </w:r>
    </w:p>
    <w:p w14:paraId="1CC86B39" w14:textId="70C002EE" w:rsidR="00832256" w:rsidRPr="00931D25" w:rsidRDefault="00832256" w:rsidP="00832256">
      <w:pPr>
        <w:numPr>
          <w:ilvl w:val="0"/>
          <w:numId w:val="7"/>
        </w:numPr>
        <w:spacing w:before="240" w:line="300" w:lineRule="exact"/>
        <w:rPr>
          <w:rFonts w:cs="Arial"/>
          <w:spacing w:val="0"/>
          <w:szCs w:val="24"/>
        </w:rPr>
      </w:pPr>
      <w:r w:rsidRPr="00931D25">
        <w:rPr>
          <w:rFonts w:cs="Arial"/>
          <w:spacing w:val="0"/>
          <w:szCs w:val="24"/>
        </w:rPr>
        <w:t xml:space="preserve">Iran is not currently accepting involuntary repatriation of Iranian citizens and the Australian Government does not have a memorandum of understanding in place with Iran in relation to the latter’s acceptance of persons removed involuntarily from Australia. At a press conference with Australian Foreign Minister Julie Bishop in Canberra in March 2016, Iran’s Foreign Minister </w:t>
      </w:r>
      <w:proofErr w:type="spellStart"/>
      <w:r w:rsidRPr="00931D25">
        <w:rPr>
          <w:rFonts w:cs="Arial"/>
          <w:spacing w:val="0"/>
          <w:szCs w:val="24"/>
        </w:rPr>
        <w:t>Javad</w:t>
      </w:r>
      <w:proofErr w:type="spellEnd"/>
      <w:r w:rsidRPr="00931D25">
        <w:rPr>
          <w:rFonts w:cs="Arial"/>
          <w:spacing w:val="0"/>
          <w:szCs w:val="24"/>
        </w:rPr>
        <w:t xml:space="preserve"> Zarif confirmed his government’s position that it would not accept involuntary repatriation of Iranian citizens.</w:t>
      </w:r>
      <w:r w:rsidRPr="00931D25">
        <w:rPr>
          <w:rStyle w:val="EndnoteReference"/>
          <w:spacing w:val="0"/>
          <w:szCs w:val="24"/>
        </w:rPr>
        <w:endnoteReference w:id="6"/>
      </w:r>
    </w:p>
    <w:p w14:paraId="4FC61BD5" w14:textId="77777777" w:rsidR="00832256" w:rsidRPr="00235F73" w:rsidRDefault="00832256" w:rsidP="00230BB5">
      <w:pPr>
        <w:pStyle w:val="Heading1"/>
        <w:tabs>
          <w:tab w:val="clear" w:pos="851"/>
          <w:tab w:val="num" w:pos="709"/>
        </w:tabs>
        <w:spacing w:line="300" w:lineRule="exact"/>
        <w:rPr>
          <w:rFonts w:cs="Arial"/>
          <w:spacing w:val="0"/>
          <w:sz w:val="36"/>
          <w:szCs w:val="36"/>
        </w:rPr>
      </w:pPr>
      <w:bookmarkStart w:id="8" w:name="_Toc9516512"/>
      <w:r w:rsidRPr="00235F73">
        <w:rPr>
          <w:rFonts w:cs="Arial"/>
          <w:spacing w:val="0"/>
          <w:sz w:val="36"/>
          <w:szCs w:val="36"/>
        </w:rPr>
        <w:lastRenderedPageBreak/>
        <w:t>Legislative framework</w:t>
      </w:r>
      <w:bookmarkEnd w:id="8"/>
    </w:p>
    <w:p w14:paraId="7E26A812" w14:textId="77777777" w:rsidR="00832256" w:rsidRPr="00235F73" w:rsidRDefault="00832256" w:rsidP="00832256">
      <w:pPr>
        <w:pStyle w:val="Heading2"/>
        <w:tabs>
          <w:tab w:val="num" w:pos="2411"/>
        </w:tabs>
        <w:spacing w:line="300" w:lineRule="exact"/>
        <w:ind w:left="709" w:hanging="709"/>
        <w:rPr>
          <w:rFonts w:cs="Arial"/>
          <w:i/>
          <w:spacing w:val="0"/>
        </w:rPr>
      </w:pPr>
      <w:bookmarkStart w:id="9" w:name="_Toc9516513"/>
      <w:r w:rsidRPr="00235F73">
        <w:rPr>
          <w:rFonts w:cs="Arial"/>
          <w:spacing w:val="0"/>
        </w:rPr>
        <w:t>Functions of the Commission</w:t>
      </w:r>
      <w:bookmarkEnd w:id="9"/>
    </w:p>
    <w:p w14:paraId="2C0AB7BF" w14:textId="77777777" w:rsidR="00832256" w:rsidRPr="00931D25" w:rsidRDefault="00832256" w:rsidP="00832256">
      <w:pPr>
        <w:keepNext/>
        <w:numPr>
          <w:ilvl w:val="0"/>
          <w:numId w:val="7"/>
        </w:numPr>
        <w:spacing w:before="240" w:line="300" w:lineRule="exact"/>
        <w:rPr>
          <w:rFonts w:cs="Arial"/>
          <w:spacing w:val="0"/>
          <w:szCs w:val="24"/>
        </w:rPr>
      </w:pPr>
      <w:bookmarkStart w:id="10" w:name="_Toc328405012"/>
      <w:r w:rsidRPr="00931D25">
        <w:rPr>
          <w:rFonts w:cs="Arial"/>
          <w:spacing w:val="0"/>
          <w:szCs w:val="24"/>
        </w:rPr>
        <w:t>Section 11(1) of the AHRC Act identifies the functions of the Commission. Relevantly s 11(1)(f) gives the Commission the following functions:</w:t>
      </w:r>
    </w:p>
    <w:p w14:paraId="3237E1F2" w14:textId="77777777" w:rsidR="00832256" w:rsidRPr="00931D25" w:rsidRDefault="00832256" w:rsidP="00832256">
      <w:pPr>
        <w:keepNext/>
        <w:spacing w:before="240" w:line="300" w:lineRule="exact"/>
        <w:ind w:left="1276"/>
        <w:rPr>
          <w:rFonts w:cs="Arial"/>
          <w:spacing w:val="0"/>
          <w:sz w:val="22"/>
          <w:szCs w:val="22"/>
        </w:rPr>
      </w:pPr>
      <w:r w:rsidRPr="00931D25">
        <w:rPr>
          <w:rFonts w:cs="Arial"/>
          <w:spacing w:val="0"/>
          <w:sz w:val="22"/>
          <w:szCs w:val="22"/>
        </w:rPr>
        <w:t>to inquire into any act or practice that may be inconsistent with or contrary to any human right, and:</w:t>
      </w:r>
    </w:p>
    <w:p w14:paraId="24E3C64D" w14:textId="6B204011" w:rsidR="00832256" w:rsidRPr="00931D25" w:rsidRDefault="00832256" w:rsidP="00832256">
      <w:pPr>
        <w:spacing w:before="240" w:line="300" w:lineRule="exact"/>
        <w:ind w:left="1843" w:hanging="567"/>
        <w:rPr>
          <w:rFonts w:cs="Arial"/>
          <w:spacing w:val="0"/>
          <w:sz w:val="22"/>
          <w:szCs w:val="22"/>
        </w:rPr>
      </w:pPr>
      <w:r w:rsidRPr="00931D25">
        <w:rPr>
          <w:rFonts w:cs="Arial"/>
          <w:spacing w:val="0"/>
          <w:sz w:val="22"/>
          <w:szCs w:val="22"/>
        </w:rPr>
        <w:t>(</w:t>
      </w:r>
      <w:proofErr w:type="spellStart"/>
      <w:r w:rsidRPr="00931D25">
        <w:rPr>
          <w:rFonts w:cs="Arial"/>
          <w:spacing w:val="0"/>
          <w:sz w:val="22"/>
          <w:szCs w:val="22"/>
        </w:rPr>
        <w:t>i</w:t>
      </w:r>
      <w:proofErr w:type="spellEnd"/>
      <w:r w:rsidRPr="00931D25">
        <w:rPr>
          <w:rFonts w:cs="Arial"/>
          <w:spacing w:val="0"/>
          <w:sz w:val="22"/>
          <w:szCs w:val="22"/>
        </w:rPr>
        <w:t>)</w:t>
      </w:r>
      <w:r w:rsidRPr="00931D25">
        <w:rPr>
          <w:rFonts w:cs="Arial"/>
          <w:spacing w:val="0"/>
          <w:sz w:val="22"/>
          <w:szCs w:val="22"/>
        </w:rPr>
        <w:tab/>
        <w:t xml:space="preserve">where the Commission considers it appropriate to do so – to endeavour, by conciliation, to </w:t>
      </w:r>
      <w:proofErr w:type="gramStart"/>
      <w:r w:rsidRPr="00931D25">
        <w:rPr>
          <w:rFonts w:cs="Arial"/>
          <w:spacing w:val="0"/>
          <w:sz w:val="22"/>
          <w:szCs w:val="22"/>
        </w:rPr>
        <w:t>effect</w:t>
      </w:r>
      <w:proofErr w:type="gramEnd"/>
      <w:r w:rsidRPr="00931D25">
        <w:rPr>
          <w:rFonts w:cs="Arial"/>
          <w:spacing w:val="0"/>
          <w:sz w:val="22"/>
          <w:szCs w:val="22"/>
        </w:rPr>
        <w:t xml:space="preserve"> a settlement of the matters that gave rise to the inquiry; and</w:t>
      </w:r>
    </w:p>
    <w:p w14:paraId="513B3317" w14:textId="77777777" w:rsidR="00832256" w:rsidRPr="00931D25" w:rsidRDefault="00832256" w:rsidP="00832256">
      <w:pPr>
        <w:spacing w:before="240" w:line="300" w:lineRule="exact"/>
        <w:ind w:left="1843" w:hanging="567"/>
        <w:rPr>
          <w:rFonts w:cs="Arial"/>
          <w:spacing w:val="0"/>
          <w:sz w:val="22"/>
          <w:szCs w:val="22"/>
        </w:rPr>
      </w:pPr>
      <w:r w:rsidRPr="00931D25">
        <w:rPr>
          <w:rFonts w:cs="Arial"/>
          <w:spacing w:val="0"/>
          <w:sz w:val="22"/>
          <w:szCs w:val="22"/>
        </w:rPr>
        <w:t>(ii)</w:t>
      </w:r>
      <w:r w:rsidRPr="00931D25">
        <w:rPr>
          <w:rFonts w:cs="Arial"/>
          <w:spacing w:val="0"/>
          <w:sz w:val="22"/>
          <w:szCs w:val="22"/>
        </w:rPr>
        <w:tab/>
        <w:t>where the Commission is of the opinion that the act or practice is inconsistent with or contrary to any human right, and the Commission has not considered it appropriate to endeavour to effect a settlement of the matters that gave rise to the inquiry or has endeavoured without success to effect such a settlement – to report to the Minister in relation to the inquiry.</w:t>
      </w:r>
    </w:p>
    <w:p w14:paraId="6723DF42" w14:textId="77777777" w:rsidR="00832256" w:rsidRPr="00931D25" w:rsidRDefault="00832256" w:rsidP="00832256">
      <w:pPr>
        <w:numPr>
          <w:ilvl w:val="0"/>
          <w:numId w:val="7"/>
        </w:numPr>
        <w:spacing w:before="240" w:line="300" w:lineRule="exact"/>
        <w:rPr>
          <w:rFonts w:cs="Arial"/>
          <w:spacing w:val="0"/>
          <w:szCs w:val="24"/>
        </w:rPr>
      </w:pPr>
      <w:r w:rsidRPr="00931D25">
        <w:rPr>
          <w:rFonts w:cs="Arial"/>
          <w:spacing w:val="0"/>
          <w:szCs w:val="24"/>
        </w:rPr>
        <w:t>Section 20(1)(b) of the AHRC Act requires the Commission to perform the functions referred to in s 11(1)(f) when a complaint in writing is made to the Commission alleging that an act is inconsistent with or contrary to any human right.</w:t>
      </w:r>
    </w:p>
    <w:p w14:paraId="6638C203" w14:textId="77777777" w:rsidR="00832256" w:rsidRPr="00235F73" w:rsidRDefault="00832256" w:rsidP="00832256">
      <w:pPr>
        <w:pStyle w:val="Heading2"/>
        <w:tabs>
          <w:tab w:val="num" w:pos="2411"/>
        </w:tabs>
        <w:spacing w:line="300" w:lineRule="exact"/>
        <w:ind w:left="709" w:hanging="709"/>
        <w:rPr>
          <w:rFonts w:cs="Arial"/>
          <w:i/>
          <w:spacing w:val="0"/>
        </w:rPr>
      </w:pPr>
      <w:bookmarkStart w:id="11" w:name="_Toc9516514"/>
      <w:r w:rsidRPr="00235F73">
        <w:rPr>
          <w:rFonts w:cs="Arial"/>
          <w:spacing w:val="0"/>
        </w:rPr>
        <w:t>What is an ‘act’ or ‘practice’</w:t>
      </w:r>
      <w:bookmarkEnd w:id="10"/>
      <w:bookmarkEnd w:id="11"/>
    </w:p>
    <w:p w14:paraId="2A77E188" w14:textId="77777777" w:rsidR="00832256" w:rsidRPr="00931D25" w:rsidRDefault="00832256" w:rsidP="00832256">
      <w:pPr>
        <w:numPr>
          <w:ilvl w:val="0"/>
          <w:numId w:val="7"/>
        </w:numPr>
        <w:spacing w:before="240" w:line="300" w:lineRule="exact"/>
        <w:rPr>
          <w:rFonts w:cs="Arial"/>
          <w:spacing w:val="0"/>
          <w:szCs w:val="24"/>
        </w:rPr>
      </w:pPr>
      <w:r w:rsidRPr="00931D25">
        <w:rPr>
          <w:rFonts w:cs="Arial"/>
          <w:spacing w:val="0"/>
          <w:szCs w:val="24"/>
        </w:rPr>
        <w:t>The terms ‘act’ and ‘practice’ are defined in s 3(1) of the AHRC Act to include an act done, or a practice engaged in, by or on behalf of the Commonwealth or an authority of the Commonwealth, or under an enactment.</w:t>
      </w:r>
    </w:p>
    <w:p w14:paraId="5413DC39" w14:textId="77777777" w:rsidR="00832256" w:rsidRPr="00931D25" w:rsidRDefault="00832256" w:rsidP="00832256">
      <w:pPr>
        <w:numPr>
          <w:ilvl w:val="0"/>
          <w:numId w:val="7"/>
        </w:numPr>
        <w:spacing w:before="240" w:line="300" w:lineRule="exact"/>
        <w:rPr>
          <w:rFonts w:cs="Arial"/>
          <w:spacing w:val="0"/>
          <w:szCs w:val="24"/>
        </w:rPr>
      </w:pPr>
      <w:r w:rsidRPr="00931D25">
        <w:rPr>
          <w:rFonts w:cs="Arial"/>
          <w:spacing w:val="0"/>
          <w:szCs w:val="24"/>
        </w:rPr>
        <w:t>Section 3(3) of the AHRC Act provides that the reference to, or to the doing of, an act includes a reference to a refusal or failure to do an act.</w:t>
      </w:r>
    </w:p>
    <w:p w14:paraId="18F44AEE" w14:textId="59921A15" w:rsidR="00832256" w:rsidRDefault="00832256" w:rsidP="00832256">
      <w:pPr>
        <w:numPr>
          <w:ilvl w:val="0"/>
          <w:numId w:val="7"/>
        </w:numPr>
        <w:spacing w:before="240" w:line="300" w:lineRule="exact"/>
        <w:rPr>
          <w:rFonts w:cs="Arial"/>
          <w:spacing w:val="0"/>
          <w:szCs w:val="24"/>
        </w:rPr>
      </w:pPr>
      <w:r w:rsidRPr="00931D25">
        <w:rPr>
          <w:rFonts w:cs="Arial"/>
          <w:spacing w:val="0"/>
          <w:szCs w:val="24"/>
        </w:rPr>
        <w:t>The functions of the Commission identified in s 11(1)(f) of the AHRC Act are only engaged where the act complained of is not one required by law to be taken, that is, where the relevant act or practice is within the discretion of the Commonwealth, its officers or agents.</w:t>
      </w:r>
      <w:r w:rsidRPr="00931D25">
        <w:rPr>
          <w:rStyle w:val="EndnoteReference"/>
          <w:spacing w:val="0"/>
          <w:szCs w:val="24"/>
        </w:rPr>
        <w:endnoteReference w:id="7"/>
      </w:r>
    </w:p>
    <w:p w14:paraId="54FF8001" w14:textId="77777777" w:rsidR="00C86917" w:rsidRPr="00931D25" w:rsidRDefault="00C86917" w:rsidP="00C86917">
      <w:pPr>
        <w:spacing w:before="240" w:line="300" w:lineRule="exact"/>
        <w:rPr>
          <w:rFonts w:cs="Arial"/>
          <w:spacing w:val="0"/>
          <w:szCs w:val="24"/>
        </w:rPr>
      </w:pPr>
    </w:p>
    <w:p w14:paraId="6EEB463A" w14:textId="77777777" w:rsidR="00832256" w:rsidRPr="00235F73" w:rsidRDefault="00832256" w:rsidP="00832256">
      <w:pPr>
        <w:pStyle w:val="Heading2"/>
        <w:tabs>
          <w:tab w:val="num" w:pos="2411"/>
        </w:tabs>
        <w:spacing w:line="300" w:lineRule="exact"/>
        <w:ind w:left="709" w:hanging="709"/>
        <w:rPr>
          <w:rFonts w:cs="Arial"/>
          <w:i/>
          <w:spacing w:val="0"/>
        </w:rPr>
      </w:pPr>
      <w:bookmarkStart w:id="12" w:name="_Toc9516515"/>
      <w:r w:rsidRPr="00235F73">
        <w:rPr>
          <w:rFonts w:cs="Arial"/>
          <w:spacing w:val="0"/>
        </w:rPr>
        <w:lastRenderedPageBreak/>
        <w:t>What is a human right?</w:t>
      </w:r>
      <w:bookmarkEnd w:id="12"/>
    </w:p>
    <w:p w14:paraId="52F220FF" w14:textId="68554B6B" w:rsidR="00832256" w:rsidRPr="00931D25" w:rsidRDefault="00832256" w:rsidP="00832256">
      <w:pPr>
        <w:numPr>
          <w:ilvl w:val="0"/>
          <w:numId w:val="7"/>
        </w:numPr>
        <w:tabs>
          <w:tab w:val="num" w:pos="960"/>
        </w:tabs>
        <w:spacing w:before="240" w:line="300" w:lineRule="exact"/>
        <w:rPr>
          <w:rFonts w:cs="Arial"/>
          <w:spacing w:val="0"/>
          <w:szCs w:val="24"/>
        </w:rPr>
      </w:pPr>
      <w:r w:rsidRPr="00931D25">
        <w:rPr>
          <w:rFonts w:cs="Arial"/>
          <w:spacing w:val="0"/>
          <w:szCs w:val="24"/>
        </w:rPr>
        <w:t>The phrase ‘human rights’ is defined by s 3(1) of the AHRC Act to include the rights and freedoms recognised in the ICCPR.</w:t>
      </w:r>
    </w:p>
    <w:p w14:paraId="2DE8AF47" w14:textId="77777777" w:rsidR="00832256" w:rsidRPr="00931D25" w:rsidRDefault="00832256" w:rsidP="00832256">
      <w:pPr>
        <w:keepNext/>
        <w:numPr>
          <w:ilvl w:val="0"/>
          <w:numId w:val="7"/>
        </w:numPr>
        <w:spacing w:before="240" w:line="300" w:lineRule="exact"/>
        <w:rPr>
          <w:rFonts w:cs="Arial"/>
          <w:spacing w:val="0"/>
          <w:szCs w:val="24"/>
        </w:rPr>
      </w:pPr>
      <w:r w:rsidRPr="00931D25">
        <w:rPr>
          <w:rFonts w:cs="Arial"/>
          <w:spacing w:val="0"/>
          <w:szCs w:val="24"/>
        </w:rPr>
        <w:t>Article 9(1) of the ICCPR relevantly provides:</w:t>
      </w:r>
    </w:p>
    <w:p w14:paraId="52990C10" w14:textId="77777777" w:rsidR="00832256" w:rsidRPr="00931D25" w:rsidRDefault="00832256" w:rsidP="00832256">
      <w:pPr>
        <w:spacing w:before="240" w:line="300" w:lineRule="exact"/>
        <w:ind w:left="1276"/>
        <w:rPr>
          <w:rFonts w:cs="Arial"/>
          <w:iCs/>
          <w:spacing w:val="0"/>
          <w:sz w:val="22"/>
          <w:szCs w:val="22"/>
        </w:rPr>
      </w:pPr>
      <w:r w:rsidRPr="00931D25">
        <w:rPr>
          <w:rFonts w:cs="Arial"/>
          <w:iCs/>
          <w:spacing w:val="0"/>
          <w:sz w:val="22"/>
          <w:szCs w:val="22"/>
        </w:rPr>
        <w:t>Everyone has the right to liberty and security of person. No one shall be subjected to arbitrary arrest or detention. No one shall be deprived of his liberty except on such grounds and in accordance with such procedure as are established by law.</w:t>
      </w:r>
    </w:p>
    <w:p w14:paraId="54709069" w14:textId="2B3B272E" w:rsidR="00832256" w:rsidRPr="00235F73" w:rsidRDefault="00832256" w:rsidP="00832256">
      <w:pPr>
        <w:pStyle w:val="Heading2"/>
        <w:tabs>
          <w:tab w:val="num" w:pos="2411"/>
        </w:tabs>
        <w:spacing w:line="300" w:lineRule="exact"/>
        <w:ind w:left="709" w:hanging="709"/>
        <w:rPr>
          <w:rFonts w:cs="Arial"/>
          <w:i/>
          <w:spacing w:val="0"/>
        </w:rPr>
      </w:pPr>
      <w:bookmarkStart w:id="13" w:name="_Toc9516516"/>
      <w:r w:rsidRPr="00235F73">
        <w:rPr>
          <w:rFonts w:cs="Arial"/>
          <w:spacing w:val="0"/>
        </w:rPr>
        <w:t>Article 9 of the ICCPR</w:t>
      </w:r>
      <w:bookmarkEnd w:id="13"/>
    </w:p>
    <w:p w14:paraId="7D60FABC" w14:textId="77777777" w:rsidR="00832256" w:rsidRPr="00931D25" w:rsidRDefault="00832256" w:rsidP="00832256">
      <w:pPr>
        <w:keepNext/>
        <w:numPr>
          <w:ilvl w:val="0"/>
          <w:numId w:val="7"/>
        </w:numPr>
        <w:spacing w:before="240" w:line="300" w:lineRule="exact"/>
        <w:rPr>
          <w:spacing w:val="0"/>
        </w:rPr>
      </w:pPr>
      <w:r w:rsidRPr="00931D25">
        <w:rPr>
          <w:spacing w:val="0"/>
        </w:rPr>
        <w:t>The following principles relating to arbitrary detention within the meaning of article</w:t>
      </w:r>
      <w:r w:rsidRPr="00931D25">
        <w:rPr>
          <w:rFonts w:cs="Arial"/>
          <w:spacing w:val="0"/>
          <w:szCs w:val="24"/>
        </w:rPr>
        <w:t> </w:t>
      </w:r>
      <w:r w:rsidRPr="00931D25">
        <w:rPr>
          <w:spacing w:val="0"/>
        </w:rPr>
        <w:t>9 of the ICCPR arise from international human rights jurisprudence:</w:t>
      </w:r>
    </w:p>
    <w:p w14:paraId="0C800266" w14:textId="77777777" w:rsidR="00832256" w:rsidRPr="00931D25" w:rsidRDefault="00832256" w:rsidP="00832256">
      <w:pPr>
        <w:pStyle w:val="ListParagraph"/>
        <w:widowControl w:val="0"/>
        <w:numPr>
          <w:ilvl w:val="0"/>
          <w:numId w:val="14"/>
        </w:numPr>
        <w:tabs>
          <w:tab w:val="left" w:pos="1843"/>
        </w:tabs>
        <w:autoSpaceDE w:val="0"/>
        <w:autoSpaceDN w:val="0"/>
        <w:spacing w:before="240" w:line="300" w:lineRule="exact"/>
        <w:ind w:left="1843" w:hanging="567"/>
        <w:contextualSpacing w:val="0"/>
        <w:rPr>
          <w:spacing w:val="0"/>
          <w:szCs w:val="24"/>
        </w:rPr>
      </w:pPr>
      <w:r w:rsidRPr="00931D25">
        <w:rPr>
          <w:spacing w:val="0"/>
          <w:szCs w:val="24"/>
        </w:rPr>
        <w:t>‘detention’ includes immigration detention</w:t>
      </w:r>
      <w:r w:rsidRPr="00931D25">
        <w:rPr>
          <w:rStyle w:val="EndnoteReference"/>
          <w:spacing w:val="0"/>
          <w:szCs w:val="24"/>
        </w:rPr>
        <w:endnoteReference w:id="8"/>
      </w:r>
    </w:p>
    <w:p w14:paraId="25E8BF86" w14:textId="77777777" w:rsidR="00832256" w:rsidRPr="00931D25" w:rsidRDefault="00832256" w:rsidP="00832256">
      <w:pPr>
        <w:pStyle w:val="ListParagraph"/>
        <w:widowControl w:val="0"/>
        <w:numPr>
          <w:ilvl w:val="0"/>
          <w:numId w:val="14"/>
        </w:numPr>
        <w:tabs>
          <w:tab w:val="left" w:pos="1843"/>
        </w:tabs>
        <w:autoSpaceDE w:val="0"/>
        <w:autoSpaceDN w:val="0"/>
        <w:spacing w:before="240" w:line="300" w:lineRule="exact"/>
        <w:ind w:left="1843" w:hanging="567"/>
        <w:contextualSpacing w:val="0"/>
        <w:rPr>
          <w:spacing w:val="0"/>
          <w:szCs w:val="24"/>
        </w:rPr>
      </w:pPr>
      <w:r w:rsidRPr="00931D25">
        <w:rPr>
          <w:spacing w:val="0"/>
          <w:szCs w:val="24"/>
        </w:rPr>
        <w:t>lawful detention may become ‘arbitrary’ when a person’s deprivation of liberty becomes unjust, unreasonable or disproportionate in the particular circumstances</w:t>
      </w:r>
      <w:r w:rsidRPr="00931D25">
        <w:rPr>
          <w:rStyle w:val="EndnoteReference"/>
          <w:spacing w:val="0"/>
          <w:szCs w:val="24"/>
        </w:rPr>
        <w:endnoteReference w:id="9"/>
      </w:r>
    </w:p>
    <w:p w14:paraId="6D08418E" w14:textId="160394CB" w:rsidR="00832256" w:rsidRPr="00931D25" w:rsidRDefault="00832256" w:rsidP="00832256">
      <w:pPr>
        <w:pStyle w:val="ListParagraph"/>
        <w:widowControl w:val="0"/>
        <w:numPr>
          <w:ilvl w:val="0"/>
          <w:numId w:val="14"/>
        </w:numPr>
        <w:tabs>
          <w:tab w:val="left" w:pos="1843"/>
        </w:tabs>
        <w:autoSpaceDE w:val="0"/>
        <w:autoSpaceDN w:val="0"/>
        <w:spacing w:before="240" w:line="300" w:lineRule="exact"/>
        <w:ind w:left="1843" w:hanging="567"/>
        <w:contextualSpacing w:val="0"/>
        <w:rPr>
          <w:spacing w:val="0"/>
          <w:szCs w:val="24"/>
        </w:rPr>
      </w:pPr>
      <w:r w:rsidRPr="00931D25">
        <w:rPr>
          <w:spacing w:val="0"/>
          <w:szCs w:val="24"/>
        </w:rPr>
        <w:t>‘arbitrariness’ is not to be equated with ‘against the law’; it must be interpreted more broadly to include elements of inappropriateness, injustice or lack of predictability</w:t>
      </w:r>
      <w:r w:rsidRPr="00931D25">
        <w:rPr>
          <w:rStyle w:val="EndnoteReference"/>
          <w:spacing w:val="0"/>
          <w:szCs w:val="24"/>
        </w:rPr>
        <w:endnoteReference w:id="10"/>
      </w:r>
    </w:p>
    <w:p w14:paraId="70C7E888" w14:textId="226FF2F5" w:rsidR="00832256" w:rsidRPr="00931D25" w:rsidRDefault="00832256" w:rsidP="00832256">
      <w:pPr>
        <w:pStyle w:val="ListParagraph"/>
        <w:widowControl w:val="0"/>
        <w:numPr>
          <w:ilvl w:val="0"/>
          <w:numId w:val="14"/>
        </w:numPr>
        <w:tabs>
          <w:tab w:val="left" w:pos="1843"/>
        </w:tabs>
        <w:autoSpaceDE w:val="0"/>
        <w:autoSpaceDN w:val="0"/>
        <w:spacing w:before="240" w:line="300" w:lineRule="exact"/>
        <w:ind w:left="1843" w:hanging="567"/>
        <w:contextualSpacing w:val="0"/>
        <w:rPr>
          <w:spacing w:val="0"/>
          <w:szCs w:val="24"/>
        </w:rPr>
      </w:pPr>
      <w:bookmarkStart w:id="15" w:name="_bookmark4"/>
      <w:bookmarkEnd w:id="15"/>
      <w:r w:rsidRPr="00931D25">
        <w:rPr>
          <w:spacing w:val="0"/>
          <w:szCs w:val="24"/>
        </w:rPr>
        <w:t>detention should not continue beyond the period for which a State party can provide appropriate justification.</w:t>
      </w:r>
      <w:r w:rsidRPr="00931D25">
        <w:rPr>
          <w:rStyle w:val="EndnoteReference"/>
          <w:spacing w:val="0"/>
          <w:szCs w:val="24"/>
        </w:rPr>
        <w:endnoteReference w:id="11"/>
      </w:r>
    </w:p>
    <w:p w14:paraId="4030A4AA" w14:textId="0CEA7D68" w:rsidR="00832256" w:rsidRPr="00931D25" w:rsidRDefault="00832256" w:rsidP="00832256">
      <w:pPr>
        <w:numPr>
          <w:ilvl w:val="0"/>
          <w:numId w:val="7"/>
        </w:numPr>
        <w:spacing w:before="240" w:line="300" w:lineRule="exact"/>
        <w:rPr>
          <w:spacing w:val="0"/>
          <w:sz w:val="14"/>
        </w:rPr>
      </w:pPr>
      <w:r w:rsidRPr="00931D25">
        <w:rPr>
          <w:spacing w:val="0"/>
        </w:rPr>
        <w:t xml:space="preserve">In </w:t>
      </w:r>
      <w:r w:rsidRPr="00931D25">
        <w:rPr>
          <w:i/>
          <w:spacing w:val="0"/>
        </w:rPr>
        <w:t xml:space="preserve">Van Alphen v The Netherlands, </w:t>
      </w:r>
      <w:r w:rsidRPr="00931D25">
        <w:rPr>
          <w:spacing w:val="0"/>
        </w:rPr>
        <w:t>the UN Human Rights Committee (UN</w:t>
      </w:r>
      <w:r w:rsidR="00235F73">
        <w:rPr>
          <w:spacing w:val="0"/>
        </w:rPr>
        <w:t xml:space="preserve"> </w:t>
      </w:r>
      <w:r w:rsidRPr="00931D25">
        <w:rPr>
          <w:spacing w:val="0"/>
        </w:rPr>
        <w:t>HR</w:t>
      </w:r>
      <w:r w:rsidR="002924A5">
        <w:rPr>
          <w:spacing w:val="0"/>
        </w:rPr>
        <w:t xml:space="preserve"> Committee</w:t>
      </w:r>
      <w:r w:rsidRPr="00931D25">
        <w:rPr>
          <w:spacing w:val="0"/>
        </w:rPr>
        <w:t>) found detention for a period of two months to be ‘arbitrary’ because the State Party did not show that remand in custody was necessary to prevent flight, interference with evidence or recurrence of crime.</w:t>
      </w:r>
      <w:r w:rsidRPr="00931D25">
        <w:rPr>
          <w:rStyle w:val="EndnoteReference"/>
          <w:spacing w:val="0"/>
        </w:rPr>
        <w:endnoteReference w:id="12"/>
      </w:r>
    </w:p>
    <w:p w14:paraId="2529DFF5" w14:textId="277346D9" w:rsidR="00832256" w:rsidRPr="00931D25" w:rsidRDefault="00832256" w:rsidP="00832256">
      <w:pPr>
        <w:numPr>
          <w:ilvl w:val="0"/>
          <w:numId w:val="7"/>
        </w:numPr>
        <w:spacing w:before="240" w:line="300" w:lineRule="exact"/>
        <w:rPr>
          <w:spacing w:val="0"/>
          <w:sz w:val="14"/>
        </w:rPr>
      </w:pPr>
      <w:r w:rsidRPr="00931D25">
        <w:rPr>
          <w:spacing w:val="0"/>
          <w:szCs w:val="24"/>
        </w:rPr>
        <w:t>The UN</w:t>
      </w:r>
      <w:r w:rsidR="00235F73">
        <w:rPr>
          <w:spacing w:val="0"/>
          <w:szCs w:val="24"/>
        </w:rPr>
        <w:t xml:space="preserve"> </w:t>
      </w:r>
      <w:r w:rsidRPr="00931D25">
        <w:rPr>
          <w:spacing w:val="0"/>
          <w:szCs w:val="24"/>
        </w:rPr>
        <w:t>HR</w:t>
      </w:r>
      <w:r w:rsidR="002924A5">
        <w:rPr>
          <w:spacing w:val="0"/>
          <w:szCs w:val="24"/>
        </w:rPr>
        <w:t xml:space="preserve"> Committee</w:t>
      </w:r>
      <w:r w:rsidRPr="00931D25">
        <w:rPr>
          <w:spacing w:val="0"/>
          <w:szCs w:val="24"/>
        </w:rPr>
        <w:t xml:space="preserve"> has held in several communications that there is an obligation on the State Party to demonstrate that there was not a less invasive way than detention to achieve the ends of the State Party’s immigration policy (for example the imposition of reporting obligations, sureties or other conditions) in order to avoid the conclusion that detention was ‘arbitrary’.</w:t>
      </w:r>
      <w:r w:rsidRPr="00931D25">
        <w:rPr>
          <w:rStyle w:val="EndnoteReference"/>
          <w:spacing w:val="0"/>
          <w:szCs w:val="24"/>
        </w:rPr>
        <w:endnoteReference w:id="13"/>
      </w:r>
    </w:p>
    <w:p w14:paraId="52817772" w14:textId="0C71C269" w:rsidR="00832256" w:rsidRPr="00931D25" w:rsidRDefault="00832256" w:rsidP="00832256">
      <w:pPr>
        <w:keepNext/>
        <w:numPr>
          <w:ilvl w:val="0"/>
          <w:numId w:val="7"/>
        </w:numPr>
        <w:spacing w:before="240" w:line="300" w:lineRule="exact"/>
        <w:rPr>
          <w:spacing w:val="0"/>
          <w:szCs w:val="24"/>
        </w:rPr>
      </w:pPr>
      <w:r w:rsidRPr="00931D25">
        <w:rPr>
          <w:spacing w:val="0"/>
          <w:szCs w:val="24"/>
        </w:rPr>
        <w:lastRenderedPageBreak/>
        <w:t>Relevant jurisprudence of the UN</w:t>
      </w:r>
      <w:r w:rsidR="002924A5">
        <w:rPr>
          <w:spacing w:val="0"/>
          <w:szCs w:val="24"/>
        </w:rPr>
        <w:t xml:space="preserve"> </w:t>
      </w:r>
      <w:r w:rsidRPr="00931D25">
        <w:rPr>
          <w:spacing w:val="0"/>
          <w:szCs w:val="24"/>
        </w:rPr>
        <w:t>HR</w:t>
      </w:r>
      <w:r w:rsidR="002924A5">
        <w:rPr>
          <w:spacing w:val="0"/>
          <w:szCs w:val="24"/>
        </w:rPr>
        <w:t xml:space="preserve"> Committee </w:t>
      </w:r>
      <w:r w:rsidRPr="00931D25">
        <w:rPr>
          <w:spacing w:val="0"/>
          <w:szCs w:val="24"/>
        </w:rPr>
        <w:t>on the right to liberty is collected in a general comment on article</w:t>
      </w:r>
      <w:r w:rsidRPr="00931D25">
        <w:rPr>
          <w:rFonts w:cs="Arial"/>
          <w:spacing w:val="0"/>
          <w:szCs w:val="24"/>
        </w:rPr>
        <w:t> </w:t>
      </w:r>
      <w:r w:rsidRPr="00931D25">
        <w:rPr>
          <w:spacing w:val="0"/>
          <w:szCs w:val="24"/>
        </w:rPr>
        <w:t>9 of the ICCPR published on 16 December 2014. It makes the following comments about immigration detention in particular, based on previous decisions by the Committee:</w:t>
      </w:r>
    </w:p>
    <w:p w14:paraId="4BD02828" w14:textId="113D5C20" w:rsidR="00832256" w:rsidRPr="008217BE" w:rsidRDefault="00832256" w:rsidP="00832256">
      <w:pPr>
        <w:spacing w:before="240" w:line="300" w:lineRule="exact"/>
        <w:ind w:left="1276"/>
        <w:rPr>
          <w:spacing w:val="0"/>
          <w:sz w:val="22"/>
          <w:szCs w:val="22"/>
        </w:rPr>
      </w:pPr>
      <w:r w:rsidRPr="00931D25">
        <w:rPr>
          <w:spacing w:val="0"/>
          <w:sz w:val="22"/>
          <w:szCs w:val="22"/>
        </w:rPr>
        <w:t>Detention in the course of proceedings for the control of immigration is not per se arbitrary, but the detention must be justified as reasonable, necessary and proportionate in the light of the circumstances and reassessed as it extends in time. Asylum seekers who unlawfully enter a State party’s territory may be detained for a brief initial period in order to document their entry, record their claims and determine their identity if it is in doubt. To detain them further while their claims are being resolved would be arbitrary in the absence of particular reasons specific to the individual, such as an individualized likelihood of absconding, a danger of crimes against others or a risk of acts against national security. The decision must consider relevant factors case by case and not be based on a mandatory rule for a broad category; must take into account less invasive means of achieving the same ends, such as reporting obligations, sureties or other conditions to prevent absconding; and must be subject to periodic re-evaluation and judicial review</w:t>
      </w:r>
      <w:r w:rsidRPr="008217BE">
        <w:rPr>
          <w:spacing w:val="0"/>
          <w:sz w:val="22"/>
          <w:szCs w:val="22"/>
        </w:rPr>
        <w:t>.</w:t>
      </w:r>
      <w:r w:rsidRPr="008217BE">
        <w:rPr>
          <w:rStyle w:val="EndnoteReference"/>
          <w:spacing w:val="0"/>
        </w:rPr>
        <w:endnoteReference w:id="14"/>
      </w:r>
    </w:p>
    <w:p w14:paraId="0BA154E9" w14:textId="04F3AD35" w:rsidR="00832256" w:rsidRPr="00931D25" w:rsidRDefault="00832256" w:rsidP="00832256">
      <w:pPr>
        <w:numPr>
          <w:ilvl w:val="0"/>
          <w:numId w:val="7"/>
        </w:numPr>
        <w:spacing w:before="240" w:line="300" w:lineRule="exact"/>
        <w:rPr>
          <w:spacing w:val="0"/>
          <w:sz w:val="14"/>
        </w:rPr>
      </w:pPr>
      <w:r w:rsidRPr="00931D25">
        <w:rPr>
          <w:spacing w:val="0"/>
        </w:rPr>
        <w:t>Under international law the guiding standard for restricting rights is proportionality, which means that deprivation of liberty</w:t>
      </w:r>
      <w:r w:rsidR="00AD613D">
        <w:rPr>
          <w:spacing w:val="0"/>
        </w:rPr>
        <w:t xml:space="preserve"> (</w:t>
      </w:r>
      <w:r w:rsidRPr="00931D25">
        <w:rPr>
          <w:spacing w:val="0"/>
        </w:rPr>
        <w:t>in this case, immigration detention</w:t>
      </w:r>
      <w:r w:rsidR="00AD613D">
        <w:rPr>
          <w:spacing w:val="0"/>
        </w:rPr>
        <w:t xml:space="preserve">) </w:t>
      </w:r>
      <w:r w:rsidRPr="00931D25">
        <w:rPr>
          <w:spacing w:val="0"/>
        </w:rPr>
        <w:t>must be necessary and proportionate to a legitimate aim of the State Party</w:t>
      </w:r>
      <w:r w:rsidR="00AD613D">
        <w:rPr>
          <w:spacing w:val="0"/>
        </w:rPr>
        <w:t xml:space="preserve"> (</w:t>
      </w:r>
      <w:r w:rsidRPr="00931D25">
        <w:rPr>
          <w:spacing w:val="0"/>
        </w:rPr>
        <w:t>in this case, the Commonwealth of Australia</w:t>
      </w:r>
      <w:r w:rsidR="00AD613D">
        <w:rPr>
          <w:spacing w:val="0"/>
        </w:rPr>
        <w:t>)</w:t>
      </w:r>
      <w:r w:rsidRPr="00931D25">
        <w:rPr>
          <w:spacing w:val="0"/>
        </w:rPr>
        <w:t xml:space="preserve"> in order to avoid being ‘arbitrary’.</w:t>
      </w:r>
      <w:r w:rsidRPr="00931D25">
        <w:rPr>
          <w:rStyle w:val="EndnoteReference"/>
          <w:spacing w:val="0"/>
        </w:rPr>
        <w:endnoteReference w:id="15"/>
      </w:r>
    </w:p>
    <w:p w14:paraId="474321F8" w14:textId="2E86676D" w:rsidR="00832256" w:rsidRDefault="00832256" w:rsidP="00832256">
      <w:pPr>
        <w:numPr>
          <w:ilvl w:val="0"/>
          <w:numId w:val="7"/>
        </w:numPr>
        <w:spacing w:before="240" w:line="300" w:lineRule="exact"/>
        <w:rPr>
          <w:spacing w:val="0"/>
          <w:szCs w:val="24"/>
        </w:rPr>
      </w:pPr>
      <w:r w:rsidRPr="00931D25">
        <w:rPr>
          <w:spacing w:val="0"/>
          <w:szCs w:val="24"/>
        </w:rPr>
        <w:t xml:space="preserve">It is therefore necessary to consider whether the detention of Messrs </w:t>
      </w:r>
      <w:r w:rsidR="002C0C5F">
        <w:rPr>
          <w:rFonts w:cs="Arial"/>
          <w:spacing w:val="0"/>
          <w:szCs w:val="24"/>
        </w:rPr>
        <w:t>IB</w:t>
      </w:r>
      <w:r w:rsidRPr="00931D25">
        <w:rPr>
          <w:spacing w:val="0"/>
          <w:szCs w:val="24"/>
        </w:rPr>
        <w:t xml:space="preserve"> and </w:t>
      </w:r>
      <w:r w:rsidR="00B806BC">
        <w:rPr>
          <w:spacing w:val="0"/>
        </w:rPr>
        <w:t>IC</w:t>
      </w:r>
      <w:r w:rsidRPr="00931D25">
        <w:rPr>
          <w:spacing w:val="0"/>
          <w:szCs w:val="24"/>
        </w:rPr>
        <w:t xml:space="preserve"> in closed detention facilities can be justified as reasonable, necessary and proportionate on the basis of particular reasons specific to them, and in light of the available alternatives to closed detention. If their detention cannot be justified on these grounds, it will be disproportionate to the Commonwealth’s legitimate aim of ensuring the effective operation of Australia’s migration system and therefore considered arbitrary under article 9 of the ICCPR.</w:t>
      </w:r>
    </w:p>
    <w:p w14:paraId="753A98B6" w14:textId="77777777" w:rsidR="00C86917" w:rsidRPr="00931D25" w:rsidRDefault="00C86917" w:rsidP="00C86917">
      <w:pPr>
        <w:spacing w:before="240" w:line="300" w:lineRule="exact"/>
        <w:rPr>
          <w:spacing w:val="0"/>
          <w:szCs w:val="24"/>
        </w:rPr>
      </w:pPr>
    </w:p>
    <w:p w14:paraId="757B1130" w14:textId="77777777" w:rsidR="00832256" w:rsidRPr="00AD613D" w:rsidRDefault="00832256" w:rsidP="00230BB5">
      <w:pPr>
        <w:pStyle w:val="Heading1"/>
        <w:tabs>
          <w:tab w:val="clear" w:pos="851"/>
          <w:tab w:val="num" w:pos="709"/>
        </w:tabs>
        <w:spacing w:line="300" w:lineRule="exact"/>
        <w:rPr>
          <w:rFonts w:cs="Arial"/>
          <w:spacing w:val="0"/>
          <w:sz w:val="36"/>
          <w:szCs w:val="36"/>
        </w:rPr>
      </w:pPr>
      <w:bookmarkStart w:id="17" w:name="_Toc9516517"/>
      <w:r w:rsidRPr="00AD613D">
        <w:rPr>
          <w:rFonts w:cs="Arial"/>
          <w:spacing w:val="0"/>
          <w:sz w:val="36"/>
          <w:szCs w:val="36"/>
        </w:rPr>
        <w:lastRenderedPageBreak/>
        <w:t>Assessment – Arbitrary detention</w:t>
      </w:r>
      <w:bookmarkEnd w:id="17"/>
    </w:p>
    <w:p w14:paraId="0D4F6670" w14:textId="77777777" w:rsidR="00832256" w:rsidRPr="00AD613D" w:rsidRDefault="00832256" w:rsidP="00832256">
      <w:pPr>
        <w:pStyle w:val="Heading2"/>
        <w:tabs>
          <w:tab w:val="num" w:pos="2411"/>
        </w:tabs>
        <w:spacing w:line="300" w:lineRule="exact"/>
        <w:ind w:left="709" w:hanging="709"/>
        <w:rPr>
          <w:rFonts w:cs="Arial"/>
          <w:i/>
          <w:spacing w:val="0"/>
        </w:rPr>
      </w:pPr>
      <w:bookmarkStart w:id="18" w:name="_Toc9516518"/>
      <w:r w:rsidRPr="00AD613D">
        <w:rPr>
          <w:rFonts w:cs="Arial"/>
          <w:spacing w:val="0"/>
        </w:rPr>
        <w:t>Alternatives to detention</w:t>
      </w:r>
      <w:bookmarkEnd w:id="18"/>
    </w:p>
    <w:p w14:paraId="3A197DE0" w14:textId="13487BB6" w:rsidR="00832256" w:rsidRPr="00931D25" w:rsidRDefault="00832256" w:rsidP="00832256">
      <w:pPr>
        <w:numPr>
          <w:ilvl w:val="0"/>
          <w:numId w:val="7"/>
        </w:numPr>
        <w:spacing w:before="240" w:line="300" w:lineRule="exact"/>
        <w:rPr>
          <w:rFonts w:cs="Arial"/>
          <w:spacing w:val="0"/>
          <w:szCs w:val="24"/>
        </w:rPr>
      </w:pPr>
      <w:r w:rsidRPr="00931D25">
        <w:rPr>
          <w:rFonts w:cs="Arial"/>
          <w:spacing w:val="0"/>
        </w:rPr>
        <w:t>Section</w:t>
      </w:r>
      <w:r w:rsidRPr="00931D25">
        <w:rPr>
          <w:rFonts w:cs="Arial"/>
          <w:spacing w:val="0"/>
          <w:szCs w:val="24"/>
        </w:rPr>
        <w:t> </w:t>
      </w:r>
      <w:r w:rsidRPr="00931D25">
        <w:rPr>
          <w:rFonts w:cs="Arial"/>
          <w:spacing w:val="0"/>
        </w:rPr>
        <w:t>189(1) of the Migration Act requires the detention of unlawful non-citizens until they are either granted a visa, deported or removed from Australia. When the complainants’</w:t>
      </w:r>
      <w:r w:rsidRPr="00931D25">
        <w:rPr>
          <w:rFonts w:cs="Arial"/>
          <w:spacing w:val="0"/>
          <w:szCs w:val="24"/>
        </w:rPr>
        <w:t xml:space="preserve"> BVEs expired in August and September 2014</w:t>
      </w:r>
      <w:r w:rsidRPr="00931D25">
        <w:rPr>
          <w:rFonts w:cs="Arial"/>
          <w:spacing w:val="0"/>
        </w:rPr>
        <w:t>, they became unlawful non-citizens and therefore the Migration Act required that they be detained.</w:t>
      </w:r>
    </w:p>
    <w:p w14:paraId="7EFED423" w14:textId="77777777" w:rsidR="00832256" w:rsidRPr="00931D25" w:rsidRDefault="00832256" w:rsidP="00832256">
      <w:pPr>
        <w:numPr>
          <w:ilvl w:val="0"/>
          <w:numId w:val="7"/>
        </w:numPr>
        <w:spacing w:before="240" w:line="300" w:lineRule="exact"/>
        <w:rPr>
          <w:rFonts w:cs="Arial"/>
          <w:spacing w:val="0"/>
          <w:szCs w:val="24"/>
        </w:rPr>
      </w:pPr>
      <w:r w:rsidRPr="00931D25">
        <w:rPr>
          <w:rFonts w:cs="Arial"/>
          <w:spacing w:val="0"/>
        </w:rPr>
        <w:t>However, the Migration Act does not require that the complainants remain detained in an immigration detention centre.</w:t>
      </w:r>
    </w:p>
    <w:p w14:paraId="111D33C9" w14:textId="5EBEA418" w:rsidR="00832256" w:rsidRPr="00931D25" w:rsidRDefault="00832256" w:rsidP="00832256">
      <w:pPr>
        <w:numPr>
          <w:ilvl w:val="0"/>
          <w:numId w:val="7"/>
        </w:numPr>
        <w:spacing w:before="240" w:line="300" w:lineRule="exact"/>
        <w:rPr>
          <w:spacing w:val="0"/>
          <w:szCs w:val="24"/>
        </w:rPr>
      </w:pPr>
      <w:r w:rsidRPr="00931D25">
        <w:rPr>
          <w:spacing w:val="0"/>
          <w:szCs w:val="24"/>
        </w:rPr>
        <w:t>Section</w:t>
      </w:r>
      <w:r w:rsidRPr="00931D25">
        <w:rPr>
          <w:rFonts w:cs="Arial"/>
          <w:spacing w:val="0"/>
          <w:szCs w:val="24"/>
        </w:rPr>
        <w:t> </w:t>
      </w:r>
      <w:r w:rsidRPr="00931D25">
        <w:rPr>
          <w:spacing w:val="0"/>
          <w:szCs w:val="24"/>
        </w:rPr>
        <w:t xml:space="preserve">195A of the Migration Act permits the Minister, where he thinks that it is in the public interest to do so, to grant a visa to a person detained under </w:t>
      </w:r>
      <w:r w:rsidRPr="00931D25">
        <w:rPr>
          <w:rFonts w:cs="Arial"/>
          <w:spacing w:val="0"/>
          <w:szCs w:val="24"/>
        </w:rPr>
        <w:t>s </w:t>
      </w:r>
      <w:r w:rsidRPr="00931D25">
        <w:rPr>
          <w:spacing w:val="0"/>
          <w:szCs w:val="24"/>
        </w:rPr>
        <w:t>189 of the Migration Act. Section</w:t>
      </w:r>
      <w:r w:rsidRPr="00931D25">
        <w:rPr>
          <w:rFonts w:cs="Arial"/>
          <w:spacing w:val="0"/>
          <w:szCs w:val="24"/>
        </w:rPr>
        <w:t> </w:t>
      </w:r>
      <w:r w:rsidRPr="00931D25">
        <w:rPr>
          <w:spacing w:val="0"/>
          <w:szCs w:val="24"/>
        </w:rPr>
        <w:t>197AB of the Migration Act permits the Minister, where he thinks that it is in the public interest to do so, to make a ‘residence determination’ to allow a person to reside in a specified place, instead of being detained in closed immigration detention (commonly referred to as ‘community detention’).</w:t>
      </w:r>
    </w:p>
    <w:p w14:paraId="28585D3E" w14:textId="77777777" w:rsidR="00832256" w:rsidRPr="00931D25" w:rsidRDefault="00832256" w:rsidP="00832256">
      <w:pPr>
        <w:numPr>
          <w:ilvl w:val="0"/>
          <w:numId w:val="7"/>
        </w:numPr>
        <w:spacing w:before="240" w:line="300" w:lineRule="exact"/>
        <w:rPr>
          <w:spacing w:val="0"/>
          <w:szCs w:val="24"/>
        </w:rPr>
      </w:pPr>
      <w:r w:rsidRPr="00931D25">
        <w:rPr>
          <w:spacing w:val="0"/>
          <w:szCs w:val="24"/>
        </w:rPr>
        <w:t>The Minister issues guidelines to explain (</w:t>
      </w:r>
      <w:proofErr w:type="spellStart"/>
      <w:r w:rsidRPr="00931D25">
        <w:rPr>
          <w:spacing w:val="0"/>
          <w:szCs w:val="24"/>
        </w:rPr>
        <w:t>i</w:t>
      </w:r>
      <w:proofErr w:type="spellEnd"/>
      <w:r w:rsidRPr="00931D25">
        <w:rPr>
          <w:spacing w:val="0"/>
          <w:szCs w:val="24"/>
        </w:rPr>
        <w:t>) when officers of the department should refer a case to the Minister so he/she can consider exercising his/her discretionary power, and (ii) the circumstances in which the Minister may wish to consider exercising the discretionary power to grant a visa to a person in immigration detention.</w:t>
      </w:r>
    </w:p>
    <w:p w14:paraId="60FDE857" w14:textId="77777777" w:rsidR="00832256" w:rsidRPr="00931D25" w:rsidRDefault="00832256" w:rsidP="00230BB5">
      <w:pPr>
        <w:pStyle w:val="Heading3"/>
        <w:keepLines w:val="0"/>
        <w:widowControl w:val="0"/>
        <w:numPr>
          <w:ilvl w:val="0"/>
          <w:numId w:val="15"/>
        </w:numPr>
        <w:tabs>
          <w:tab w:val="left" w:pos="709"/>
        </w:tabs>
        <w:autoSpaceDE w:val="0"/>
        <w:autoSpaceDN w:val="0"/>
        <w:spacing w:before="240" w:line="300" w:lineRule="exact"/>
        <w:ind w:left="799" w:hanging="799"/>
        <w:rPr>
          <w:b w:val="0"/>
          <w:i/>
          <w:spacing w:val="0"/>
        </w:rPr>
      </w:pPr>
      <w:bookmarkStart w:id="19" w:name="_Toc9516519"/>
      <w:r w:rsidRPr="00931D25">
        <w:rPr>
          <w:spacing w:val="0"/>
        </w:rPr>
        <w:t>Discretionary power to grant a visa under s 195A</w:t>
      </w:r>
      <w:bookmarkEnd w:id="19"/>
    </w:p>
    <w:p w14:paraId="07C74320" w14:textId="77777777" w:rsidR="00832256" w:rsidRPr="00931D25" w:rsidRDefault="00832256" w:rsidP="00832256">
      <w:pPr>
        <w:keepNext/>
        <w:numPr>
          <w:ilvl w:val="0"/>
          <w:numId w:val="7"/>
        </w:numPr>
        <w:spacing w:before="240" w:line="300" w:lineRule="exact"/>
        <w:rPr>
          <w:spacing w:val="0"/>
          <w:sz w:val="20"/>
        </w:rPr>
      </w:pPr>
      <w:r w:rsidRPr="00931D25">
        <w:rPr>
          <w:spacing w:val="0"/>
        </w:rPr>
        <w:t>For the period during which the complainants were detained, the s 195A guidelines provided for the department to refer cases to the Minister for the consideration of his detention intervention powers where:</w:t>
      </w:r>
    </w:p>
    <w:p w14:paraId="0266DD39" w14:textId="77777777" w:rsidR="00832256" w:rsidRPr="00931D25" w:rsidRDefault="00832256" w:rsidP="00832256">
      <w:pPr>
        <w:pStyle w:val="ListParagraph"/>
        <w:widowControl w:val="0"/>
        <w:numPr>
          <w:ilvl w:val="0"/>
          <w:numId w:val="16"/>
        </w:numPr>
        <w:tabs>
          <w:tab w:val="left" w:pos="1701"/>
        </w:tabs>
        <w:autoSpaceDE w:val="0"/>
        <w:autoSpaceDN w:val="0"/>
        <w:spacing w:before="240" w:line="300" w:lineRule="exact"/>
        <w:ind w:left="1701" w:hanging="567"/>
        <w:contextualSpacing w:val="0"/>
        <w:rPr>
          <w:rFonts w:cs="Arial"/>
          <w:spacing w:val="0"/>
          <w:sz w:val="22"/>
          <w:szCs w:val="22"/>
        </w:rPr>
      </w:pPr>
      <w:r w:rsidRPr="00931D25">
        <w:rPr>
          <w:rFonts w:cs="Arial"/>
          <w:spacing w:val="0"/>
          <w:sz w:val="22"/>
          <w:szCs w:val="22"/>
        </w:rPr>
        <w:t>The person has no outstanding primary or merits review processes in relation to their claims to remain in Australia but removal is not reasonably practicable for reasons that may include … cases where:</w:t>
      </w:r>
    </w:p>
    <w:p w14:paraId="3F4188D5" w14:textId="77777777" w:rsidR="00832256" w:rsidRPr="00931D25" w:rsidRDefault="00832256" w:rsidP="00832256">
      <w:pPr>
        <w:pStyle w:val="ListParagraph"/>
        <w:widowControl w:val="0"/>
        <w:numPr>
          <w:ilvl w:val="1"/>
          <w:numId w:val="16"/>
        </w:numPr>
        <w:tabs>
          <w:tab w:val="left" w:pos="2268"/>
        </w:tabs>
        <w:autoSpaceDE w:val="0"/>
        <w:autoSpaceDN w:val="0"/>
        <w:spacing w:before="240" w:line="300" w:lineRule="exact"/>
        <w:ind w:left="2268" w:hanging="567"/>
        <w:contextualSpacing w:val="0"/>
        <w:rPr>
          <w:rFonts w:cs="Arial"/>
          <w:spacing w:val="0"/>
          <w:sz w:val="22"/>
          <w:szCs w:val="22"/>
        </w:rPr>
      </w:pPr>
      <w:r w:rsidRPr="00931D25">
        <w:rPr>
          <w:rFonts w:cs="Arial"/>
          <w:spacing w:val="0"/>
          <w:sz w:val="22"/>
          <w:szCs w:val="22"/>
        </w:rPr>
        <w:t>the person’s country of origin refuses to accept their return or to issue a travel document to facilitate their return</w:t>
      </w:r>
    </w:p>
    <w:p w14:paraId="502B24E7" w14:textId="77777777" w:rsidR="00832256" w:rsidRPr="00931D25" w:rsidRDefault="00832256" w:rsidP="00832256">
      <w:pPr>
        <w:pStyle w:val="ListParagraph"/>
        <w:widowControl w:val="0"/>
        <w:numPr>
          <w:ilvl w:val="1"/>
          <w:numId w:val="16"/>
        </w:numPr>
        <w:tabs>
          <w:tab w:val="left" w:pos="2268"/>
        </w:tabs>
        <w:autoSpaceDE w:val="0"/>
        <w:autoSpaceDN w:val="0"/>
        <w:spacing w:before="240" w:line="300" w:lineRule="exact"/>
        <w:ind w:left="2268" w:hanging="567"/>
        <w:contextualSpacing w:val="0"/>
        <w:rPr>
          <w:rFonts w:cs="Arial"/>
          <w:spacing w:val="0"/>
          <w:sz w:val="22"/>
          <w:szCs w:val="22"/>
        </w:rPr>
      </w:pPr>
      <w:r w:rsidRPr="00931D25">
        <w:rPr>
          <w:rFonts w:cs="Arial"/>
          <w:spacing w:val="0"/>
          <w:sz w:val="22"/>
          <w:szCs w:val="22"/>
        </w:rPr>
        <w:t>it is not possible to return the person to their country of origin because of … policy regarding involuntary removals.</w:t>
      </w:r>
      <w:r w:rsidRPr="00931D25">
        <w:rPr>
          <w:rStyle w:val="EndnoteReference"/>
          <w:rFonts w:cs="Arial"/>
          <w:spacing w:val="0"/>
          <w:sz w:val="22"/>
          <w:szCs w:val="22"/>
        </w:rPr>
        <w:endnoteReference w:id="16"/>
      </w:r>
    </w:p>
    <w:p w14:paraId="22339460" w14:textId="77777777" w:rsidR="00832256" w:rsidRPr="00931D25" w:rsidRDefault="00832256" w:rsidP="00832256">
      <w:pPr>
        <w:keepNext/>
        <w:numPr>
          <w:ilvl w:val="0"/>
          <w:numId w:val="7"/>
        </w:numPr>
        <w:spacing w:before="240" w:line="300" w:lineRule="exact"/>
        <w:rPr>
          <w:spacing w:val="0"/>
          <w:szCs w:val="24"/>
        </w:rPr>
      </w:pPr>
      <w:r w:rsidRPr="00931D25">
        <w:rPr>
          <w:spacing w:val="0"/>
        </w:rPr>
        <w:lastRenderedPageBreak/>
        <w:t>On 29 April 2016, replacement guidelines were issued that retained this provision, but also introduced types of cases that the Minister would not generally expect to be referred to him. These included</w:t>
      </w:r>
      <w:r w:rsidRPr="00931D25">
        <w:rPr>
          <w:spacing w:val="0"/>
          <w:szCs w:val="24"/>
        </w:rPr>
        <w:t>:</w:t>
      </w:r>
    </w:p>
    <w:p w14:paraId="2FCFF447" w14:textId="77777777" w:rsidR="00832256" w:rsidRPr="00931D25" w:rsidRDefault="00832256" w:rsidP="00832256">
      <w:pPr>
        <w:pStyle w:val="ListParagraph"/>
        <w:widowControl w:val="0"/>
        <w:numPr>
          <w:ilvl w:val="0"/>
          <w:numId w:val="16"/>
        </w:numPr>
        <w:tabs>
          <w:tab w:val="left" w:pos="1701"/>
        </w:tabs>
        <w:autoSpaceDE w:val="0"/>
        <w:autoSpaceDN w:val="0"/>
        <w:spacing w:before="240" w:line="300" w:lineRule="exact"/>
        <w:ind w:left="1701" w:hanging="567"/>
        <w:contextualSpacing w:val="0"/>
        <w:rPr>
          <w:spacing w:val="0"/>
          <w:sz w:val="22"/>
          <w:szCs w:val="22"/>
        </w:rPr>
      </w:pPr>
      <w:r w:rsidRPr="00931D25">
        <w:rPr>
          <w:spacing w:val="0"/>
          <w:sz w:val="22"/>
          <w:szCs w:val="22"/>
        </w:rPr>
        <w:t>people with no outstanding immigration matters who are not cooperating with efforts to effect their departure from Australia</w:t>
      </w:r>
    </w:p>
    <w:p w14:paraId="57DB139F" w14:textId="77777777" w:rsidR="00832256" w:rsidRPr="00931D25" w:rsidRDefault="00832256" w:rsidP="00832256">
      <w:pPr>
        <w:pStyle w:val="ListParagraph"/>
        <w:widowControl w:val="0"/>
        <w:numPr>
          <w:ilvl w:val="0"/>
          <w:numId w:val="16"/>
        </w:numPr>
        <w:tabs>
          <w:tab w:val="left" w:pos="1701"/>
        </w:tabs>
        <w:autoSpaceDE w:val="0"/>
        <w:autoSpaceDN w:val="0"/>
        <w:spacing w:before="240" w:line="300" w:lineRule="exact"/>
        <w:ind w:left="1701" w:hanging="567"/>
        <w:contextualSpacing w:val="0"/>
        <w:rPr>
          <w:spacing w:val="0"/>
          <w:sz w:val="22"/>
          <w:szCs w:val="22"/>
        </w:rPr>
      </w:pPr>
      <w:r w:rsidRPr="00931D25">
        <w:rPr>
          <w:spacing w:val="0"/>
          <w:sz w:val="22"/>
          <w:szCs w:val="22"/>
        </w:rPr>
        <w:t>people whom I have previously considered under any of my Ministerial intervention powers, or who have previously been found not to meet any of my Ministerial intervention guidelines, and who have had no significant changes to their circumstances.</w:t>
      </w:r>
      <w:r w:rsidRPr="00931D25">
        <w:rPr>
          <w:rStyle w:val="EndnoteReference"/>
          <w:spacing w:val="0"/>
          <w:sz w:val="22"/>
          <w:szCs w:val="22"/>
        </w:rPr>
        <w:endnoteReference w:id="17"/>
      </w:r>
    </w:p>
    <w:p w14:paraId="0A8C8DB6" w14:textId="77777777" w:rsidR="00832256" w:rsidRPr="00931D25" w:rsidRDefault="00832256" w:rsidP="00832256">
      <w:pPr>
        <w:numPr>
          <w:ilvl w:val="0"/>
          <w:numId w:val="7"/>
        </w:numPr>
        <w:spacing w:before="240" w:line="300" w:lineRule="exact"/>
        <w:rPr>
          <w:spacing w:val="0"/>
          <w:szCs w:val="24"/>
        </w:rPr>
      </w:pPr>
      <w:r w:rsidRPr="00931D25">
        <w:rPr>
          <w:spacing w:val="0"/>
        </w:rPr>
        <w:t xml:space="preserve">The complainants clearly met the criteria for referral to the Minister under </w:t>
      </w:r>
      <w:r w:rsidRPr="00931D25">
        <w:rPr>
          <w:rFonts w:cs="Arial"/>
          <w:spacing w:val="0"/>
          <w:szCs w:val="24"/>
        </w:rPr>
        <w:t>s </w:t>
      </w:r>
      <w:r w:rsidRPr="00931D25">
        <w:rPr>
          <w:spacing w:val="0"/>
        </w:rPr>
        <w:t>195A for the entirety of their detention. However from 29 April 2016, they also fell within a type of case that the Minister did not generally expect to be referred to him.</w:t>
      </w:r>
    </w:p>
    <w:p w14:paraId="4D253584" w14:textId="2FA39342" w:rsidR="00832256" w:rsidRPr="00931D25" w:rsidRDefault="00832256" w:rsidP="00AD613D">
      <w:pPr>
        <w:pStyle w:val="Heading3"/>
        <w:widowControl w:val="0"/>
        <w:numPr>
          <w:ilvl w:val="0"/>
          <w:numId w:val="15"/>
        </w:numPr>
        <w:tabs>
          <w:tab w:val="left" w:pos="797"/>
          <w:tab w:val="left" w:pos="798"/>
        </w:tabs>
        <w:autoSpaceDE w:val="0"/>
        <w:autoSpaceDN w:val="0"/>
        <w:spacing w:before="240" w:line="300" w:lineRule="exact"/>
        <w:ind w:left="799" w:hanging="799"/>
        <w:rPr>
          <w:b w:val="0"/>
          <w:i/>
          <w:spacing w:val="0"/>
        </w:rPr>
      </w:pPr>
      <w:bookmarkStart w:id="20" w:name="_Toc9516520"/>
      <w:r w:rsidRPr="00931D25">
        <w:rPr>
          <w:spacing w:val="0"/>
        </w:rPr>
        <w:t>Discretionary power to make a residence determination under s</w:t>
      </w:r>
      <w:r w:rsidR="0069296B" w:rsidRPr="00931D25">
        <w:rPr>
          <w:rFonts w:cs="Arial"/>
          <w:spacing w:val="0"/>
          <w:szCs w:val="24"/>
        </w:rPr>
        <w:t> </w:t>
      </w:r>
      <w:r w:rsidRPr="00931D25">
        <w:rPr>
          <w:spacing w:val="0"/>
        </w:rPr>
        <w:t>197AB</w:t>
      </w:r>
      <w:bookmarkEnd w:id="20"/>
    </w:p>
    <w:p w14:paraId="2782DDD9" w14:textId="31552A5D" w:rsidR="00832256" w:rsidRPr="00931D25" w:rsidRDefault="00832256" w:rsidP="00832256">
      <w:pPr>
        <w:numPr>
          <w:ilvl w:val="0"/>
          <w:numId w:val="7"/>
        </w:numPr>
        <w:spacing w:before="240" w:line="300" w:lineRule="exact"/>
        <w:rPr>
          <w:spacing w:val="0"/>
        </w:rPr>
      </w:pPr>
      <w:r w:rsidRPr="00931D25">
        <w:rPr>
          <w:spacing w:val="0"/>
        </w:rPr>
        <w:t xml:space="preserve">The </w:t>
      </w:r>
      <w:r w:rsidRPr="00931D25">
        <w:rPr>
          <w:rFonts w:cs="Arial"/>
          <w:spacing w:val="0"/>
          <w:szCs w:val="24"/>
        </w:rPr>
        <w:t>s </w:t>
      </w:r>
      <w:r w:rsidRPr="00931D25">
        <w:rPr>
          <w:spacing w:val="0"/>
        </w:rPr>
        <w:t>197AB guidelines that applied during the period of the complainants’ re-detention provided that the Minister would not expect the department to refer persons who have had their asylum claims rejected at primary and review stages (‘finally determined’), unless there are ‘exceptional reasons’.</w:t>
      </w:r>
      <w:r w:rsidRPr="00931D25">
        <w:rPr>
          <w:rStyle w:val="EndnoteReference"/>
          <w:spacing w:val="0"/>
        </w:rPr>
        <w:endnoteReference w:id="18"/>
      </w:r>
    </w:p>
    <w:p w14:paraId="62859FF4" w14:textId="77777777" w:rsidR="00832256" w:rsidRPr="00931D25" w:rsidRDefault="00832256" w:rsidP="00832256">
      <w:pPr>
        <w:numPr>
          <w:ilvl w:val="0"/>
          <w:numId w:val="7"/>
        </w:numPr>
        <w:spacing w:before="240" w:line="300" w:lineRule="exact"/>
        <w:rPr>
          <w:spacing w:val="0"/>
          <w:szCs w:val="24"/>
        </w:rPr>
      </w:pPr>
      <w:r w:rsidRPr="00931D25">
        <w:rPr>
          <w:spacing w:val="0"/>
        </w:rPr>
        <w:t>The complainants were considered to be ‘finally determined’ during the period of their detention. I note however that cases could still be referred where there were ‘exceptional reasons’. Further,</w:t>
      </w:r>
      <w:r w:rsidRPr="00931D25">
        <w:rPr>
          <w:spacing w:val="0"/>
          <w:szCs w:val="24"/>
        </w:rPr>
        <w:t xml:space="preserve"> the guidelines allowed for the referral of cases where there are ‘unique or exceptional circumstances’.</w:t>
      </w:r>
      <w:r w:rsidRPr="00931D25">
        <w:rPr>
          <w:rStyle w:val="EndnoteReference"/>
          <w:spacing w:val="0"/>
        </w:rPr>
        <w:endnoteReference w:id="19"/>
      </w:r>
    </w:p>
    <w:p w14:paraId="3B56307A" w14:textId="77777777" w:rsidR="00832256" w:rsidRPr="00931D25" w:rsidRDefault="00832256" w:rsidP="00832256">
      <w:pPr>
        <w:keepNext/>
        <w:numPr>
          <w:ilvl w:val="0"/>
          <w:numId w:val="7"/>
        </w:numPr>
        <w:spacing w:before="240" w:line="300" w:lineRule="exact"/>
        <w:rPr>
          <w:spacing w:val="0"/>
        </w:rPr>
      </w:pPr>
      <w:r w:rsidRPr="00931D25">
        <w:rPr>
          <w:spacing w:val="0"/>
        </w:rPr>
        <w:t>The phrase ‘unique or exceptional circumstances’ is not defined in the guidelines, however it is defined in similar guidelines relating to the Minister’s power to grant visas in the public interest.</w:t>
      </w:r>
      <w:r w:rsidRPr="00931D25">
        <w:rPr>
          <w:rStyle w:val="EndnoteReference"/>
          <w:spacing w:val="0"/>
        </w:rPr>
        <w:endnoteReference w:id="20"/>
      </w:r>
      <w:r w:rsidRPr="00931D25">
        <w:rPr>
          <w:spacing w:val="0"/>
        </w:rPr>
        <w:t xml:space="preserve"> In those guidelines, factors that are relevant to an assessment of unique or exceptional circumstances include:</w:t>
      </w:r>
    </w:p>
    <w:p w14:paraId="748E942E" w14:textId="77777777" w:rsidR="00832256" w:rsidRPr="00230BB5" w:rsidRDefault="00832256" w:rsidP="00832256">
      <w:pPr>
        <w:pStyle w:val="ListParagraph"/>
        <w:widowControl w:val="0"/>
        <w:numPr>
          <w:ilvl w:val="1"/>
          <w:numId w:val="17"/>
        </w:numPr>
        <w:tabs>
          <w:tab w:val="left" w:pos="1843"/>
        </w:tabs>
        <w:autoSpaceDE w:val="0"/>
        <w:autoSpaceDN w:val="0"/>
        <w:spacing w:before="240" w:line="300" w:lineRule="exact"/>
        <w:ind w:left="1843" w:hanging="567"/>
        <w:contextualSpacing w:val="0"/>
        <w:rPr>
          <w:spacing w:val="0"/>
          <w:szCs w:val="24"/>
        </w:rPr>
      </w:pPr>
      <w:r w:rsidRPr="00230BB5">
        <w:rPr>
          <w:spacing w:val="0"/>
          <w:szCs w:val="24"/>
        </w:rPr>
        <w:t>the length of time the person has been present in Australia (including time spent in detention) and their level of integration into the Australian community.</w:t>
      </w:r>
    </w:p>
    <w:p w14:paraId="1CD79D14" w14:textId="77777777" w:rsidR="00832256" w:rsidRPr="00931D25" w:rsidRDefault="00832256" w:rsidP="00832256">
      <w:pPr>
        <w:numPr>
          <w:ilvl w:val="0"/>
          <w:numId w:val="7"/>
        </w:numPr>
        <w:spacing w:before="240" w:line="300" w:lineRule="exact"/>
        <w:rPr>
          <w:spacing w:val="0"/>
        </w:rPr>
      </w:pPr>
      <w:r w:rsidRPr="00931D25">
        <w:rPr>
          <w:spacing w:val="0"/>
        </w:rPr>
        <w:lastRenderedPageBreak/>
        <w:t xml:space="preserve">As at the date of his re-detention, Mr </w:t>
      </w:r>
      <w:r w:rsidR="002C0C5F">
        <w:rPr>
          <w:rFonts w:cs="Arial"/>
          <w:spacing w:val="0"/>
          <w:szCs w:val="24"/>
        </w:rPr>
        <w:t>IB</w:t>
      </w:r>
      <w:r w:rsidRPr="00931D25">
        <w:rPr>
          <w:spacing w:val="0"/>
        </w:rPr>
        <w:t xml:space="preserve"> had been present in Australia for 29 months (with 4 of those months spent in detention). During his time living in the community, he made friends, started a relationship (with the relationship continuing once he was re-detained), worked as a youth fitness and swim trainer, coached a local football team, and contributed to the Australian wrestling society as a competitor and coach.</w:t>
      </w:r>
    </w:p>
    <w:p w14:paraId="16B1BF31" w14:textId="64E652C7" w:rsidR="00832256" w:rsidRPr="00931D25" w:rsidRDefault="00832256" w:rsidP="00832256">
      <w:pPr>
        <w:numPr>
          <w:ilvl w:val="0"/>
          <w:numId w:val="7"/>
        </w:numPr>
        <w:spacing w:before="240" w:line="300" w:lineRule="exact"/>
        <w:rPr>
          <w:spacing w:val="0"/>
          <w:sz w:val="22"/>
        </w:rPr>
      </w:pPr>
      <w:r w:rsidRPr="00931D25">
        <w:rPr>
          <w:spacing w:val="0"/>
        </w:rPr>
        <w:t xml:space="preserve">As at the date of his re-detention, Mr </w:t>
      </w:r>
      <w:r w:rsidR="00B806BC">
        <w:rPr>
          <w:spacing w:val="0"/>
        </w:rPr>
        <w:t>IC</w:t>
      </w:r>
      <w:r w:rsidRPr="00931D25">
        <w:rPr>
          <w:spacing w:val="0"/>
        </w:rPr>
        <w:t xml:space="preserve"> had been present in Australia for 33 months (with 6 of those months spent in detention). During his time living in the community, he made friends, met and became engaged to his (now) fiancée (with the relationship continuing once he was re-detained), and lived with a family receiving food, board and some personal money in return for doing household chores and cooking.</w:t>
      </w:r>
    </w:p>
    <w:p w14:paraId="3C0073BF" w14:textId="73027A66" w:rsidR="00832256" w:rsidRPr="00AD613D" w:rsidRDefault="00BA3DE9" w:rsidP="00832256">
      <w:pPr>
        <w:pStyle w:val="Heading2"/>
        <w:tabs>
          <w:tab w:val="num" w:pos="2411"/>
        </w:tabs>
        <w:spacing w:line="300" w:lineRule="exact"/>
        <w:ind w:left="709" w:hanging="709"/>
        <w:rPr>
          <w:rFonts w:cs="Arial"/>
          <w:i/>
          <w:spacing w:val="0"/>
        </w:rPr>
      </w:pPr>
      <w:bookmarkStart w:id="22" w:name="_Toc9516521"/>
      <w:r>
        <w:rPr>
          <w:rFonts w:cs="Arial"/>
          <w:spacing w:val="0"/>
        </w:rPr>
        <w:t>The d</w:t>
      </w:r>
      <w:r w:rsidR="00832256" w:rsidRPr="00AD613D">
        <w:rPr>
          <w:rFonts w:cs="Arial"/>
          <w:spacing w:val="0"/>
        </w:rPr>
        <w:t>epartment’s response</w:t>
      </w:r>
      <w:bookmarkEnd w:id="22"/>
    </w:p>
    <w:p w14:paraId="78654205" w14:textId="77777777" w:rsidR="00832256" w:rsidRPr="00931D25" w:rsidRDefault="00832256" w:rsidP="00832256">
      <w:pPr>
        <w:numPr>
          <w:ilvl w:val="0"/>
          <w:numId w:val="7"/>
        </w:numPr>
        <w:spacing w:before="240" w:line="300" w:lineRule="exact"/>
        <w:rPr>
          <w:spacing w:val="0"/>
          <w:szCs w:val="24"/>
        </w:rPr>
      </w:pPr>
      <w:r w:rsidRPr="00931D25">
        <w:rPr>
          <w:spacing w:val="0"/>
          <w:szCs w:val="24"/>
        </w:rPr>
        <w:t xml:space="preserve">Following their re-detention in August and September 2014, the first and only time that the department referred Mr </w:t>
      </w:r>
      <w:r w:rsidR="002C0C5F">
        <w:rPr>
          <w:rFonts w:cs="Arial"/>
          <w:spacing w:val="0"/>
          <w:szCs w:val="24"/>
        </w:rPr>
        <w:t>IB</w:t>
      </w:r>
      <w:r w:rsidRPr="00931D25">
        <w:rPr>
          <w:spacing w:val="0"/>
          <w:szCs w:val="24"/>
        </w:rPr>
        <w:t xml:space="preserve">’s and Mr </w:t>
      </w:r>
      <w:r w:rsidR="00B806BC">
        <w:rPr>
          <w:spacing w:val="0"/>
        </w:rPr>
        <w:t>IC</w:t>
      </w:r>
      <w:r w:rsidRPr="00931D25">
        <w:rPr>
          <w:spacing w:val="0"/>
          <w:szCs w:val="24"/>
        </w:rPr>
        <w:t>’s case to the Minister was in September 2016. Those submissions ultimately led to the Minister intervening and the complainants being granted BVEs and released from detention.</w:t>
      </w:r>
    </w:p>
    <w:p w14:paraId="5FA2BFA3" w14:textId="77777777" w:rsidR="00832256" w:rsidRPr="00931D25" w:rsidRDefault="00832256" w:rsidP="00832256">
      <w:pPr>
        <w:keepNext/>
        <w:numPr>
          <w:ilvl w:val="0"/>
          <w:numId w:val="7"/>
        </w:numPr>
        <w:spacing w:before="240" w:line="300" w:lineRule="exact"/>
        <w:rPr>
          <w:rFonts w:cs="Arial"/>
          <w:spacing w:val="0"/>
        </w:rPr>
      </w:pPr>
      <w:r w:rsidRPr="00931D25">
        <w:rPr>
          <w:rFonts w:cs="Arial"/>
          <w:spacing w:val="0"/>
        </w:rPr>
        <w:t>Before this occurred, the Commission asked the department the reasons for their continued immigration detention and whether alternative, less restrictive detention options had been canvassed for the complainants since their re-detention. The department responded:</w:t>
      </w:r>
    </w:p>
    <w:p w14:paraId="019EB9F1" w14:textId="77777777" w:rsidR="00832256" w:rsidRPr="00931D25" w:rsidRDefault="00832256" w:rsidP="00317538">
      <w:pPr>
        <w:pStyle w:val="Quote"/>
        <w:spacing w:before="0" w:after="60" w:line="300" w:lineRule="exact"/>
        <w:ind w:left="1276"/>
        <w:rPr>
          <w:rFonts w:cs="Arial"/>
        </w:rPr>
      </w:pPr>
      <w:r w:rsidRPr="00931D25">
        <w:rPr>
          <w:rFonts w:cs="Arial"/>
        </w:rPr>
        <w:t xml:space="preserve">Mr </w:t>
      </w:r>
      <w:r w:rsidR="002C0C5F">
        <w:rPr>
          <w:rFonts w:cs="Arial"/>
          <w:szCs w:val="24"/>
        </w:rPr>
        <w:t>IB</w:t>
      </w:r>
      <w:r w:rsidRPr="00931D25">
        <w:rPr>
          <w:rFonts w:cs="Arial"/>
        </w:rPr>
        <w:t xml:space="preserve"> is an UNC [unlawful non-citizen] and is required under section 196 of the Act to be detained until he/she is granted a visa, deported under section 200 of the Act or removed from Australia under section 198 or 199 of the Act.</w:t>
      </w:r>
    </w:p>
    <w:p w14:paraId="41501157" w14:textId="77777777" w:rsidR="00832256" w:rsidRPr="00931D25" w:rsidRDefault="00832256" w:rsidP="00317538">
      <w:pPr>
        <w:pStyle w:val="Quote"/>
        <w:spacing w:before="0" w:after="60" w:line="300" w:lineRule="exact"/>
        <w:ind w:left="1276"/>
        <w:rPr>
          <w:rFonts w:cs="Arial"/>
        </w:rPr>
      </w:pPr>
      <w:r w:rsidRPr="00931D25">
        <w:rPr>
          <w:rFonts w:cs="Arial"/>
        </w:rPr>
        <w:t>…</w:t>
      </w:r>
    </w:p>
    <w:p w14:paraId="37B618B0" w14:textId="77777777" w:rsidR="00317538" w:rsidRDefault="00832256" w:rsidP="00317538">
      <w:pPr>
        <w:pStyle w:val="Quote"/>
        <w:spacing w:before="0" w:after="60" w:line="300" w:lineRule="exact"/>
        <w:ind w:left="1276"/>
        <w:rPr>
          <w:rFonts w:cs="Arial"/>
        </w:rPr>
      </w:pPr>
      <w:r w:rsidRPr="00931D25">
        <w:rPr>
          <w:rFonts w:cs="Arial"/>
        </w:rPr>
        <w:t xml:space="preserve">To date, Mr </w:t>
      </w:r>
      <w:r w:rsidR="002C0C5F">
        <w:rPr>
          <w:rFonts w:cs="Arial"/>
          <w:szCs w:val="24"/>
        </w:rPr>
        <w:t>IB</w:t>
      </w:r>
      <w:r w:rsidRPr="00931D25">
        <w:rPr>
          <w:rFonts w:cs="Arial"/>
        </w:rPr>
        <w:t>’s current detention placement is appropriate as he has not demonstrated circumstances to warrant referral for residence determination … his needs are currently being me</w:t>
      </w:r>
      <w:r w:rsidR="00317538">
        <w:rPr>
          <w:rFonts w:cs="Arial"/>
        </w:rPr>
        <w:t>t in the detention environment.</w:t>
      </w:r>
    </w:p>
    <w:p w14:paraId="5FDDF453" w14:textId="77777777" w:rsidR="00832256" w:rsidRPr="00931D25" w:rsidRDefault="00832256" w:rsidP="00317538">
      <w:pPr>
        <w:pStyle w:val="Quote"/>
        <w:spacing w:before="0" w:after="60" w:line="300" w:lineRule="exact"/>
        <w:ind w:left="1276"/>
        <w:rPr>
          <w:rFonts w:cs="Arial"/>
        </w:rPr>
      </w:pPr>
      <w:r w:rsidRPr="00931D25">
        <w:rPr>
          <w:rFonts w:cs="Arial"/>
        </w:rPr>
        <w:t xml:space="preserve">As a finally determined IMA, Mr </w:t>
      </w:r>
      <w:r w:rsidR="002C0C5F">
        <w:rPr>
          <w:rFonts w:cs="Arial"/>
          <w:szCs w:val="24"/>
        </w:rPr>
        <w:t>IB</w:t>
      </w:r>
      <w:r w:rsidR="002C0C5F" w:rsidRPr="00931D25">
        <w:rPr>
          <w:rFonts w:cs="Arial"/>
        </w:rPr>
        <w:t xml:space="preserve"> </w:t>
      </w:r>
      <w:r w:rsidRPr="00931D25">
        <w:rPr>
          <w:rFonts w:cs="Arial"/>
        </w:rPr>
        <w:t>is currently ineligible for BVE considerations.</w:t>
      </w:r>
    </w:p>
    <w:p w14:paraId="60F2EC91" w14:textId="77777777" w:rsidR="00832256" w:rsidRPr="00931D25" w:rsidRDefault="00832256" w:rsidP="00317538">
      <w:pPr>
        <w:pStyle w:val="Quote"/>
        <w:spacing w:before="0" w:after="60" w:line="300" w:lineRule="exact"/>
        <w:ind w:left="1276"/>
        <w:rPr>
          <w:rFonts w:cs="Arial"/>
        </w:rPr>
      </w:pPr>
      <w:r w:rsidRPr="00931D25">
        <w:rPr>
          <w:rFonts w:cs="Arial"/>
        </w:rPr>
        <w:t xml:space="preserve">Mr </w:t>
      </w:r>
      <w:r w:rsidR="00B806BC">
        <w:t>IC</w:t>
      </w:r>
      <w:r w:rsidRPr="00931D25">
        <w:rPr>
          <w:rFonts w:cs="Arial"/>
        </w:rPr>
        <w:t xml:space="preserve"> is an unlawful non-citizen and is required under section 196 of the Act to be detained until there is no longer reasonable suspicion that he is an unlawful non-citizen, he is granted a visa or removed from Australia.</w:t>
      </w:r>
    </w:p>
    <w:p w14:paraId="626A5D67" w14:textId="77777777" w:rsidR="00832256" w:rsidRPr="00931D25" w:rsidRDefault="00832256" w:rsidP="00832256">
      <w:pPr>
        <w:pStyle w:val="Quote"/>
        <w:spacing w:before="60" w:after="60" w:line="300" w:lineRule="exact"/>
        <w:ind w:left="1276"/>
        <w:rPr>
          <w:rFonts w:cs="Arial"/>
        </w:rPr>
      </w:pPr>
      <w:r w:rsidRPr="00931D25">
        <w:rPr>
          <w:rFonts w:cs="Arial"/>
        </w:rPr>
        <w:t xml:space="preserve">Mr </w:t>
      </w:r>
      <w:r w:rsidR="00B806BC">
        <w:t>IC</w:t>
      </w:r>
      <w:r w:rsidRPr="00931D25">
        <w:rPr>
          <w:rFonts w:cs="Arial"/>
        </w:rPr>
        <w:t>’s continued detention is considered to be appropriate by the department at this time.</w:t>
      </w:r>
    </w:p>
    <w:p w14:paraId="258E1362" w14:textId="77777777" w:rsidR="00832256" w:rsidRPr="00931D25" w:rsidRDefault="00832256" w:rsidP="00832256">
      <w:pPr>
        <w:pStyle w:val="Quote"/>
        <w:spacing w:before="60" w:after="60" w:line="300" w:lineRule="exact"/>
        <w:ind w:left="1276"/>
        <w:rPr>
          <w:rFonts w:cs="Arial"/>
        </w:rPr>
      </w:pPr>
      <w:r w:rsidRPr="00931D25">
        <w:rPr>
          <w:rFonts w:cs="Arial"/>
        </w:rPr>
        <w:t>…</w:t>
      </w:r>
    </w:p>
    <w:p w14:paraId="568A5DB5" w14:textId="77777777" w:rsidR="00832256" w:rsidRPr="00931D25" w:rsidRDefault="00832256" w:rsidP="00832256">
      <w:pPr>
        <w:pStyle w:val="Quote"/>
        <w:spacing w:before="60" w:after="60" w:line="300" w:lineRule="exact"/>
        <w:ind w:left="1276"/>
        <w:rPr>
          <w:rFonts w:cs="Arial"/>
        </w:rPr>
      </w:pPr>
      <w:r w:rsidRPr="00931D25">
        <w:rPr>
          <w:rFonts w:cs="Arial"/>
        </w:rPr>
        <w:lastRenderedPageBreak/>
        <w:t xml:space="preserve">Alternative, less restrictive detention options have not been canvassed for Mr </w:t>
      </w:r>
      <w:r w:rsidR="00B806BC">
        <w:t>IC</w:t>
      </w:r>
      <w:r w:rsidRPr="00931D25">
        <w:rPr>
          <w:rFonts w:cs="Arial"/>
        </w:rPr>
        <w:t xml:space="preserve"> as he has no ongoing matters before the Department, he has made no arrangements to voluntarily depart Australia and his health and welfare needs are being met in his current placement.</w:t>
      </w:r>
    </w:p>
    <w:p w14:paraId="1539D10F" w14:textId="77777777" w:rsidR="00832256" w:rsidRPr="00931D25" w:rsidRDefault="00832256" w:rsidP="00832256">
      <w:pPr>
        <w:pStyle w:val="Quote"/>
        <w:spacing w:before="60" w:after="60" w:line="300" w:lineRule="exact"/>
        <w:ind w:left="1276"/>
        <w:rPr>
          <w:rFonts w:cs="Arial"/>
        </w:rPr>
      </w:pPr>
      <w:r w:rsidRPr="00931D25">
        <w:rPr>
          <w:rFonts w:cs="Arial"/>
        </w:rPr>
        <w:t xml:space="preserve">Mr </w:t>
      </w:r>
      <w:r w:rsidR="00B806BC">
        <w:t>IC</w:t>
      </w:r>
      <w:r w:rsidRPr="00931D25">
        <w:rPr>
          <w:rFonts w:cs="Arial"/>
        </w:rPr>
        <w:t xml:space="preserve"> does not meet the guidelines for referral to the Minister for Residence Determination (Community Detention) under section 197AB and 195A of the </w:t>
      </w:r>
      <w:r w:rsidRPr="00931D25">
        <w:rPr>
          <w:rFonts w:cs="Arial"/>
          <w:i/>
        </w:rPr>
        <w:t>Migration Act 1958</w:t>
      </w:r>
      <w:r w:rsidRPr="00931D25">
        <w:rPr>
          <w:rFonts w:cs="Arial"/>
        </w:rPr>
        <w:t xml:space="preserve"> (the Act).</w:t>
      </w:r>
    </w:p>
    <w:p w14:paraId="6615D9EE" w14:textId="77777777" w:rsidR="00832256" w:rsidRPr="00931D25" w:rsidRDefault="00832256" w:rsidP="00832256">
      <w:pPr>
        <w:numPr>
          <w:ilvl w:val="0"/>
          <w:numId w:val="7"/>
        </w:numPr>
        <w:spacing w:before="240" w:line="300" w:lineRule="exact"/>
        <w:rPr>
          <w:spacing w:val="0"/>
        </w:rPr>
      </w:pPr>
      <w:r w:rsidRPr="00931D25">
        <w:rPr>
          <w:spacing w:val="0"/>
        </w:rPr>
        <w:t xml:space="preserve">When asked by the Commission the basis for finding that Mr </w:t>
      </w:r>
      <w:r w:rsidR="002C0C5F">
        <w:rPr>
          <w:rFonts w:cs="Arial"/>
          <w:spacing w:val="0"/>
          <w:szCs w:val="24"/>
        </w:rPr>
        <w:t>IB</w:t>
      </w:r>
      <w:r w:rsidRPr="00931D25">
        <w:rPr>
          <w:spacing w:val="0"/>
        </w:rPr>
        <w:t xml:space="preserve"> did not meet the guidelines for referral to the Minister for less restrictive detention options, the department responded:</w:t>
      </w:r>
    </w:p>
    <w:p w14:paraId="6F56631D" w14:textId="77777777" w:rsidR="00832256" w:rsidRPr="00931D25" w:rsidRDefault="00832256" w:rsidP="00832256">
      <w:pPr>
        <w:spacing w:before="240" w:line="300" w:lineRule="exact"/>
        <w:ind w:left="1440"/>
        <w:rPr>
          <w:spacing w:val="0"/>
          <w:sz w:val="22"/>
        </w:rPr>
      </w:pPr>
      <w:r w:rsidRPr="00931D25">
        <w:rPr>
          <w:spacing w:val="0"/>
          <w:sz w:val="22"/>
        </w:rPr>
        <w:t xml:space="preserve">Mr </w:t>
      </w:r>
      <w:r w:rsidR="002C0C5F">
        <w:rPr>
          <w:rFonts w:cs="Arial"/>
          <w:spacing w:val="0"/>
          <w:szCs w:val="24"/>
        </w:rPr>
        <w:t>IB</w:t>
      </w:r>
      <w:r w:rsidR="002C0C5F" w:rsidRPr="00931D25">
        <w:rPr>
          <w:spacing w:val="0"/>
          <w:sz w:val="22"/>
        </w:rPr>
        <w:t xml:space="preserve"> </w:t>
      </w:r>
      <w:r w:rsidRPr="00931D25">
        <w:rPr>
          <w:spacing w:val="0"/>
          <w:sz w:val="22"/>
        </w:rPr>
        <w:t>did not present with any significant health or welfare issues or vulnerabilities that could not be addressed in a detention environment. As such his case was not identified by his case manager as one that should be referred as a priority for consideration of placement under residence determination.</w:t>
      </w:r>
    </w:p>
    <w:p w14:paraId="60253FB4" w14:textId="77777777" w:rsidR="00832256" w:rsidRPr="00931D25" w:rsidRDefault="00832256" w:rsidP="00832256">
      <w:pPr>
        <w:numPr>
          <w:ilvl w:val="0"/>
          <w:numId w:val="7"/>
        </w:numPr>
        <w:spacing w:before="240" w:line="300" w:lineRule="exact"/>
        <w:rPr>
          <w:spacing w:val="0"/>
        </w:rPr>
      </w:pPr>
      <w:r w:rsidRPr="00931D25">
        <w:rPr>
          <w:spacing w:val="0"/>
        </w:rPr>
        <w:t xml:space="preserve">When asked by the Commission the basis for finding that Mr </w:t>
      </w:r>
      <w:r w:rsidR="00B806BC">
        <w:rPr>
          <w:spacing w:val="0"/>
        </w:rPr>
        <w:t>IC</w:t>
      </w:r>
      <w:r w:rsidRPr="00931D25">
        <w:rPr>
          <w:spacing w:val="0"/>
        </w:rPr>
        <w:t xml:space="preserve"> did not meet the guidelines for referral to the Minister for less restrictive detention options, the department responded:</w:t>
      </w:r>
    </w:p>
    <w:p w14:paraId="1009B316" w14:textId="77777777" w:rsidR="00832256" w:rsidRPr="00931D25" w:rsidRDefault="00832256" w:rsidP="00832256">
      <w:pPr>
        <w:spacing w:before="240" w:after="60" w:line="300" w:lineRule="exact"/>
        <w:ind w:left="1440"/>
        <w:rPr>
          <w:spacing w:val="0"/>
          <w:sz w:val="22"/>
        </w:rPr>
      </w:pPr>
      <w:r w:rsidRPr="00931D25">
        <w:rPr>
          <w:spacing w:val="0"/>
          <w:sz w:val="22"/>
        </w:rPr>
        <w:t xml:space="preserve">Mr </w:t>
      </w:r>
      <w:r w:rsidR="00B806BC">
        <w:rPr>
          <w:spacing w:val="0"/>
        </w:rPr>
        <w:t>IC</w:t>
      </w:r>
      <w:r w:rsidRPr="00931D25">
        <w:rPr>
          <w:spacing w:val="0"/>
          <w:sz w:val="22"/>
        </w:rPr>
        <w:t xml:space="preserve"> did not meet the guidelines for referral to the Minister for less restrictive detention options as he was considered to be Finally Determined on the basis that he had no ongoing matters and was on a removal pathway.</w:t>
      </w:r>
    </w:p>
    <w:p w14:paraId="5F280C89" w14:textId="77777777" w:rsidR="00832256" w:rsidRPr="00931D25" w:rsidRDefault="00832256" w:rsidP="00832256">
      <w:pPr>
        <w:spacing w:before="120" w:after="60" w:line="300" w:lineRule="exact"/>
        <w:ind w:left="1440"/>
        <w:rPr>
          <w:spacing w:val="0"/>
          <w:sz w:val="22"/>
        </w:rPr>
      </w:pPr>
      <w:r w:rsidRPr="00931D25">
        <w:rPr>
          <w:spacing w:val="0"/>
          <w:sz w:val="22"/>
        </w:rPr>
        <w:t>…</w:t>
      </w:r>
    </w:p>
    <w:p w14:paraId="1E75D0CB" w14:textId="77777777" w:rsidR="00832256" w:rsidRPr="00931D25" w:rsidRDefault="00832256" w:rsidP="00832256">
      <w:pPr>
        <w:spacing w:before="120" w:after="60" w:line="300" w:lineRule="exact"/>
        <w:ind w:left="1440"/>
        <w:rPr>
          <w:spacing w:val="0"/>
          <w:sz w:val="22"/>
        </w:rPr>
      </w:pPr>
      <w:r w:rsidRPr="00931D25">
        <w:rPr>
          <w:spacing w:val="0"/>
          <w:sz w:val="22"/>
        </w:rPr>
        <w:t xml:space="preserve">Mr </w:t>
      </w:r>
      <w:r w:rsidR="00B806BC">
        <w:rPr>
          <w:spacing w:val="0"/>
        </w:rPr>
        <w:t>IC</w:t>
      </w:r>
      <w:r w:rsidRPr="00931D25">
        <w:rPr>
          <w:spacing w:val="0"/>
          <w:sz w:val="22"/>
        </w:rPr>
        <w:t xml:space="preserve"> was unable to be assessed for a further BVE as per the section 91K preventing further lodgement of visa applications.</w:t>
      </w:r>
    </w:p>
    <w:p w14:paraId="4522848A" w14:textId="3F652245" w:rsidR="00C86917" w:rsidRPr="00931D25" w:rsidRDefault="00832256" w:rsidP="00C86917">
      <w:pPr>
        <w:spacing w:before="120" w:line="300" w:lineRule="exact"/>
        <w:ind w:left="1440"/>
        <w:rPr>
          <w:spacing w:val="0"/>
          <w:sz w:val="22"/>
        </w:rPr>
      </w:pPr>
      <w:r w:rsidRPr="00931D25">
        <w:rPr>
          <w:spacing w:val="0"/>
          <w:sz w:val="22"/>
        </w:rPr>
        <w:t xml:space="preserve">Mr </w:t>
      </w:r>
      <w:r w:rsidR="00B806BC">
        <w:rPr>
          <w:spacing w:val="0"/>
        </w:rPr>
        <w:t>IC</w:t>
      </w:r>
      <w:r w:rsidRPr="00931D25">
        <w:rPr>
          <w:spacing w:val="0"/>
          <w:sz w:val="22"/>
        </w:rPr>
        <w:t>’s case was considered to be Finally Determined on the basis that he had no ongoing matters and was subject of removal. He did not meet the guidelines for referral to the Minister for Residence Determination (Community Placement) under section 197AB of the Act.</w:t>
      </w:r>
    </w:p>
    <w:p w14:paraId="77107C5D" w14:textId="2B46EE07" w:rsidR="00832256" w:rsidRPr="00317538" w:rsidRDefault="00832256" w:rsidP="00832256">
      <w:pPr>
        <w:pStyle w:val="Heading2"/>
        <w:tabs>
          <w:tab w:val="num" w:pos="2411"/>
        </w:tabs>
        <w:spacing w:line="300" w:lineRule="exact"/>
        <w:ind w:left="709" w:hanging="709"/>
        <w:rPr>
          <w:rFonts w:cs="Arial"/>
          <w:i/>
          <w:spacing w:val="0"/>
        </w:rPr>
      </w:pPr>
      <w:bookmarkStart w:id="23" w:name="_Toc9516522"/>
      <w:r w:rsidRPr="00317538">
        <w:rPr>
          <w:rFonts w:cs="Arial"/>
          <w:spacing w:val="0"/>
        </w:rPr>
        <w:t>Findings</w:t>
      </w:r>
      <w:bookmarkEnd w:id="23"/>
    </w:p>
    <w:p w14:paraId="4E80038E" w14:textId="77777777" w:rsidR="00832256" w:rsidRPr="00230BB5" w:rsidRDefault="00832256" w:rsidP="00230BB5">
      <w:pPr>
        <w:pStyle w:val="Heading3"/>
        <w:tabs>
          <w:tab w:val="num" w:pos="709"/>
        </w:tabs>
        <w:ind w:hanging="1277"/>
        <w:rPr>
          <w:b w:val="0"/>
          <w:i/>
        </w:rPr>
      </w:pPr>
      <w:bookmarkStart w:id="24" w:name="_Toc9516523"/>
      <w:r w:rsidRPr="00230BB5">
        <w:t xml:space="preserve">Act or </w:t>
      </w:r>
      <w:r w:rsidR="00BA3DE9" w:rsidRPr="00230BB5">
        <w:t>p</w:t>
      </w:r>
      <w:r w:rsidRPr="00230BB5">
        <w:t>ractice of the Commonwealth</w:t>
      </w:r>
      <w:bookmarkEnd w:id="24"/>
    </w:p>
    <w:p w14:paraId="20153D86" w14:textId="77777777" w:rsidR="00832256" w:rsidRPr="00931D25" w:rsidRDefault="00832256" w:rsidP="00832256">
      <w:pPr>
        <w:numPr>
          <w:ilvl w:val="0"/>
          <w:numId w:val="7"/>
        </w:numPr>
        <w:spacing w:before="240" w:line="300" w:lineRule="exact"/>
        <w:rPr>
          <w:spacing w:val="0"/>
        </w:rPr>
      </w:pPr>
      <w:r w:rsidRPr="00931D25">
        <w:rPr>
          <w:rFonts w:cs="Arial"/>
          <w:spacing w:val="0"/>
          <w:szCs w:val="24"/>
        </w:rPr>
        <w:t xml:space="preserve">Mr </w:t>
      </w:r>
      <w:r w:rsidR="002C0C5F">
        <w:rPr>
          <w:rFonts w:cs="Arial"/>
          <w:spacing w:val="0"/>
          <w:szCs w:val="24"/>
        </w:rPr>
        <w:t>IB</w:t>
      </w:r>
      <w:r w:rsidRPr="00931D25">
        <w:rPr>
          <w:rFonts w:cs="Arial"/>
          <w:spacing w:val="0"/>
          <w:szCs w:val="24"/>
        </w:rPr>
        <w:t xml:space="preserve"> and Mr </w:t>
      </w:r>
      <w:r w:rsidR="00B806BC">
        <w:rPr>
          <w:spacing w:val="0"/>
        </w:rPr>
        <w:t>IC</w:t>
      </w:r>
      <w:r w:rsidRPr="00931D25">
        <w:rPr>
          <w:spacing w:val="0"/>
        </w:rPr>
        <w:t xml:space="preserve"> were each detained by the Commonwealth for approximately two years after the BVEs they were granted by the department expired in September and August 2014, respectively.</w:t>
      </w:r>
    </w:p>
    <w:p w14:paraId="69E5F679" w14:textId="77777777" w:rsidR="00832256" w:rsidRPr="00931D25" w:rsidRDefault="00832256" w:rsidP="00832256">
      <w:pPr>
        <w:numPr>
          <w:ilvl w:val="0"/>
          <w:numId w:val="7"/>
        </w:numPr>
        <w:spacing w:before="240" w:line="300" w:lineRule="exact"/>
        <w:rPr>
          <w:spacing w:val="0"/>
        </w:rPr>
      </w:pPr>
      <w:r w:rsidRPr="00931D25">
        <w:rPr>
          <w:spacing w:val="0"/>
        </w:rPr>
        <w:lastRenderedPageBreak/>
        <w:t xml:space="preserve">Although </w:t>
      </w:r>
      <w:r w:rsidRPr="00931D25">
        <w:rPr>
          <w:rFonts w:cs="Arial"/>
          <w:spacing w:val="0"/>
          <w:szCs w:val="24"/>
        </w:rPr>
        <w:t>s </w:t>
      </w:r>
      <w:r w:rsidRPr="00931D25">
        <w:rPr>
          <w:spacing w:val="0"/>
        </w:rPr>
        <w:t xml:space="preserve">189(1) of the Migration Act requires the detention of unlawful non-citizens, there were a number of discretionary powers that the Minister could have exercised in order to detain </w:t>
      </w:r>
      <w:r w:rsidRPr="00931D25">
        <w:rPr>
          <w:rFonts w:cs="Arial"/>
          <w:spacing w:val="0"/>
          <w:szCs w:val="24"/>
        </w:rPr>
        <w:t xml:space="preserve">Mr </w:t>
      </w:r>
      <w:r w:rsidR="002C0C5F">
        <w:rPr>
          <w:rFonts w:cs="Arial"/>
          <w:spacing w:val="0"/>
          <w:szCs w:val="24"/>
        </w:rPr>
        <w:t>IB</w:t>
      </w:r>
      <w:r w:rsidRPr="00931D25">
        <w:rPr>
          <w:rFonts w:cs="Arial"/>
          <w:spacing w:val="0"/>
          <w:szCs w:val="24"/>
        </w:rPr>
        <w:t xml:space="preserve"> and Mr </w:t>
      </w:r>
      <w:r w:rsidR="00B806BC">
        <w:rPr>
          <w:spacing w:val="0"/>
        </w:rPr>
        <w:t>IC</w:t>
      </w:r>
      <w:r w:rsidRPr="00931D25">
        <w:rPr>
          <w:spacing w:val="0"/>
        </w:rPr>
        <w:t xml:space="preserve"> in a less restrictive manner. Alternatively, the Minister could have exercised his discretionary powers to grant them a visa.</w:t>
      </w:r>
    </w:p>
    <w:p w14:paraId="362D7406" w14:textId="77777777" w:rsidR="00832256" w:rsidRPr="00931D25" w:rsidRDefault="00832256" w:rsidP="00832256">
      <w:pPr>
        <w:numPr>
          <w:ilvl w:val="0"/>
          <w:numId w:val="7"/>
        </w:numPr>
        <w:spacing w:before="240" w:line="300" w:lineRule="exact"/>
        <w:rPr>
          <w:spacing w:val="0"/>
        </w:rPr>
      </w:pPr>
      <w:bookmarkStart w:id="25" w:name="_bookmark5"/>
      <w:bookmarkEnd w:id="25"/>
      <w:r w:rsidRPr="00931D25">
        <w:rPr>
          <w:spacing w:val="0"/>
        </w:rPr>
        <w:t>Following their re-detention, the department referred the complainants’ cases to the Minister for the consideration of the exercise of his discretionary powers under s 195A of the Migration Act for the first (and only) time on 12 September 2016. The department did not refer their cases to the Minister for consideration of a residence determination under s 197AB of the Migration Act at any time during this period of detention.</w:t>
      </w:r>
    </w:p>
    <w:p w14:paraId="08C8CB85" w14:textId="1E68D83E" w:rsidR="00832256" w:rsidRPr="00931D25" w:rsidRDefault="005C193C" w:rsidP="00832256">
      <w:pPr>
        <w:numPr>
          <w:ilvl w:val="0"/>
          <w:numId w:val="7"/>
        </w:numPr>
        <w:spacing w:before="240" w:line="300" w:lineRule="exact"/>
        <w:rPr>
          <w:spacing w:val="0"/>
        </w:rPr>
      </w:pPr>
      <w:r>
        <w:rPr>
          <w:spacing w:val="0"/>
        </w:rPr>
        <w:t>I find</w:t>
      </w:r>
      <w:r w:rsidR="00832256" w:rsidRPr="00931D25">
        <w:rPr>
          <w:spacing w:val="0"/>
        </w:rPr>
        <w:t xml:space="preserve"> that the failures by the department to refer:</w:t>
      </w:r>
    </w:p>
    <w:p w14:paraId="1A346FC8" w14:textId="77777777" w:rsidR="00832256" w:rsidRPr="00931D25" w:rsidRDefault="00832256" w:rsidP="00832256">
      <w:pPr>
        <w:numPr>
          <w:ilvl w:val="1"/>
          <w:numId w:val="7"/>
        </w:numPr>
        <w:spacing w:before="240" w:line="300" w:lineRule="exact"/>
        <w:rPr>
          <w:spacing w:val="0"/>
        </w:rPr>
      </w:pPr>
      <w:r w:rsidRPr="00931D25">
        <w:rPr>
          <w:rFonts w:cs="Arial"/>
          <w:spacing w:val="0"/>
          <w:szCs w:val="24"/>
        </w:rPr>
        <w:t xml:space="preserve">Mr </w:t>
      </w:r>
      <w:r w:rsidR="002C0C5F">
        <w:rPr>
          <w:rFonts w:cs="Arial"/>
          <w:spacing w:val="0"/>
          <w:szCs w:val="24"/>
        </w:rPr>
        <w:t>IB</w:t>
      </w:r>
      <w:r w:rsidRPr="00931D25">
        <w:rPr>
          <w:rFonts w:cs="Arial"/>
          <w:spacing w:val="0"/>
          <w:szCs w:val="24"/>
        </w:rPr>
        <w:t xml:space="preserve">’s case </w:t>
      </w:r>
      <w:r w:rsidRPr="00931D25">
        <w:rPr>
          <w:spacing w:val="0"/>
        </w:rPr>
        <w:t>to the Minister for consideration of the exercise of his discretionary powers from 30 September 2014 until 12 September 2016</w:t>
      </w:r>
    </w:p>
    <w:p w14:paraId="68B1038D" w14:textId="77777777" w:rsidR="00832256" w:rsidRPr="00931D25" w:rsidRDefault="00832256" w:rsidP="00832256">
      <w:pPr>
        <w:numPr>
          <w:ilvl w:val="1"/>
          <w:numId w:val="7"/>
        </w:numPr>
        <w:spacing w:before="240" w:line="300" w:lineRule="exact"/>
        <w:rPr>
          <w:spacing w:val="0"/>
        </w:rPr>
      </w:pPr>
      <w:r w:rsidRPr="00931D25">
        <w:rPr>
          <w:rFonts w:cs="Arial"/>
          <w:spacing w:val="0"/>
          <w:szCs w:val="24"/>
        </w:rPr>
        <w:t xml:space="preserve">Mr </w:t>
      </w:r>
      <w:r w:rsidR="00B806BC">
        <w:rPr>
          <w:spacing w:val="0"/>
        </w:rPr>
        <w:t>IC</w:t>
      </w:r>
      <w:r w:rsidRPr="00931D25">
        <w:rPr>
          <w:rFonts w:cs="Arial"/>
          <w:spacing w:val="0"/>
          <w:szCs w:val="24"/>
        </w:rPr>
        <w:t xml:space="preserve">’s case </w:t>
      </w:r>
      <w:r w:rsidRPr="00931D25">
        <w:rPr>
          <w:spacing w:val="0"/>
        </w:rPr>
        <w:t>to the Minister for consideration of the exercise of his discretionary powers from 28 August 2014 until 12 September 2016</w:t>
      </w:r>
    </w:p>
    <w:p w14:paraId="69E22564" w14:textId="5B265DE1" w:rsidR="00832256" w:rsidRPr="00931D25" w:rsidRDefault="00832256" w:rsidP="00317538">
      <w:pPr>
        <w:spacing w:before="240" w:line="300" w:lineRule="exact"/>
        <w:ind w:left="709"/>
        <w:rPr>
          <w:spacing w:val="0"/>
        </w:rPr>
      </w:pPr>
      <w:r w:rsidRPr="00931D25">
        <w:rPr>
          <w:spacing w:val="0"/>
        </w:rPr>
        <w:t xml:space="preserve">constitute an ‘act’ within the definition of </w:t>
      </w:r>
      <w:r w:rsidRPr="00931D25">
        <w:rPr>
          <w:rFonts w:cs="Arial"/>
          <w:spacing w:val="0"/>
          <w:szCs w:val="24"/>
        </w:rPr>
        <w:t>s </w:t>
      </w:r>
      <w:r w:rsidRPr="00931D25">
        <w:rPr>
          <w:spacing w:val="0"/>
        </w:rPr>
        <w:t>3 of the AHRC Act.</w:t>
      </w:r>
    </w:p>
    <w:p w14:paraId="23C1601F" w14:textId="77777777" w:rsidR="00832256" w:rsidRPr="00931D25" w:rsidRDefault="00832256" w:rsidP="00230BB5">
      <w:pPr>
        <w:pStyle w:val="Heading3"/>
        <w:tabs>
          <w:tab w:val="num" w:pos="709"/>
        </w:tabs>
        <w:spacing w:before="240"/>
        <w:ind w:hanging="1277"/>
        <w:rPr>
          <w:b w:val="0"/>
          <w:i/>
          <w:spacing w:val="0"/>
        </w:rPr>
      </w:pPr>
      <w:bookmarkStart w:id="26" w:name="_Toc9516524"/>
      <w:r w:rsidRPr="00931D25">
        <w:rPr>
          <w:spacing w:val="0"/>
        </w:rPr>
        <w:t>Breach of article 9</w:t>
      </w:r>
      <w:bookmarkEnd w:id="26"/>
    </w:p>
    <w:p w14:paraId="4C91433A" w14:textId="77777777" w:rsidR="00832256" w:rsidRPr="00931D25" w:rsidRDefault="00832256" w:rsidP="00832256">
      <w:pPr>
        <w:numPr>
          <w:ilvl w:val="0"/>
          <w:numId w:val="7"/>
        </w:numPr>
        <w:spacing w:before="240" w:line="300" w:lineRule="exact"/>
        <w:rPr>
          <w:spacing w:val="0"/>
        </w:rPr>
      </w:pPr>
      <w:r w:rsidRPr="00931D25">
        <w:rPr>
          <w:spacing w:val="0"/>
        </w:rPr>
        <w:t>It is necessary to consider whether the complainants’ prolonged detention in a closed detention facility could be justified as reasonable, necessary and proportionate on the basis of particular reasons specific to them, and in light of the available alternatives to closed detention.</w:t>
      </w:r>
    </w:p>
    <w:p w14:paraId="7BCCEA39" w14:textId="772ED706" w:rsidR="00832256" w:rsidRPr="00931D25" w:rsidRDefault="00832256" w:rsidP="00832256">
      <w:pPr>
        <w:numPr>
          <w:ilvl w:val="0"/>
          <w:numId w:val="7"/>
        </w:numPr>
        <w:spacing w:before="240" w:line="300" w:lineRule="exact"/>
        <w:rPr>
          <w:spacing w:val="0"/>
        </w:rPr>
      </w:pPr>
      <w:r w:rsidRPr="00931D25">
        <w:rPr>
          <w:rFonts w:cs="Arial"/>
          <w:spacing w:val="0"/>
          <w:szCs w:val="24"/>
        </w:rPr>
        <w:t xml:space="preserve">Mr </w:t>
      </w:r>
      <w:r w:rsidR="002C0C5F">
        <w:rPr>
          <w:rFonts w:cs="Arial"/>
          <w:spacing w:val="0"/>
          <w:szCs w:val="24"/>
        </w:rPr>
        <w:t>IB</w:t>
      </w:r>
      <w:r w:rsidRPr="00931D25">
        <w:rPr>
          <w:rFonts w:cs="Arial"/>
          <w:spacing w:val="0"/>
          <w:szCs w:val="24"/>
        </w:rPr>
        <w:t xml:space="preserve"> and Mr </w:t>
      </w:r>
      <w:r w:rsidR="00B806BC">
        <w:rPr>
          <w:spacing w:val="0"/>
        </w:rPr>
        <w:t>IC</w:t>
      </w:r>
      <w:r w:rsidRPr="00931D25">
        <w:rPr>
          <w:spacing w:val="0"/>
        </w:rPr>
        <w:t xml:space="preserve"> were re-detained in immigration detention centres for approximately two years. Having considered the material before me, I am not satisfied that their detention has been justified by the department. It has provided no particular reasons justifying detention specific to the complainants (such as an individualised risk of absconding or risk of crimes against others).</w:t>
      </w:r>
    </w:p>
    <w:p w14:paraId="7F428AF5" w14:textId="77777777" w:rsidR="00832256" w:rsidRPr="00931D25" w:rsidRDefault="00832256" w:rsidP="00832256">
      <w:pPr>
        <w:numPr>
          <w:ilvl w:val="0"/>
          <w:numId w:val="7"/>
        </w:numPr>
        <w:spacing w:before="240" w:line="300" w:lineRule="exact"/>
        <w:rPr>
          <w:spacing w:val="0"/>
          <w:szCs w:val="24"/>
        </w:rPr>
      </w:pPr>
      <w:r w:rsidRPr="00931D25">
        <w:rPr>
          <w:spacing w:val="0"/>
          <w:szCs w:val="24"/>
        </w:rPr>
        <w:t xml:space="preserve">The </w:t>
      </w:r>
      <w:r w:rsidRPr="00931D25">
        <w:rPr>
          <w:rFonts w:cs="Arial"/>
          <w:spacing w:val="0"/>
          <w:szCs w:val="24"/>
        </w:rPr>
        <w:t>s </w:t>
      </w:r>
      <w:r w:rsidRPr="00931D25">
        <w:rPr>
          <w:spacing w:val="0"/>
          <w:szCs w:val="24"/>
        </w:rPr>
        <w:t xml:space="preserve">195A guidelines permitted cases to be referred to the Minister where the person has no outstanding primary or merits review processes in relation to their claims to remain in </w:t>
      </w:r>
      <w:proofErr w:type="gramStart"/>
      <w:r w:rsidRPr="00931D25">
        <w:rPr>
          <w:spacing w:val="0"/>
          <w:szCs w:val="24"/>
        </w:rPr>
        <w:t>Australia</w:t>
      </w:r>
      <w:proofErr w:type="gramEnd"/>
      <w:r w:rsidRPr="00931D25">
        <w:rPr>
          <w:spacing w:val="0"/>
          <w:szCs w:val="24"/>
        </w:rPr>
        <w:t xml:space="preserve"> but removal is not reasonably practicable.</w:t>
      </w:r>
      <w:r w:rsidRPr="00931D25">
        <w:rPr>
          <w:spacing w:val="0"/>
        </w:rPr>
        <w:t xml:space="preserve"> In light of Iran’s refusal to accept involuntary repatriations, </w:t>
      </w:r>
      <w:r w:rsidRPr="00931D25">
        <w:rPr>
          <w:rFonts w:cs="Arial"/>
          <w:spacing w:val="0"/>
          <w:szCs w:val="24"/>
        </w:rPr>
        <w:t xml:space="preserve">Mr </w:t>
      </w:r>
      <w:r w:rsidR="002C0C5F">
        <w:rPr>
          <w:rFonts w:cs="Arial"/>
          <w:spacing w:val="0"/>
          <w:szCs w:val="24"/>
        </w:rPr>
        <w:t>IB</w:t>
      </w:r>
      <w:r w:rsidRPr="00931D25">
        <w:rPr>
          <w:rFonts w:cs="Arial"/>
          <w:spacing w:val="0"/>
          <w:szCs w:val="24"/>
        </w:rPr>
        <w:t xml:space="preserve"> and Mr </w:t>
      </w:r>
      <w:r w:rsidR="00B806BC">
        <w:rPr>
          <w:spacing w:val="0"/>
        </w:rPr>
        <w:t>IC</w:t>
      </w:r>
      <w:r w:rsidRPr="00931D25">
        <w:rPr>
          <w:spacing w:val="0"/>
        </w:rPr>
        <w:t xml:space="preserve"> plainly fell within the ambit for referral under these guidelines.</w:t>
      </w:r>
    </w:p>
    <w:p w14:paraId="36D9DBC1" w14:textId="77777777" w:rsidR="00832256" w:rsidRPr="00931D25" w:rsidRDefault="00832256" w:rsidP="00832256">
      <w:pPr>
        <w:numPr>
          <w:ilvl w:val="0"/>
          <w:numId w:val="7"/>
        </w:numPr>
        <w:spacing w:before="240" w:line="300" w:lineRule="exact"/>
        <w:rPr>
          <w:spacing w:val="0"/>
          <w:szCs w:val="24"/>
        </w:rPr>
      </w:pPr>
      <w:r w:rsidRPr="00931D25">
        <w:rPr>
          <w:spacing w:val="0"/>
        </w:rPr>
        <w:lastRenderedPageBreak/>
        <w:t>The department was clearly aware of this, with statements along the following lines appearing throughout its monthly Case Reviews and reports to the Commonwealth Ombudsman:</w:t>
      </w:r>
    </w:p>
    <w:p w14:paraId="5ED0539A" w14:textId="77777777" w:rsidR="00832256" w:rsidRPr="00931D25" w:rsidRDefault="00832256" w:rsidP="00832256">
      <w:pPr>
        <w:spacing w:before="120" w:after="120" w:line="300" w:lineRule="exact"/>
        <w:ind w:left="1440"/>
        <w:rPr>
          <w:spacing w:val="0"/>
          <w:sz w:val="22"/>
          <w:szCs w:val="24"/>
        </w:rPr>
      </w:pPr>
      <w:r w:rsidRPr="00931D25">
        <w:rPr>
          <w:spacing w:val="0"/>
          <w:sz w:val="22"/>
          <w:szCs w:val="24"/>
        </w:rPr>
        <w:t xml:space="preserve">[Mr </w:t>
      </w:r>
      <w:r w:rsidR="002C0C5F">
        <w:rPr>
          <w:rFonts w:cs="Arial"/>
          <w:spacing w:val="0"/>
          <w:szCs w:val="24"/>
        </w:rPr>
        <w:t>IB</w:t>
      </w:r>
      <w:r w:rsidRPr="00931D25">
        <w:rPr>
          <w:spacing w:val="0"/>
          <w:sz w:val="22"/>
          <w:szCs w:val="24"/>
        </w:rPr>
        <w:t>] has significant barriers to status resolution as he does not have a travel document and is not willing to return voluntarily.</w:t>
      </w:r>
    </w:p>
    <w:p w14:paraId="792428A3" w14:textId="77777777" w:rsidR="00832256" w:rsidRPr="00931D25" w:rsidRDefault="00832256" w:rsidP="00832256">
      <w:pPr>
        <w:spacing w:before="120" w:after="120" w:line="300" w:lineRule="exact"/>
        <w:ind w:left="1440"/>
        <w:rPr>
          <w:spacing w:val="0"/>
          <w:sz w:val="22"/>
          <w:szCs w:val="24"/>
        </w:rPr>
      </w:pPr>
      <w:r w:rsidRPr="00931D25">
        <w:rPr>
          <w:spacing w:val="0"/>
          <w:sz w:val="22"/>
          <w:szCs w:val="24"/>
        </w:rPr>
        <w:t xml:space="preserve">Finally determined, </w:t>
      </w:r>
      <w:proofErr w:type="spellStart"/>
      <w:r w:rsidRPr="00931D25">
        <w:rPr>
          <w:spacing w:val="0"/>
          <w:sz w:val="22"/>
          <w:szCs w:val="24"/>
        </w:rPr>
        <w:t>invol</w:t>
      </w:r>
      <w:proofErr w:type="spellEnd"/>
      <w:r w:rsidRPr="00931D25">
        <w:rPr>
          <w:spacing w:val="0"/>
          <w:sz w:val="22"/>
          <w:szCs w:val="24"/>
        </w:rPr>
        <w:t xml:space="preserve"> removal p/way, nil </w:t>
      </w:r>
      <w:proofErr w:type="spellStart"/>
      <w:r w:rsidRPr="00931D25">
        <w:rPr>
          <w:spacing w:val="0"/>
          <w:sz w:val="22"/>
          <w:szCs w:val="24"/>
        </w:rPr>
        <w:t>o’standing</w:t>
      </w:r>
      <w:proofErr w:type="spellEnd"/>
      <w:r w:rsidRPr="00931D25">
        <w:rPr>
          <w:spacing w:val="0"/>
          <w:sz w:val="22"/>
          <w:szCs w:val="24"/>
        </w:rPr>
        <w:t xml:space="preserve"> matters, nil TD’s [travel documents], [Mr </w:t>
      </w:r>
      <w:r w:rsidR="002C0C5F">
        <w:rPr>
          <w:rFonts w:cs="Arial"/>
          <w:spacing w:val="0"/>
          <w:szCs w:val="24"/>
        </w:rPr>
        <w:t>IB</w:t>
      </w:r>
      <w:r w:rsidRPr="00931D25">
        <w:rPr>
          <w:spacing w:val="0"/>
          <w:sz w:val="22"/>
          <w:szCs w:val="24"/>
        </w:rPr>
        <w:t>] does not wish to return voluntarily, refused IOM engaged.</w:t>
      </w:r>
    </w:p>
    <w:p w14:paraId="7B37F26B" w14:textId="77777777" w:rsidR="00832256" w:rsidRPr="00931D25" w:rsidRDefault="00832256" w:rsidP="00832256">
      <w:pPr>
        <w:spacing w:before="120" w:after="120" w:line="300" w:lineRule="exact"/>
        <w:ind w:left="1440"/>
        <w:rPr>
          <w:spacing w:val="0"/>
          <w:sz w:val="22"/>
          <w:szCs w:val="24"/>
        </w:rPr>
      </w:pPr>
      <w:r w:rsidRPr="00931D25">
        <w:rPr>
          <w:spacing w:val="0"/>
          <w:sz w:val="22"/>
          <w:szCs w:val="24"/>
        </w:rPr>
        <w:t>As an Iranian national (nil return MOU) such removals are currently on hold until further notice.</w:t>
      </w:r>
    </w:p>
    <w:p w14:paraId="2C5BE0CB" w14:textId="69EC6AAF" w:rsidR="00832256" w:rsidRPr="00931D25" w:rsidRDefault="00832256" w:rsidP="00832256">
      <w:pPr>
        <w:spacing w:before="120" w:after="120" w:line="300" w:lineRule="exact"/>
        <w:ind w:left="1440"/>
        <w:rPr>
          <w:spacing w:val="0"/>
          <w:sz w:val="22"/>
          <w:szCs w:val="24"/>
        </w:rPr>
      </w:pPr>
      <w:r w:rsidRPr="00931D25">
        <w:rPr>
          <w:spacing w:val="0"/>
          <w:sz w:val="22"/>
          <w:szCs w:val="24"/>
        </w:rPr>
        <w:t xml:space="preserve">Mr </w:t>
      </w:r>
      <w:r w:rsidR="00B806BC">
        <w:rPr>
          <w:spacing w:val="0"/>
        </w:rPr>
        <w:t>IC</w:t>
      </w:r>
      <w:r w:rsidRPr="00931D25">
        <w:rPr>
          <w:spacing w:val="0"/>
          <w:sz w:val="22"/>
          <w:szCs w:val="24"/>
        </w:rPr>
        <w:t xml:space="preserve"> has significant barriers to status resolution that cannot be resolved in the short term.</w:t>
      </w:r>
    </w:p>
    <w:p w14:paraId="5BCB9134" w14:textId="2DC5B5A2" w:rsidR="00832256" w:rsidRPr="00931D25" w:rsidRDefault="00832256" w:rsidP="00832256">
      <w:pPr>
        <w:spacing w:before="120" w:after="120" w:line="300" w:lineRule="exact"/>
        <w:ind w:left="1440"/>
        <w:rPr>
          <w:spacing w:val="0"/>
          <w:sz w:val="22"/>
          <w:szCs w:val="24"/>
        </w:rPr>
      </w:pPr>
      <w:r w:rsidRPr="00931D25">
        <w:rPr>
          <w:spacing w:val="0"/>
          <w:sz w:val="22"/>
          <w:szCs w:val="24"/>
        </w:rPr>
        <w:t xml:space="preserve">Mr </w:t>
      </w:r>
      <w:r w:rsidR="00B806BC">
        <w:rPr>
          <w:spacing w:val="0"/>
        </w:rPr>
        <w:t>IC</w:t>
      </w:r>
      <w:r w:rsidRPr="00931D25">
        <w:rPr>
          <w:spacing w:val="0"/>
          <w:sz w:val="22"/>
          <w:szCs w:val="24"/>
        </w:rPr>
        <w:t xml:space="preserve"> does not wish to leave Australia voluntarily and the Iranian Embassy will not at this stage issue a travel document to remove an Iranian national involuntarily.</w:t>
      </w:r>
    </w:p>
    <w:p w14:paraId="2B8E6058" w14:textId="77777777" w:rsidR="00832256" w:rsidRPr="00931D25" w:rsidRDefault="00832256" w:rsidP="00832256">
      <w:pPr>
        <w:spacing w:before="120" w:after="120" w:line="300" w:lineRule="exact"/>
        <w:ind w:left="1440"/>
        <w:rPr>
          <w:spacing w:val="0"/>
          <w:sz w:val="22"/>
          <w:szCs w:val="24"/>
        </w:rPr>
      </w:pPr>
      <w:r w:rsidRPr="00931D25">
        <w:rPr>
          <w:spacing w:val="0"/>
          <w:sz w:val="22"/>
          <w:szCs w:val="24"/>
        </w:rPr>
        <w:t xml:space="preserve">There has been no further case progression, without obtaining a travel document as Mr </w:t>
      </w:r>
      <w:r w:rsidR="00B806BC">
        <w:rPr>
          <w:spacing w:val="0"/>
        </w:rPr>
        <w:t>IC</w:t>
      </w:r>
      <w:r w:rsidRPr="00931D25">
        <w:rPr>
          <w:spacing w:val="0"/>
          <w:sz w:val="22"/>
          <w:szCs w:val="24"/>
        </w:rPr>
        <w:t xml:space="preserve"> does not wish to return voluntarily.</w:t>
      </w:r>
    </w:p>
    <w:p w14:paraId="1012CB64" w14:textId="77777777" w:rsidR="00832256" w:rsidRPr="00931D25" w:rsidRDefault="00832256" w:rsidP="00832256">
      <w:pPr>
        <w:spacing w:before="120" w:after="120" w:line="300" w:lineRule="exact"/>
        <w:ind w:left="1440"/>
        <w:rPr>
          <w:spacing w:val="0"/>
          <w:sz w:val="22"/>
          <w:szCs w:val="24"/>
        </w:rPr>
      </w:pPr>
      <w:r w:rsidRPr="00931D25">
        <w:rPr>
          <w:spacing w:val="0"/>
          <w:sz w:val="22"/>
          <w:szCs w:val="24"/>
        </w:rPr>
        <w:t>- Finally Determined IMA</w:t>
      </w:r>
      <w:r w:rsidRPr="00931D25">
        <w:rPr>
          <w:spacing w:val="0"/>
          <w:sz w:val="22"/>
          <w:szCs w:val="24"/>
        </w:rPr>
        <w:br/>
        <w:t>- Refuses to depart voluntarily</w:t>
      </w:r>
      <w:r w:rsidRPr="00931D25">
        <w:rPr>
          <w:spacing w:val="0"/>
          <w:sz w:val="22"/>
          <w:szCs w:val="24"/>
        </w:rPr>
        <w:br/>
        <w:t>- Iranian National – poses a barrier to involuntary removal as he has no TD</w:t>
      </w:r>
      <w:r w:rsidRPr="00931D25">
        <w:rPr>
          <w:spacing w:val="0"/>
          <w:sz w:val="22"/>
          <w:szCs w:val="24"/>
        </w:rPr>
        <w:br/>
        <w:t xml:space="preserve">- Expected protracted removal </w:t>
      </w:r>
    </w:p>
    <w:p w14:paraId="3C117061" w14:textId="14D5DD93" w:rsidR="00832256" w:rsidRPr="00931D25" w:rsidRDefault="00832256" w:rsidP="00832256">
      <w:pPr>
        <w:spacing w:before="120" w:after="120" w:line="300" w:lineRule="exact"/>
        <w:ind w:left="1440"/>
        <w:rPr>
          <w:spacing w:val="0"/>
          <w:sz w:val="22"/>
          <w:szCs w:val="24"/>
        </w:rPr>
      </w:pPr>
      <w:r w:rsidRPr="00931D25">
        <w:rPr>
          <w:spacing w:val="0"/>
          <w:sz w:val="22"/>
          <w:szCs w:val="24"/>
        </w:rPr>
        <w:t xml:space="preserve">Mr </w:t>
      </w:r>
      <w:r w:rsidR="00B806BC">
        <w:rPr>
          <w:spacing w:val="0"/>
        </w:rPr>
        <w:t>IC</w:t>
      </w:r>
      <w:r w:rsidRPr="00931D25">
        <w:rPr>
          <w:spacing w:val="0"/>
          <w:sz w:val="22"/>
          <w:szCs w:val="24"/>
        </w:rPr>
        <w:t xml:space="preserve"> is a finally determined Iranian National who has repeatedly advised that he will not agree to return voluntarily and he cannot be involuntarily removed as he does not have a valid Travel Document. There is limited action that Case Management can take currently to reach case resolution.</w:t>
      </w:r>
    </w:p>
    <w:p w14:paraId="041103CC" w14:textId="373C77E0" w:rsidR="00832256" w:rsidRPr="00931D25" w:rsidRDefault="00832256" w:rsidP="00832256">
      <w:pPr>
        <w:keepNext/>
        <w:numPr>
          <w:ilvl w:val="0"/>
          <w:numId w:val="7"/>
        </w:numPr>
        <w:spacing w:before="240" w:line="300" w:lineRule="exact"/>
        <w:rPr>
          <w:spacing w:val="0"/>
        </w:rPr>
      </w:pPr>
      <w:r w:rsidRPr="00931D25">
        <w:rPr>
          <w:spacing w:val="0"/>
        </w:rPr>
        <w:t xml:space="preserve">Under the </w:t>
      </w:r>
      <w:r w:rsidRPr="00931D25">
        <w:rPr>
          <w:rFonts w:cs="Arial"/>
          <w:spacing w:val="0"/>
          <w:szCs w:val="24"/>
        </w:rPr>
        <w:t>s </w:t>
      </w:r>
      <w:r w:rsidRPr="00931D25">
        <w:rPr>
          <w:spacing w:val="0"/>
        </w:rPr>
        <w:t>197AB guidelines, the Minister did not expect cases involving ‘finally determined’ persons to be referred to him absent ‘exceptional reasons’. A general category of cases with ‘unique or exceptional circumstances’ could also be referred. In my view, the following factors are relevant to an assessment as to whether the complainants’ cases presented ‘exceptional reasons’ and/or ‘unique or exceptional circumstances’:</w:t>
      </w:r>
    </w:p>
    <w:p w14:paraId="1BCB5253" w14:textId="77777777" w:rsidR="00832256" w:rsidRPr="00230BB5" w:rsidRDefault="00832256" w:rsidP="00832256">
      <w:pPr>
        <w:numPr>
          <w:ilvl w:val="1"/>
          <w:numId w:val="18"/>
        </w:numPr>
        <w:spacing w:before="240" w:line="300" w:lineRule="exact"/>
        <w:ind w:left="1843" w:hanging="567"/>
        <w:rPr>
          <w:spacing w:val="0"/>
          <w:szCs w:val="24"/>
        </w:rPr>
      </w:pPr>
      <w:r w:rsidRPr="00230BB5">
        <w:rPr>
          <w:spacing w:val="0"/>
          <w:szCs w:val="24"/>
        </w:rPr>
        <w:t>they have both been present in Australia for over 5 years</w:t>
      </w:r>
    </w:p>
    <w:p w14:paraId="6221E9E1" w14:textId="77777777" w:rsidR="00832256" w:rsidRPr="00230BB5" w:rsidRDefault="00832256" w:rsidP="00832256">
      <w:pPr>
        <w:numPr>
          <w:ilvl w:val="1"/>
          <w:numId w:val="18"/>
        </w:numPr>
        <w:spacing w:before="240" w:line="300" w:lineRule="exact"/>
        <w:ind w:left="1843" w:hanging="567"/>
        <w:rPr>
          <w:spacing w:val="0"/>
          <w:szCs w:val="24"/>
        </w:rPr>
      </w:pPr>
      <w:r w:rsidRPr="00230BB5">
        <w:rPr>
          <w:spacing w:val="0"/>
          <w:szCs w:val="24"/>
        </w:rPr>
        <w:t>they both lived in and integrated into the community without incident for over two years</w:t>
      </w:r>
      <w:r w:rsidRPr="00230BB5">
        <w:rPr>
          <w:rStyle w:val="EndnoteReference"/>
          <w:spacing w:val="0"/>
          <w:sz w:val="24"/>
          <w:szCs w:val="24"/>
        </w:rPr>
        <w:endnoteReference w:id="21"/>
      </w:r>
    </w:p>
    <w:p w14:paraId="4A1651A0" w14:textId="77777777" w:rsidR="00832256" w:rsidRPr="00230BB5" w:rsidRDefault="00832256" w:rsidP="00832256">
      <w:pPr>
        <w:numPr>
          <w:ilvl w:val="1"/>
          <w:numId w:val="18"/>
        </w:numPr>
        <w:spacing w:before="240" w:line="300" w:lineRule="exact"/>
        <w:ind w:left="1843" w:hanging="567"/>
        <w:rPr>
          <w:spacing w:val="0"/>
          <w:szCs w:val="24"/>
        </w:rPr>
      </w:pPr>
      <w:r w:rsidRPr="00230BB5">
        <w:rPr>
          <w:spacing w:val="0"/>
          <w:szCs w:val="24"/>
        </w:rPr>
        <w:lastRenderedPageBreak/>
        <w:t>they complied with their residence/visa obligations (save for the fact that they failed to make arrangements to return to Iran voluntarily)</w:t>
      </w:r>
    </w:p>
    <w:p w14:paraId="55464EC0" w14:textId="77777777" w:rsidR="00832256" w:rsidRPr="00230BB5" w:rsidRDefault="00832256" w:rsidP="00832256">
      <w:pPr>
        <w:numPr>
          <w:ilvl w:val="1"/>
          <w:numId w:val="18"/>
        </w:numPr>
        <w:spacing w:before="240" w:line="300" w:lineRule="exact"/>
        <w:ind w:left="1843" w:hanging="567"/>
        <w:rPr>
          <w:spacing w:val="0"/>
          <w:szCs w:val="24"/>
        </w:rPr>
      </w:pPr>
      <w:r w:rsidRPr="00230BB5">
        <w:rPr>
          <w:rFonts w:cs="Arial"/>
          <w:spacing w:val="0"/>
          <w:szCs w:val="24"/>
        </w:rPr>
        <w:t>Iran is not currently accepting involuntary repatriation of Iranian citizens and therefore their removal from Australia is not reasonably practicable</w:t>
      </w:r>
    </w:p>
    <w:p w14:paraId="0547FD9C" w14:textId="77777777" w:rsidR="00832256" w:rsidRPr="00230BB5" w:rsidRDefault="00832256" w:rsidP="00832256">
      <w:pPr>
        <w:numPr>
          <w:ilvl w:val="1"/>
          <w:numId w:val="18"/>
        </w:numPr>
        <w:spacing w:before="240" w:line="300" w:lineRule="exact"/>
        <w:ind w:left="1843" w:hanging="567"/>
        <w:rPr>
          <w:spacing w:val="0"/>
          <w:szCs w:val="24"/>
        </w:rPr>
      </w:pPr>
      <w:r w:rsidRPr="00230BB5">
        <w:rPr>
          <w:rFonts w:cs="Arial"/>
          <w:spacing w:val="0"/>
          <w:szCs w:val="24"/>
        </w:rPr>
        <w:t>without intervention, they both faced the prospect of indefinite detention</w:t>
      </w:r>
      <w:r w:rsidRPr="00230BB5">
        <w:rPr>
          <w:spacing w:val="0"/>
          <w:szCs w:val="24"/>
        </w:rPr>
        <w:t>.</w:t>
      </w:r>
    </w:p>
    <w:p w14:paraId="35D905B1" w14:textId="4050ADDC" w:rsidR="00832256" w:rsidRPr="00931D25" w:rsidRDefault="00832256" w:rsidP="00832256">
      <w:pPr>
        <w:numPr>
          <w:ilvl w:val="0"/>
          <w:numId w:val="7"/>
        </w:numPr>
        <w:spacing w:before="240" w:line="300" w:lineRule="exact"/>
        <w:rPr>
          <w:spacing w:val="0"/>
          <w:szCs w:val="24"/>
        </w:rPr>
      </w:pPr>
      <w:r w:rsidRPr="00931D25">
        <w:rPr>
          <w:spacing w:val="0"/>
          <w:szCs w:val="24"/>
        </w:rPr>
        <w:t xml:space="preserve">From the documents and information provided to the Commission, it does not appear that the department actively and genuinely considered available alternatives to closed detention in light of the individual circumstances of Messrs </w:t>
      </w:r>
      <w:r w:rsidR="002C0C5F">
        <w:rPr>
          <w:rFonts w:cs="Arial"/>
          <w:spacing w:val="0"/>
          <w:szCs w:val="24"/>
        </w:rPr>
        <w:t>IB</w:t>
      </w:r>
      <w:r w:rsidRPr="00931D25">
        <w:rPr>
          <w:spacing w:val="0"/>
          <w:szCs w:val="24"/>
        </w:rPr>
        <w:t xml:space="preserve"> and </w:t>
      </w:r>
      <w:r w:rsidR="00B806BC">
        <w:rPr>
          <w:spacing w:val="0"/>
        </w:rPr>
        <w:t>IC</w:t>
      </w:r>
      <w:r w:rsidRPr="00931D25">
        <w:rPr>
          <w:spacing w:val="0"/>
          <w:szCs w:val="24"/>
        </w:rPr>
        <w:t xml:space="preserve"> during the </w:t>
      </w:r>
      <w:proofErr w:type="gramStart"/>
      <w:r w:rsidRPr="00931D25">
        <w:rPr>
          <w:spacing w:val="0"/>
          <w:szCs w:val="24"/>
        </w:rPr>
        <w:t>two year</w:t>
      </w:r>
      <w:proofErr w:type="gramEnd"/>
      <w:r w:rsidRPr="00931D25">
        <w:rPr>
          <w:spacing w:val="0"/>
          <w:szCs w:val="24"/>
        </w:rPr>
        <w:t xml:space="preserve"> period of their re-detention.</w:t>
      </w:r>
    </w:p>
    <w:p w14:paraId="61BC1DBB" w14:textId="77777777" w:rsidR="00832256" w:rsidRPr="00931D25" w:rsidRDefault="00832256" w:rsidP="00832256">
      <w:pPr>
        <w:numPr>
          <w:ilvl w:val="0"/>
          <w:numId w:val="7"/>
        </w:numPr>
        <w:spacing w:before="240" w:line="300" w:lineRule="exact"/>
        <w:rPr>
          <w:spacing w:val="0"/>
          <w:szCs w:val="24"/>
        </w:rPr>
      </w:pPr>
      <w:r w:rsidRPr="00931D25">
        <w:rPr>
          <w:spacing w:val="0"/>
          <w:szCs w:val="24"/>
        </w:rPr>
        <w:t xml:space="preserve">On 12 September 2016, the department referred the cases of 17 IMAs, including Mr </w:t>
      </w:r>
      <w:r w:rsidR="002C0C5F">
        <w:rPr>
          <w:rFonts w:cs="Arial"/>
          <w:spacing w:val="0"/>
          <w:szCs w:val="24"/>
        </w:rPr>
        <w:t>IB</w:t>
      </w:r>
      <w:r w:rsidRPr="00931D25">
        <w:rPr>
          <w:spacing w:val="0"/>
          <w:szCs w:val="24"/>
        </w:rPr>
        <w:t xml:space="preserve"> and Mr </w:t>
      </w:r>
      <w:r w:rsidR="00B806BC">
        <w:rPr>
          <w:spacing w:val="0"/>
        </w:rPr>
        <w:t>IC</w:t>
      </w:r>
      <w:r w:rsidRPr="00931D25">
        <w:rPr>
          <w:spacing w:val="0"/>
          <w:szCs w:val="24"/>
        </w:rPr>
        <w:t>, for possible Ministerial Intervention under s 195A and s 46A to the Minister. In its submission the department stated:</w:t>
      </w:r>
    </w:p>
    <w:p w14:paraId="08CD8540" w14:textId="722AB10D" w:rsidR="00832256" w:rsidRPr="00931D25" w:rsidRDefault="00832256" w:rsidP="00832256">
      <w:pPr>
        <w:spacing w:before="240" w:line="300" w:lineRule="exact"/>
        <w:ind w:left="1440"/>
        <w:rPr>
          <w:spacing w:val="0"/>
          <w:sz w:val="22"/>
          <w:szCs w:val="24"/>
        </w:rPr>
      </w:pPr>
      <w:r w:rsidRPr="00931D25">
        <w:rPr>
          <w:spacing w:val="0"/>
          <w:sz w:val="22"/>
          <w:szCs w:val="24"/>
        </w:rPr>
        <w:t>Notwithstanding their status as ‘finally determined’, the 17 IMAs … are effectively unable to be involuntarily removed in the immediate or near future.</w:t>
      </w:r>
    </w:p>
    <w:p w14:paraId="4F7D9475" w14:textId="77777777" w:rsidR="00832256" w:rsidRPr="00931D25" w:rsidRDefault="00832256" w:rsidP="00832256">
      <w:pPr>
        <w:spacing w:before="240" w:line="300" w:lineRule="exact"/>
        <w:ind w:left="1440"/>
        <w:rPr>
          <w:spacing w:val="0"/>
          <w:sz w:val="22"/>
          <w:szCs w:val="24"/>
        </w:rPr>
      </w:pPr>
      <w:r w:rsidRPr="00931D25">
        <w:rPr>
          <w:spacing w:val="0"/>
          <w:sz w:val="22"/>
          <w:szCs w:val="24"/>
        </w:rPr>
        <w:t>The 17 IMAs … have been identified as having no recorded behavioural incidents of concern while in immigration detention. For those who previously held a Bridging E visa (subclass 050) (BVE) prior to becoming ‘finally determined’ and being re-detained, there is no recorded behaviour of concern in the community. In addition, these IMAs have been assessed by the Department … to be of low risk of harm to the Australian community.</w:t>
      </w:r>
    </w:p>
    <w:p w14:paraId="1FB52CCA" w14:textId="77777777" w:rsidR="00832256" w:rsidRPr="00931D25" w:rsidRDefault="00832256" w:rsidP="00832256">
      <w:pPr>
        <w:spacing w:before="240" w:line="300" w:lineRule="exact"/>
        <w:ind w:left="1440"/>
        <w:rPr>
          <w:spacing w:val="0"/>
          <w:sz w:val="22"/>
          <w:szCs w:val="24"/>
        </w:rPr>
      </w:pPr>
      <w:r w:rsidRPr="00931D25">
        <w:rPr>
          <w:spacing w:val="0"/>
          <w:sz w:val="22"/>
          <w:szCs w:val="24"/>
        </w:rPr>
        <w:t>Records held in departmental systems do not indicate any known public health, character or identity concerns for any of the IMAs … none of the IMAs included in the submission are of interest to the Australian Security Intelligence Organisation at this time.</w:t>
      </w:r>
    </w:p>
    <w:p w14:paraId="04840486" w14:textId="77777777" w:rsidR="00832256" w:rsidRPr="00931D25" w:rsidRDefault="00832256" w:rsidP="00832256">
      <w:pPr>
        <w:numPr>
          <w:ilvl w:val="0"/>
          <w:numId w:val="7"/>
        </w:numPr>
        <w:spacing w:before="240" w:line="300" w:lineRule="exact"/>
        <w:rPr>
          <w:spacing w:val="0"/>
          <w:szCs w:val="24"/>
        </w:rPr>
      </w:pPr>
      <w:r w:rsidRPr="00931D25">
        <w:rPr>
          <w:spacing w:val="0"/>
          <w:szCs w:val="24"/>
        </w:rPr>
        <w:t>This is not new information. The same could equally have been said in respect of the complainants at the date of their re-detention, some 2 years earlier. From the information provided it is not clear whether this group submission was the result of a departmental decision, or policy directive from the Minister.</w:t>
      </w:r>
    </w:p>
    <w:p w14:paraId="57AE3290" w14:textId="77777777" w:rsidR="00832256" w:rsidRPr="00931D25" w:rsidRDefault="00832256" w:rsidP="00832256">
      <w:pPr>
        <w:numPr>
          <w:ilvl w:val="0"/>
          <w:numId w:val="7"/>
        </w:numPr>
        <w:spacing w:before="240" w:line="300" w:lineRule="exact"/>
        <w:rPr>
          <w:spacing w:val="0"/>
        </w:rPr>
      </w:pPr>
      <w:r w:rsidRPr="00931D25">
        <w:rPr>
          <w:spacing w:val="0"/>
        </w:rPr>
        <w:lastRenderedPageBreak/>
        <w:t xml:space="preserve">The failure of the department to justify detention, or to genuinely consider available alternatives to closed detention, on the basis of particular reasons specific to the complainants is further reflected in its Case Reviews that </w:t>
      </w:r>
      <w:r w:rsidRPr="00931D25">
        <w:rPr>
          <w:i/>
          <w:spacing w:val="0"/>
        </w:rPr>
        <w:t>inter alia</w:t>
      </w:r>
      <w:r w:rsidRPr="00931D25">
        <w:rPr>
          <w:spacing w:val="0"/>
        </w:rPr>
        <w:t xml:space="preserve"> refer to:</w:t>
      </w:r>
    </w:p>
    <w:p w14:paraId="50D6ACC2" w14:textId="411EA0A7" w:rsidR="00832256" w:rsidRPr="00931D25" w:rsidRDefault="00832256" w:rsidP="00832256">
      <w:pPr>
        <w:spacing w:before="120" w:after="120" w:line="300" w:lineRule="exact"/>
        <w:ind w:left="1440"/>
        <w:rPr>
          <w:spacing w:val="0"/>
          <w:sz w:val="22"/>
        </w:rPr>
      </w:pPr>
      <w:r w:rsidRPr="00931D25">
        <w:rPr>
          <w:spacing w:val="0"/>
          <w:sz w:val="22"/>
        </w:rPr>
        <w:t>DIBP strategy to manage the finally determined IMA cohort.</w:t>
      </w:r>
    </w:p>
    <w:p w14:paraId="56AE5E46" w14:textId="4F05FB69" w:rsidR="00832256" w:rsidRPr="00931D25" w:rsidRDefault="00832256" w:rsidP="00832256">
      <w:pPr>
        <w:spacing w:before="120" w:after="120" w:line="300" w:lineRule="exact"/>
        <w:ind w:left="1440"/>
        <w:rPr>
          <w:spacing w:val="0"/>
          <w:sz w:val="22"/>
        </w:rPr>
      </w:pPr>
      <w:r w:rsidRPr="00931D25">
        <w:rPr>
          <w:spacing w:val="0"/>
          <w:sz w:val="22"/>
        </w:rPr>
        <w:t>[A] network strategy for finally determined IMA single adult men.</w:t>
      </w:r>
    </w:p>
    <w:p w14:paraId="7A638E6D" w14:textId="338AD5B2" w:rsidR="00832256" w:rsidRPr="00931D25" w:rsidRDefault="00832256" w:rsidP="00832256">
      <w:pPr>
        <w:spacing w:before="120" w:after="120" w:line="300" w:lineRule="exact"/>
        <w:ind w:left="1440"/>
        <w:rPr>
          <w:spacing w:val="0"/>
          <w:sz w:val="22"/>
        </w:rPr>
      </w:pPr>
      <w:r w:rsidRPr="00931D25">
        <w:rPr>
          <w:spacing w:val="0"/>
          <w:sz w:val="22"/>
        </w:rPr>
        <w:t>Finally determined Iranian IMA cohort are being considered for progression under s195A.</w:t>
      </w:r>
    </w:p>
    <w:p w14:paraId="585BD41F" w14:textId="7034CC60" w:rsidR="00832256" w:rsidRPr="00931D25" w:rsidRDefault="00832256" w:rsidP="00832256">
      <w:pPr>
        <w:spacing w:before="120" w:after="120" w:line="300" w:lineRule="exact"/>
        <w:ind w:left="1440"/>
        <w:rPr>
          <w:spacing w:val="0"/>
          <w:sz w:val="22"/>
        </w:rPr>
      </w:pPr>
      <w:r w:rsidRPr="00931D25">
        <w:rPr>
          <w:spacing w:val="0"/>
          <w:sz w:val="22"/>
        </w:rPr>
        <w:t>[A]</w:t>
      </w:r>
      <w:proofErr w:type="spellStart"/>
      <w:r w:rsidRPr="00931D25">
        <w:rPr>
          <w:spacing w:val="0"/>
          <w:sz w:val="22"/>
        </w:rPr>
        <w:t>dvice</w:t>
      </w:r>
      <w:proofErr w:type="spellEnd"/>
      <w:r w:rsidRPr="00931D25">
        <w:rPr>
          <w:spacing w:val="0"/>
          <w:sz w:val="22"/>
        </w:rPr>
        <w:t xml:space="preserve"> not to refer this cohort for consideration as the MO is considering how to proceed with this cohort and that a group submission for s195A may be considered in the future.</w:t>
      </w:r>
    </w:p>
    <w:p w14:paraId="55E59216" w14:textId="3491805A" w:rsidR="00832256" w:rsidRPr="00931D25" w:rsidRDefault="00832256" w:rsidP="00832256">
      <w:pPr>
        <w:spacing w:before="120" w:after="120" w:line="300" w:lineRule="exact"/>
        <w:ind w:left="1440"/>
        <w:rPr>
          <w:spacing w:val="0"/>
          <w:sz w:val="22"/>
        </w:rPr>
      </w:pPr>
      <w:r w:rsidRPr="00931D25">
        <w:rPr>
          <w:spacing w:val="0"/>
          <w:sz w:val="22"/>
        </w:rPr>
        <w:t>[F]</w:t>
      </w:r>
      <w:proofErr w:type="spellStart"/>
      <w:r w:rsidRPr="00931D25">
        <w:rPr>
          <w:spacing w:val="0"/>
          <w:sz w:val="22"/>
        </w:rPr>
        <w:t>inally</w:t>
      </w:r>
      <w:proofErr w:type="spellEnd"/>
      <w:r w:rsidRPr="00931D25">
        <w:rPr>
          <w:spacing w:val="0"/>
          <w:sz w:val="22"/>
        </w:rPr>
        <w:t xml:space="preserve"> determined Iranians are being triaged for either cat 1 or 2 for group s195A submission.</w:t>
      </w:r>
    </w:p>
    <w:p w14:paraId="63223440" w14:textId="5EDA9E5A" w:rsidR="00832256" w:rsidRDefault="005C193C" w:rsidP="00832256">
      <w:pPr>
        <w:numPr>
          <w:ilvl w:val="0"/>
          <w:numId w:val="7"/>
        </w:numPr>
        <w:spacing w:before="240" w:line="300" w:lineRule="exact"/>
        <w:rPr>
          <w:spacing w:val="0"/>
          <w:szCs w:val="24"/>
        </w:rPr>
      </w:pPr>
      <w:r>
        <w:rPr>
          <w:spacing w:val="0"/>
          <w:szCs w:val="24"/>
        </w:rPr>
        <w:t>I find</w:t>
      </w:r>
      <w:r w:rsidR="00832256" w:rsidRPr="00931D25">
        <w:rPr>
          <w:spacing w:val="0"/>
          <w:szCs w:val="24"/>
        </w:rPr>
        <w:t xml:space="preserve"> that the department’s failure to </w:t>
      </w:r>
      <w:bookmarkStart w:id="27" w:name="_GoBack"/>
      <w:bookmarkEnd w:id="27"/>
      <w:r w:rsidR="00832256" w:rsidRPr="00931D25">
        <w:rPr>
          <w:spacing w:val="0"/>
          <w:szCs w:val="24"/>
        </w:rPr>
        <w:t xml:space="preserve">refer </w:t>
      </w:r>
      <w:r w:rsidR="00832256" w:rsidRPr="00931D25">
        <w:rPr>
          <w:rFonts w:cs="Arial"/>
          <w:spacing w:val="0"/>
          <w:szCs w:val="24"/>
        </w:rPr>
        <w:t xml:space="preserve">Mr </w:t>
      </w:r>
      <w:r w:rsidR="002C0C5F">
        <w:rPr>
          <w:rFonts w:cs="Arial"/>
          <w:spacing w:val="0"/>
          <w:szCs w:val="24"/>
        </w:rPr>
        <w:t>IB</w:t>
      </w:r>
      <w:r w:rsidR="00832256" w:rsidRPr="00931D25">
        <w:rPr>
          <w:rFonts w:cs="Arial"/>
          <w:spacing w:val="0"/>
          <w:szCs w:val="24"/>
        </w:rPr>
        <w:t xml:space="preserve"> and Mr </w:t>
      </w:r>
      <w:r w:rsidR="00B806BC">
        <w:rPr>
          <w:spacing w:val="0"/>
        </w:rPr>
        <w:t>IC</w:t>
      </w:r>
      <w:r w:rsidR="00832256" w:rsidRPr="00931D25">
        <w:rPr>
          <w:spacing w:val="0"/>
          <w:szCs w:val="24"/>
        </w:rPr>
        <w:t>’s cases to the Minister for consideration of the exercise of his discretionary powers prior to September 2016 resulted in their detention being arbitrary, contrary to article 9 of the ICCPR.</w:t>
      </w:r>
    </w:p>
    <w:p w14:paraId="323B686C" w14:textId="4CF5D1BD" w:rsidR="00832256" w:rsidRPr="00931D25" w:rsidRDefault="00832256" w:rsidP="00832256">
      <w:pPr>
        <w:numPr>
          <w:ilvl w:val="0"/>
          <w:numId w:val="7"/>
        </w:numPr>
        <w:spacing w:before="240" w:line="300" w:lineRule="exact"/>
        <w:rPr>
          <w:spacing w:val="0"/>
          <w:szCs w:val="24"/>
        </w:rPr>
      </w:pPr>
      <w:r>
        <w:rPr>
          <w:spacing w:val="0"/>
          <w:szCs w:val="24"/>
        </w:rPr>
        <w:t xml:space="preserve">In light of Iran’s non-acceptance of involuntary repatriation, the eventual release from immigration detention of </w:t>
      </w:r>
      <w:r w:rsidRPr="00931D25">
        <w:rPr>
          <w:rFonts w:cs="Arial"/>
          <w:spacing w:val="0"/>
          <w:szCs w:val="24"/>
        </w:rPr>
        <w:t xml:space="preserve">Mr </w:t>
      </w:r>
      <w:r w:rsidR="002C0C5F">
        <w:rPr>
          <w:rFonts w:cs="Arial"/>
          <w:spacing w:val="0"/>
          <w:szCs w:val="24"/>
        </w:rPr>
        <w:t>IB</w:t>
      </w:r>
      <w:r w:rsidRPr="00931D25">
        <w:rPr>
          <w:rFonts w:cs="Arial"/>
          <w:spacing w:val="0"/>
          <w:szCs w:val="24"/>
        </w:rPr>
        <w:t xml:space="preserve"> and Mr </w:t>
      </w:r>
      <w:r w:rsidR="00B806BC">
        <w:rPr>
          <w:spacing w:val="0"/>
        </w:rPr>
        <w:t>IC</w:t>
      </w:r>
      <w:r>
        <w:rPr>
          <w:spacing w:val="0"/>
          <w:szCs w:val="24"/>
        </w:rPr>
        <w:t xml:space="preserve"> was a practical and appropriate response. For as long as their individualised risk assessments support this, it should be continued.</w:t>
      </w:r>
    </w:p>
    <w:p w14:paraId="2C21C3AA" w14:textId="77777777" w:rsidR="00832256" w:rsidRPr="00D732B2" w:rsidRDefault="00832256" w:rsidP="00230BB5">
      <w:pPr>
        <w:pStyle w:val="Heading1"/>
        <w:tabs>
          <w:tab w:val="clear" w:pos="851"/>
          <w:tab w:val="num" w:pos="709"/>
        </w:tabs>
        <w:spacing w:line="300" w:lineRule="exact"/>
        <w:rPr>
          <w:rFonts w:cs="Arial"/>
          <w:spacing w:val="0"/>
          <w:sz w:val="36"/>
          <w:szCs w:val="36"/>
        </w:rPr>
      </w:pPr>
      <w:bookmarkStart w:id="28" w:name="_Toc508355977"/>
      <w:bookmarkStart w:id="29" w:name="_Toc9516525"/>
      <w:r w:rsidRPr="00D732B2">
        <w:rPr>
          <w:rFonts w:cs="Arial"/>
          <w:spacing w:val="0"/>
          <w:sz w:val="36"/>
          <w:szCs w:val="36"/>
        </w:rPr>
        <w:t>Recommendations</w:t>
      </w:r>
      <w:bookmarkEnd w:id="28"/>
      <w:bookmarkEnd w:id="29"/>
    </w:p>
    <w:p w14:paraId="265C0EBA" w14:textId="77777777" w:rsidR="00832256" w:rsidRPr="007D01E4" w:rsidRDefault="00832256" w:rsidP="00832256">
      <w:pPr>
        <w:numPr>
          <w:ilvl w:val="0"/>
          <w:numId w:val="7"/>
        </w:numPr>
        <w:spacing w:before="240" w:line="300" w:lineRule="exact"/>
        <w:rPr>
          <w:szCs w:val="24"/>
        </w:rPr>
      </w:pPr>
      <w:r>
        <w:rPr>
          <w:color w:val="231F20"/>
          <w:szCs w:val="24"/>
        </w:rPr>
        <w:t xml:space="preserve">For the </w:t>
      </w:r>
      <w:r w:rsidRPr="001B0EDD">
        <w:rPr>
          <w:color w:val="231F20"/>
          <w:szCs w:val="24"/>
        </w:rPr>
        <w:t xml:space="preserve">reasons above, I find that </w:t>
      </w:r>
      <w:r w:rsidRPr="001B0EDD">
        <w:rPr>
          <w:rFonts w:cs="Arial"/>
          <w:spacing w:val="0"/>
          <w:szCs w:val="24"/>
        </w:rPr>
        <w:t xml:space="preserve">Mr </w:t>
      </w:r>
      <w:r w:rsidR="002C0C5F">
        <w:rPr>
          <w:rFonts w:cs="Arial"/>
          <w:spacing w:val="0"/>
          <w:szCs w:val="24"/>
        </w:rPr>
        <w:t>IB</w:t>
      </w:r>
      <w:r w:rsidRPr="001B0EDD">
        <w:rPr>
          <w:rFonts w:cs="Arial"/>
          <w:spacing w:val="0"/>
          <w:szCs w:val="24"/>
        </w:rPr>
        <w:t xml:space="preserve">’s </w:t>
      </w:r>
      <w:r w:rsidRPr="001B0EDD">
        <w:rPr>
          <w:color w:val="231F20"/>
          <w:szCs w:val="24"/>
        </w:rPr>
        <w:t xml:space="preserve">detention, for a period of almost two years, was arbitrary and inconsistent with his right to liberty under article 9 of the ICCPR. I also find that </w:t>
      </w:r>
      <w:r>
        <w:rPr>
          <w:rFonts w:cs="Arial"/>
          <w:spacing w:val="0"/>
          <w:szCs w:val="24"/>
        </w:rPr>
        <w:t>Mr</w:t>
      </w:r>
      <w:r w:rsidRPr="001B0EDD">
        <w:rPr>
          <w:rFonts w:cs="Arial"/>
          <w:spacing w:val="0"/>
          <w:szCs w:val="24"/>
        </w:rPr>
        <w:t xml:space="preserve"> </w:t>
      </w:r>
      <w:r w:rsidR="00B806BC">
        <w:rPr>
          <w:spacing w:val="0"/>
        </w:rPr>
        <w:t>IC</w:t>
      </w:r>
      <w:r w:rsidRPr="001B0EDD">
        <w:rPr>
          <w:color w:val="231F20"/>
          <w:szCs w:val="24"/>
        </w:rPr>
        <w:t>’s detention, for a period of more than two years, was arbitrary and inconsistent with his right to liberty under article 9 of the ICCPR.</w:t>
      </w:r>
    </w:p>
    <w:p w14:paraId="34ADB15D" w14:textId="0D7C1FB9" w:rsidR="00832256" w:rsidRPr="00363CBA" w:rsidRDefault="00832256" w:rsidP="00832256">
      <w:pPr>
        <w:numPr>
          <w:ilvl w:val="0"/>
          <w:numId w:val="7"/>
        </w:numPr>
        <w:spacing w:before="240" w:line="300" w:lineRule="exact"/>
        <w:rPr>
          <w:szCs w:val="24"/>
        </w:rPr>
      </w:pPr>
      <w:r w:rsidRPr="00344EFE">
        <w:rPr>
          <w:color w:val="231F20"/>
          <w:szCs w:val="24"/>
        </w:rPr>
        <w:t>Where, after conducting an inquiry, the Commission finds that an act or practice engaged in by a respondent is inconsistent with, or contrary to, any human right, the Commission is required to serve notice on the respondent setting out its findings and reasons for those findings.</w:t>
      </w:r>
      <w:r w:rsidRPr="00344EFE">
        <w:rPr>
          <w:rStyle w:val="EndnoteReference"/>
          <w:color w:val="231F20"/>
          <w:szCs w:val="24"/>
        </w:rPr>
        <w:endnoteReference w:id="22"/>
      </w:r>
      <w:r w:rsidRPr="00344EFE">
        <w:rPr>
          <w:color w:val="231F20"/>
          <w:szCs w:val="24"/>
        </w:rPr>
        <w:t xml:space="preserve"> </w:t>
      </w:r>
      <w:r w:rsidRPr="00344EFE">
        <w:rPr>
          <w:szCs w:val="24"/>
        </w:rPr>
        <w:t xml:space="preserve">The </w:t>
      </w:r>
      <w:r w:rsidR="009D7993" w:rsidRPr="00344EFE">
        <w:rPr>
          <w:szCs w:val="24"/>
        </w:rPr>
        <w:t>Commiss</w:t>
      </w:r>
      <w:r w:rsidR="009D7993">
        <w:rPr>
          <w:szCs w:val="24"/>
        </w:rPr>
        <w:t>io</w:t>
      </w:r>
      <w:r w:rsidR="009D7993" w:rsidRPr="00344EFE">
        <w:rPr>
          <w:szCs w:val="24"/>
        </w:rPr>
        <w:t>n</w:t>
      </w:r>
      <w:r w:rsidRPr="00344EFE">
        <w:rPr>
          <w:szCs w:val="24"/>
        </w:rPr>
        <w:t xml:space="preserve"> may include in the notice any recommendation for preventing a repetition of the act or a continuation </w:t>
      </w:r>
      <w:r w:rsidRPr="00363CBA">
        <w:rPr>
          <w:szCs w:val="24"/>
        </w:rPr>
        <w:t>of the practice.</w:t>
      </w:r>
      <w:r w:rsidRPr="00363CBA">
        <w:rPr>
          <w:rStyle w:val="EndnoteReference"/>
          <w:szCs w:val="24"/>
        </w:rPr>
        <w:endnoteReference w:id="23"/>
      </w:r>
      <w:r w:rsidRPr="00363CBA">
        <w:rPr>
          <w:szCs w:val="24"/>
        </w:rPr>
        <w:t xml:space="preserve"> The Commission may also recommend other action to remedy or reduce loss or damage suffered by a person.</w:t>
      </w:r>
      <w:r w:rsidRPr="008217BE">
        <w:rPr>
          <w:rFonts w:cs="Open Sans"/>
          <w:sz w:val="20"/>
          <w:vertAlign w:val="superscript"/>
        </w:rPr>
        <w:endnoteReference w:id="24"/>
      </w:r>
    </w:p>
    <w:p w14:paraId="067A14AE" w14:textId="77777777" w:rsidR="00832256" w:rsidRPr="00363CBA" w:rsidRDefault="00832256" w:rsidP="00832256">
      <w:pPr>
        <w:numPr>
          <w:ilvl w:val="0"/>
          <w:numId w:val="7"/>
        </w:numPr>
        <w:spacing w:before="240" w:line="300" w:lineRule="exact"/>
        <w:rPr>
          <w:szCs w:val="24"/>
        </w:rPr>
      </w:pPr>
      <w:r w:rsidRPr="00363CBA">
        <w:rPr>
          <w:rFonts w:cs="Arial"/>
          <w:spacing w:val="0"/>
          <w:szCs w:val="24"/>
        </w:rPr>
        <w:lastRenderedPageBreak/>
        <w:t xml:space="preserve">Mr </w:t>
      </w:r>
      <w:r w:rsidR="002C0C5F">
        <w:rPr>
          <w:rFonts w:cs="Arial"/>
          <w:spacing w:val="0"/>
          <w:szCs w:val="24"/>
        </w:rPr>
        <w:t>IB</w:t>
      </w:r>
      <w:r w:rsidRPr="00363CBA">
        <w:rPr>
          <w:rFonts w:cs="Arial"/>
          <w:spacing w:val="0"/>
          <w:szCs w:val="24"/>
        </w:rPr>
        <w:t xml:space="preserve"> and Mr </w:t>
      </w:r>
      <w:r w:rsidR="00B806BC">
        <w:rPr>
          <w:spacing w:val="0"/>
        </w:rPr>
        <w:t>IC</w:t>
      </w:r>
      <w:r w:rsidRPr="00363CBA">
        <w:rPr>
          <w:spacing w:val="0"/>
          <w:szCs w:val="24"/>
        </w:rPr>
        <w:t xml:space="preserve"> were part of a cohort of </w:t>
      </w:r>
      <w:r w:rsidRPr="00363CBA">
        <w:t>finally determined persons without a valid travel document and where the department could not obtain one. They were thus effectively unable to be involuntarily removed in the immediate or near future, and faced the prospect of indefinite closed detention.</w:t>
      </w:r>
    </w:p>
    <w:p w14:paraId="14780D2A" w14:textId="77777777" w:rsidR="00832256" w:rsidRPr="00363CBA" w:rsidRDefault="00832256" w:rsidP="00832256">
      <w:pPr>
        <w:numPr>
          <w:ilvl w:val="0"/>
          <w:numId w:val="7"/>
        </w:numPr>
        <w:spacing w:before="240"/>
        <w:rPr>
          <w:szCs w:val="24"/>
        </w:rPr>
      </w:pPr>
      <w:r w:rsidRPr="00363CBA">
        <w:rPr>
          <w:szCs w:val="24"/>
        </w:rPr>
        <w:t xml:space="preserve">The Commission recognises that the Government revised its position in relation to the management of this cohort and that consequently, the department recommended to the Minister that </w:t>
      </w:r>
      <w:r w:rsidRPr="00363CBA">
        <w:rPr>
          <w:rFonts w:cs="Arial"/>
          <w:spacing w:val="0"/>
          <w:szCs w:val="24"/>
        </w:rPr>
        <w:t xml:space="preserve">Mr </w:t>
      </w:r>
      <w:r w:rsidR="002C0C5F">
        <w:rPr>
          <w:rFonts w:cs="Arial"/>
          <w:spacing w:val="0"/>
          <w:szCs w:val="24"/>
        </w:rPr>
        <w:t>IB</w:t>
      </w:r>
      <w:r w:rsidRPr="00363CBA">
        <w:rPr>
          <w:rFonts w:cs="Arial"/>
          <w:spacing w:val="0"/>
          <w:szCs w:val="24"/>
        </w:rPr>
        <w:t xml:space="preserve"> and Mr </w:t>
      </w:r>
      <w:r w:rsidR="00B806BC">
        <w:rPr>
          <w:spacing w:val="0"/>
        </w:rPr>
        <w:t>IC</w:t>
      </w:r>
      <w:r w:rsidRPr="00363CBA">
        <w:rPr>
          <w:rFonts w:cs="Arial"/>
          <w:spacing w:val="0"/>
          <w:szCs w:val="24"/>
        </w:rPr>
        <w:t xml:space="preserve"> (amongst others) be granted BVEs and released from immigration detention. This was a welcome solution given the circumstances.</w:t>
      </w:r>
    </w:p>
    <w:p w14:paraId="5C9DAF57" w14:textId="77777777" w:rsidR="00832256" w:rsidRPr="00363CBA" w:rsidRDefault="00832256" w:rsidP="00832256">
      <w:pPr>
        <w:numPr>
          <w:ilvl w:val="0"/>
          <w:numId w:val="7"/>
        </w:numPr>
        <w:spacing w:before="240"/>
        <w:rPr>
          <w:szCs w:val="24"/>
        </w:rPr>
      </w:pPr>
      <w:r w:rsidRPr="00363CBA">
        <w:rPr>
          <w:szCs w:val="24"/>
        </w:rPr>
        <w:t>I make the following recommendation:</w:t>
      </w:r>
    </w:p>
    <w:p w14:paraId="285C8774" w14:textId="77777777" w:rsidR="00832256" w:rsidRPr="00363CBA" w:rsidRDefault="00832256" w:rsidP="001F4253">
      <w:pPr>
        <w:pStyle w:val="ListParagraph"/>
        <w:keepNext/>
        <w:tabs>
          <w:tab w:val="left" w:pos="797"/>
          <w:tab w:val="left" w:pos="798"/>
        </w:tabs>
        <w:spacing w:before="240"/>
        <w:contextualSpacing w:val="0"/>
        <w:rPr>
          <w:b/>
          <w:szCs w:val="24"/>
        </w:rPr>
      </w:pPr>
      <w:r w:rsidRPr="00363CBA">
        <w:rPr>
          <w:b/>
          <w:szCs w:val="24"/>
        </w:rPr>
        <w:t>Recommendation</w:t>
      </w:r>
    </w:p>
    <w:p w14:paraId="00C547BC" w14:textId="77777777" w:rsidR="00832256" w:rsidRPr="00363CBA" w:rsidRDefault="00832256" w:rsidP="00EB585F">
      <w:pPr>
        <w:spacing w:before="240"/>
        <w:ind w:left="720"/>
        <w:rPr>
          <w:szCs w:val="24"/>
        </w:rPr>
      </w:pPr>
      <w:r w:rsidRPr="00363CBA">
        <w:t>For cohorts and individuals with no countervailing security concerns who cannot be returned involuntarily, the department considers alternatives to closed detention at the earliest possible opportunity.</w:t>
      </w:r>
    </w:p>
    <w:p w14:paraId="2B5D9B90" w14:textId="77777777" w:rsidR="00D732B2" w:rsidRPr="00F10AF2" w:rsidRDefault="00D732B2" w:rsidP="00230BB5">
      <w:pPr>
        <w:pStyle w:val="Heading1"/>
        <w:tabs>
          <w:tab w:val="clear" w:pos="851"/>
          <w:tab w:val="num" w:pos="709"/>
        </w:tabs>
        <w:ind w:left="709" w:hanging="709"/>
        <w:rPr>
          <w:rFonts w:cs="Arial"/>
          <w:spacing w:val="0"/>
          <w:sz w:val="36"/>
          <w:szCs w:val="36"/>
        </w:rPr>
      </w:pPr>
      <w:bookmarkStart w:id="30" w:name="_Toc9516526"/>
      <w:r w:rsidRPr="00D732B2">
        <w:rPr>
          <w:rFonts w:cs="Arial"/>
          <w:spacing w:val="0"/>
          <w:sz w:val="36"/>
          <w:szCs w:val="36"/>
        </w:rPr>
        <w:t>The department’s response to my findings and recommendations</w:t>
      </w:r>
      <w:bookmarkEnd w:id="30"/>
    </w:p>
    <w:p w14:paraId="4125B9DB" w14:textId="77777777" w:rsidR="00D732B2" w:rsidRDefault="00D732B2" w:rsidP="00D732B2">
      <w:pPr>
        <w:numPr>
          <w:ilvl w:val="0"/>
          <w:numId w:val="7"/>
        </w:numPr>
        <w:spacing w:before="240" w:line="300" w:lineRule="exact"/>
        <w:rPr>
          <w:rFonts w:cs="Arial"/>
          <w:spacing w:val="0"/>
          <w:szCs w:val="24"/>
        </w:rPr>
      </w:pPr>
      <w:r w:rsidRPr="00D732B2">
        <w:rPr>
          <w:rFonts w:cs="Arial"/>
          <w:spacing w:val="0"/>
          <w:szCs w:val="24"/>
        </w:rPr>
        <w:t xml:space="preserve">On 6 November 2018, </w:t>
      </w:r>
      <w:r w:rsidR="00C00C7F">
        <w:rPr>
          <w:rFonts w:cs="Arial"/>
          <w:spacing w:val="0"/>
          <w:szCs w:val="24"/>
        </w:rPr>
        <w:t xml:space="preserve">I provided the department with a notice of my findings and recommendations in respect of </w:t>
      </w:r>
      <w:r w:rsidR="00C00C7F" w:rsidRPr="00D732B2">
        <w:rPr>
          <w:rFonts w:cs="Arial"/>
          <w:spacing w:val="0"/>
          <w:szCs w:val="24"/>
        </w:rPr>
        <w:t>Mr IB and Mr IC</w:t>
      </w:r>
      <w:r w:rsidR="00C00C7F">
        <w:rPr>
          <w:rFonts w:cs="Arial"/>
          <w:spacing w:val="0"/>
          <w:szCs w:val="24"/>
        </w:rPr>
        <w:t>’s complaints.</w:t>
      </w:r>
    </w:p>
    <w:p w14:paraId="5F57E408" w14:textId="77777777" w:rsidR="00D732B2" w:rsidRPr="00C00C7F" w:rsidRDefault="00C00C7F" w:rsidP="00C00C7F">
      <w:pPr>
        <w:numPr>
          <w:ilvl w:val="0"/>
          <w:numId w:val="7"/>
        </w:numPr>
        <w:spacing w:before="240" w:line="300" w:lineRule="exact"/>
        <w:rPr>
          <w:rFonts w:cs="Arial"/>
          <w:spacing w:val="0"/>
          <w:szCs w:val="24"/>
        </w:rPr>
      </w:pPr>
      <w:r>
        <w:rPr>
          <w:rFonts w:cs="Arial"/>
          <w:spacing w:val="0"/>
          <w:szCs w:val="24"/>
        </w:rPr>
        <w:t xml:space="preserve">On </w:t>
      </w:r>
      <w:r w:rsidR="00D732B2" w:rsidRPr="00C00C7F">
        <w:rPr>
          <w:rFonts w:cs="Arial"/>
          <w:spacing w:val="0"/>
          <w:szCs w:val="24"/>
        </w:rPr>
        <w:t>7 December 2018</w:t>
      </w:r>
      <w:r>
        <w:rPr>
          <w:rFonts w:cs="Arial"/>
          <w:spacing w:val="0"/>
          <w:szCs w:val="24"/>
        </w:rPr>
        <w:t>, the department provided the following response to my findings and recommendations:</w:t>
      </w:r>
    </w:p>
    <w:p w14:paraId="49D3E46B" w14:textId="77777777" w:rsidR="00D732B2" w:rsidRPr="00C00C7F" w:rsidRDefault="00D732B2" w:rsidP="00C00C7F">
      <w:pPr>
        <w:spacing w:before="240" w:line="300" w:lineRule="exact"/>
        <w:ind w:left="1440"/>
        <w:rPr>
          <w:spacing w:val="0"/>
          <w:sz w:val="22"/>
          <w:szCs w:val="24"/>
        </w:rPr>
      </w:pPr>
      <w:r w:rsidRPr="00C00C7F">
        <w:rPr>
          <w:spacing w:val="0"/>
          <w:sz w:val="22"/>
          <w:szCs w:val="24"/>
        </w:rPr>
        <w:t>As per the Department's response to the section 27 notice regarding these cases, the Department</w:t>
      </w:r>
      <w:r w:rsidR="00C00C7F">
        <w:rPr>
          <w:spacing w:val="0"/>
          <w:sz w:val="22"/>
          <w:szCs w:val="24"/>
        </w:rPr>
        <w:t xml:space="preserve"> </w:t>
      </w:r>
      <w:r w:rsidRPr="00C00C7F">
        <w:rPr>
          <w:spacing w:val="0"/>
          <w:sz w:val="22"/>
          <w:szCs w:val="24"/>
        </w:rPr>
        <w:t>maintains Mr IB's placement in detention from 30 September 2014 to 21 September 2016 and</w:t>
      </w:r>
      <w:r w:rsidR="00C00C7F">
        <w:rPr>
          <w:spacing w:val="0"/>
          <w:sz w:val="22"/>
          <w:szCs w:val="24"/>
        </w:rPr>
        <w:t xml:space="preserve"> </w:t>
      </w:r>
      <w:r w:rsidRPr="00C00C7F">
        <w:rPr>
          <w:spacing w:val="0"/>
          <w:sz w:val="22"/>
          <w:szCs w:val="24"/>
        </w:rPr>
        <w:t>Mr IC's placement in detention from 28 August 2014 to 21 September 2016 were appropriate,</w:t>
      </w:r>
      <w:r w:rsidR="00C00C7F">
        <w:rPr>
          <w:spacing w:val="0"/>
          <w:sz w:val="22"/>
          <w:szCs w:val="24"/>
        </w:rPr>
        <w:t xml:space="preserve"> </w:t>
      </w:r>
      <w:r w:rsidRPr="00C00C7F">
        <w:rPr>
          <w:spacing w:val="0"/>
          <w:sz w:val="22"/>
          <w:szCs w:val="24"/>
        </w:rPr>
        <w:t>reasonable and justified in the individual circumstances of their cases.</w:t>
      </w:r>
    </w:p>
    <w:p w14:paraId="60EEAAB8" w14:textId="77777777" w:rsidR="00D732B2" w:rsidRPr="00C00C7F" w:rsidRDefault="00D732B2" w:rsidP="00C00C7F">
      <w:pPr>
        <w:spacing w:before="240" w:line="300" w:lineRule="exact"/>
        <w:ind w:left="1440"/>
        <w:rPr>
          <w:spacing w:val="0"/>
          <w:sz w:val="22"/>
          <w:szCs w:val="24"/>
        </w:rPr>
      </w:pPr>
      <w:r w:rsidRPr="00C00C7F">
        <w:rPr>
          <w:spacing w:val="0"/>
          <w:sz w:val="22"/>
          <w:szCs w:val="24"/>
        </w:rPr>
        <w:t>Mr IB and Mr IC's cases were reviewed regularly, on 20 and 23 occasions respectively, as</w:t>
      </w:r>
      <w:r w:rsidR="00C00C7F">
        <w:rPr>
          <w:spacing w:val="0"/>
          <w:sz w:val="22"/>
          <w:szCs w:val="24"/>
        </w:rPr>
        <w:t xml:space="preserve"> </w:t>
      </w:r>
      <w:r w:rsidRPr="00C00C7F">
        <w:rPr>
          <w:spacing w:val="0"/>
          <w:sz w:val="22"/>
          <w:szCs w:val="24"/>
        </w:rPr>
        <w:t>highlighted in the Department's response to section 27 of the AHRC Act. In each review, the</w:t>
      </w:r>
      <w:r w:rsidR="00C00C7F">
        <w:rPr>
          <w:spacing w:val="0"/>
          <w:sz w:val="22"/>
          <w:szCs w:val="24"/>
        </w:rPr>
        <w:t xml:space="preserve"> </w:t>
      </w:r>
      <w:r w:rsidRPr="00C00C7F">
        <w:rPr>
          <w:spacing w:val="0"/>
          <w:sz w:val="22"/>
          <w:szCs w:val="24"/>
        </w:rPr>
        <w:t>Department determined that their placement were appropriate and did not identify any unique and</w:t>
      </w:r>
      <w:r w:rsidR="00C00C7F">
        <w:rPr>
          <w:spacing w:val="0"/>
          <w:sz w:val="22"/>
          <w:szCs w:val="24"/>
        </w:rPr>
        <w:t xml:space="preserve"> </w:t>
      </w:r>
      <w:r w:rsidRPr="00C00C7F">
        <w:rPr>
          <w:spacing w:val="0"/>
          <w:sz w:val="22"/>
          <w:szCs w:val="24"/>
        </w:rPr>
        <w:t>exceptional circumstances to warrant a referral under section 197AB or compassionate and</w:t>
      </w:r>
      <w:r w:rsidR="00C00C7F">
        <w:rPr>
          <w:spacing w:val="0"/>
          <w:sz w:val="22"/>
          <w:szCs w:val="24"/>
        </w:rPr>
        <w:t xml:space="preserve"> </w:t>
      </w:r>
      <w:r w:rsidRPr="00C00C7F">
        <w:rPr>
          <w:spacing w:val="0"/>
          <w:sz w:val="22"/>
          <w:szCs w:val="24"/>
        </w:rPr>
        <w:t>compelling circumstances to warrant a referral under section 195A of the Act.</w:t>
      </w:r>
    </w:p>
    <w:p w14:paraId="3F184A7B" w14:textId="77777777" w:rsidR="000E488A" w:rsidRDefault="00D732B2" w:rsidP="000E488A">
      <w:pPr>
        <w:spacing w:before="240" w:line="300" w:lineRule="exact"/>
        <w:ind w:left="1440"/>
        <w:rPr>
          <w:spacing w:val="0"/>
          <w:sz w:val="22"/>
          <w:szCs w:val="24"/>
        </w:rPr>
      </w:pPr>
      <w:r w:rsidRPr="00C00C7F">
        <w:rPr>
          <w:spacing w:val="0"/>
          <w:sz w:val="22"/>
          <w:szCs w:val="24"/>
        </w:rPr>
        <w:lastRenderedPageBreak/>
        <w:t>In light of a revised Government position of managing finally determined persons without a travel</w:t>
      </w:r>
      <w:r w:rsidR="00C00C7F">
        <w:rPr>
          <w:spacing w:val="0"/>
          <w:sz w:val="22"/>
          <w:szCs w:val="24"/>
        </w:rPr>
        <w:t xml:space="preserve"> </w:t>
      </w:r>
      <w:r w:rsidRPr="00C00C7F">
        <w:rPr>
          <w:spacing w:val="0"/>
          <w:sz w:val="22"/>
          <w:szCs w:val="24"/>
        </w:rPr>
        <w:t>document and where the Department could not obtain one, Mr IB and Mr IC's case were granted</w:t>
      </w:r>
      <w:r w:rsidR="00C00C7F">
        <w:rPr>
          <w:spacing w:val="0"/>
          <w:sz w:val="22"/>
          <w:szCs w:val="24"/>
        </w:rPr>
        <w:t xml:space="preserve"> </w:t>
      </w:r>
      <w:r w:rsidRPr="00C00C7F">
        <w:rPr>
          <w:spacing w:val="0"/>
          <w:sz w:val="22"/>
          <w:szCs w:val="24"/>
        </w:rPr>
        <w:t>Bridging E visas (subclass 050) by the then Minister for Immigration and Border Protection under</w:t>
      </w:r>
      <w:r w:rsidR="00C00C7F">
        <w:rPr>
          <w:spacing w:val="0"/>
          <w:sz w:val="22"/>
          <w:szCs w:val="24"/>
        </w:rPr>
        <w:t xml:space="preserve"> </w:t>
      </w:r>
      <w:r w:rsidRPr="00C00C7F">
        <w:rPr>
          <w:spacing w:val="0"/>
          <w:sz w:val="22"/>
          <w:szCs w:val="24"/>
        </w:rPr>
        <w:t>section 195A of the Act on 21 September 2016.</w:t>
      </w:r>
    </w:p>
    <w:p w14:paraId="21EE3145" w14:textId="77777777" w:rsidR="00D732B2" w:rsidRPr="000E488A" w:rsidRDefault="00D732B2" w:rsidP="000E488A">
      <w:pPr>
        <w:spacing w:before="240" w:line="300" w:lineRule="exact"/>
        <w:ind w:left="1440"/>
        <w:rPr>
          <w:b/>
          <w:spacing w:val="0"/>
          <w:sz w:val="22"/>
          <w:szCs w:val="24"/>
        </w:rPr>
      </w:pPr>
      <w:r w:rsidRPr="000E488A">
        <w:rPr>
          <w:b/>
          <w:spacing w:val="0"/>
          <w:sz w:val="22"/>
          <w:szCs w:val="24"/>
        </w:rPr>
        <w:t>Response to recommendation</w:t>
      </w:r>
    </w:p>
    <w:p w14:paraId="49E4DCB6" w14:textId="77777777" w:rsidR="00D732B2" w:rsidRPr="000E488A" w:rsidRDefault="00D732B2" w:rsidP="000E488A">
      <w:pPr>
        <w:spacing w:before="240" w:line="300" w:lineRule="exact"/>
        <w:ind w:left="1440"/>
        <w:rPr>
          <w:spacing w:val="0"/>
          <w:sz w:val="22"/>
          <w:szCs w:val="24"/>
        </w:rPr>
      </w:pPr>
      <w:r w:rsidRPr="000E488A">
        <w:rPr>
          <w:spacing w:val="0"/>
          <w:sz w:val="22"/>
          <w:szCs w:val="24"/>
        </w:rPr>
        <w:t>The Department notes the AHRC's recommendation.</w:t>
      </w:r>
    </w:p>
    <w:p w14:paraId="6BF4183E" w14:textId="77777777" w:rsidR="00D732B2" w:rsidRPr="000E488A" w:rsidRDefault="00D732B2" w:rsidP="000E488A">
      <w:pPr>
        <w:spacing w:before="240" w:line="300" w:lineRule="exact"/>
        <w:ind w:left="1440"/>
        <w:rPr>
          <w:spacing w:val="0"/>
          <w:sz w:val="22"/>
          <w:szCs w:val="24"/>
        </w:rPr>
      </w:pPr>
      <w:r w:rsidRPr="000E488A">
        <w:rPr>
          <w:spacing w:val="0"/>
          <w:sz w:val="22"/>
          <w:szCs w:val="24"/>
        </w:rPr>
        <w:t>The Department has several existing mechanisms to regularly review and assess the</w:t>
      </w:r>
      <w:r w:rsidR="000E488A">
        <w:rPr>
          <w:spacing w:val="0"/>
          <w:sz w:val="22"/>
          <w:szCs w:val="24"/>
        </w:rPr>
        <w:t xml:space="preserve"> </w:t>
      </w:r>
      <w:r w:rsidRPr="000E488A">
        <w:rPr>
          <w:spacing w:val="0"/>
          <w:sz w:val="22"/>
          <w:szCs w:val="24"/>
        </w:rPr>
        <w:t>appropriateness of detention placements, including but not limited to monthly reviews by Status</w:t>
      </w:r>
      <w:r w:rsidR="000E488A">
        <w:rPr>
          <w:spacing w:val="0"/>
          <w:sz w:val="22"/>
          <w:szCs w:val="24"/>
        </w:rPr>
        <w:t xml:space="preserve"> </w:t>
      </w:r>
      <w:r w:rsidRPr="000E488A">
        <w:rPr>
          <w:spacing w:val="0"/>
          <w:sz w:val="22"/>
          <w:szCs w:val="24"/>
        </w:rPr>
        <w:t>Resolution officers and the Detention Review Committee. The Detention Review Committees</w:t>
      </w:r>
      <w:r w:rsidR="000E488A">
        <w:rPr>
          <w:spacing w:val="0"/>
          <w:sz w:val="22"/>
          <w:szCs w:val="24"/>
        </w:rPr>
        <w:t xml:space="preserve"> </w:t>
      </w:r>
      <w:r w:rsidRPr="000E488A">
        <w:rPr>
          <w:spacing w:val="0"/>
          <w:sz w:val="22"/>
          <w:szCs w:val="24"/>
        </w:rPr>
        <w:t>conduct formal monthly reviews of efforts to progress detainees towards status resolution</w:t>
      </w:r>
      <w:r w:rsidR="000E488A">
        <w:rPr>
          <w:spacing w:val="0"/>
          <w:sz w:val="22"/>
          <w:szCs w:val="24"/>
        </w:rPr>
        <w:t xml:space="preserve"> </w:t>
      </w:r>
      <w:r w:rsidRPr="000E488A">
        <w:rPr>
          <w:spacing w:val="0"/>
          <w:sz w:val="22"/>
          <w:szCs w:val="24"/>
        </w:rPr>
        <w:t>outcomes within held detention. The Department submits that current review mechanisms are</w:t>
      </w:r>
      <w:r w:rsidR="000E488A">
        <w:rPr>
          <w:spacing w:val="0"/>
          <w:sz w:val="22"/>
          <w:szCs w:val="24"/>
        </w:rPr>
        <w:t xml:space="preserve"> </w:t>
      </w:r>
      <w:r w:rsidRPr="000E488A">
        <w:rPr>
          <w:spacing w:val="0"/>
          <w:sz w:val="22"/>
          <w:szCs w:val="24"/>
        </w:rPr>
        <w:t>appropriate.</w:t>
      </w:r>
    </w:p>
    <w:p w14:paraId="0E52F278" w14:textId="77777777" w:rsidR="000E488A" w:rsidRDefault="00D732B2" w:rsidP="000E488A">
      <w:pPr>
        <w:spacing w:before="240" w:line="300" w:lineRule="exact"/>
        <w:ind w:left="1440"/>
        <w:rPr>
          <w:spacing w:val="0"/>
          <w:sz w:val="22"/>
          <w:szCs w:val="24"/>
        </w:rPr>
      </w:pPr>
      <w:r w:rsidRPr="000E488A">
        <w:rPr>
          <w:spacing w:val="0"/>
          <w:sz w:val="22"/>
          <w:szCs w:val="24"/>
        </w:rPr>
        <w:t>When reviewing cases, the Department acts in line with the Government policy in relation to the</w:t>
      </w:r>
      <w:r w:rsidR="000E488A">
        <w:rPr>
          <w:spacing w:val="0"/>
          <w:sz w:val="22"/>
          <w:szCs w:val="24"/>
        </w:rPr>
        <w:t xml:space="preserve"> </w:t>
      </w:r>
      <w:r w:rsidRPr="000E488A">
        <w:rPr>
          <w:spacing w:val="0"/>
          <w:sz w:val="22"/>
          <w:szCs w:val="24"/>
        </w:rPr>
        <w:t>management of cohorts and individuals who cannot be returned involuntarily. Where an</w:t>
      </w:r>
      <w:r w:rsidR="000E488A">
        <w:rPr>
          <w:spacing w:val="0"/>
          <w:sz w:val="22"/>
          <w:szCs w:val="24"/>
        </w:rPr>
        <w:t xml:space="preserve"> </w:t>
      </w:r>
      <w:r w:rsidRPr="000E488A">
        <w:rPr>
          <w:spacing w:val="0"/>
          <w:sz w:val="22"/>
          <w:szCs w:val="24"/>
        </w:rPr>
        <w:t>individual's circumstances indicate that placement in held detention may not be appropriate, the</w:t>
      </w:r>
      <w:r w:rsidR="000E488A">
        <w:rPr>
          <w:spacing w:val="0"/>
          <w:sz w:val="22"/>
          <w:szCs w:val="24"/>
        </w:rPr>
        <w:t xml:space="preserve"> </w:t>
      </w:r>
      <w:r w:rsidRPr="000E488A">
        <w:rPr>
          <w:spacing w:val="0"/>
          <w:sz w:val="22"/>
          <w:szCs w:val="24"/>
        </w:rPr>
        <w:t>Department considers options for alternative management, including consideration of a Bridging</w:t>
      </w:r>
      <w:r w:rsidR="000E488A">
        <w:rPr>
          <w:spacing w:val="0"/>
          <w:sz w:val="22"/>
          <w:szCs w:val="24"/>
        </w:rPr>
        <w:t xml:space="preserve"> </w:t>
      </w:r>
      <w:r w:rsidRPr="000E488A">
        <w:rPr>
          <w:spacing w:val="0"/>
          <w:sz w:val="22"/>
          <w:szCs w:val="24"/>
        </w:rPr>
        <w:t>visa grant by a departmental delegate or referring the case for assessment under the Minister's</w:t>
      </w:r>
      <w:r w:rsidR="000E488A">
        <w:rPr>
          <w:spacing w:val="0"/>
          <w:sz w:val="22"/>
          <w:szCs w:val="24"/>
        </w:rPr>
        <w:t xml:space="preserve"> </w:t>
      </w:r>
      <w:r w:rsidRPr="000E488A">
        <w:rPr>
          <w:spacing w:val="0"/>
          <w:sz w:val="22"/>
          <w:szCs w:val="24"/>
        </w:rPr>
        <w:t>section 195A or 197AB guidelines. There is no prescribed timeframe for when alternative</w:t>
      </w:r>
      <w:r w:rsidR="000E488A">
        <w:rPr>
          <w:spacing w:val="0"/>
          <w:sz w:val="22"/>
          <w:szCs w:val="24"/>
        </w:rPr>
        <w:t xml:space="preserve"> </w:t>
      </w:r>
      <w:r w:rsidRPr="000E488A">
        <w:rPr>
          <w:spacing w:val="0"/>
          <w:sz w:val="22"/>
          <w:szCs w:val="24"/>
        </w:rPr>
        <w:t>management options can be used and consideration is given to alternatives as soon as reasonably</w:t>
      </w:r>
      <w:r w:rsidR="000E488A">
        <w:rPr>
          <w:spacing w:val="0"/>
          <w:sz w:val="22"/>
          <w:szCs w:val="24"/>
        </w:rPr>
        <w:t xml:space="preserve"> </w:t>
      </w:r>
      <w:r w:rsidRPr="000E488A">
        <w:rPr>
          <w:spacing w:val="0"/>
          <w:sz w:val="22"/>
          <w:szCs w:val="24"/>
        </w:rPr>
        <w:t>practicable once it is identified that held detention may not be appropriate.</w:t>
      </w:r>
    </w:p>
    <w:p w14:paraId="1F2CA775" w14:textId="77777777" w:rsidR="00230BB5" w:rsidRPr="00230BB5" w:rsidRDefault="000E488A" w:rsidP="00230BB5">
      <w:pPr>
        <w:numPr>
          <w:ilvl w:val="0"/>
          <w:numId w:val="7"/>
        </w:numPr>
        <w:spacing w:before="240" w:line="300" w:lineRule="exact"/>
        <w:rPr>
          <w:rFonts w:cs="Arial"/>
          <w:spacing w:val="0"/>
          <w:szCs w:val="24"/>
        </w:rPr>
      </w:pPr>
      <w:r w:rsidRPr="000E488A">
        <w:rPr>
          <w:rFonts w:cs="Arial"/>
          <w:spacing w:val="0"/>
          <w:szCs w:val="24"/>
        </w:rPr>
        <w:t>I report acco</w:t>
      </w:r>
      <w:r>
        <w:rPr>
          <w:rFonts w:cs="Arial"/>
          <w:spacing w:val="0"/>
          <w:szCs w:val="24"/>
        </w:rPr>
        <w:t>rdingly to the Attorney-General.</w:t>
      </w:r>
    </w:p>
    <w:p w14:paraId="0F210062" w14:textId="77777777" w:rsidR="000E488A" w:rsidRDefault="000E488A" w:rsidP="000E488A">
      <w:pPr>
        <w:rPr>
          <w:noProof/>
          <w:lang w:eastAsia="en-AU"/>
        </w:rPr>
      </w:pPr>
    </w:p>
    <w:p w14:paraId="00187105" w14:textId="6DD9AA6F" w:rsidR="00BA708B" w:rsidRDefault="00BA708B" w:rsidP="000E488A">
      <w:pPr>
        <w:rPr>
          <w:noProof/>
          <w:lang w:eastAsia="en-AU"/>
        </w:rPr>
      </w:pPr>
    </w:p>
    <w:p w14:paraId="63C003EC" w14:textId="77777777" w:rsidR="00DD5B7A" w:rsidRPr="000E488A" w:rsidRDefault="00DD5B7A" w:rsidP="000E488A">
      <w:pPr>
        <w:rPr>
          <w:rFonts w:cs="Arial"/>
          <w:bCs/>
          <w:lang w:val="en-US"/>
        </w:rPr>
      </w:pPr>
    </w:p>
    <w:p w14:paraId="59350B3E" w14:textId="77777777" w:rsidR="000E488A" w:rsidRPr="00F60FA9" w:rsidRDefault="000E488A" w:rsidP="0069296B">
      <w:pPr>
        <w:spacing w:after="0"/>
      </w:pPr>
      <w:r>
        <w:t xml:space="preserve">Emeritus Professor </w:t>
      </w:r>
      <w:r w:rsidRPr="00F60FA9">
        <w:t>Rosalind Croucher</w:t>
      </w:r>
      <w:r>
        <w:t xml:space="preserve"> AM</w:t>
      </w:r>
    </w:p>
    <w:p w14:paraId="62FD1E57" w14:textId="77777777" w:rsidR="000E488A" w:rsidRPr="009B1EEC" w:rsidRDefault="000E488A" w:rsidP="0069296B">
      <w:pPr>
        <w:spacing w:after="0"/>
        <w:rPr>
          <w:b/>
        </w:rPr>
      </w:pPr>
      <w:r w:rsidRPr="009B1EEC">
        <w:rPr>
          <w:b/>
        </w:rPr>
        <w:t>President</w:t>
      </w:r>
    </w:p>
    <w:p w14:paraId="2381E120" w14:textId="77777777" w:rsidR="000E488A" w:rsidRDefault="000E488A" w:rsidP="008217BE">
      <w:r w:rsidRPr="00F60FA9">
        <w:t>Australian Human Rights Commission</w:t>
      </w:r>
    </w:p>
    <w:p w14:paraId="48A64338" w14:textId="5EEEC3A9" w:rsidR="000E488A" w:rsidRDefault="00090AB5" w:rsidP="000E488A">
      <w:pPr>
        <w:pStyle w:val="BodyText"/>
        <w:contextualSpacing/>
      </w:pPr>
      <w:r>
        <w:t>May</w:t>
      </w:r>
      <w:r w:rsidR="0077025A">
        <w:t xml:space="preserve"> 2019</w:t>
      </w:r>
    </w:p>
    <w:p w14:paraId="2D6D96D5" w14:textId="77777777" w:rsidR="000E488A" w:rsidRPr="000E488A" w:rsidRDefault="000E488A" w:rsidP="000E488A">
      <w:pPr>
        <w:spacing w:after="160" w:line="259" w:lineRule="auto"/>
        <w:rPr>
          <w:rFonts w:cs="Arial"/>
          <w:szCs w:val="24"/>
        </w:rPr>
      </w:pPr>
      <w:r w:rsidRPr="000E488A">
        <w:rPr>
          <w:rFonts w:cs="Arial"/>
          <w:szCs w:val="24"/>
        </w:rPr>
        <w:br w:type="page"/>
      </w:r>
    </w:p>
    <w:sectPr w:rsidR="000E488A" w:rsidRPr="000E488A">
      <w:headerReference w:type="default" r:id="rId11"/>
      <w:footerReference w:type="even" r:id="rId12"/>
      <w:footerReference w:type="default" r:id="rId13"/>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B63583" w14:textId="77777777" w:rsidR="00250EF8" w:rsidRDefault="00250EF8" w:rsidP="00832256">
      <w:r>
        <w:separator/>
      </w:r>
    </w:p>
  </w:endnote>
  <w:endnote w:type="continuationSeparator" w:id="0">
    <w:p w14:paraId="4C1D5C7A" w14:textId="77777777" w:rsidR="00250EF8" w:rsidRDefault="00250EF8" w:rsidP="00832256">
      <w:r>
        <w:continuationSeparator/>
      </w:r>
    </w:p>
  </w:endnote>
  <w:endnote w:id="1">
    <w:p w14:paraId="67CE01CF" w14:textId="77777777" w:rsidR="00FA218A" w:rsidRPr="00931D25" w:rsidRDefault="00FA218A" w:rsidP="00832256">
      <w:pPr>
        <w:pStyle w:val="EndnoteText"/>
        <w:tabs>
          <w:tab w:val="left" w:pos="227"/>
        </w:tabs>
        <w:ind w:left="227" w:hanging="227"/>
        <w:rPr>
          <w:spacing w:val="0"/>
          <w:sz w:val="18"/>
          <w:szCs w:val="18"/>
        </w:rPr>
      </w:pPr>
      <w:r w:rsidRPr="00931D25">
        <w:rPr>
          <w:rStyle w:val="EndnoteReference"/>
          <w:spacing w:val="0"/>
          <w:sz w:val="18"/>
          <w:szCs w:val="18"/>
        </w:rPr>
        <w:endnoteRef/>
      </w:r>
      <w:r w:rsidRPr="00931D25">
        <w:rPr>
          <w:spacing w:val="0"/>
          <w:sz w:val="18"/>
          <w:szCs w:val="18"/>
        </w:rPr>
        <w:t xml:space="preserve"> </w:t>
      </w:r>
      <w:r w:rsidRPr="00931D25">
        <w:rPr>
          <w:spacing w:val="0"/>
          <w:sz w:val="18"/>
          <w:szCs w:val="18"/>
        </w:rPr>
        <w:tab/>
      </w:r>
      <w:r w:rsidRPr="00931D25">
        <w:rPr>
          <w:i/>
          <w:iCs/>
          <w:spacing w:val="0"/>
          <w:sz w:val="18"/>
          <w:szCs w:val="18"/>
        </w:rPr>
        <w:t>International Covenant on Civil and Political Rights,</w:t>
      </w:r>
      <w:r w:rsidRPr="00931D25">
        <w:rPr>
          <w:spacing w:val="0"/>
          <w:sz w:val="18"/>
          <w:szCs w:val="18"/>
        </w:rPr>
        <w:t> opened for signature 16 December 1966, 999 UNTS 171 (entered into force 23 March 1976).</w:t>
      </w:r>
    </w:p>
  </w:endnote>
  <w:endnote w:id="2">
    <w:p w14:paraId="65286000" w14:textId="77777777" w:rsidR="00FA218A" w:rsidRPr="00931D25" w:rsidRDefault="00FA218A" w:rsidP="00832256">
      <w:pPr>
        <w:pStyle w:val="EndnoteText"/>
        <w:tabs>
          <w:tab w:val="left" w:pos="227"/>
        </w:tabs>
        <w:ind w:left="227" w:hanging="227"/>
        <w:rPr>
          <w:spacing w:val="0"/>
          <w:sz w:val="18"/>
          <w:szCs w:val="18"/>
        </w:rPr>
      </w:pPr>
      <w:r w:rsidRPr="00931D25">
        <w:rPr>
          <w:rStyle w:val="EndnoteReference"/>
          <w:spacing w:val="0"/>
          <w:sz w:val="18"/>
          <w:szCs w:val="18"/>
        </w:rPr>
        <w:endnoteRef/>
      </w:r>
      <w:r w:rsidRPr="00931D25">
        <w:rPr>
          <w:spacing w:val="0"/>
          <w:sz w:val="18"/>
          <w:szCs w:val="18"/>
        </w:rPr>
        <w:t xml:space="preserve"> </w:t>
      </w:r>
      <w:r w:rsidRPr="00931D25">
        <w:rPr>
          <w:spacing w:val="0"/>
          <w:sz w:val="18"/>
          <w:szCs w:val="18"/>
        </w:rPr>
        <w:tab/>
        <w:t>IMAs are referred to in the Migration Act as unauthorised maritime arrivals. Section 5AA(a) of the Migration Act defines a person as an ‘unauthorised maritime arrival’ if the person entered Australia by sea (i) at an excised offshore place at any time after the excision time for that place, or (ii) at any other place at any time after the commencement of this section. Christmas Island is an “excised offshore place” as of 8 September 2001.</w:t>
      </w:r>
    </w:p>
  </w:endnote>
  <w:endnote w:id="3">
    <w:p w14:paraId="58F7DF3A" w14:textId="77777777" w:rsidR="00FA218A" w:rsidRPr="00931D25" w:rsidRDefault="00FA218A" w:rsidP="00832256">
      <w:pPr>
        <w:pStyle w:val="EndnoteText"/>
        <w:tabs>
          <w:tab w:val="left" w:pos="227"/>
        </w:tabs>
        <w:ind w:left="227" w:hanging="227"/>
        <w:rPr>
          <w:spacing w:val="0"/>
          <w:sz w:val="18"/>
          <w:szCs w:val="18"/>
        </w:rPr>
      </w:pPr>
      <w:r w:rsidRPr="00931D25">
        <w:rPr>
          <w:rStyle w:val="EndnoteReference"/>
          <w:spacing w:val="0"/>
          <w:sz w:val="18"/>
          <w:szCs w:val="18"/>
        </w:rPr>
        <w:endnoteRef/>
      </w:r>
      <w:r w:rsidRPr="00931D25">
        <w:rPr>
          <w:spacing w:val="0"/>
          <w:sz w:val="18"/>
          <w:szCs w:val="18"/>
        </w:rPr>
        <w:t xml:space="preserve"> </w:t>
      </w:r>
      <w:r w:rsidRPr="00931D25">
        <w:rPr>
          <w:spacing w:val="0"/>
          <w:sz w:val="18"/>
          <w:szCs w:val="18"/>
        </w:rPr>
        <w:tab/>
        <w:t>Section 14(1) of the Migration Act: a non-citizen who is not a lawful non-citizen is an unlawful non-citizen. Section 13 defines a lawful non-citizen as someone who holds a visa.</w:t>
      </w:r>
    </w:p>
  </w:endnote>
  <w:endnote w:id="4">
    <w:p w14:paraId="383B9E3F" w14:textId="77777777" w:rsidR="00FA218A" w:rsidRPr="00931D25" w:rsidRDefault="00FA218A" w:rsidP="00832256">
      <w:pPr>
        <w:pStyle w:val="EndnoteText"/>
        <w:tabs>
          <w:tab w:val="left" w:pos="227"/>
        </w:tabs>
        <w:ind w:left="227" w:hanging="227"/>
        <w:rPr>
          <w:spacing w:val="0"/>
          <w:sz w:val="18"/>
          <w:szCs w:val="18"/>
        </w:rPr>
      </w:pPr>
      <w:r w:rsidRPr="00931D25">
        <w:rPr>
          <w:rStyle w:val="EndnoteReference"/>
          <w:spacing w:val="0"/>
          <w:sz w:val="18"/>
          <w:szCs w:val="18"/>
        </w:rPr>
        <w:endnoteRef/>
      </w:r>
      <w:r w:rsidRPr="00931D25">
        <w:rPr>
          <w:spacing w:val="0"/>
          <w:sz w:val="18"/>
          <w:szCs w:val="18"/>
        </w:rPr>
        <w:t xml:space="preserve"> </w:t>
      </w:r>
      <w:r w:rsidRPr="00931D25">
        <w:rPr>
          <w:spacing w:val="0"/>
          <w:sz w:val="18"/>
          <w:szCs w:val="18"/>
        </w:rPr>
        <w:tab/>
      </w:r>
      <w:r w:rsidRPr="00931D25">
        <w:rPr>
          <w:rFonts w:cs="Arial"/>
          <w:spacing w:val="0"/>
          <w:sz w:val="18"/>
          <w:szCs w:val="18"/>
        </w:rPr>
        <w:t xml:space="preserve">Department Case Review notes for Mr </w:t>
      </w:r>
      <w:r>
        <w:rPr>
          <w:rFonts w:cs="Arial"/>
          <w:spacing w:val="0"/>
          <w:sz w:val="18"/>
          <w:szCs w:val="18"/>
        </w:rPr>
        <w:t>IB</w:t>
      </w:r>
      <w:r w:rsidRPr="00931D25">
        <w:rPr>
          <w:rFonts w:cs="Arial"/>
          <w:spacing w:val="0"/>
          <w:sz w:val="18"/>
          <w:szCs w:val="18"/>
        </w:rPr>
        <w:t xml:space="preserve"> dated 06/01/2015.</w:t>
      </w:r>
    </w:p>
  </w:endnote>
  <w:endnote w:id="5">
    <w:p w14:paraId="6232991F" w14:textId="77777777" w:rsidR="00FA218A" w:rsidRPr="00931D25" w:rsidRDefault="00FA218A" w:rsidP="00832256">
      <w:pPr>
        <w:pStyle w:val="EndnoteText"/>
        <w:tabs>
          <w:tab w:val="left" w:pos="227"/>
        </w:tabs>
        <w:ind w:left="227" w:hanging="227"/>
        <w:rPr>
          <w:spacing w:val="0"/>
          <w:sz w:val="18"/>
          <w:szCs w:val="18"/>
        </w:rPr>
      </w:pPr>
      <w:r w:rsidRPr="00931D25">
        <w:rPr>
          <w:rStyle w:val="EndnoteReference"/>
          <w:spacing w:val="0"/>
          <w:sz w:val="18"/>
          <w:szCs w:val="18"/>
        </w:rPr>
        <w:endnoteRef/>
      </w:r>
      <w:r w:rsidRPr="00931D25">
        <w:rPr>
          <w:spacing w:val="0"/>
          <w:sz w:val="18"/>
          <w:szCs w:val="18"/>
        </w:rPr>
        <w:t xml:space="preserve"> </w:t>
      </w:r>
      <w:r w:rsidRPr="00931D25">
        <w:rPr>
          <w:spacing w:val="0"/>
          <w:sz w:val="18"/>
          <w:szCs w:val="18"/>
        </w:rPr>
        <w:tab/>
        <w:t xml:space="preserve">Letter from Psychologist treating Mr </w:t>
      </w:r>
      <w:r>
        <w:rPr>
          <w:spacing w:val="0"/>
          <w:sz w:val="18"/>
          <w:szCs w:val="18"/>
        </w:rPr>
        <w:t>IC</w:t>
      </w:r>
      <w:r w:rsidRPr="00931D25">
        <w:rPr>
          <w:spacing w:val="0"/>
          <w:sz w:val="18"/>
          <w:szCs w:val="18"/>
        </w:rPr>
        <w:t xml:space="preserve"> dated </w:t>
      </w:r>
      <w:r w:rsidRPr="00931D25">
        <w:rPr>
          <w:rFonts w:cs="Arial"/>
          <w:spacing w:val="0"/>
          <w:sz w:val="18"/>
          <w:szCs w:val="18"/>
        </w:rPr>
        <w:t>25/7/2014.</w:t>
      </w:r>
    </w:p>
  </w:endnote>
  <w:endnote w:id="6">
    <w:p w14:paraId="4A2929FB" w14:textId="5BF7633D" w:rsidR="00FA218A" w:rsidRPr="00931D25" w:rsidRDefault="00FA218A" w:rsidP="00832256">
      <w:pPr>
        <w:pStyle w:val="EndnoteText"/>
        <w:tabs>
          <w:tab w:val="left" w:pos="227"/>
        </w:tabs>
        <w:ind w:left="227" w:hanging="227"/>
        <w:rPr>
          <w:spacing w:val="0"/>
          <w:sz w:val="18"/>
          <w:szCs w:val="18"/>
        </w:rPr>
      </w:pPr>
      <w:r w:rsidRPr="00931D25">
        <w:rPr>
          <w:rStyle w:val="EndnoteReference"/>
          <w:spacing w:val="0"/>
          <w:sz w:val="18"/>
          <w:szCs w:val="18"/>
        </w:rPr>
        <w:endnoteRef/>
      </w:r>
      <w:r w:rsidRPr="00931D25">
        <w:rPr>
          <w:spacing w:val="0"/>
          <w:sz w:val="18"/>
          <w:szCs w:val="18"/>
        </w:rPr>
        <w:t xml:space="preserve"> </w:t>
      </w:r>
      <w:r w:rsidRPr="00931D25">
        <w:rPr>
          <w:spacing w:val="0"/>
          <w:sz w:val="18"/>
          <w:szCs w:val="18"/>
        </w:rPr>
        <w:tab/>
        <w:t xml:space="preserve">Joint Press Conference with Iranian Foreign Minister Javad Zarif, 15 March 2016, Canberra, at </w:t>
      </w:r>
      <w:hyperlink r:id="rId1" w:history="1">
        <w:r w:rsidRPr="00707D51">
          <w:rPr>
            <w:rStyle w:val="Hyperlink"/>
            <w:spacing w:val="0"/>
            <w:sz w:val="18"/>
            <w:szCs w:val="18"/>
          </w:rPr>
          <w:t>http://foreignminister.gov.au/transcripts/Pages/2016/jb_tr_160315.aspx?w=tb1CaGpkPX%2FlS0K%2Bg9ZKEg%3D%3D</w:t>
        </w:r>
      </w:hyperlink>
      <w:r w:rsidRPr="00931D25">
        <w:rPr>
          <w:spacing w:val="0"/>
          <w:sz w:val="18"/>
          <w:szCs w:val="18"/>
        </w:rPr>
        <w:t xml:space="preserve"> (viewed 24 November 2017).</w:t>
      </w:r>
    </w:p>
  </w:endnote>
  <w:endnote w:id="7">
    <w:p w14:paraId="283C555B" w14:textId="77777777" w:rsidR="00FA218A" w:rsidRPr="00931D25" w:rsidRDefault="00FA218A" w:rsidP="00832256">
      <w:pPr>
        <w:pStyle w:val="EndnoteText"/>
        <w:tabs>
          <w:tab w:val="left" w:pos="227"/>
        </w:tabs>
        <w:ind w:left="227" w:hanging="227"/>
        <w:rPr>
          <w:spacing w:val="0"/>
          <w:sz w:val="18"/>
          <w:szCs w:val="18"/>
        </w:rPr>
      </w:pPr>
      <w:r w:rsidRPr="00931D25">
        <w:rPr>
          <w:rStyle w:val="EndnoteReference"/>
          <w:spacing w:val="0"/>
          <w:sz w:val="18"/>
          <w:szCs w:val="18"/>
        </w:rPr>
        <w:endnoteRef/>
      </w:r>
      <w:r w:rsidRPr="00931D25">
        <w:rPr>
          <w:spacing w:val="0"/>
          <w:sz w:val="18"/>
          <w:szCs w:val="18"/>
        </w:rPr>
        <w:t xml:space="preserve"> </w:t>
      </w:r>
      <w:r w:rsidRPr="00931D25">
        <w:rPr>
          <w:spacing w:val="0"/>
          <w:sz w:val="18"/>
          <w:szCs w:val="18"/>
        </w:rPr>
        <w:tab/>
        <w:t xml:space="preserve">See </w:t>
      </w:r>
      <w:r w:rsidRPr="00931D25">
        <w:rPr>
          <w:i/>
          <w:spacing w:val="0"/>
          <w:sz w:val="18"/>
          <w:szCs w:val="18"/>
        </w:rPr>
        <w:t xml:space="preserve">Secretary, Department of Defence v HREOC, Burgess &amp; Ors </w:t>
      </w:r>
      <w:r w:rsidRPr="00931D25">
        <w:rPr>
          <w:spacing w:val="0"/>
          <w:sz w:val="18"/>
          <w:szCs w:val="18"/>
        </w:rPr>
        <w:t>(1997) 78 FCR 208.</w:t>
      </w:r>
    </w:p>
  </w:endnote>
  <w:endnote w:id="8">
    <w:p w14:paraId="2DA34F5D" w14:textId="77777777" w:rsidR="00FA218A" w:rsidRPr="008217BE" w:rsidRDefault="00FA218A" w:rsidP="00832256">
      <w:pPr>
        <w:pStyle w:val="EndnoteText"/>
        <w:tabs>
          <w:tab w:val="left" w:pos="227"/>
        </w:tabs>
        <w:ind w:left="227" w:hanging="227"/>
        <w:rPr>
          <w:spacing w:val="0"/>
          <w:sz w:val="18"/>
          <w:szCs w:val="18"/>
          <w:lang w:val="it-IT"/>
        </w:rPr>
      </w:pPr>
      <w:r w:rsidRPr="00931D25">
        <w:rPr>
          <w:rStyle w:val="EndnoteReference"/>
          <w:spacing w:val="0"/>
          <w:sz w:val="18"/>
          <w:szCs w:val="18"/>
        </w:rPr>
        <w:endnoteRef/>
      </w:r>
      <w:r w:rsidRPr="00931D25">
        <w:rPr>
          <w:spacing w:val="0"/>
          <w:sz w:val="18"/>
          <w:szCs w:val="18"/>
        </w:rPr>
        <w:t xml:space="preserve"> </w:t>
      </w:r>
      <w:r w:rsidRPr="00931D25">
        <w:rPr>
          <w:spacing w:val="0"/>
          <w:sz w:val="18"/>
          <w:szCs w:val="18"/>
        </w:rPr>
        <w:tab/>
        <w:t xml:space="preserve">UN Human Rights Committee, General Comment No. 35 (2014) </w:t>
      </w:r>
      <w:r w:rsidRPr="00931D25">
        <w:rPr>
          <w:i/>
          <w:spacing w:val="0"/>
          <w:sz w:val="18"/>
          <w:szCs w:val="18"/>
        </w:rPr>
        <w:t>Article 9 (Liberty and security of person)</w:t>
      </w:r>
      <w:r w:rsidRPr="00931D25">
        <w:rPr>
          <w:spacing w:val="0"/>
          <w:sz w:val="18"/>
          <w:szCs w:val="18"/>
        </w:rPr>
        <w:t>, UN Doc CCPR/C/GC/35</w:t>
      </w:r>
      <w:r w:rsidRPr="00931D25">
        <w:rPr>
          <w:i/>
          <w:spacing w:val="0"/>
          <w:sz w:val="18"/>
          <w:szCs w:val="18"/>
        </w:rPr>
        <w:t xml:space="preserve">. </w:t>
      </w:r>
      <w:r w:rsidRPr="008217BE">
        <w:rPr>
          <w:spacing w:val="0"/>
          <w:sz w:val="18"/>
          <w:szCs w:val="18"/>
          <w:lang w:val="it-IT"/>
        </w:rPr>
        <w:t xml:space="preserve">See also </w:t>
      </w:r>
      <w:r w:rsidRPr="008217BE">
        <w:rPr>
          <w:i/>
          <w:spacing w:val="0"/>
          <w:sz w:val="18"/>
          <w:szCs w:val="18"/>
          <w:lang w:val="it-IT"/>
        </w:rPr>
        <w:t xml:space="preserve">A v Australia </w:t>
      </w:r>
      <w:r w:rsidRPr="008217BE">
        <w:rPr>
          <w:spacing w:val="0"/>
          <w:sz w:val="18"/>
          <w:szCs w:val="18"/>
          <w:lang w:val="it-IT"/>
        </w:rPr>
        <w:t xml:space="preserve">[1997] UNHRC 7, UN Doc CCPR/C/59/D/560/1993; </w:t>
      </w:r>
      <w:r w:rsidRPr="008217BE">
        <w:rPr>
          <w:i/>
          <w:spacing w:val="0"/>
          <w:sz w:val="18"/>
          <w:szCs w:val="18"/>
          <w:lang w:val="it-IT"/>
        </w:rPr>
        <w:t xml:space="preserve">C v Australia </w:t>
      </w:r>
      <w:r w:rsidRPr="008217BE">
        <w:rPr>
          <w:spacing w:val="0"/>
          <w:sz w:val="18"/>
          <w:szCs w:val="18"/>
          <w:lang w:val="it-IT"/>
        </w:rPr>
        <w:t xml:space="preserve">[2002] UNHRC 52, UN Doc CCPR/C/76/D/900/1999; </w:t>
      </w:r>
      <w:r w:rsidRPr="008217BE">
        <w:rPr>
          <w:i/>
          <w:spacing w:val="0"/>
          <w:sz w:val="18"/>
          <w:szCs w:val="18"/>
          <w:lang w:val="it-IT"/>
        </w:rPr>
        <w:t xml:space="preserve">Baban v Australia </w:t>
      </w:r>
      <w:r w:rsidRPr="008217BE">
        <w:rPr>
          <w:spacing w:val="0"/>
          <w:sz w:val="18"/>
          <w:szCs w:val="18"/>
          <w:lang w:val="it-IT"/>
        </w:rPr>
        <w:t>[2003] UNHRC 22, UN Doc CCPR/C/78/D/1014/2001.</w:t>
      </w:r>
    </w:p>
  </w:endnote>
  <w:endnote w:id="9">
    <w:p w14:paraId="6D286B50" w14:textId="4606D7E1" w:rsidR="00FA218A" w:rsidRPr="00931D25" w:rsidRDefault="00FA218A" w:rsidP="00832256">
      <w:pPr>
        <w:pStyle w:val="EndnoteText"/>
        <w:tabs>
          <w:tab w:val="left" w:pos="227"/>
        </w:tabs>
        <w:ind w:left="227" w:hanging="227"/>
        <w:rPr>
          <w:spacing w:val="0"/>
          <w:sz w:val="18"/>
          <w:szCs w:val="18"/>
        </w:rPr>
      </w:pPr>
      <w:r w:rsidRPr="00931D25">
        <w:rPr>
          <w:rStyle w:val="EndnoteReference"/>
          <w:spacing w:val="0"/>
          <w:sz w:val="18"/>
          <w:szCs w:val="18"/>
        </w:rPr>
        <w:endnoteRef/>
      </w:r>
      <w:r w:rsidRPr="00931D25">
        <w:rPr>
          <w:spacing w:val="0"/>
          <w:sz w:val="18"/>
          <w:szCs w:val="18"/>
        </w:rPr>
        <w:t xml:space="preserve"> </w:t>
      </w:r>
      <w:r w:rsidRPr="00931D25">
        <w:rPr>
          <w:spacing w:val="0"/>
          <w:sz w:val="18"/>
          <w:szCs w:val="18"/>
        </w:rPr>
        <w:tab/>
        <w:t xml:space="preserve">UN Human Rights Committee, General Comment No. 35 (2014) </w:t>
      </w:r>
      <w:r w:rsidRPr="00931D25">
        <w:rPr>
          <w:i/>
          <w:spacing w:val="0"/>
          <w:sz w:val="18"/>
          <w:szCs w:val="18"/>
        </w:rPr>
        <w:t>Article 9 (Liberty and security of person)</w:t>
      </w:r>
      <w:r w:rsidRPr="00931D25">
        <w:rPr>
          <w:spacing w:val="0"/>
          <w:sz w:val="18"/>
          <w:szCs w:val="18"/>
        </w:rPr>
        <w:t xml:space="preserve">, UN Doc CCPR/C/GC/35 [18]; UN Human Rights Committee, General Comment No. 31 [80] (2004) </w:t>
      </w:r>
      <w:r w:rsidRPr="00931D25">
        <w:rPr>
          <w:i/>
          <w:spacing w:val="0"/>
          <w:sz w:val="18"/>
          <w:szCs w:val="18"/>
        </w:rPr>
        <w:t>Nature of the General Legal Obligation Imposed on States Parties to the Covenant</w:t>
      </w:r>
      <w:r w:rsidRPr="00931D25">
        <w:rPr>
          <w:spacing w:val="0"/>
          <w:sz w:val="18"/>
          <w:szCs w:val="18"/>
        </w:rPr>
        <w:t>, UN Doc CCPR/C/21/Rev.1/Add.13 [6].</w:t>
      </w:r>
    </w:p>
  </w:endnote>
  <w:endnote w:id="10">
    <w:p w14:paraId="42A9D5AC" w14:textId="77777777" w:rsidR="00FA218A" w:rsidRPr="00931D25" w:rsidRDefault="00FA218A" w:rsidP="00832256">
      <w:pPr>
        <w:pStyle w:val="EndnoteText"/>
        <w:tabs>
          <w:tab w:val="left" w:pos="227"/>
        </w:tabs>
        <w:ind w:left="227" w:hanging="227"/>
        <w:rPr>
          <w:spacing w:val="0"/>
          <w:sz w:val="18"/>
          <w:szCs w:val="18"/>
        </w:rPr>
      </w:pPr>
      <w:r w:rsidRPr="00931D25">
        <w:rPr>
          <w:rStyle w:val="EndnoteReference"/>
          <w:spacing w:val="0"/>
          <w:sz w:val="18"/>
          <w:szCs w:val="18"/>
        </w:rPr>
        <w:endnoteRef/>
      </w:r>
      <w:r w:rsidRPr="00931D25">
        <w:rPr>
          <w:spacing w:val="0"/>
          <w:sz w:val="18"/>
          <w:szCs w:val="18"/>
        </w:rPr>
        <w:t xml:space="preserve"> </w:t>
      </w:r>
      <w:r w:rsidRPr="00931D25">
        <w:rPr>
          <w:spacing w:val="0"/>
          <w:sz w:val="18"/>
          <w:szCs w:val="18"/>
        </w:rPr>
        <w:tab/>
      </w:r>
      <w:r w:rsidRPr="00931D25">
        <w:rPr>
          <w:i/>
          <w:spacing w:val="0"/>
          <w:sz w:val="18"/>
          <w:szCs w:val="18"/>
        </w:rPr>
        <w:t xml:space="preserve">Manga v Attorney-General </w:t>
      </w:r>
      <w:r w:rsidRPr="00931D25">
        <w:rPr>
          <w:spacing w:val="0"/>
          <w:sz w:val="18"/>
          <w:szCs w:val="18"/>
        </w:rPr>
        <w:t xml:space="preserve">[2000] 2 NZLR 65 [40]-[42] (Hammond J). See also the views of the UN Human Rights Committee in </w:t>
      </w:r>
      <w:r w:rsidRPr="00931D25">
        <w:rPr>
          <w:i/>
          <w:spacing w:val="0"/>
          <w:sz w:val="18"/>
          <w:szCs w:val="18"/>
        </w:rPr>
        <w:t xml:space="preserve">Van Alphen v The Netherlands </w:t>
      </w:r>
      <w:r w:rsidRPr="00931D25">
        <w:rPr>
          <w:spacing w:val="0"/>
          <w:sz w:val="18"/>
          <w:szCs w:val="18"/>
        </w:rPr>
        <w:t xml:space="preserve">[1990] UNHRC 22, UN Doc CCPR/C/39/D/305/1988; </w:t>
      </w:r>
      <w:r w:rsidRPr="00931D25">
        <w:rPr>
          <w:i/>
          <w:spacing w:val="0"/>
          <w:sz w:val="18"/>
          <w:szCs w:val="18"/>
        </w:rPr>
        <w:t xml:space="preserve">A v Australia </w:t>
      </w:r>
      <w:r w:rsidRPr="00931D25">
        <w:rPr>
          <w:spacing w:val="0"/>
          <w:sz w:val="18"/>
          <w:szCs w:val="18"/>
        </w:rPr>
        <w:t xml:space="preserve">[1997] UNHRC 7, UN Doc CCPR/C/59/D/560/1993; </w:t>
      </w:r>
      <w:r w:rsidRPr="00931D25">
        <w:rPr>
          <w:i/>
          <w:spacing w:val="0"/>
          <w:sz w:val="18"/>
          <w:szCs w:val="18"/>
        </w:rPr>
        <w:t xml:space="preserve">Spakmo v Norway </w:t>
      </w:r>
      <w:r w:rsidRPr="00931D25">
        <w:rPr>
          <w:spacing w:val="0"/>
          <w:sz w:val="18"/>
          <w:szCs w:val="18"/>
        </w:rPr>
        <w:t xml:space="preserve">[1999] UNHRC 42, UN Doc </w:t>
      </w:r>
      <w:bookmarkStart w:id="14" w:name="_bookmark15"/>
      <w:bookmarkEnd w:id="14"/>
      <w:r w:rsidRPr="00931D25">
        <w:rPr>
          <w:spacing w:val="0"/>
          <w:sz w:val="18"/>
          <w:szCs w:val="18"/>
        </w:rPr>
        <w:t>CCPR/C/67/D/631/1995.</w:t>
      </w:r>
    </w:p>
  </w:endnote>
  <w:endnote w:id="11">
    <w:p w14:paraId="0876F9D6" w14:textId="77777777" w:rsidR="00FA218A" w:rsidRPr="00931D25" w:rsidRDefault="00FA218A" w:rsidP="00832256">
      <w:pPr>
        <w:pStyle w:val="EndnoteText"/>
        <w:tabs>
          <w:tab w:val="left" w:pos="227"/>
        </w:tabs>
        <w:ind w:left="227" w:hanging="227"/>
        <w:rPr>
          <w:spacing w:val="0"/>
          <w:sz w:val="18"/>
          <w:szCs w:val="18"/>
        </w:rPr>
      </w:pPr>
      <w:r w:rsidRPr="00931D25">
        <w:rPr>
          <w:rStyle w:val="EndnoteReference"/>
          <w:spacing w:val="0"/>
          <w:sz w:val="18"/>
          <w:szCs w:val="18"/>
        </w:rPr>
        <w:endnoteRef/>
      </w:r>
      <w:r w:rsidRPr="00931D25">
        <w:rPr>
          <w:spacing w:val="0"/>
          <w:sz w:val="18"/>
          <w:szCs w:val="18"/>
        </w:rPr>
        <w:t xml:space="preserve"> </w:t>
      </w:r>
      <w:r w:rsidRPr="00931D25">
        <w:rPr>
          <w:spacing w:val="0"/>
          <w:sz w:val="18"/>
          <w:szCs w:val="18"/>
        </w:rPr>
        <w:tab/>
        <w:t xml:space="preserve">UN Human Rights Committee, General Comment 31 [80] (2004) </w:t>
      </w:r>
      <w:r w:rsidRPr="00931D25">
        <w:rPr>
          <w:i/>
          <w:spacing w:val="0"/>
          <w:sz w:val="18"/>
          <w:szCs w:val="18"/>
        </w:rPr>
        <w:t>Nature of the General Legal Obligation Imposed on States Parties to the Covenant</w:t>
      </w:r>
      <w:r w:rsidRPr="00931D25">
        <w:rPr>
          <w:spacing w:val="0"/>
          <w:sz w:val="18"/>
          <w:szCs w:val="18"/>
        </w:rPr>
        <w:t xml:space="preserve">, UN Doc CCPR/C/21/Rev.1/Add.13 [6]; UN Human Rights Committee, General Comment 35 (2014) </w:t>
      </w:r>
      <w:r w:rsidRPr="00931D25">
        <w:rPr>
          <w:i/>
          <w:spacing w:val="0"/>
          <w:sz w:val="18"/>
          <w:szCs w:val="18"/>
        </w:rPr>
        <w:t xml:space="preserve">Article 9 (Liberty and security of person); A v Australia </w:t>
      </w:r>
      <w:r w:rsidRPr="00931D25">
        <w:rPr>
          <w:spacing w:val="0"/>
          <w:sz w:val="18"/>
          <w:szCs w:val="18"/>
        </w:rPr>
        <w:t xml:space="preserve">[1997] UNHRC 7, UN Doc CCPR/C/76/D/900/1993 (the fact that the author may abscond if released into the community was not sufficient reason to justify holding the author in immigration detention for four </w:t>
      </w:r>
      <w:bookmarkStart w:id="16" w:name="_bookmark16"/>
      <w:bookmarkEnd w:id="16"/>
      <w:r w:rsidRPr="00931D25">
        <w:rPr>
          <w:spacing w:val="0"/>
          <w:sz w:val="18"/>
          <w:szCs w:val="18"/>
        </w:rPr>
        <w:t xml:space="preserve">years); </w:t>
      </w:r>
      <w:r w:rsidRPr="00931D25">
        <w:rPr>
          <w:i/>
          <w:spacing w:val="0"/>
          <w:sz w:val="18"/>
          <w:szCs w:val="18"/>
        </w:rPr>
        <w:t xml:space="preserve">C v Australia </w:t>
      </w:r>
      <w:r w:rsidRPr="00931D25">
        <w:rPr>
          <w:spacing w:val="0"/>
          <w:sz w:val="18"/>
          <w:szCs w:val="18"/>
        </w:rPr>
        <w:t>[2002] UNHRC 52, UN Doc CCPR/C/76/D/900/1999.</w:t>
      </w:r>
    </w:p>
  </w:endnote>
  <w:endnote w:id="12">
    <w:p w14:paraId="575B2BC1" w14:textId="77777777" w:rsidR="00FA218A" w:rsidRPr="00931D25" w:rsidRDefault="00FA218A" w:rsidP="00832256">
      <w:pPr>
        <w:pStyle w:val="EndnoteText"/>
        <w:tabs>
          <w:tab w:val="left" w:pos="227"/>
        </w:tabs>
        <w:ind w:left="227" w:hanging="227"/>
        <w:rPr>
          <w:spacing w:val="0"/>
          <w:sz w:val="18"/>
          <w:szCs w:val="18"/>
        </w:rPr>
      </w:pPr>
      <w:r w:rsidRPr="00931D25">
        <w:rPr>
          <w:rStyle w:val="EndnoteReference"/>
          <w:spacing w:val="0"/>
          <w:sz w:val="18"/>
          <w:szCs w:val="18"/>
        </w:rPr>
        <w:endnoteRef/>
      </w:r>
      <w:r w:rsidRPr="00931D25">
        <w:rPr>
          <w:spacing w:val="0"/>
          <w:sz w:val="18"/>
          <w:szCs w:val="18"/>
        </w:rPr>
        <w:t xml:space="preserve"> </w:t>
      </w:r>
      <w:r w:rsidRPr="00931D25">
        <w:rPr>
          <w:spacing w:val="0"/>
          <w:sz w:val="18"/>
          <w:szCs w:val="18"/>
        </w:rPr>
        <w:tab/>
      </w:r>
      <w:r w:rsidRPr="00931D25">
        <w:rPr>
          <w:i/>
          <w:spacing w:val="0"/>
          <w:sz w:val="18"/>
          <w:szCs w:val="18"/>
        </w:rPr>
        <w:t xml:space="preserve">Van Alphen v The Netherlands </w:t>
      </w:r>
      <w:r w:rsidRPr="00931D25">
        <w:rPr>
          <w:spacing w:val="0"/>
          <w:sz w:val="18"/>
          <w:szCs w:val="18"/>
        </w:rPr>
        <w:t>[1990] UNHRC 22, UN Doc CCPR/C/39/D/305/1988.</w:t>
      </w:r>
    </w:p>
  </w:endnote>
  <w:endnote w:id="13">
    <w:p w14:paraId="5FAA80F9" w14:textId="77777777" w:rsidR="00FA218A" w:rsidRPr="008217BE" w:rsidRDefault="00FA218A" w:rsidP="00832256">
      <w:pPr>
        <w:pStyle w:val="EndnoteText"/>
        <w:tabs>
          <w:tab w:val="left" w:pos="227"/>
        </w:tabs>
        <w:ind w:left="227" w:hanging="227"/>
        <w:rPr>
          <w:spacing w:val="0"/>
          <w:sz w:val="18"/>
          <w:szCs w:val="18"/>
          <w:lang w:val="it-IT"/>
        </w:rPr>
      </w:pPr>
      <w:r w:rsidRPr="00931D25">
        <w:rPr>
          <w:rStyle w:val="EndnoteReference"/>
          <w:spacing w:val="0"/>
          <w:sz w:val="18"/>
          <w:szCs w:val="18"/>
        </w:rPr>
        <w:endnoteRef/>
      </w:r>
      <w:r w:rsidRPr="008217BE">
        <w:rPr>
          <w:spacing w:val="0"/>
          <w:sz w:val="18"/>
          <w:szCs w:val="18"/>
          <w:lang w:val="it-IT"/>
        </w:rPr>
        <w:t xml:space="preserve"> </w:t>
      </w:r>
      <w:r w:rsidRPr="008217BE">
        <w:rPr>
          <w:spacing w:val="0"/>
          <w:sz w:val="18"/>
          <w:szCs w:val="18"/>
          <w:lang w:val="it-IT"/>
        </w:rPr>
        <w:tab/>
      </w:r>
      <w:r w:rsidRPr="008217BE">
        <w:rPr>
          <w:i/>
          <w:spacing w:val="0"/>
          <w:sz w:val="18"/>
          <w:szCs w:val="18"/>
          <w:lang w:val="it-IT"/>
        </w:rPr>
        <w:t xml:space="preserve">C v Australia </w:t>
      </w:r>
      <w:r w:rsidRPr="008217BE">
        <w:rPr>
          <w:spacing w:val="0"/>
          <w:sz w:val="18"/>
          <w:szCs w:val="18"/>
          <w:lang w:val="it-IT"/>
        </w:rPr>
        <w:t xml:space="preserve">[2002] UNHRC 52, UN Doc CCPR/C/76/D/900/1999; </w:t>
      </w:r>
      <w:r w:rsidRPr="008217BE">
        <w:rPr>
          <w:i/>
          <w:spacing w:val="0"/>
          <w:sz w:val="18"/>
          <w:szCs w:val="18"/>
          <w:lang w:val="it-IT"/>
        </w:rPr>
        <w:t xml:space="preserve">Shams &amp; Ors v Australia </w:t>
      </w:r>
      <w:r w:rsidRPr="008217BE">
        <w:rPr>
          <w:spacing w:val="0"/>
          <w:sz w:val="18"/>
          <w:szCs w:val="18"/>
          <w:lang w:val="it-IT"/>
        </w:rPr>
        <w:t xml:space="preserve">[2007] UNHRC 73, UN Doc CCPR/C/90/D/1255/2004; </w:t>
      </w:r>
      <w:r w:rsidRPr="008217BE">
        <w:rPr>
          <w:i/>
          <w:spacing w:val="0"/>
          <w:sz w:val="18"/>
          <w:szCs w:val="18"/>
          <w:lang w:val="it-IT"/>
        </w:rPr>
        <w:t xml:space="preserve">Baban v Australia </w:t>
      </w:r>
      <w:r w:rsidRPr="008217BE">
        <w:rPr>
          <w:spacing w:val="0"/>
          <w:sz w:val="18"/>
          <w:szCs w:val="18"/>
          <w:lang w:val="it-IT"/>
        </w:rPr>
        <w:t xml:space="preserve">[2003] UNHRC 22, CCPR/C/78/D/1014/2001; </w:t>
      </w:r>
      <w:r w:rsidRPr="008217BE">
        <w:rPr>
          <w:i/>
          <w:spacing w:val="0"/>
          <w:sz w:val="18"/>
          <w:szCs w:val="18"/>
          <w:lang w:val="it-IT"/>
        </w:rPr>
        <w:t xml:space="preserve">D and E v Australia </w:t>
      </w:r>
      <w:r w:rsidRPr="008217BE">
        <w:rPr>
          <w:spacing w:val="0"/>
          <w:sz w:val="18"/>
          <w:szCs w:val="18"/>
          <w:lang w:val="it-IT"/>
        </w:rPr>
        <w:t>[2006] UNHRC 32, CCPR/C/87/D/1050/2002.</w:t>
      </w:r>
    </w:p>
  </w:endnote>
  <w:endnote w:id="14">
    <w:p w14:paraId="2B22C5F2" w14:textId="77777777" w:rsidR="00FA218A" w:rsidRPr="00931D25" w:rsidRDefault="00FA218A" w:rsidP="00832256">
      <w:pPr>
        <w:pStyle w:val="EndnoteText"/>
        <w:tabs>
          <w:tab w:val="left" w:pos="227"/>
        </w:tabs>
        <w:ind w:left="227" w:hanging="227"/>
        <w:rPr>
          <w:spacing w:val="0"/>
          <w:sz w:val="18"/>
          <w:szCs w:val="18"/>
        </w:rPr>
      </w:pPr>
      <w:r w:rsidRPr="00931D25">
        <w:rPr>
          <w:rStyle w:val="EndnoteReference"/>
          <w:spacing w:val="0"/>
          <w:sz w:val="18"/>
          <w:szCs w:val="18"/>
        </w:rPr>
        <w:endnoteRef/>
      </w:r>
      <w:r w:rsidRPr="00931D25">
        <w:rPr>
          <w:spacing w:val="0"/>
          <w:sz w:val="18"/>
          <w:szCs w:val="18"/>
        </w:rPr>
        <w:t xml:space="preserve"> </w:t>
      </w:r>
      <w:r w:rsidRPr="00931D25">
        <w:rPr>
          <w:spacing w:val="0"/>
          <w:sz w:val="18"/>
          <w:szCs w:val="18"/>
        </w:rPr>
        <w:tab/>
        <w:t xml:space="preserve">United Nations Human Rights Committee, General Comment No. 35 (2014), </w:t>
      </w:r>
      <w:r w:rsidRPr="00931D25">
        <w:rPr>
          <w:i/>
          <w:spacing w:val="0"/>
          <w:sz w:val="18"/>
          <w:szCs w:val="18"/>
        </w:rPr>
        <w:t>Article 9 (Liberty and security of person)</w:t>
      </w:r>
      <w:r w:rsidRPr="00931D25">
        <w:rPr>
          <w:spacing w:val="0"/>
          <w:sz w:val="18"/>
          <w:szCs w:val="18"/>
        </w:rPr>
        <w:t>, UN Doc CCPR/C/GC/35 [18], footnotes omitted.</w:t>
      </w:r>
    </w:p>
  </w:endnote>
  <w:endnote w:id="15">
    <w:p w14:paraId="7010A78F" w14:textId="77777777" w:rsidR="00FA218A" w:rsidRPr="00931D25" w:rsidRDefault="00FA218A" w:rsidP="00832256">
      <w:pPr>
        <w:pStyle w:val="EndnoteText"/>
        <w:tabs>
          <w:tab w:val="left" w:pos="227"/>
        </w:tabs>
        <w:ind w:left="227" w:hanging="227"/>
        <w:rPr>
          <w:spacing w:val="0"/>
          <w:sz w:val="18"/>
          <w:szCs w:val="18"/>
        </w:rPr>
      </w:pPr>
      <w:r w:rsidRPr="00931D25">
        <w:rPr>
          <w:rStyle w:val="EndnoteReference"/>
          <w:spacing w:val="0"/>
          <w:sz w:val="18"/>
          <w:szCs w:val="18"/>
        </w:rPr>
        <w:endnoteRef/>
      </w:r>
      <w:r w:rsidRPr="00931D25">
        <w:rPr>
          <w:spacing w:val="0"/>
          <w:sz w:val="18"/>
          <w:szCs w:val="18"/>
        </w:rPr>
        <w:t xml:space="preserve"> </w:t>
      </w:r>
      <w:r w:rsidRPr="00931D25">
        <w:rPr>
          <w:spacing w:val="0"/>
          <w:sz w:val="18"/>
          <w:szCs w:val="18"/>
        </w:rPr>
        <w:tab/>
        <w:t xml:space="preserve">UN Human Rights Committee, General Comment 31 [80] (2004) </w:t>
      </w:r>
      <w:r w:rsidRPr="00931D25">
        <w:rPr>
          <w:i/>
          <w:spacing w:val="0"/>
          <w:sz w:val="18"/>
          <w:szCs w:val="18"/>
        </w:rPr>
        <w:t>Nature of the General Legal Obligation Imposed on States Parties to the Covenant</w:t>
      </w:r>
      <w:r w:rsidRPr="00931D25">
        <w:rPr>
          <w:spacing w:val="0"/>
          <w:sz w:val="18"/>
          <w:szCs w:val="18"/>
        </w:rPr>
        <w:t xml:space="preserve">, UN Doc CCPR/C/21/Rev.1/Add.13 [6]; </w:t>
      </w:r>
      <w:r w:rsidRPr="00931D25">
        <w:rPr>
          <w:i/>
          <w:spacing w:val="0"/>
          <w:sz w:val="18"/>
          <w:szCs w:val="18"/>
        </w:rPr>
        <w:t xml:space="preserve">Van Alphen v The Netherlands </w:t>
      </w:r>
      <w:r w:rsidRPr="00931D25">
        <w:rPr>
          <w:spacing w:val="0"/>
          <w:sz w:val="18"/>
          <w:szCs w:val="18"/>
        </w:rPr>
        <w:t xml:space="preserve">Communication No 305 of 1988, UN Doc CCPR/C/39/D/305/1988; </w:t>
      </w:r>
      <w:r w:rsidRPr="00931D25">
        <w:rPr>
          <w:i/>
          <w:spacing w:val="0"/>
          <w:sz w:val="18"/>
          <w:szCs w:val="18"/>
        </w:rPr>
        <w:t xml:space="preserve">A v Australia </w:t>
      </w:r>
      <w:r w:rsidRPr="00931D25">
        <w:rPr>
          <w:spacing w:val="0"/>
          <w:sz w:val="18"/>
          <w:szCs w:val="18"/>
        </w:rPr>
        <w:t xml:space="preserve">Communication No 560 of 1993, UN Doc CCPR/C/59/D/560/1993; </w:t>
      </w:r>
      <w:r w:rsidRPr="00931D25">
        <w:rPr>
          <w:i/>
          <w:spacing w:val="0"/>
          <w:sz w:val="18"/>
          <w:szCs w:val="18"/>
        </w:rPr>
        <w:t xml:space="preserve">C v Australia </w:t>
      </w:r>
      <w:r w:rsidRPr="00931D25">
        <w:rPr>
          <w:spacing w:val="0"/>
          <w:sz w:val="18"/>
          <w:szCs w:val="18"/>
        </w:rPr>
        <w:t>Communication No 900 of 1999, UN Doc CCPR/C/76/D/900/1999.</w:t>
      </w:r>
    </w:p>
  </w:endnote>
  <w:endnote w:id="16">
    <w:p w14:paraId="49F90033" w14:textId="77777777" w:rsidR="00FA218A" w:rsidRPr="00931D25" w:rsidRDefault="00FA218A" w:rsidP="00832256">
      <w:pPr>
        <w:pStyle w:val="EndnoteText"/>
        <w:tabs>
          <w:tab w:val="left" w:pos="227"/>
        </w:tabs>
        <w:ind w:left="227" w:hanging="227"/>
        <w:rPr>
          <w:spacing w:val="0"/>
          <w:sz w:val="18"/>
          <w:szCs w:val="18"/>
        </w:rPr>
      </w:pPr>
      <w:r w:rsidRPr="00931D25">
        <w:rPr>
          <w:rStyle w:val="EndnoteReference"/>
          <w:spacing w:val="0"/>
          <w:sz w:val="18"/>
          <w:szCs w:val="18"/>
        </w:rPr>
        <w:endnoteRef/>
      </w:r>
      <w:r w:rsidRPr="00931D25">
        <w:rPr>
          <w:spacing w:val="0"/>
          <w:sz w:val="18"/>
          <w:szCs w:val="18"/>
        </w:rPr>
        <w:t xml:space="preserve"> </w:t>
      </w:r>
      <w:r w:rsidRPr="00931D25">
        <w:rPr>
          <w:spacing w:val="0"/>
          <w:sz w:val="18"/>
          <w:szCs w:val="18"/>
        </w:rPr>
        <w:tab/>
        <w:t xml:space="preserve">The Hon Chris Bowen MP, Minister for Immigration and Citizenship, </w:t>
      </w:r>
      <w:r w:rsidRPr="00931D25">
        <w:rPr>
          <w:i/>
          <w:spacing w:val="0"/>
          <w:sz w:val="18"/>
          <w:szCs w:val="18"/>
        </w:rPr>
        <w:t>Guidelines on Minister’s Detention Intervention Power (s195A of the Migration Act 1958)</w:t>
      </w:r>
      <w:r w:rsidRPr="00931D25">
        <w:rPr>
          <w:spacing w:val="0"/>
          <w:sz w:val="18"/>
          <w:szCs w:val="18"/>
        </w:rPr>
        <w:t xml:space="preserve">, 24 March 2012, at [4.1.1]; and the Hon Peter Dutton MP, Minister for Immigration and Border Protection, </w:t>
      </w:r>
      <w:r w:rsidRPr="00931D25">
        <w:rPr>
          <w:i/>
          <w:spacing w:val="0"/>
          <w:sz w:val="18"/>
          <w:szCs w:val="18"/>
        </w:rPr>
        <w:t>Guidelines on Minister’s detention intervention power – s 195A of the Migration Act 1958</w:t>
      </w:r>
      <w:r w:rsidRPr="00931D25">
        <w:rPr>
          <w:spacing w:val="0"/>
          <w:sz w:val="18"/>
          <w:szCs w:val="18"/>
        </w:rPr>
        <w:t>, 29 April 2016, at [3]. The guidelines are incorporated into the department’s Procedures Advice Manual.</w:t>
      </w:r>
    </w:p>
  </w:endnote>
  <w:endnote w:id="17">
    <w:p w14:paraId="70898A0D" w14:textId="77777777" w:rsidR="00FA218A" w:rsidRPr="00931D25" w:rsidRDefault="00FA218A" w:rsidP="00832256">
      <w:pPr>
        <w:pStyle w:val="EndnoteText"/>
        <w:tabs>
          <w:tab w:val="left" w:pos="227"/>
        </w:tabs>
        <w:ind w:left="227" w:hanging="227"/>
        <w:rPr>
          <w:spacing w:val="0"/>
          <w:sz w:val="18"/>
          <w:szCs w:val="18"/>
        </w:rPr>
      </w:pPr>
      <w:r w:rsidRPr="00931D25">
        <w:rPr>
          <w:rStyle w:val="EndnoteReference"/>
          <w:spacing w:val="0"/>
          <w:sz w:val="18"/>
          <w:szCs w:val="18"/>
        </w:rPr>
        <w:endnoteRef/>
      </w:r>
      <w:r w:rsidRPr="00931D25">
        <w:rPr>
          <w:spacing w:val="0"/>
          <w:sz w:val="18"/>
          <w:szCs w:val="18"/>
        </w:rPr>
        <w:t xml:space="preserve"> </w:t>
      </w:r>
      <w:r w:rsidRPr="00931D25">
        <w:rPr>
          <w:spacing w:val="0"/>
          <w:sz w:val="18"/>
          <w:szCs w:val="18"/>
        </w:rPr>
        <w:tab/>
        <w:t xml:space="preserve">29 April 2016 Guidelines, </w:t>
      </w:r>
      <w:r w:rsidRPr="00931D25">
        <w:rPr>
          <w:i/>
          <w:spacing w:val="0"/>
          <w:sz w:val="18"/>
          <w:szCs w:val="18"/>
        </w:rPr>
        <w:t>ibid</w:t>
      </w:r>
      <w:r w:rsidRPr="00931D25">
        <w:rPr>
          <w:spacing w:val="0"/>
          <w:sz w:val="18"/>
          <w:szCs w:val="18"/>
        </w:rPr>
        <w:t>, at [4].</w:t>
      </w:r>
    </w:p>
  </w:endnote>
  <w:endnote w:id="18">
    <w:p w14:paraId="678219A5" w14:textId="3E26CEC0" w:rsidR="00FA218A" w:rsidRPr="00931D25" w:rsidRDefault="00FA218A" w:rsidP="00832256">
      <w:pPr>
        <w:pStyle w:val="EndnoteText"/>
        <w:tabs>
          <w:tab w:val="left" w:pos="227"/>
        </w:tabs>
        <w:ind w:left="227" w:hanging="227"/>
        <w:rPr>
          <w:spacing w:val="0"/>
          <w:sz w:val="18"/>
          <w:szCs w:val="18"/>
        </w:rPr>
      </w:pPr>
      <w:r w:rsidRPr="00931D25">
        <w:rPr>
          <w:rStyle w:val="EndnoteReference"/>
          <w:spacing w:val="0"/>
          <w:sz w:val="18"/>
          <w:szCs w:val="18"/>
        </w:rPr>
        <w:endnoteRef/>
      </w:r>
      <w:r w:rsidRPr="00931D25">
        <w:rPr>
          <w:spacing w:val="0"/>
          <w:sz w:val="18"/>
          <w:szCs w:val="18"/>
        </w:rPr>
        <w:t xml:space="preserve"> </w:t>
      </w:r>
      <w:r w:rsidR="0069296B">
        <w:rPr>
          <w:spacing w:val="0"/>
          <w:sz w:val="18"/>
          <w:szCs w:val="18"/>
        </w:rPr>
        <w:tab/>
      </w:r>
      <w:r w:rsidRPr="00931D25">
        <w:rPr>
          <w:spacing w:val="0"/>
          <w:sz w:val="18"/>
          <w:szCs w:val="18"/>
        </w:rPr>
        <w:t xml:space="preserve">The Hon Scott Morrison MP, Minister for Immigration and Border Protection, </w:t>
      </w:r>
      <w:r w:rsidRPr="00931D25">
        <w:rPr>
          <w:i/>
          <w:spacing w:val="0"/>
          <w:sz w:val="18"/>
          <w:szCs w:val="18"/>
        </w:rPr>
        <w:t>Minister for Immigration and Border Protection’s Residence Determination Power under section 197AB and section 197AD of the Migration Act 1958</w:t>
      </w:r>
      <w:r w:rsidRPr="00931D25">
        <w:rPr>
          <w:spacing w:val="0"/>
          <w:sz w:val="18"/>
          <w:szCs w:val="18"/>
        </w:rPr>
        <w:t xml:space="preserve">, 18 February 2014, at [10]; and the Hon Peter Dutton MP, Minister for Immigration and Border Protection, </w:t>
      </w:r>
      <w:r w:rsidRPr="00931D25">
        <w:rPr>
          <w:i/>
          <w:spacing w:val="0"/>
          <w:sz w:val="18"/>
          <w:szCs w:val="18"/>
        </w:rPr>
        <w:t>Minister for Immigration and Border Protection’s Residence Determination Power under s 197AB and s 197AD of the Migration Act 1958</w:t>
      </w:r>
      <w:r w:rsidRPr="00931D25">
        <w:rPr>
          <w:spacing w:val="0"/>
          <w:sz w:val="18"/>
          <w:szCs w:val="18"/>
        </w:rPr>
        <w:t>, 29 March 2015, at [10]. The guidelines are incorporated into the department’s Procedures Advice Manual.</w:t>
      </w:r>
    </w:p>
  </w:endnote>
  <w:endnote w:id="19">
    <w:p w14:paraId="051EB1C7" w14:textId="49B7E70E" w:rsidR="00FA218A" w:rsidRPr="00931D25" w:rsidRDefault="00FA218A" w:rsidP="00832256">
      <w:pPr>
        <w:pStyle w:val="EndnoteText"/>
        <w:tabs>
          <w:tab w:val="left" w:pos="227"/>
        </w:tabs>
        <w:ind w:left="227" w:hanging="227"/>
        <w:rPr>
          <w:spacing w:val="0"/>
          <w:sz w:val="18"/>
          <w:szCs w:val="18"/>
        </w:rPr>
      </w:pPr>
      <w:r w:rsidRPr="00931D25">
        <w:rPr>
          <w:rStyle w:val="EndnoteReference"/>
          <w:spacing w:val="0"/>
          <w:sz w:val="18"/>
          <w:szCs w:val="18"/>
        </w:rPr>
        <w:endnoteRef/>
      </w:r>
      <w:r w:rsidRPr="00931D25">
        <w:rPr>
          <w:spacing w:val="0"/>
          <w:sz w:val="18"/>
          <w:szCs w:val="18"/>
        </w:rPr>
        <w:t xml:space="preserve"> </w:t>
      </w:r>
      <w:r w:rsidR="0069296B">
        <w:rPr>
          <w:spacing w:val="0"/>
          <w:sz w:val="18"/>
          <w:szCs w:val="18"/>
        </w:rPr>
        <w:tab/>
      </w:r>
      <w:r w:rsidRPr="00931D25">
        <w:rPr>
          <w:i/>
          <w:spacing w:val="0"/>
          <w:sz w:val="18"/>
          <w:szCs w:val="18"/>
        </w:rPr>
        <w:t>Ibid</w:t>
      </w:r>
      <w:r w:rsidRPr="00931D25">
        <w:rPr>
          <w:spacing w:val="0"/>
          <w:sz w:val="18"/>
          <w:szCs w:val="18"/>
        </w:rPr>
        <w:t>, at [8].</w:t>
      </w:r>
    </w:p>
  </w:endnote>
  <w:endnote w:id="20">
    <w:p w14:paraId="0596C2D0" w14:textId="28B010CE" w:rsidR="00FA218A" w:rsidRPr="00931D25" w:rsidRDefault="00FA218A" w:rsidP="00832256">
      <w:pPr>
        <w:pStyle w:val="EndnoteText"/>
        <w:tabs>
          <w:tab w:val="left" w:pos="227"/>
        </w:tabs>
        <w:ind w:left="227" w:hanging="227"/>
        <w:rPr>
          <w:spacing w:val="0"/>
          <w:sz w:val="18"/>
          <w:szCs w:val="18"/>
        </w:rPr>
      </w:pPr>
      <w:r w:rsidRPr="00931D25">
        <w:rPr>
          <w:rStyle w:val="EndnoteReference"/>
          <w:spacing w:val="0"/>
          <w:sz w:val="18"/>
          <w:szCs w:val="18"/>
        </w:rPr>
        <w:endnoteRef/>
      </w:r>
      <w:r w:rsidRPr="00931D25">
        <w:rPr>
          <w:spacing w:val="0"/>
          <w:sz w:val="18"/>
          <w:szCs w:val="18"/>
        </w:rPr>
        <w:t xml:space="preserve"> </w:t>
      </w:r>
      <w:r w:rsidR="0069296B">
        <w:rPr>
          <w:spacing w:val="0"/>
          <w:sz w:val="18"/>
          <w:szCs w:val="18"/>
        </w:rPr>
        <w:tab/>
      </w:r>
      <w:r w:rsidRPr="00931D25">
        <w:rPr>
          <w:spacing w:val="0"/>
          <w:sz w:val="18"/>
          <w:szCs w:val="18"/>
        </w:rPr>
        <w:t xml:space="preserve">The Hon Chris Bowen MP, Minister for Immigration and Citizenship, </w:t>
      </w:r>
      <w:r w:rsidRPr="00931D25">
        <w:rPr>
          <w:i/>
          <w:spacing w:val="0"/>
          <w:sz w:val="18"/>
          <w:szCs w:val="18"/>
        </w:rPr>
        <w:t>Minister’s guidelines on ministerial powers (s345, s351, s417 and s501J)</w:t>
      </w:r>
      <w:r w:rsidRPr="00931D25">
        <w:rPr>
          <w:spacing w:val="0"/>
          <w:sz w:val="18"/>
          <w:szCs w:val="18"/>
        </w:rPr>
        <w:t xml:space="preserve"> 24 March 2012 (reissued on 10 October 2015), at [12]. The guidelines are</w:t>
      </w:r>
      <w:bookmarkStart w:id="21" w:name="_bookmark23"/>
      <w:bookmarkEnd w:id="21"/>
      <w:r w:rsidRPr="00931D25">
        <w:rPr>
          <w:spacing w:val="0"/>
          <w:sz w:val="18"/>
          <w:szCs w:val="18"/>
        </w:rPr>
        <w:t xml:space="preserve"> incorporated into the department’s Procedures Advice Manual. See also the replacement guidelines issued by the Hon Peter Dutton, Minister for Immigration and Border Protection, </w:t>
      </w:r>
      <w:r w:rsidRPr="00931D25">
        <w:rPr>
          <w:i/>
          <w:spacing w:val="0"/>
          <w:sz w:val="18"/>
          <w:szCs w:val="18"/>
        </w:rPr>
        <w:t>Minister’s guidelines on ministerial powers (s351, s417 and s501J)</w:t>
      </w:r>
      <w:r w:rsidRPr="00931D25">
        <w:rPr>
          <w:spacing w:val="0"/>
          <w:sz w:val="18"/>
          <w:szCs w:val="18"/>
        </w:rPr>
        <w:t xml:space="preserve"> 11 March 2016, at [4], incorporated into the department’s Procedures Advice Manual.</w:t>
      </w:r>
    </w:p>
  </w:endnote>
  <w:endnote w:id="21">
    <w:p w14:paraId="03BC5CCA" w14:textId="0F94AE27" w:rsidR="00FA218A" w:rsidRPr="00C7014B" w:rsidRDefault="00FA218A" w:rsidP="00832256">
      <w:pPr>
        <w:pStyle w:val="EndnoteText"/>
        <w:tabs>
          <w:tab w:val="left" w:pos="227"/>
        </w:tabs>
        <w:ind w:left="227" w:hanging="227"/>
        <w:rPr>
          <w:spacing w:val="0"/>
          <w:sz w:val="18"/>
          <w:szCs w:val="18"/>
        </w:rPr>
      </w:pPr>
      <w:r w:rsidRPr="00931D25">
        <w:rPr>
          <w:rStyle w:val="EndnoteReference"/>
          <w:spacing w:val="0"/>
          <w:sz w:val="18"/>
          <w:szCs w:val="18"/>
        </w:rPr>
        <w:endnoteRef/>
      </w:r>
      <w:r w:rsidRPr="00931D25">
        <w:rPr>
          <w:spacing w:val="0"/>
          <w:sz w:val="18"/>
          <w:szCs w:val="18"/>
        </w:rPr>
        <w:t xml:space="preserve"> </w:t>
      </w:r>
      <w:r w:rsidRPr="00931D25">
        <w:rPr>
          <w:spacing w:val="0"/>
          <w:sz w:val="18"/>
          <w:szCs w:val="18"/>
        </w:rPr>
        <w:tab/>
        <w:t xml:space="preserve">For Mr </w:t>
      </w:r>
      <w:r>
        <w:rPr>
          <w:rFonts w:cs="Arial"/>
          <w:spacing w:val="0"/>
          <w:sz w:val="18"/>
          <w:szCs w:val="18"/>
        </w:rPr>
        <w:t>IB</w:t>
      </w:r>
      <w:r w:rsidRPr="00931D25">
        <w:rPr>
          <w:rFonts w:cs="Arial"/>
          <w:spacing w:val="0"/>
          <w:sz w:val="18"/>
          <w:szCs w:val="18"/>
        </w:rPr>
        <w:t xml:space="preserve">, from 30 August 2012 until 30 September 2014. For Mr </w:t>
      </w:r>
      <w:r>
        <w:rPr>
          <w:rFonts w:cs="Arial"/>
          <w:spacing w:val="0"/>
          <w:sz w:val="18"/>
          <w:szCs w:val="18"/>
        </w:rPr>
        <w:t>IC</w:t>
      </w:r>
      <w:r w:rsidRPr="00931D25">
        <w:rPr>
          <w:rFonts w:cs="Arial"/>
          <w:spacing w:val="0"/>
          <w:sz w:val="18"/>
          <w:szCs w:val="18"/>
        </w:rPr>
        <w:t>, from 29 June 2012 until 28 August 2014.</w:t>
      </w:r>
    </w:p>
  </w:endnote>
  <w:endnote w:id="22">
    <w:p w14:paraId="6C405FD6" w14:textId="77777777" w:rsidR="00FA218A" w:rsidRPr="006D067D" w:rsidRDefault="00FA218A" w:rsidP="00832256">
      <w:pPr>
        <w:pStyle w:val="EndnoteText"/>
        <w:tabs>
          <w:tab w:val="left" w:pos="227"/>
        </w:tabs>
        <w:ind w:left="227" w:hanging="227"/>
        <w:rPr>
          <w:sz w:val="18"/>
          <w:szCs w:val="18"/>
        </w:rPr>
      </w:pPr>
      <w:r w:rsidRPr="006D067D">
        <w:rPr>
          <w:rStyle w:val="EndnoteReference"/>
          <w:sz w:val="18"/>
          <w:szCs w:val="18"/>
        </w:rPr>
        <w:endnoteRef/>
      </w:r>
      <w:r w:rsidR="007E2454">
        <w:rPr>
          <w:i/>
          <w:color w:val="231F20"/>
          <w:sz w:val="18"/>
          <w:szCs w:val="18"/>
        </w:rPr>
        <w:tab/>
      </w:r>
      <w:r w:rsidRPr="006D067D">
        <w:rPr>
          <w:i/>
          <w:color w:val="231F20"/>
          <w:sz w:val="18"/>
          <w:szCs w:val="18"/>
        </w:rPr>
        <w:t xml:space="preserve">Australian Human Rights Commission Act </w:t>
      </w:r>
      <w:r w:rsidRPr="006D067D">
        <w:rPr>
          <w:i/>
          <w:color w:val="231F20"/>
          <w:sz w:val="18"/>
        </w:rPr>
        <w:t xml:space="preserve">1986 </w:t>
      </w:r>
      <w:r w:rsidRPr="006D067D">
        <w:rPr>
          <w:color w:val="231F20"/>
          <w:sz w:val="18"/>
        </w:rPr>
        <w:t>(Cth) s 29(</w:t>
      </w:r>
      <w:r w:rsidRPr="006D067D">
        <w:rPr>
          <w:color w:val="231F20"/>
          <w:sz w:val="18"/>
          <w:szCs w:val="18"/>
        </w:rPr>
        <w:t>2)(a).</w:t>
      </w:r>
    </w:p>
  </w:endnote>
  <w:endnote w:id="23">
    <w:p w14:paraId="7CA98641" w14:textId="77777777" w:rsidR="00FA218A" w:rsidRPr="006D067D" w:rsidRDefault="00FA218A" w:rsidP="00832256">
      <w:pPr>
        <w:pStyle w:val="EndnoteText"/>
        <w:tabs>
          <w:tab w:val="left" w:pos="227"/>
        </w:tabs>
        <w:ind w:left="227" w:hanging="227"/>
        <w:rPr>
          <w:rStyle w:val="EndnoteReference"/>
          <w:sz w:val="18"/>
          <w:szCs w:val="18"/>
        </w:rPr>
      </w:pPr>
      <w:r w:rsidRPr="006D067D">
        <w:rPr>
          <w:rStyle w:val="EndnoteReference"/>
          <w:sz w:val="18"/>
          <w:szCs w:val="18"/>
        </w:rPr>
        <w:endnoteRef/>
      </w:r>
      <w:r w:rsidR="007E2454">
        <w:rPr>
          <w:rStyle w:val="EndnoteReference"/>
          <w:sz w:val="18"/>
          <w:szCs w:val="18"/>
        </w:rPr>
        <w:tab/>
      </w:r>
      <w:r w:rsidRPr="006D067D">
        <w:rPr>
          <w:i/>
          <w:color w:val="231F20"/>
          <w:sz w:val="18"/>
        </w:rPr>
        <w:t xml:space="preserve">Australian Human Rights Commission Act 1986 </w:t>
      </w:r>
      <w:r w:rsidRPr="006D067D">
        <w:rPr>
          <w:color w:val="231F20"/>
          <w:sz w:val="18"/>
        </w:rPr>
        <w:t>(Cth) s 29(2)(b).</w:t>
      </w:r>
    </w:p>
  </w:endnote>
  <w:endnote w:id="24">
    <w:p w14:paraId="0E907303" w14:textId="77777777" w:rsidR="00FA218A" w:rsidRPr="00AF7012" w:rsidRDefault="00FA218A" w:rsidP="00832256">
      <w:pPr>
        <w:pStyle w:val="EndnoteText"/>
        <w:tabs>
          <w:tab w:val="left" w:pos="227"/>
        </w:tabs>
        <w:ind w:left="227" w:hanging="227"/>
        <w:rPr>
          <w:rStyle w:val="EndnoteReference"/>
        </w:rPr>
      </w:pPr>
      <w:r w:rsidRPr="006D067D">
        <w:rPr>
          <w:rStyle w:val="EndnoteReference"/>
          <w:sz w:val="18"/>
          <w:szCs w:val="18"/>
        </w:rPr>
        <w:endnoteRef/>
      </w:r>
      <w:r w:rsidR="007E2454">
        <w:rPr>
          <w:rStyle w:val="EndnoteReference"/>
        </w:rPr>
        <w:tab/>
      </w:r>
      <w:r w:rsidRPr="006D067D">
        <w:rPr>
          <w:i/>
          <w:color w:val="231F20"/>
          <w:sz w:val="18"/>
          <w:szCs w:val="18"/>
        </w:rPr>
        <w:t xml:space="preserve">Australian Human Rights Commission Act </w:t>
      </w:r>
      <w:r w:rsidRPr="006D067D">
        <w:rPr>
          <w:i/>
          <w:color w:val="231F20"/>
          <w:sz w:val="18"/>
        </w:rPr>
        <w:t xml:space="preserve">1986 </w:t>
      </w:r>
      <w:r w:rsidRPr="006D067D">
        <w:rPr>
          <w:color w:val="231F20"/>
          <w:sz w:val="18"/>
        </w:rPr>
        <w:t xml:space="preserve">(Cth) </w:t>
      </w:r>
      <w:r w:rsidRPr="006D067D">
        <w:rPr>
          <w:color w:val="231F20"/>
          <w:sz w:val="18"/>
          <w:szCs w:val="18"/>
        </w:rPr>
        <w:t>s 29(2)(c).</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auto"/>
    <w:pitch w:val="variable"/>
    <w:sig w:usb0="E00002FF" w:usb1="5000205A" w:usb2="00000000" w:usb3="00000000" w:csb0="0000019F" w:csb1="00000000"/>
  </w:font>
  <w:font w:name="Times-Roman">
    <w:altName w:val="Times"/>
    <w:charset w:val="00"/>
    <w:family w:val="roman"/>
    <w:pitch w:val="variable"/>
    <w:sig w:usb0="00000003" w:usb1="00000000" w:usb2="00000000" w:usb3="00000000" w:csb0="00000001" w:csb1="00000000"/>
  </w:font>
  <w:font w:name="ヒラギノ角ゴ Pro W3">
    <w:charset w:val="00"/>
    <w:family w:val="roman"/>
    <w:pitch w:val="default"/>
  </w:font>
  <w:font w:name="HelveticaNeue">
    <w:altName w:val="Helvetica Neue"/>
    <w:charset w:val="00"/>
    <w:family w:val="auto"/>
    <w:pitch w:val="variable"/>
    <w:sig w:usb0="E50002FF" w:usb1="500079DB" w:usb2="00000010" w:usb3="00000000" w:csb0="00000001" w:csb1="00000000"/>
  </w:font>
  <w:font w:name="HelveticaNeueLT Pro 55 Roman">
    <w:altName w:val="Arial"/>
    <w:panose1 w:val="00000000000000000000"/>
    <w:charset w:val="4D"/>
    <w:family w:val="swiss"/>
    <w:notTrueType/>
    <w:pitch w:val="variable"/>
    <w:sig w:usb0="800000AF" w:usb1="5000205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00A3B" w14:textId="77777777" w:rsidR="00FA218A" w:rsidRDefault="00FA218A" w:rsidP="00FA218A">
    <w:pPr>
      <w:pStyle w:val="Footer"/>
      <w:framePr w:wrap="around" w:vAnchor="text" w:hAnchor="margin" w:xAlign="right" w:y="1"/>
      <w:rPr>
        <w:rStyle w:val="PageNumber"/>
        <w:sz w:val="24"/>
      </w:rPr>
    </w:pPr>
    <w:r>
      <w:rPr>
        <w:rStyle w:val="PageNumber"/>
      </w:rPr>
      <w:fldChar w:fldCharType="begin"/>
    </w:r>
    <w:r>
      <w:rPr>
        <w:rStyle w:val="PageNumber"/>
      </w:rPr>
      <w:instrText xml:space="preserve">PAGE  </w:instrText>
    </w:r>
    <w:r>
      <w:rPr>
        <w:rStyle w:val="PageNumber"/>
      </w:rPr>
      <w:fldChar w:fldCharType="end"/>
    </w:r>
  </w:p>
  <w:p w14:paraId="62D56CE5" w14:textId="77777777" w:rsidR="00FA218A" w:rsidRDefault="00FA218A" w:rsidP="00FA21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BF350" w14:textId="5417ECFA" w:rsidR="00FA218A" w:rsidRPr="00C86917" w:rsidRDefault="00FA218A" w:rsidP="00FA218A">
    <w:pPr>
      <w:pStyle w:val="Footer"/>
      <w:framePr w:wrap="around" w:vAnchor="text" w:hAnchor="margin" w:xAlign="right" w:y="1"/>
      <w:rPr>
        <w:rStyle w:val="PageNumber"/>
        <w:sz w:val="20"/>
      </w:rPr>
    </w:pPr>
    <w:r w:rsidRPr="00C86917">
      <w:rPr>
        <w:rStyle w:val="PageNumber"/>
        <w:sz w:val="20"/>
      </w:rPr>
      <w:fldChar w:fldCharType="begin"/>
    </w:r>
    <w:r w:rsidRPr="00C86917">
      <w:rPr>
        <w:rStyle w:val="PageNumber"/>
        <w:sz w:val="20"/>
      </w:rPr>
      <w:instrText xml:space="preserve">PAGE  </w:instrText>
    </w:r>
    <w:r w:rsidRPr="00C86917">
      <w:rPr>
        <w:rStyle w:val="PageNumber"/>
        <w:sz w:val="20"/>
      </w:rPr>
      <w:fldChar w:fldCharType="separate"/>
    </w:r>
    <w:r w:rsidR="007671A5" w:rsidRPr="00C86917">
      <w:rPr>
        <w:rStyle w:val="PageNumber"/>
        <w:noProof/>
        <w:sz w:val="20"/>
      </w:rPr>
      <w:t>21</w:t>
    </w:r>
    <w:r w:rsidRPr="00C86917">
      <w:rPr>
        <w:rStyle w:val="PageNumber"/>
        <w:sz w:val="20"/>
      </w:rPr>
      <w:fldChar w:fldCharType="end"/>
    </w:r>
  </w:p>
  <w:p w14:paraId="2E521B35" w14:textId="77777777" w:rsidR="00FA218A" w:rsidRDefault="00FA218A" w:rsidP="00FA218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7A0DC3" w14:textId="77777777" w:rsidR="00250EF8" w:rsidRDefault="00250EF8" w:rsidP="00832256">
      <w:r>
        <w:separator/>
      </w:r>
    </w:p>
  </w:footnote>
  <w:footnote w:type="continuationSeparator" w:id="0">
    <w:p w14:paraId="22657779" w14:textId="77777777" w:rsidR="00250EF8" w:rsidRDefault="00250EF8" w:rsidP="008322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45A2E" w14:textId="35653EE9" w:rsidR="00C86917" w:rsidRPr="00EB585F" w:rsidRDefault="00C86917" w:rsidP="00C86917">
    <w:pPr>
      <w:pStyle w:val="Header"/>
      <w:spacing w:after="0"/>
      <w:rPr>
        <w:sz w:val="20"/>
        <w:lang w:val="en-US"/>
      </w:rPr>
    </w:pPr>
    <w:r w:rsidRPr="00EB585F">
      <w:rPr>
        <w:sz w:val="20"/>
        <w:lang w:val="en-US"/>
      </w:rPr>
      <w:t>Australian Human Rights Commission</w:t>
    </w:r>
  </w:p>
  <w:p w14:paraId="7EA71DAB" w14:textId="7A0046BD" w:rsidR="00C86917" w:rsidRPr="00C86917" w:rsidRDefault="00C86917" w:rsidP="00C86917">
    <w:pPr>
      <w:pStyle w:val="Header"/>
      <w:spacing w:after="0"/>
      <w:rPr>
        <w:b/>
        <w:bCs/>
        <w:i/>
        <w:iCs/>
        <w:sz w:val="20"/>
        <w:lang w:val="en-US"/>
      </w:rPr>
    </w:pPr>
    <w:proofErr w:type="spellStart"/>
    <w:r w:rsidRPr="00C86917">
      <w:rPr>
        <w:b/>
        <w:bCs/>
        <w:i/>
        <w:iCs/>
        <w:sz w:val="20"/>
        <w:lang w:val="en-US"/>
      </w:rPr>
      <w:t>Mr</w:t>
    </w:r>
    <w:proofErr w:type="spellEnd"/>
    <w:r w:rsidRPr="00C86917">
      <w:rPr>
        <w:b/>
        <w:bCs/>
        <w:i/>
        <w:iCs/>
        <w:sz w:val="20"/>
        <w:lang w:val="en-US"/>
      </w:rPr>
      <w:t xml:space="preserve"> IB and </w:t>
    </w:r>
    <w:proofErr w:type="spellStart"/>
    <w:r w:rsidRPr="00C86917">
      <w:rPr>
        <w:b/>
        <w:bCs/>
        <w:i/>
        <w:iCs/>
        <w:sz w:val="20"/>
        <w:lang w:val="en-US"/>
      </w:rPr>
      <w:t>Mr</w:t>
    </w:r>
    <w:proofErr w:type="spellEnd"/>
    <w:r w:rsidRPr="00C86917">
      <w:rPr>
        <w:b/>
        <w:bCs/>
        <w:i/>
        <w:iCs/>
        <w:sz w:val="20"/>
        <w:lang w:val="en-US"/>
      </w:rPr>
      <w:t xml:space="preserve"> IC v Commonwealth of Australia (Department of Home Affairs) • </w:t>
    </w:r>
    <w:r w:rsidRPr="00C86917">
      <w:rPr>
        <w:i/>
        <w:iCs/>
        <w:sz w:val="20"/>
        <w:lang w:val="en-US"/>
      </w:rPr>
      <w:t xml:space="preserve">[2019] </w:t>
    </w:r>
    <w:proofErr w:type="spellStart"/>
    <w:r w:rsidRPr="00C86917">
      <w:rPr>
        <w:i/>
        <w:iCs/>
        <w:sz w:val="20"/>
        <w:lang w:val="en-US"/>
      </w:rPr>
      <w:t>AusHRC</w:t>
    </w:r>
    <w:proofErr w:type="spellEnd"/>
    <w:r w:rsidRPr="00C86917">
      <w:rPr>
        <w:i/>
        <w:iCs/>
        <w:sz w:val="20"/>
        <w:lang w:val="en-US"/>
      </w:rPr>
      <w:t xml:space="preserve"> 129</w:t>
    </w:r>
  </w:p>
  <w:p w14:paraId="77A6CB46" w14:textId="77777777" w:rsidR="00C86917" w:rsidRDefault="00C869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3104E1E6"/>
    <w:styleLink w:val="1ai1"/>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C2C21C32"/>
    <w:styleLink w:val="1111111"/>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8"/>
    <w:multiLevelType w:val="singleLevel"/>
    <w:tmpl w:val="F3FEF416"/>
    <w:styleLink w:val="ArticleSection1"/>
    <w:lvl w:ilvl="0">
      <w:start w:val="1"/>
      <w:numFmt w:val="decimal"/>
      <w:lvlText w:val="%1."/>
      <w:lvlJc w:val="left"/>
      <w:pPr>
        <w:tabs>
          <w:tab w:val="num" w:pos="360"/>
        </w:tabs>
        <w:ind w:left="360" w:hanging="360"/>
      </w:pPr>
    </w:lvl>
  </w:abstractNum>
  <w:abstractNum w:abstractNumId="3" w15:restartNumberingAfterBreak="0">
    <w:nsid w:val="FFFFFFFE"/>
    <w:multiLevelType w:val="singleLevel"/>
    <w:tmpl w:val="6C009348"/>
    <w:lvl w:ilvl="0">
      <w:numFmt w:val="decimal"/>
      <w:pStyle w:val="Dash"/>
      <w:lvlText w:val="*"/>
      <w:lvlJc w:val="left"/>
    </w:lvl>
  </w:abstractNum>
  <w:abstractNum w:abstractNumId="4" w15:restartNumberingAfterBreak="0">
    <w:nsid w:val="00AF6119"/>
    <w:multiLevelType w:val="hybridMultilevel"/>
    <w:tmpl w:val="A740CB70"/>
    <w:lvl w:ilvl="0" w:tplc="107E1B0E">
      <w:start w:val="1"/>
      <w:numFmt w:val="lowerLetter"/>
      <w:lvlText w:val="(%1)"/>
      <w:lvlJc w:val="left"/>
      <w:pPr>
        <w:ind w:left="2002" w:hanging="341"/>
      </w:pPr>
      <w:rPr>
        <w:rFonts w:ascii="Arial" w:eastAsia="Arial" w:hAnsi="Arial" w:cs="Arial" w:hint="default"/>
        <w:color w:val="231F20"/>
        <w:w w:val="100"/>
        <w:sz w:val="22"/>
        <w:szCs w:val="22"/>
      </w:rPr>
    </w:lvl>
    <w:lvl w:ilvl="1" w:tplc="70A87D8E">
      <w:numFmt w:val="bullet"/>
      <w:lvlText w:val="•"/>
      <w:lvlJc w:val="left"/>
      <w:pPr>
        <w:ind w:left="2787" w:hanging="341"/>
      </w:pPr>
      <w:rPr>
        <w:rFonts w:hint="default"/>
      </w:rPr>
    </w:lvl>
    <w:lvl w:ilvl="2" w:tplc="4F307122">
      <w:numFmt w:val="bullet"/>
      <w:lvlText w:val="•"/>
      <w:lvlJc w:val="left"/>
      <w:pPr>
        <w:ind w:left="3574" w:hanging="341"/>
      </w:pPr>
      <w:rPr>
        <w:rFonts w:hint="default"/>
      </w:rPr>
    </w:lvl>
    <w:lvl w:ilvl="3" w:tplc="BB740586">
      <w:numFmt w:val="bullet"/>
      <w:lvlText w:val="•"/>
      <w:lvlJc w:val="left"/>
      <w:pPr>
        <w:ind w:left="4360" w:hanging="341"/>
      </w:pPr>
      <w:rPr>
        <w:rFonts w:hint="default"/>
      </w:rPr>
    </w:lvl>
    <w:lvl w:ilvl="4" w:tplc="67DA88C4">
      <w:numFmt w:val="bullet"/>
      <w:lvlText w:val="•"/>
      <w:lvlJc w:val="left"/>
      <w:pPr>
        <w:ind w:left="5147" w:hanging="341"/>
      </w:pPr>
      <w:rPr>
        <w:rFonts w:hint="default"/>
      </w:rPr>
    </w:lvl>
    <w:lvl w:ilvl="5" w:tplc="5C220676">
      <w:numFmt w:val="bullet"/>
      <w:lvlText w:val="•"/>
      <w:lvlJc w:val="left"/>
      <w:pPr>
        <w:ind w:left="5933" w:hanging="341"/>
      </w:pPr>
      <w:rPr>
        <w:rFonts w:hint="default"/>
      </w:rPr>
    </w:lvl>
    <w:lvl w:ilvl="6" w:tplc="1E3C4BD6">
      <w:numFmt w:val="bullet"/>
      <w:lvlText w:val="•"/>
      <w:lvlJc w:val="left"/>
      <w:pPr>
        <w:ind w:left="6720" w:hanging="341"/>
      </w:pPr>
      <w:rPr>
        <w:rFonts w:hint="default"/>
      </w:rPr>
    </w:lvl>
    <w:lvl w:ilvl="7" w:tplc="BEC88B9E">
      <w:numFmt w:val="bullet"/>
      <w:lvlText w:val="•"/>
      <w:lvlJc w:val="left"/>
      <w:pPr>
        <w:ind w:left="7506" w:hanging="341"/>
      </w:pPr>
      <w:rPr>
        <w:rFonts w:hint="default"/>
      </w:rPr>
    </w:lvl>
    <w:lvl w:ilvl="8" w:tplc="B1B29696">
      <w:numFmt w:val="bullet"/>
      <w:lvlText w:val="•"/>
      <w:lvlJc w:val="left"/>
      <w:pPr>
        <w:ind w:left="8293" w:hanging="341"/>
      </w:pPr>
      <w:rPr>
        <w:rFonts w:hint="default"/>
      </w:rPr>
    </w:lvl>
  </w:abstractNum>
  <w:abstractNum w:abstractNumId="5" w15:restartNumberingAfterBreak="0">
    <w:nsid w:val="060801F2"/>
    <w:multiLevelType w:val="hybridMultilevel"/>
    <w:tmpl w:val="1A20C148"/>
    <w:lvl w:ilvl="0" w:tplc="0CDEEFAC">
      <w:start w:val="1"/>
      <w:numFmt w:val="decimal"/>
      <w:pStyle w:val="BodyListParagraph"/>
      <w:lvlText w:val="%1."/>
      <w:lvlJc w:val="left"/>
      <w:pPr>
        <w:tabs>
          <w:tab w:val="num" w:pos="680"/>
        </w:tabs>
        <w:ind w:left="680" w:hanging="680"/>
      </w:pPr>
      <w:rPr>
        <w:rFonts w:ascii="Arial" w:hAnsi="Arial"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73616A"/>
    <w:multiLevelType w:val="hybridMultilevel"/>
    <w:tmpl w:val="D3BC5C22"/>
    <w:lvl w:ilvl="0" w:tplc="F9E8D0CE">
      <w:start w:val="1"/>
      <w:numFmt w:val="lowerLetter"/>
      <w:lvlText w:val="(%1)"/>
      <w:lvlJc w:val="left"/>
      <w:pPr>
        <w:ind w:left="797" w:hanging="681"/>
      </w:pPr>
      <w:rPr>
        <w:rFonts w:ascii="Open Sans" w:eastAsia="Arial" w:hAnsi="Open Sans" w:cs="Open Sans" w:hint="default"/>
        <w:b/>
        <w:bCs/>
        <w:i w:val="0"/>
        <w:iCs w:val="0"/>
        <w:color w:val="231F20"/>
        <w:spacing w:val="-10"/>
        <w:w w:val="100"/>
        <w:sz w:val="24"/>
        <w:szCs w:val="24"/>
      </w:rPr>
    </w:lvl>
    <w:lvl w:ilvl="1" w:tplc="0A3E2D4A">
      <w:numFmt w:val="bullet"/>
      <w:lvlText w:val="•"/>
      <w:lvlJc w:val="left"/>
      <w:pPr>
        <w:ind w:left="1642" w:hanging="681"/>
      </w:pPr>
      <w:rPr>
        <w:rFonts w:hint="default"/>
      </w:rPr>
    </w:lvl>
    <w:lvl w:ilvl="2" w:tplc="EC1C9B4E">
      <w:numFmt w:val="bullet"/>
      <w:lvlText w:val="•"/>
      <w:lvlJc w:val="left"/>
      <w:pPr>
        <w:ind w:left="2485" w:hanging="681"/>
      </w:pPr>
      <w:rPr>
        <w:rFonts w:hint="default"/>
      </w:rPr>
    </w:lvl>
    <w:lvl w:ilvl="3" w:tplc="AA840A10">
      <w:numFmt w:val="bullet"/>
      <w:lvlText w:val="•"/>
      <w:lvlJc w:val="left"/>
      <w:pPr>
        <w:ind w:left="3327" w:hanging="681"/>
      </w:pPr>
      <w:rPr>
        <w:rFonts w:hint="default"/>
      </w:rPr>
    </w:lvl>
    <w:lvl w:ilvl="4" w:tplc="856C0504">
      <w:numFmt w:val="bullet"/>
      <w:lvlText w:val="•"/>
      <w:lvlJc w:val="left"/>
      <w:pPr>
        <w:ind w:left="4170" w:hanging="681"/>
      </w:pPr>
      <w:rPr>
        <w:rFonts w:hint="default"/>
      </w:rPr>
    </w:lvl>
    <w:lvl w:ilvl="5" w:tplc="B8288FAA">
      <w:numFmt w:val="bullet"/>
      <w:lvlText w:val="•"/>
      <w:lvlJc w:val="left"/>
      <w:pPr>
        <w:ind w:left="5012" w:hanging="681"/>
      </w:pPr>
      <w:rPr>
        <w:rFonts w:hint="default"/>
      </w:rPr>
    </w:lvl>
    <w:lvl w:ilvl="6" w:tplc="D748685A">
      <w:numFmt w:val="bullet"/>
      <w:lvlText w:val="•"/>
      <w:lvlJc w:val="left"/>
      <w:pPr>
        <w:ind w:left="5855" w:hanging="681"/>
      </w:pPr>
      <w:rPr>
        <w:rFonts w:hint="default"/>
      </w:rPr>
    </w:lvl>
    <w:lvl w:ilvl="7" w:tplc="CD42FD6C">
      <w:numFmt w:val="bullet"/>
      <w:lvlText w:val="•"/>
      <w:lvlJc w:val="left"/>
      <w:pPr>
        <w:ind w:left="6697" w:hanging="681"/>
      </w:pPr>
      <w:rPr>
        <w:rFonts w:hint="default"/>
      </w:rPr>
    </w:lvl>
    <w:lvl w:ilvl="8" w:tplc="C84E0130">
      <w:numFmt w:val="bullet"/>
      <w:lvlText w:val="•"/>
      <w:lvlJc w:val="left"/>
      <w:pPr>
        <w:ind w:left="7540" w:hanging="681"/>
      </w:pPr>
      <w:rPr>
        <w:rFonts w:hint="default"/>
      </w:rPr>
    </w:lvl>
  </w:abstractNum>
  <w:abstractNum w:abstractNumId="7" w15:restartNumberingAfterBreak="0">
    <w:nsid w:val="1DCB237C"/>
    <w:multiLevelType w:val="hybridMultilevel"/>
    <w:tmpl w:val="CB0E8624"/>
    <w:lvl w:ilvl="0" w:tplc="FFFFFFFF">
      <w:start w:val="1"/>
      <w:numFmt w:val="decimal"/>
      <w:pStyle w:val="SubmissionNormal"/>
      <w:lvlText w:val="%1."/>
      <w:lvlJc w:val="left"/>
      <w:pPr>
        <w:tabs>
          <w:tab w:val="num" w:pos="3240"/>
        </w:tabs>
        <w:ind w:left="3240" w:hanging="360"/>
      </w:pPr>
      <w:rPr>
        <w:rFonts w:cs="Times New Roman" w:hint="default"/>
        <w:b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15:restartNumberingAfterBreak="0">
    <w:nsid w:val="20337929"/>
    <w:multiLevelType w:val="singleLevel"/>
    <w:tmpl w:val="0862F6CA"/>
    <w:lvl w:ilvl="0">
      <w:start w:val="1"/>
      <w:numFmt w:val="bullet"/>
      <w:pStyle w:val="Bullet"/>
      <w:lvlText w:val="•"/>
      <w:lvlJc w:val="left"/>
      <w:pPr>
        <w:tabs>
          <w:tab w:val="num" w:pos="360"/>
        </w:tabs>
        <w:ind w:left="360" w:hanging="360"/>
      </w:pPr>
      <w:rPr>
        <w:rFonts w:ascii="Arial" w:hAnsi="Arial" w:hint="default"/>
        <w:sz w:val="21"/>
      </w:rPr>
    </w:lvl>
  </w:abstractNum>
  <w:abstractNum w:abstractNumId="9" w15:restartNumberingAfterBreak="0">
    <w:nsid w:val="21B71560"/>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0" w15:restartNumberingAfterBreak="0">
    <w:nsid w:val="297817C3"/>
    <w:multiLevelType w:val="multilevel"/>
    <w:tmpl w:val="942A9D52"/>
    <w:lvl w:ilvl="0">
      <w:start w:val="1"/>
      <w:numFmt w:val="decimal"/>
      <w:pStyle w:val="Heading1"/>
      <w:lvlText w:val="%1"/>
      <w:lvlJc w:val="left"/>
      <w:pPr>
        <w:tabs>
          <w:tab w:val="num" w:pos="851"/>
        </w:tabs>
        <w:ind w:left="851" w:hanging="851"/>
      </w:pPr>
      <w:rPr>
        <w:rFonts w:cs="Times New Roman" w:hint="default"/>
      </w:rPr>
    </w:lvl>
    <w:lvl w:ilvl="1">
      <w:start w:val="1"/>
      <w:numFmt w:val="decimal"/>
      <w:pStyle w:val="Heading2"/>
      <w:lvlText w:val="%1.%2"/>
      <w:lvlJc w:val="left"/>
      <w:pPr>
        <w:tabs>
          <w:tab w:val="num" w:pos="1277"/>
        </w:tabs>
        <w:ind w:left="1277" w:hanging="851"/>
      </w:pPr>
      <w:rPr>
        <w:rFonts w:cs="Times New Roman" w:hint="default"/>
        <w:b/>
        <w:i w:val="0"/>
      </w:rPr>
    </w:lvl>
    <w:lvl w:ilvl="2">
      <w:start w:val="1"/>
      <w:numFmt w:val="lowerLetter"/>
      <w:pStyle w:val="Heading3"/>
      <w:lvlText w:val="(%3)"/>
      <w:lvlJc w:val="left"/>
      <w:pPr>
        <w:ind w:left="1277" w:hanging="851"/>
      </w:pPr>
      <w:rPr>
        <w:rFonts w:ascii="Open Sans" w:hAnsi="Open Sans" w:cs="Times New Roman" w:hint="default"/>
        <w:b/>
        <w:i w:val="0"/>
        <w:sz w:val="24"/>
      </w:rPr>
    </w:lvl>
    <w:lvl w:ilvl="3">
      <w:start w:val="1"/>
      <w:numFmt w:val="lowerRoman"/>
      <w:pStyle w:val="Heading4"/>
      <w:lvlText w:val="(%4)"/>
      <w:lvlJc w:val="left"/>
      <w:pPr>
        <w:tabs>
          <w:tab w:val="num" w:pos="851"/>
        </w:tabs>
        <w:ind w:left="851" w:hanging="851"/>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15:restartNumberingAfterBreak="0">
    <w:nsid w:val="2D863816"/>
    <w:multiLevelType w:val="hybridMultilevel"/>
    <w:tmpl w:val="856E69EE"/>
    <w:lvl w:ilvl="0" w:tplc="7446407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EC38E4"/>
    <w:multiLevelType w:val="hybridMultilevel"/>
    <w:tmpl w:val="182CB388"/>
    <w:lvl w:ilvl="0" w:tplc="11F2ED5E">
      <w:start w:val="1"/>
      <w:numFmt w:val="bullet"/>
      <w:lvlText w:val=""/>
      <w:lvlJc w:val="left"/>
      <w:pPr>
        <w:ind w:left="2121" w:hanging="681"/>
      </w:pPr>
      <w:rPr>
        <w:rFonts w:ascii="Symbol" w:hAnsi="Symbol" w:hint="default"/>
        <w:color w:val="231F20"/>
        <w:spacing w:val="-14"/>
        <w:w w:val="100"/>
        <w:sz w:val="22"/>
        <w:szCs w:val="24"/>
      </w:rPr>
    </w:lvl>
    <w:lvl w:ilvl="1" w:tplc="86888922">
      <w:start w:val="1"/>
      <w:numFmt w:val="bullet"/>
      <w:lvlText w:val=""/>
      <w:lvlJc w:val="left"/>
      <w:pPr>
        <w:ind w:left="2972" w:hanging="227"/>
      </w:pPr>
      <w:rPr>
        <w:rFonts w:ascii="Symbol" w:hAnsi="Symbol" w:hint="default"/>
        <w:color w:val="231F20"/>
        <w:spacing w:val="-12"/>
        <w:w w:val="100"/>
        <w:sz w:val="22"/>
        <w:szCs w:val="22"/>
      </w:rPr>
    </w:lvl>
    <w:lvl w:ilvl="2" w:tplc="F9D8901C">
      <w:numFmt w:val="bullet"/>
      <w:lvlText w:val="•"/>
      <w:lvlJc w:val="left"/>
      <w:pPr>
        <w:ind w:left="3804" w:hanging="227"/>
      </w:pPr>
      <w:rPr>
        <w:rFonts w:hint="default"/>
      </w:rPr>
    </w:lvl>
    <w:lvl w:ilvl="3" w:tplc="0EF419F4">
      <w:numFmt w:val="bullet"/>
      <w:lvlText w:val="•"/>
      <w:lvlJc w:val="left"/>
      <w:pPr>
        <w:ind w:left="4645" w:hanging="227"/>
      </w:pPr>
      <w:rPr>
        <w:rFonts w:hint="default"/>
      </w:rPr>
    </w:lvl>
    <w:lvl w:ilvl="4" w:tplc="F41ECD4E">
      <w:numFmt w:val="bullet"/>
      <w:lvlText w:val="•"/>
      <w:lvlJc w:val="left"/>
      <w:pPr>
        <w:ind w:left="5485" w:hanging="227"/>
      </w:pPr>
      <w:rPr>
        <w:rFonts w:hint="default"/>
      </w:rPr>
    </w:lvl>
    <w:lvl w:ilvl="5" w:tplc="DD54768C">
      <w:numFmt w:val="bullet"/>
      <w:lvlText w:val="•"/>
      <w:lvlJc w:val="left"/>
      <w:pPr>
        <w:ind w:left="6326" w:hanging="227"/>
      </w:pPr>
      <w:rPr>
        <w:rFonts w:hint="default"/>
      </w:rPr>
    </w:lvl>
    <w:lvl w:ilvl="6" w:tplc="6E60E896">
      <w:numFmt w:val="bullet"/>
      <w:lvlText w:val="•"/>
      <w:lvlJc w:val="left"/>
      <w:pPr>
        <w:ind w:left="7167" w:hanging="227"/>
      </w:pPr>
      <w:rPr>
        <w:rFonts w:hint="default"/>
      </w:rPr>
    </w:lvl>
    <w:lvl w:ilvl="7" w:tplc="468E0412">
      <w:numFmt w:val="bullet"/>
      <w:lvlText w:val="•"/>
      <w:lvlJc w:val="left"/>
      <w:pPr>
        <w:ind w:left="8007" w:hanging="227"/>
      </w:pPr>
      <w:rPr>
        <w:rFonts w:hint="default"/>
      </w:rPr>
    </w:lvl>
    <w:lvl w:ilvl="8" w:tplc="64E05C64">
      <w:numFmt w:val="bullet"/>
      <w:lvlText w:val="•"/>
      <w:lvlJc w:val="left"/>
      <w:pPr>
        <w:ind w:left="8848" w:hanging="227"/>
      </w:pPr>
      <w:rPr>
        <w:rFonts w:hint="default"/>
      </w:rPr>
    </w:lvl>
  </w:abstractNum>
  <w:abstractNum w:abstractNumId="13" w15:restartNumberingAfterBreak="0">
    <w:nsid w:val="307667D0"/>
    <w:multiLevelType w:val="hybridMultilevel"/>
    <w:tmpl w:val="C6E853E6"/>
    <w:lvl w:ilvl="0" w:tplc="024C9BB6">
      <w:start w:val="1"/>
      <w:numFmt w:val="decimal"/>
      <w:lvlText w:val="%1."/>
      <w:lvlJc w:val="left"/>
      <w:pPr>
        <w:ind w:left="797" w:hanging="681"/>
      </w:pPr>
      <w:rPr>
        <w:rFonts w:ascii="Arial" w:eastAsia="Arial" w:hAnsi="Arial" w:cs="Arial" w:hint="default"/>
        <w:color w:val="231F20"/>
        <w:spacing w:val="-14"/>
        <w:w w:val="100"/>
        <w:sz w:val="24"/>
        <w:szCs w:val="24"/>
      </w:rPr>
    </w:lvl>
    <w:lvl w:ilvl="1" w:tplc="0CB26E1A">
      <w:numFmt w:val="bullet"/>
      <w:lvlText w:val="•"/>
      <w:lvlJc w:val="left"/>
      <w:pPr>
        <w:ind w:left="1648" w:hanging="227"/>
      </w:pPr>
      <w:rPr>
        <w:rFonts w:hint="default"/>
        <w:spacing w:val="-5"/>
        <w:w w:val="100"/>
      </w:rPr>
    </w:lvl>
    <w:lvl w:ilvl="2" w:tplc="56AA4458">
      <w:numFmt w:val="bullet"/>
      <w:lvlText w:val="•"/>
      <w:lvlJc w:val="left"/>
      <w:pPr>
        <w:ind w:left="2489" w:hanging="227"/>
      </w:pPr>
      <w:rPr>
        <w:rFonts w:hint="default"/>
      </w:rPr>
    </w:lvl>
    <w:lvl w:ilvl="3" w:tplc="566CF8A4">
      <w:numFmt w:val="bullet"/>
      <w:lvlText w:val="•"/>
      <w:lvlJc w:val="left"/>
      <w:pPr>
        <w:ind w:left="3339" w:hanging="227"/>
      </w:pPr>
      <w:rPr>
        <w:rFonts w:hint="default"/>
      </w:rPr>
    </w:lvl>
    <w:lvl w:ilvl="4" w:tplc="385EE8E6">
      <w:numFmt w:val="bullet"/>
      <w:lvlText w:val="•"/>
      <w:lvlJc w:val="left"/>
      <w:pPr>
        <w:ind w:left="4188" w:hanging="227"/>
      </w:pPr>
      <w:rPr>
        <w:rFonts w:hint="default"/>
      </w:rPr>
    </w:lvl>
    <w:lvl w:ilvl="5" w:tplc="3C9A4B70">
      <w:numFmt w:val="bullet"/>
      <w:lvlText w:val="•"/>
      <w:lvlJc w:val="left"/>
      <w:pPr>
        <w:ind w:left="5038" w:hanging="227"/>
      </w:pPr>
      <w:rPr>
        <w:rFonts w:hint="default"/>
      </w:rPr>
    </w:lvl>
    <w:lvl w:ilvl="6" w:tplc="9F82E486">
      <w:numFmt w:val="bullet"/>
      <w:lvlText w:val="•"/>
      <w:lvlJc w:val="left"/>
      <w:pPr>
        <w:ind w:left="5887" w:hanging="227"/>
      </w:pPr>
      <w:rPr>
        <w:rFonts w:hint="default"/>
      </w:rPr>
    </w:lvl>
    <w:lvl w:ilvl="7" w:tplc="8F2059C0">
      <w:numFmt w:val="bullet"/>
      <w:lvlText w:val="•"/>
      <w:lvlJc w:val="left"/>
      <w:pPr>
        <w:ind w:left="6737" w:hanging="227"/>
      </w:pPr>
      <w:rPr>
        <w:rFonts w:hint="default"/>
      </w:rPr>
    </w:lvl>
    <w:lvl w:ilvl="8" w:tplc="6FBC07B0">
      <w:numFmt w:val="bullet"/>
      <w:lvlText w:val="•"/>
      <w:lvlJc w:val="left"/>
      <w:pPr>
        <w:ind w:left="7586" w:hanging="227"/>
      </w:pPr>
      <w:rPr>
        <w:rFonts w:hint="default"/>
      </w:rPr>
    </w:lvl>
  </w:abstractNum>
  <w:abstractNum w:abstractNumId="14" w15:restartNumberingAfterBreak="0">
    <w:nsid w:val="3EC42FE8"/>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15:restartNumberingAfterBreak="0">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cs="Times New Roman"/>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4E4322A8"/>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7" w15:restartNumberingAfterBreak="0">
    <w:nsid w:val="5DC3452E"/>
    <w:multiLevelType w:val="hybridMultilevel"/>
    <w:tmpl w:val="C686B9C4"/>
    <w:lvl w:ilvl="0" w:tplc="CC48783C">
      <w:start w:val="1"/>
      <w:numFmt w:val="decimal"/>
      <w:lvlText w:val="%1."/>
      <w:lvlJc w:val="left"/>
      <w:pPr>
        <w:ind w:left="797" w:hanging="681"/>
      </w:pPr>
      <w:rPr>
        <w:rFonts w:ascii="Arial" w:eastAsia="Arial" w:hAnsi="Arial" w:cs="Arial" w:hint="default"/>
        <w:color w:val="231F20"/>
        <w:spacing w:val="-14"/>
        <w:w w:val="100"/>
        <w:sz w:val="24"/>
        <w:szCs w:val="24"/>
      </w:rPr>
    </w:lvl>
    <w:lvl w:ilvl="1" w:tplc="21342842">
      <w:numFmt w:val="bullet"/>
      <w:lvlText w:val="•"/>
      <w:lvlJc w:val="left"/>
      <w:pPr>
        <w:ind w:left="1648" w:hanging="227"/>
      </w:pPr>
      <w:rPr>
        <w:rFonts w:ascii="Arial" w:eastAsia="Arial" w:hAnsi="Arial" w:cs="Arial" w:hint="default"/>
        <w:color w:val="231F20"/>
        <w:spacing w:val="-12"/>
        <w:w w:val="100"/>
        <w:sz w:val="22"/>
        <w:szCs w:val="22"/>
      </w:rPr>
    </w:lvl>
    <w:lvl w:ilvl="2" w:tplc="F9D8901C">
      <w:numFmt w:val="bullet"/>
      <w:lvlText w:val="•"/>
      <w:lvlJc w:val="left"/>
      <w:pPr>
        <w:ind w:left="2480" w:hanging="227"/>
      </w:pPr>
      <w:rPr>
        <w:rFonts w:hint="default"/>
      </w:rPr>
    </w:lvl>
    <w:lvl w:ilvl="3" w:tplc="0EF419F4">
      <w:numFmt w:val="bullet"/>
      <w:lvlText w:val="•"/>
      <w:lvlJc w:val="left"/>
      <w:pPr>
        <w:ind w:left="3321" w:hanging="227"/>
      </w:pPr>
      <w:rPr>
        <w:rFonts w:hint="default"/>
      </w:rPr>
    </w:lvl>
    <w:lvl w:ilvl="4" w:tplc="F41ECD4E">
      <w:numFmt w:val="bullet"/>
      <w:lvlText w:val="•"/>
      <w:lvlJc w:val="left"/>
      <w:pPr>
        <w:ind w:left="4161" w:hanging="227"/>
      </w:pPr>
      <w:rPr>
        <w:rFonts w:hint="default"/>
      </w:rPr>
    </w:lvl>
    <w:lvl w:ilvl="5" w:tplc="DD54768C">
      <w:numFmt w:val="bullet"/>
      <w:lvlText w:val="•"/>
      <w:lvlJc w:val="left"/>
      <w:pPr>
        <w:ind w:left="5002" w:hanging="227"/>
      </w:pPr>
      <w:rPr>
        <w:rFonts w:hint="default"/>
      </w:rPr>
    </w:lvl>
    <w:lvl w:ilvl="6" w:tplc="6E60E896">
      <w:numFmt w:val="bullet"/>
      <w:lvlText w:val="•"/>
      <w:lvlJc w:val="left"/>
      <w:pPr>
        <w:ind w:left="5843" w:hanging="227"/>
      </w:pPr>
      <w:rPr>
        <w:rFonts w:hint="default"/>
      </w:rPr>
    </w:lvl>
    <w:lvl w:ilvl="7" w:tplc="468E0412">
      <w:numFmt w:val="bullet"/>
      <w:lvlText w:val="•"/>
      <w:lvlJc w:val="left"/>
      <w:pPr>
        <w:ind w:left="6683" w:hanging="227"/>
      </w:pPr>
      <w:rPr>
        <w:rFonts w:hint="default"/>
      </w:rPr>
    </w:lvl>
    <w:lvl w:ilvl="8" w:tplc="64E05C64">
      <w:numFmt w:val="bullet"/>
      <w:lvlText w:val="•"/>
      <w:lvlJc w:val="left"/>
      <w:pPr>
        <w:ind w:left="7524" w:hanging="227"/>
      </w:pPr>
      <w:rPr>
        <w:rFonts w:hint="default"/>
      </w:rPr>
    </w:lvl>
  </w:abstractNum>
  <w:abstractNum w:abstractNumId="18" w15:restartNumberingAfterBreak="0">
    <w:nsid w:val="6EB26F79"/>
    <w:multiLevelType w:val="multilevel"/>
    <w:tmpl w:val="B99AEB08"/>
    <w:lvl w:ilvl="0">
      <w:start w:val="1"/>
      <w:numFmt w:val="lowerLetter"/>
      <w:lvlText w:val="(%1)"/>
      <w:lvlJc w:val="left"/>
      <w:pPr>
        <w:ind w:left="797" w:hanging="681"/>
      </w:pPr>
      <w:rPr>
        <w:rFonts w:ascii="Arial" w:eastAsia="Arial" w:hAnsi="Arial" w:cs="Arial" w:hint="default"/>
        <w:b/>
        <w:bCs/>
        <w:color w:val="231F20"/>
        <w:spacing w:val="-10"/>
        <w:w w:val="100"/>
        <w:sz w:val="24"/>
        <w:szCs w:val="24"/>
      </w:rPr>
    </w:lvl>
    <w:lvl w:ilvl="1">
      <w:numFmt w:val="bullet"/>
      <w:lvlText w:val="•"/>
      <w:lvlJc w:val="left"/>
      <w:pPr>
        <w:ind w:left="1642" w:hanging="681"/>
      </w:pPr>
      <w:rPr>
        <w:rFonts w:hint="default"/>
      </w:rPr>
    </w:lvl>
    <w:lvl w:ilvl="2">
      <w:numFmt w:val="bullet"/>
      <w:lvlText w:val="•"/>
      <w:lvlJc w:val="left"/>
      <w:pPr>
        <w:ind w:left="2485" w:hanging="681"/>
      </w:pPr>
      <w:rPr>
        <w:rFonts w:hint="default"/>
      </w:rPr>
    </w:lvl>
    <w:lvl w:ilvl="3">
      <w:numFmt w:val="bullet"/>
      <w:lvlText w:val="•"/>
      <w:lvlJc w:val="left"/>
      <w:pPr>
        <w:ind w:left="3327" w:hanging="681"/>
      </w:pPr>
      <w:rPr>
        <w:rFonts w:hint="default"/>
      </w:rPr>
    </w:lvl>
    <w:lvl w:ilvl="4">
      <w:numFmt w:val="bullet"/>
      <w:lvlText w:val="•"/>
      <w:lvlJc w:val="left"/>
      <w:pPr>
        <w:ind w:left="4170" w:hanging="681"/>
      </w:pPr>
      <w:rPr>
        <w:rFonts w:hint="default"/>
      </w:rPr>
    </w:lvl>
    <w:lvl w:ilvl="5">
      <w:numFmt w:val="bullet"/>
      <w:lvlText w:val="•"/>
      <w:lvlJc w:val="left"/>
      <w:pPr>
        <w:ind w:left="5012" w:hanging="681"/>
      </w:pPr>
      <w:rPr>
        <w:rFonts w:hint="default"/>
      </w:rPr>
    </w:lvl>
    <w:lvl w:ilvl="6">
      <w:numFmt w:val="bullet"/>
      <w:lvlText w:val="•"/>
      <w:lvlJc w:val="left"/>
      <w:pPr>
        <w:ind w:left="5855" w:hanging="681"/>
      </w:pPr>
      <w:rPr>
        <w:rFonts w:hint="default"/>
      </w:rPr>
    </w:lvl>
    <w:lvl w:ilvl="7">
      <w:numFmt w:val="bullet"/>
      <w:lvlText w:val="•"/>
      <w:lvlJc w:val="left"/>
      <w:pPr>
        <w:ind w:left="6697" w:hanging="681"/>
      </w:pPr>
      <w:rPr>
        <w:rFonts w:hint="default"/>
      </w:rPr>
    </w:lvl>
    <w:lvl w:ilvl="8">
      <w:numFmt w:val="bullet"/>
      <w:lvlText w:val="•"/>
      <w:lvlJc w:val="left"/>
      <w:pPr>
        <w:ind w:left="7540" w:hanging="681"/>
      </w:pPr>
      <w:rPr>
        <w:rFonts w:hint="default"/>
      </w:rPr>
    </w:lvl>
  </w:abstractNum>
  <w:abstractNum w:abstractNumId="19" w15:restartNumberingAfterBreak="0">
    <w:nsid w:val="74C74663"/>
    <w:multiLevelType w:val="hybridMultilevel"/>
    <w:tmpl w:val="43F0B4A6"/>
    <w:lvl w:ilvl="0" w:tplc="F17A59EC">
      <w:start w:val="1"/>
      <w:numFmt w:val="decimal"/>
      <w:lvlText w:val="%1."/>
      <w:lvlJc w:val="left"/>
      <w:pPr>
        <w:tabs>
          <w:tab w:val="num" w:pos="720"/>
        </w:tabs>
        <w:ind w:left="720" w:hanging="720"/>
      </w:pPr>
      <w:rPr>
        <w:rFonts w:cs="Times New Roman" w:hint="default"/>
        <w:b w:val="0"/>
        <w:i w:val="0"/>
        <w:sz w:val="24"/>
      </w:rPr>
    </w:lvl>
    <w:lvl w:ilvl="1" w:tplc="0C090001">
      <w:start w:val="1"/>
      <w:numFmt w:val="bullet"/>
      <w:lvlText w:val=""/>
      <w:lvlJc w:val="left"/>
      <w:pPr>
        <w:tabs>
          <w:tab w:val="num" w:pos="1440"/>
        </w:tabs>
        <w:ind w:left="1440" w:hanging="360"/>
      </w:pPr>
      <w:rPr>
        <w:rFonts w:ascii="Symbol" w:hAnsi="Symbol" w:hint="default"/>
        <w:b w:val="0"/>
        <w:sz w:val="22"/>
        <w:szCs w:val="22"/>
      </w:rPr>
    </w:lvl>
    <w:lvl w:ilvl="2" w:tplc="0C09001B">
      <w:start w:val="1"/>
      <w:numFmt w:val="lowerRoman"/>
      <w:lvlText w:val="%3."/>
      <w:lvlJc w:val="right"/>
      <w:pPr>
        <w:tabs>
          <w:tab w:val="num" w:pos="2160"/>
        </w:tabs>
        <w:ind w:left="2160" w:hanging="180"/>
      </w:pPr>
      <w:rPr>
        <w:rFonts w:cs="Times New Roman"/>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num w:numId="1">
    <w:abstractNumId w:val="16"/>
  </w:num>
  <w:num w:numId="2">
    <w:abstractNumId w:val="14"/>
  </w:num>
  <w:num w:numId="3">
    <w:abstractNumId w:val="9"/>
  </w:num>
  <w:num w:numId="4">
    <w:abstractNumId w:val="15"/>
  </w:num>
  <w:num w:numId="5">
    <w:abstractNumId w:val="10"/>
  </w:num>
  <w:num w:numId="6">
    <w:abstractNumId w:val="7"/>
  </w:num>
  <w:num w:numId="7">
    <w:abstractNumId w:val="19"/>
  </w:num>
  <w:num w:numId="8">
    <w:abstractNumId w:val="1"/>
  </w:num>
  <w:num w:numId="9">
    <w:abstractNumId w:val="0"/>
  </w:num>
  <w:num w:numId="10">
    <w:abstractNumId w:val="2"/>
  </w:num>
  <w:num w:numId="11">
    <w:abstractNumId w:val="8"/>
  </w:num>
  <w:num w:numId="12">
    <w:abstractNumId w:val="3"/>
    <w:lvlOverride w:ilvl="0">
      <w:lvl w:ilvl="0">
        <w:start w:val="1"/>
        <w:numFmt w:val="bullet"/>
        <w:pStyle w:val="Dash"/>
        <w:lvlText w:val=""/>
        <w:legacy w:legacy="1" w:legacySpace="0" w:legacyIndent="397"/>
        <w:lvlJc w:val="left"/>
        <w:pPr>
          <w:ind w:left="681" w:hanging="397"/>
        </w:pPr>
        <w:rPr>
          <w:rFonts w:ascii="Symbol" w:hAnsi="Symbol" w:hint="default"/>
          <w:sz w:val="24"/>
        </w:rPr>
      </w:lvl>
    </w:lvlOverride>
  </w:num>
  <w:num w:numId="13">
    <w:abstractNumId w:val="5"/>
  </w:num>
  <w:num w:numId="14">
    <w:abstractNumId w:val="4"/>
  </w:num>
  <w:num w:numId="15">
    <w:abstractNumId w:val="6"/>
  </w:num>
  <w:num w:numId="16">
    <w:abstractNumId w:val="12"/>
  </w:num>
  <w:num w:numId="17">
    <w:abstractNumId w:val="13"/>
  </w:num>
  <w:num w:numId="18">
    <w:abstractNumId w:val="17"/>
  </w:num>
  <w:num w:numId="19">
    <w:abstractNumId w:val="10"/>
  </w:num>
  <w:num w:numId="20">
    <w:abstractNumId w:val="10"/>
  </w:num>
  <w:num w:numId="21">
    <w:abstractNumId w:val="10"/>
  </w:num>
  <w:num w:numId="22">
    <w:abstractNumId w:val="10"/>
  </w:num>
  <w:num w:numId="23">
    <w:abstractNumId w:val="10"/>
  </w:num>
  <w:num w:numId="24">
    <w:abstractNumId w:val="10"/>
  </w:num>
  <w:num w:numId="25">
    <w:abstractNumId w:val="11"/>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256"/>
    <w:rsid w:val="000066B8"/>
    <w:rsid w:val="00090AB5"/>
    <w:rsid w:val="000E488A"/>
    <w:rsid w:val="00142620"/>
    <w:rsid w:val="001F4253"/>
    <w:rsid w:val="00230BB5"/>
    <w:rsid w:val="00235F73"/>
    <w:rsid w:val="00250EF8"/>
    <w:rsid w:val="00274CAE"/>
    <w:rsid w:val="002924A5"/>
    <w:rsid w:val="002C0C5F"/>
    <w:rsid w:val="00317538"/>
    <w:rsid w:val="00440C1C"/>
    <w:rsid w:val="00483037"/>
    <w:rsid w:val="00493E80"/>
    <w:rsid w:val="004A3A03"/>
    <w:rsid w:val="004F360E"/>
    <w:rsid w:val="005353B3"/>
    <w:rsid w:val="005C0252"/>
    <w:rsid w:val="005C193C"/>
    <w:rsid w:val="0066176F"/>
    <w:rsid w:val="00671A66"/>
    <w:rsid w:val="0069296B"/>
    <w:rsid w:val="00707D51"/>
    <w:rsid w:val="00731AB1"/>
    <w:rsid w:val="007671A5"/>
    <w:rsid w:val="0077025A"/>
    <w:rsid w:val="00783059"/>
    <w:rsid w:val="007E2454"/>
    <w:rsid w:val="008217BE"/>
    <w:rsid w:val="00832256"/>
    <w:rsid w:val="009B2D31"/>
    <w:rsid w:val="009D7993"/>
    <w:rsid w:val="00A51EF0"/>
    <w:rsid w:val="00A52258"/>
    <w:rsid w:val="00A63D0F"/>
    <w:rsid w:val="00AD02F3"/>
    <w:rsid w:val="00AD613D"/>
    <w:rsid w:val="00B806BC"/>
    <w:rsid w:val="00BA3DE9"/>
    <w:rsid w:val="00BA708B"/>
    <w:rsid w:val="00C00C7F"/>
    <w:rsid w:val="00C1107E"/>
    <w:rsid w:val="00C86917"/>
    <w:rsid w:val="00CB03B8"/>
    <w:rsid w:val="00CC4692"/>
    <w:rsid w:val="00CE7554"/>
    <w:rsid w:val="00D02AC5"/>
    <w:rsid w:val="00D30D63"/>
    <w:rsid w:val="00D42A20"/>
    <w:rsid w:val="00D55817"/>
    <w:rsid w:val="00D732B2"/>
    <w:rsid w:val="00DA2855"/>
    <w:rsid w:val="00DD5B7A"/>
    <w:rsid w:val="00E70CC9"/>
    <w:rsid w:val="00E74A31"/>
    <w:rsid w:val="00EB38BA"/>
    <w:rsid w:val="00EB585F"/>
    <w:rsid w:val="00F10AF2"/>
    <w:rsid w:val="00FA21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21C0A"/>
  <w15:chartTrackingRefBased/>
  <w15:docId w15:val="{277E934D-2AE8-4D8E-AC2C-B9F07A375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17BE"/>
    <w:pPr>
      <w:keepLines/>
      <w:spacing w:after="240" w:line="240" w:lineRule="auto"/>
    </w:pPr>
    <w:rPr>
      <w:rFonts w:ascii="Open Sans" w:eastAsia="Times New Roman" w:hAnsi="Open Sans" w:cs="Times New Roman"/>
      <w:spacing w:val="-5"/>
      <w:sz w:val="24"/>
      <w:szCs w:val="20"/>
    </w:rPr>
  </w:style>
  <w:style w:type="paragraph" w:styleId="Heading1">
    <w:name w:val="heading 1"/>
    <w:basedOn w:val="Normal"/>
    <w:next w:val="Normal"/>
    <w:link w:val="Heading1Char"/>
    <w:qFormat/>
    <w:rsid w:val="00EB38BA"/>
    <w:pPr>
      <w:keepNext/>
      <w:numPr>
        <w:numId w:val="5"/>
      </w:numPr>
      <w:spacing w:before="360"/>
      <w:outlineLvl w:val="0"/>
    </w:pPr>
    <w:rPr>
      <w:b/>
      <w:bCs/>
      <w:sz w:val="28"/>
      <w:szCs w:val="28"/>
    </w:rPr>
  </w:style>
  <w:style w:type="paragraph" w:styleId="Heading2">
    <w:name w:val="heading 2"/>
    <w:basedOn w:val="Heading1"/>
    <w:next w:val="Normal"/>
    <w:link w:val="Heading2Char"/>
    <w:qFormat/>
    <w:rsid w:val="00EB38BA"/>
    <w:pPr>
      <w:numPr>
        <w:ilvl w:val="1"/>
      </w:numPr>
      <w:outlineLvl w:val="1"/>
    </w:pPr>
    <w:rPr>
      <w:bCs w:val="0"/>
      <w:color w:val="000000"/>
      <w:szCs w:val="26"/>
    </w:rPr>
  </w:style>
  <w:style w:type="paragraph" w:styleId="Heading3">
    <w:name w:val="heading 3"/>
    <w:basedOn w:val="Heading2"/>
    <w:next w:val="Normal"/>
    <w:link w:val="Heading3Char"/>
    <w:qFormat/>
    <w:rsid w:val="00EB38BA"/>
    <w:pPr>
      <w:numPr>
        <w:ilvl w:val="2"/>
      </w:numPr>
      <w:outlineLvl w:val="2"/>
    </w:pPr>
    <w:rPr>
      <w:bCs/>
      <w:color w:val="auto"/>
      <w:sz w:val="24"/>
    </w:rPr>
  </w:style>
  <w:style w:type="paragraph" w:styleId="Heading4">
    <w:name w:val="heading 4"/>
    <w:basedOn w:val="Heading3"/>
    <w:next w:val="Normal"/>
    <w:link w:val="Heading4Char"/>
    <w:qFormat/>
    <w:rsid w:val="00832256"/>
    <w:pPr>
      <w:numPr>
        <w:ilvl w:val="3"/>
      </w:numPr>
      <w:outlineLvl w:val="3"/>
    </w:pPr>
    <w:rPr>
      <w:bCs w:val="0"/>
      <w:i/>
      <w:iCs/>
    </w:rPr>
  </w:style>
  <w:style w:type="paragraph" w:styleId="Heading5">
    <w:name w:val="heading 5"/>
    <w:basedOn w:val="Normal"/>
    <w:next w:val="Normal"/>
    <w:link w:val="Heading5Char"/>
    <w:qFormat/>
    <w:rsid w:val="00832256"/>
    <w:pPr>
      <w:keepNext/>
      <w:spacing w:before="200"/>
      <w:outlineLvl w:val="4"/>
    </w:pPr>
    <w:rPr>
      <w:rFonts w:ascii="Cambria" w:hAnsi="Cambria"/>
      <w:color w:val="243F60"/>
    </w:rPr>
  </w:style>
  <w:style w:type="paragraph" w:styleId="Heading6">
    <w:name w:val="heading 6"/>
    <w:basedOn w:val="Normal"/>
    <w:next w:val="Normal"/>
    <w:link w:val="Heading6Char"/>
    <w:qFormat/>
    <w:rsid w:val="00832256"/>
    <w:pPr>
      <w:keepNext/>
      <w:spacing w:before="200"/>
      <w:outlineLvl w:val="5"/>
    </w:pPr>
    <w:rPr>
      <w:rFonts w:ascii="Cambria" w:hAnsi="Cambria"/>
      <w:i/>
      <w:iCs/>
      <w:color w:val="243F60"/>
    </w:rPr>
  </w:style>
  <w:style w:type="paragraph" w:styleId="Heading7">
    <w:name w:val="heading 7"/>
    <w:basedOn w:val="Normal"/>
    <w:next w:val="Normal"/>
    <w:link w:val="Heading7Char"/>
    <w:qFormat/>
    <w:rsid w:val="00832256"/>
    <w:pPr>
      <w:keepNext/>
      <w:spacing w:before="200"/>
      <w:outlineLvl w:val="6"/>
    </w:pPr>
    <w:rPr>
      <w:rFonts w:ascii="Cambria" w:hAnsi="Cambria"/>
      <w:i/>
      <w:iCs/>
      <w:color w:val="404040"/>
    </w:rPr>
  </w:style>
  <w:style w:type="paragraph" w:styleId="Heading8">
    <w:name w:val="heading 8"/>
    <w:basedOn w:val="Normal"/>
    <w:next w:val="Normal"/>
    <w:link w:val="Heading8Char"/>
    <w:qFormat/>
    <w:rsid w:val="00832256"/>
    <w:pPr>
      <w:keepNext/>
      <w:spacing w:before="200"/>
      <w:outlineLvl w:val="7"/>
    </w:pPr>
    <w:rPr>
      <w:rFonts w:ascii="Cambria" w:hAnsi="Cambria"/>
      <w:color w:val="404040"/>
    </w:rPr>
  </w:style>
  <w:style w:type="paragraph" w:styleId="Heading9">
    <w:name w:val="heading 9"/>
    <w:basedOn w:val="Normal"/>
    <w:next w:val="Normal"/>
    <w:link w:val="Heading9Char"/>
    <w:qFormat/>
    <w:rsid w:val="00832256"/>
    <w:pPr>
      <w:keepNext/>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2256"/>
    <w:rPr>
      <w:rFonts w:ascii="Arial" w:eastAsia="Times New Roman" w:hAnsi="Arial" w:cs="Times New Roman"/>
      <w:b/>
      <w:bCs/>
      <w:spacing w:val="-5"/>
      <w:sz w:val="28"/>
      <w:szCs w:val="28"/>
    </w:rPr>
  </w:style>
  <w:style w:type="character" w:customStyle="1" w:styleId="Heading2Char">
    <w:name w:val="Heading 2 Char"/>
    <w:basedOn w:val="DefaultParagraphFont"/>
    <w:link w:val="Heading2"/>
    <w:rsid w:val="00EB38BA"/>
    <w:rPr>
      <w:rFonts w:ascii="Open Sans" w:eastAsia="Times New Roman" w:hAnsi="Open Sans" w:cs="Times New Roman"/>
      <w:b/>
      <w:color w:val="000000"/>
      <w:spacing w:val="-5"/>
      <w:sz w:val="28"/>
      <w:szCs w:val="26"/>
    </w:rPr>
  </w:style>
  <w:style w:type="character" w:customStyle="1" w:styleId="Heading3Char">
    <w:name w:val="Heading 3 Char"/>
    <w:basedOn w:val="DefaultParagraphFont"/>
    <w:link w:val="Heading3"/>
    <w:rsid w:val="00EB38BA"/>
    <w:rPr>
      <w:rFonts w:ascii="Open Sans" w:eastAsia="Times New Roman" w:hAnsi="Open Sans" w:cs="Times New Roman"/>
      <w:b/>
      <w:bCs/>
      <w:spacing w:val="-5"/>
      <w:sz w:val="24"/>
      <w:szCs w:val="26"/>
    </w:rPr>
  </w:style>
  <w:style w:type="character" w:customStyle="1" w:styleId="Heading4Char">
    <w:name w:val="Heading 4 Char"/>
    <w:basedOn w:val="DefaultParagraphFont"/>
    <w:link w:val="Heading4"/>
    <w:rsid w:val="00832256"/>
    <w:rPr>
      <w:rFonts w:ascii="Arial" w:eastAsia="Times New Roman" w:hAnsi="Arial" w:cs="Times New Roman"/>
      <w:iCs/>
      <w:spacing w:val="-5"/>
      <w:sz w:val="24"/>
      <w:szCs w:val="26"/>
    </w:rPr>
  </w:style>
  <w:style w:type="character" w:customStyle="1" w:styleId="Heading5Char">
    <w:name w:val="Heading 5 Char"/>
    <w:basedOn w:val="DefaultParagraphFont"/>
    <w:link w:val="Heading5"/>
    <w:rsid w:val="00832256"/>
    <w:rPr>
      <w:rFonts w:ascii="Cambria" w:eastAsia="Times New Roman" w:hAnsi="Cambria" w:cs="Times New Roman"/>
      <w:color w:val="243F60"/>
      <w:spacing w:val="-5"/>
      <w:sz w:val="24"/>
      <w:szCs w:val="20"/>
    </w:rPr>
  </w:style>
  <w:style w:type="character" w:customStyle="1" w:styleId="Heading6Char">
    <w:name w:val="Heading 6 Char"/>
    <w:basedOn w:val="DefaultParagraphFont"/>
    <w:link w:val="Heading6"/>
    <w:rsid w:val="00832256"/>
    <w:rPr>
      <w:rFonts w:ascii="Cambria" w:eastAsia="Times New Roman" w:hAnsi="Cambria" w:cs="Times New Roman"/>
      <w:i/>
      <w:iCs/>
      <w:color w:val="243F60"/>
      <w:spacing w:val="-5"/>
      <w:sz w:val="24"/>
      <w:szCs w:val="20"/>
    </w:rPr>
  </w:style>
  <w:style w:type="character" w:customStyle="1" w:styleId="Heading7Char">
    <w:name w:val="Heading 7 Char"/>
    <w:basedOn w:val="DefaultParagraphFont"/>
    <w:link w:val="Heading7"/>
    <w:rsid w:val="00832256"/>
    <w:rPr>
      <w:rFonts w:ascii="Cambria" w:eastAsia="Times New Roman" w:hAnsi="Cambria" w:cs="Times New Roman"/>
      <w:i/>
      <w:iCs/>
      <w:color w:val="404040"/>
      <w:spacing w:val="-5"/>
      <w:sz w:val="24"/>
      <w:szCs w:val="20"/>
    </w:rPr>
  </w:style>
  <w:style w:type="character" w:customStyle="1" w:styleId="Heading8Char">
    <w:name w:val="Heading 8 Char"/>
    <w:basedOn w:val="DefaultParagraphFont"/>
    <w:link w:val="Heading8"/>
    <w:rsid w:val="00832256"/>
    <w:rPr>
      <w:rFonts w:ascii="Cambria" w:eastAsia="Times New Roman" w:hAnsi="Cambria" w:cs="Times New Roman"/>
      <w:color w:val="404040"/>
      <w:spacing w:val="-5"/>
      <w:sz w:val="24"/>
      <w:szCs w:val="20"/>
    </w:rPr>
  </w:style>
  <w:style w:type="character" w:customStyle="1" w:styleId="Heading9Char">
    <w:name w:val="Heading 9 Char"/>
    <w:basedOn w:val="DefaultParagraphFont"/>
    <w:link w:val="Heading9"/>
    <w:rsid w:val="00832256"/>
    <w:rPr>
      <w:rFonts w:ascii="Cambria" w:eastAsia="Times New Roman" w:hAnsi="Cambria" w:cs="Times New Roman"/>
      <w:i/>
      <w:iCs/>
      <w:color w:val="404040"/>
      <w:spacing w:val="-5"/>
      <w:sz w:val="24"/>
      <w:szCs w:val="20"/>
    </w:rPr>
  </w:style>
  <w:style w:type="paragraph" w:styleId="BalloonText">
    <w:name w:val="Balloon Text"/>
    <w:basedOn w:val="Normal"/>
    <w:link w:val="BalloonTextChar1"/>
    <w:rsid w:val="00832256"/>
    <w:rPr>
      <w:rFonts w:ascii="Tahoma" w:hAnsi="Tahoma" w:cs="Tahoma"/>
      <w:sz w:val="16"/>
      <w:szCs w:val="16"/>
    </w:rPr>
  </w:style>
  <w:style w:type="character" w:customStyle="1" w:styleId="BalloonTextChar">
    <w:name w:val="Balloon Text Char"/>
    <w:basedOn w:val="DefaultParagraphFont"/>
    <w:uiPriority w:val="99"/>
    <w:semiHidden/>
    <w:rsid w:val="00832256"/>
    <w:rPr>
      <w:rFonts w:ascii="Segoe UI" w:eastAsia="Times New Roman" w:hAnsi="Segoe UI" w:cs="Segoe UI"/>
      <w:spacing w:val="-5"/>
      <w:sz w:val="18"/>
      <w:szCs w:val="18"/>
    </w:rPr>
  </w:style>
  <w:style w:type="character" w:styleId="Strong">
    <w:name w:val="Strong"/>
    <w:basedOn w:val="DefaultParagraphFont"/>
    <w:qFormat/>
    <w:rsid w:val="00832256"/>
    <w:rPr>
      <w:rFonts w:cs="Times New Roman"/>
      <w:b/>
      <w:bCs/>
    </w:rPr>
  </w:style>
  <w:style w:type="paragraph" w:styleId="Header">
    <w:name w:val="header"/>
    <w:basedOn w:val="Normal"/>
    <w:link w:val="HeaderChar"/>
    <w:rsid w:val="00832256"/>
    <w:pPr>
      <w:tabs>
        <w:tab w:val="center" w:pos="4513"/>
        <w:tab w:val="right" w:pos="9026"/>
      </w:tabs>
      <w:jc w:val="right"/>
    </w:pPr>
    <w:rPr>
      <w:sz w:val="22"/>
    </w:rPr>
  </w:style>
  <w:style w:type="character" w:customStyle="1" w:styleId="HeaderChar">
    <w:name w:val="Header Char"/>
    <w:basedOn w:val="DefaultParagraphFont"/>
    <w:link w:val="Header"/>
    <w:rsid w:val="00832256"/>
    <w:rPr>
      <w:rFonts w:ascii="Arial" w:eastAsia="Times New Roman" w:hAnsi="Arial" w:cs="Times New Roman"/>
      <w:spacing w:val="-5"/>
      <w:szCs w:val="20"/>
    </w:rPr>
  </w:style>
  <w:style w:type="paragraph" w:styleId="Footer">
    <w:name w:val="footer"/>
    <w:basedOn w:val="Normal"/>
    <w:link w:val="FooterChar"/>
    <w:uiPriority w:val="99"/>
    <w:rsid w:val="00832256"/>
    <w:pPr>
      <w:tabs>
        <w:tab w:val="center" w:pos="4513"/>
        <w:tab w:val="right" w:pos="9026"/>
      </w:tabs>
      <w:jc w:val="right"/>
    </w:pPr>
    <w:rPr>
      <w:sz w:val="22"/>
    </w:rPr>
  </w:style>
  <w:style w:type="character" w:customStyle="1" w:styleId="FooterChar">
    <w:name w:val="Footer Char"/>
    <w:basedOn w:val="DefaultParagraphFont"/>
    <w:link w:val="Footer"/>
    <w:uiPriority w:val="99"/>
    <w:rsid w:val="00832256"/>
    <w:rPr>
      <w:rFonts w:ascii="Arial" w:eastAsia="Times New Roman" w:hAnsi="Arial" w:cs="Times New Roman"/>
      <w:spacing w:val="-5"/>
      <w:szCs w:val="20"/>
    </w:rPr>
  </w:style>
  <w:style w:type="paragraph" w:styleId="TOC3">
    <w:name w:val="toc 3"/>
    <w:basedOn w:val="Normal"/>
    <w:next w:val="Normal"/>
    <w:autoRedefine/>
    <w:uiPriority w:val="39"/>
    <w:qFormat/>
    <w:rsid w:val="00EB38BA"/>
    <w:pPr>
      <w:ind w:left="2160" w:hanging="720"/>
      <w:contextualSpacing/>
    </w:pPr>
    <w:rPr>
      <w:rFonts w:eastAsia="MS Mincho" w:cs="Arial"/>
      <w:i/>
      <w:noProof/>
    </w:rPr>
  </w:style>
  <w:style w:type="character" w:styleId="PlaceholderText">
    <w:name w:val="Placeholder Text"/>
    <w:basedOn w:val="DefaultParagraphFont"/>
    <w:uiPriority w:val="99"/>
    <w:semiHidden/>
    <w:rsid w:val="00832256"/>
    <w:rPr>
      <w:rFonts w:cs="Times New Roman"/>
      <w:color w:val="808080"/>
    </w:rPr>
  </w:style>
  <w:style w:type="paragraph" w:styleId="ListContinue4">
    <w:name w:val="List Continue 4"/>
    <w:basedOn w:val="Normal"/>
    <w:semiHidden/>
    <w:rsid w:val="00832256"/>
    <w:pPr>
      <w:spacing w:after="120"/>
      <w:ind w:left="1132"/>
    </w:pPr>
  </w:style>
  <w:style w:type="paragraph" w:styleId="TOC1">
    <w:name w:val="toc 1"/>
    <w:basedOn w:val="Normal"/>
    <w:next w:val="Normal"/>
    <w:autoRedefine/>
    <w:uiPriority w:val="39"/>
    <w:qFormat/>
    <w:rsid w:val="00EB38BA"/>
    <w:pPr>
      <w:tabs>
        <w:tab w:val="right" w:leader="dot" w:pos="9060"/>
      </w:tabs>
      <w:ind w:left="720" w:hanging="720"/>
    </w:pPr>
    <w:rPr>
      <w:rFonts w:cs="Open Sans"/>
      <w:b/>
      <w:bCs/>
      <w:szCs w:val="36"/>
    </w:rPr>
  </w:style>
  <w:style w:type="paragraph" w:styleId="TOC2">
    <w:name w:val="toc 2"/>
    <w:basedOn w:val="Normal"/>
    <w:next w:val="Normal"/>
    <w:autoRedefine/>
    <w:uiPriority w:val="39"/>
    <w:qFormat/>
    <w:rsid w:val="00EB38BA"/>
    <w:pPr>
      <w:ind w:left="1440" w:hanging="720"/>
      <w:contextualSpacing/>
    </w:pPr>
  </w:style>
  <w:style w:type="paragraph" w:styleId="TOC4">
    <w:name w:val="toc 4"/>
    <w:basedOn w:val="Normal"/>
    <w:next w:val="Normal"/>
    <w:autoRedefine/>
    <w:uiPriority w:val="39"/>
    <w:semiHidden/>
    <w:rsid w:val="00832256"/>
    <w:pPr>
      <w:tabs>
        <w:tab w:val="left" w:pos="1440"/>
        <w:tab w:val="right" w:leader="dot" w:pos="9060"/>
      </w:tabs>
      <w:ind w:left="1440" w:hanging="720"/>
    </w:pPr>
    <w:rPr>
      <w:noProof/>
    </w:rPr>
  </w:style>
  <w:style w:type="character" w:styleId="Hyperlink">
    <w:name w:val="Hyperlink"/>
    <w:basedOn w:val="DefaultParagraphFont"/>
    <w:uiPriority w:val="99"/>
    <w:rsid w:val="00832256"/>
    <w:rPr>
      <w:rFonts w:cs="Times New Roman"/>
      <w:color w:val="0000FF"/>
      <w:u w:val="single"/>
    </w:rPr>
  </w:style>
  <w:style w:type="paragraph" w:styleId="TOCHeading">
    <w:name w:val="TOC Heading"/>
    <w:basedOn w:val="Normal"/>
    <w:next w:val="Normal"/>
    <w:uiPriority w:val="39"/>
    <w:qFormat/>
    <w:rsid w:val="00832256"/>
    <w:rPr>
      <w:b/>
      <w:sz w:val="28"/>
      <w:lang w:val="en-US"/>
    </w:rPr>
  </w:style>
  <w:style w:type="paragraph" w:styleId="EndnoteText">
    <w:name w:val="endnote text"/>
    <w:basedOn w:val="Normal"/>
    <w:link w:val="EndnoteTextChar"/>
    <w:uiPriority w:val="99"/>
    <w:rsid w:val="0069296B"/>
    <w:pPr>
      <w:spacing w:after="0"/>
    </w:pPr>
  </w:style>
  <w:style w:type="character" w:customStyle="1" w:styleId="EndnoteTextChar">
    <w:name w:val="Endnote Text Char"/>
    <w:basedOn w:val="DefaultParagraphFont"/>
    <w:link w:val="EndnoteText"/>
    <w:uiPriority w:val="99"/>
    <w:rsid w:val="0069296B"/>
    <w:rPr>
      <w:rFonts w:ascii="Open Sans" w:eastAsia="Times New Roman" w:hAnsi="Open Sans" w:cs="Times New Roman"/>
      <w:spacing w:val="-5"/>
      <w:sz w:val="24"/>
      <w:szCs w:val="20"/>
    </w:rPr>
  </w:style>
  <w:style w:type="character" w:styleId="EndnoteReference">
    <w:name w:val="endnote reference"/>
    <w:basedOn w:val="DefaultParagraphFont"/>
    <w:uiPriority w:val="99"/>
    <w:rsid w:val="008217BE"/>
    <w:rPr>
      <w:rFonts w:ascii="Open Sans" w:hAnsi="Open Sans" w:cs="Times New Roman"/>
      <w:sz w:val="20"/>
      <w:vertAlign w:val="superscript"/>
    </w:rPr>
  </w:style>
  <w:style w:type="paragraph" w:styleId="BlockText">
    <w:name w:val="Block Text"/>
    <w:basedOn w:val="Normal"/>
    <w:rsid w:val="00832256"/>
    <w:pPr>
      <w:spacing w:after="120"/>
      <w:ind w:left="1440" w:right="1440"/>
    </w:pPr>
  </w:style>
  <w:style w:type="paragraph" w:styleId="BodyText">
    <w:name w:val="Body Text"/>
    <w:basedOn w:val="Normal"/>
    <w:link w:val="BodyTextChar"/>
    <w:rsid w:val="00832256"/>
    <w:pPr>
      <w:spacing w:after="120"/>
    </w:pPr>
  </w:style>
  <w:style w:type="character" w:customStyle="1" w:styleId="BodyTextChar">
    <w:name w:val="Body Text Char"/>
    <w:basedOn w:val="DefaultParagraphFont"/>
    <w:link w:val="BodyText"/>
    <w:rsid w:val="00832256"/>
    <w:rPr>
      <w:rFonts w:ascii="Arial" w:eastAsia="Times New Roman" w:hAnsi="Arial" w:cs="Times New Roman"/>
      <w:spacing w:val="-5"/>
      <w:sz w:val="24"/>
      <w:szCs w:val="20"/>
    </w:rPr>
  </w:style>
  <w:style w:type="paragraph" w:styleId="BodyText2">
    <w:name w:val="Body Text 2"/>
    <w:basedOn w:val="Normal"/>
    <w:link w:val="BodyText2Char"/>
    <w:semiHidden/>
    <w:rsid w:val="00832256"/>
    <w:pPr>
      <w:spacing w:after="120" w:line="480" w:lineRule="auto"/>
    </w:pPr>
  </w:style>
  <w:style w:type="character" w:customStyle="1" w:styleId="BodyText2Char">
    <w:name w:val="Body Text 2 Char"/>
    <w:basedOn w:val="DefaultParagraphFont"/>
    <w:link w:val="BodyText2"/>
    <w:semiHidden/>
    <w:rsid w:val="00832256"/>
    <w:rPr>
      <w:rFonts w:ascii="Arial" w:eastAsia="Times New Roman" w:hAnsi="Arial" w:cs="Times New Roman"/>
      <w:spacing w:val="-5"/>
      <w:sz w:val="24"/>
      <w:szCs w:val="20"/>
    </w:rPr>
  </w:style>
  <w:style w:type="paragraph" w:styleId="BodyText3">
    <w:name w:val="Body Text 3"/>
    <w:basedOn w:val="Normal"/>
    <w:link w:val="BodyText3Char"/>
    <w:semiHidden/>
    <w:rsid w:val="00832256"/>
    <w:pPr>
      <w:spacing w:after="120"/>
    </w:pPr>
    <w:rPr>
      <w:sz w:val="16"/>
      <w:szCs w:val="16"/>
    </w:rPr>
  </w:style>
  <w:style w:type="character" w:customStyle="1" w:styleId="BodyText3Char">
    <w:name w:val="Body Text 3 Char"/>
    <w:basedOn w:val="DefaultParagraphFont"/>
    <w:link w:val="BodyText3"/>
    <w:semiHidden/>
    <w:rsid w:val="00832256"/>
    <w:rPr>
      <w:rFonts w:ascii="Arial" w:eastAsia="Times New Roman" w:hAnsi="Arial" w:cs="Times New Roman"/>
      <w:spacing w:val="-5"/>
      <w:sz w:val="16"/>
      <w:szCs w:val="16"/>
    </w:rPr>
  </w:style>
  <w:style w:type="paragraph" w:styleId="BodyTextFirstIndent">
    <w:name w:val="Body Text First Indent"/>
    <w:basedOn w:val="BodyText"/>
    <w:link w:val="BodyTextFirstIndentChar"/>
    <w:semiHidden/>
    <w:rsid w:val="00832256"/>
    <w:pPr>
      <w:ind w:firstLine="210"/>
    </w:pPr>
  </w:style>
  <w:style w:type="character" w:customStyle="1" w:styleId="BodyTextFirstIndentChar">
    <w:name w:val="Body Text First Indent Char"/>
    <w:basedOn w:val="BodyTextChar"/>
    <w:link w:val="BodyTextFirstIndent"/>
    <w:semiHidden/>
    <w:rsid w:val="00832256"/>
    <w:rPr>
      <w:rFonts w:ascii="Arial" w:eastAsia="Times New Roman" w:hAnsi="Arial" w:cs="Times New Roman"/>
      <w:spacing w:val="-5"/>
      <w:sz w:val="24"/>
      <w:szCs w:val="20"/>
    </w:rPr>
  </w:style>
  <w:style w:type="paragraph" w:styleId="BodyTextIndent">
    <w:name w:val="Body Text Indent"/>
    <w:basedOn w:val="Normal"/>
    <w:link w:val="BodyTextIndentChar"/>
    <w:semiHidden/>
    <w:rsid w:val="00832256"/>
    <w:pPr>
      <w:spacing w:after="120"/>
      <w:ind w:left="283"/>
    </w:pPr>
  </w:style>
  <w:style w:type="character" w:customStyle="1" w:styleId="BodyTextIndentChar">
    <w:name w:val="Body Text Indent Char"/>
    <w:basedOn w:val="DefaultParagraphFont"/>
    <w:link w:val="BodyTextIndent"/>
    <w:semiHidden/>
    <w:rsid w:val="00832256"/>
    <w:rPr>
      <w:rFonts w:ascii="Arial" w:eastAsia="Times New Roman" w:hAnsi="Arial" w:cs="Times New Roman"/>
      <w:spacing w:val="-5"/>
      <w:sz w:val="24"/>
      <w:szCs w:val="20"/>
    </w:rPr>
  </w:style>
  <w:style w:type="paragraph" w:styleId="BodyTextFirstIndent2">
    <w:name w:val="Body Text First Indent 2"/>
    <w:basedOn w:val="BodyTextIndent"/>
    <w:link w:val="BodyTextFirstIndent2Char"/>
    <w:semiHidden/>
    <w:rsid w:val="00832256"/>
    <w:pPr>
      <w:ind w:firstLine="210"/>
    </w:pPr>
  </w:style>
  <w:style w:type="character" w:customStyle="1" w:styleId="BodyTextFirstIndent2Char">
    <w:name w:val="Body Text First Indent 2 Char"/>
    <w:basedOn w:val="BodyTextIndentChar"/>
    <w:link w:val="BodyTextFirstIndent2"/>
    <w:semiHidden/>
    <w:rsid w:val="00832256"/>
    <w:rPr>
      <w:rFonts w:ascii="Arial" w:eastAsia="Times New Roman" w:hAnsi="Arial" w:cs="Times New Roman"/>
      <w:spacing w:val="-5"/>
      <w:sz w:val="24"/>
      <w:szCs w:val="20"/>
    </w:rPr>
  </w:style>
  <w:style w:type="paragraph" w:styleId="BodyTextIndent2">
    <w:name w:val="Body Text Indent 2"/>
    <w:basedOn w:val="Normal"/>
    <w:link w:val="BodyTextIndent2Char"/>
    <w:semiHidden/>
    <w:rsid w:val="00832256"/>
    <w:pPr>
      <w:spacing w:after="120" w:line="480" w:lineRule="auto"/>
      <w:ind w:left="283"/>
    </w:pPr>
  </w:style>
  <w:style w:type="character" w:customStyle="1" w:styleId="BodyTextIndent2Char">
    <w:name w:val="Body Text Indent 2 Char"/>
    <w:basedOn w:val="DefaultParagraphFont"/>
    <w:link w:val="BodyTextIndent2"/>
    <w:semiHidden/>
    <w:rsid w:val="00832256"/>
    <w:rPr>
      <w:rFonts w:ascii="Arial" w:eastAsia="Times New Roman" w:hAnsi="Arial" w:cs="Times New Roman"/>
      <w:spacing w:val="-5"/>
      <w:sz w:val="24"/>
      <w:szCs w:val="20"/>
    </w:rPr>
  </w:style>
  <w:style w:type="paragraph" w:styleId="BodyTextIndent3">
    <w:name w:val="Body Text Indent 3"/>
    <w:basedOn w:val="Normal"/>
    <w:link w:val="BodyTextIndent3Char"/>
    <w:semiHidden/>
    <w:rsid w:val="00832256"/>
    <w:pPr>
      <w:spacing w:after="120"/>
      <w:ind w:left="283"/>
    </w:pPr>
    <w:rPr>
      <w:sz w:val="16"/>
      <w:szCs w:val="16"/>
    </w:rPr>
  </w:style>
  <w:style w:type="character" w:customStyle="1" w:styleId="BodyTextIndent3Char">
    <w:name w:val="Body Text Indent 3 Char"/>
    <w:basedOn w:val="DefaultParagraphFont"/>
    <w:link w:val="BodyTextIndent3"/>
    <w:semiHidden/>
    <w:rsid w:val="00832256"/>
    <w:rPr>
      <w:rFonts w:ascii="Arial" w:eastAsia="Times New Roman" w:hAnsi="Arial" w:cs="Times New Roman"/>
      <w:spacing w:val="-5"/>
      <w:sz w:val="16"/>
      <w:szCs w:val="16"/>
    </w:rPr>
  </w:style>
  <w:style w:type="paragraph" w:styleId="Closing">
    <w:name w:val="Closing"/>
    <w:basedOn w:val="Normal"/>
    <w:link w:val="ClosingChar"/>
    <w:semiHidden/>
    <w:rsid w:val="00832256"/>
    <w:pPr>
      <w:ind w:left="4252"/>
    </w:pPr>
  </w:style>
  <w:style w:type="character" w:customStyle="1" w:styleId="ClosingChar">
    <w:name w:val="Closing Char"/>
    <w:basedOn w:val="DefaultParagraphFont"/>
    <w:link w:val="Closing"/>
    <w:semiHidden/>
    <w:rsid w:val="00832256"/>
    <w:rPr>
      <w:rFonts w:ascii="Arial" w:eastAsia="Times New Roman" w:hAnsi="Arial" w:cs="Times New Roman"/>
      <w:spacing w:val="-5"/>
      <w:sz w:val="24"/>
      <w:szCs w:val="20"/>
    </w:rPr>
  </w:style>
  <w:style w:type="paragraph" w:styleId="Date">
    <w:name w:val="Date"/>
    <w:basedOn w:val="Normal"/>
    <w:next w:val="Normal"/>
    <w:link w:val="DateChar"/>
    <w:semiHidden/>
    <w:rsid w:val="00832256"/>
  </w:style>
  <w:style w:type="character" w:customStyle="1" w:styleId="DateChar">
    <w:name w:val="Date Char"/>
    <w:basedOn w:val="DefaultParagraphFont"/>
    <w:link w:val="Date"/>
    <w:semiHidden/>
    <w:rsid w:val="00832256"/>
    <w:rPr>
      <w:rFonts w:ascii="Arial" w:eastAsia="Times New Roman" w:hAnsi="Arial" w:cs="Times New Roman"/>
      <w:spacing w:val="-5"/>
      <w:sz w:val="24"/>
      <w:szCs w:val="20"/>
    </w:rPr>
  </w:style>
  <w:style w:type="paragraph" w:styleId="E-mailSignature">
    <w:name w:val="E-mail Signature"/>
    <w:basedOn w:val="Normal"/>
    <w:link w:val="E-mailSignatureChar"/>
    <w:semiHidden/>
    <w:rsid w:val="00832256"/>
  </w:style>
  <w:style w:type="character" w:customStyle="1" w:styleId="E-mailSignatureChar">
    <w:name w:val="E-mail Signature Char"/>
    <w:basedOn w:val="DefaultParagraphFont"/>
    <w:link w:val="E-mailSignature"/>
    <w:semiHidden/>
    <w:rsid w:val="00832256"/>
    <w:rPr>
      <w:rFonts w:ascii="Arial" w:eastAsia="Times New Roman" w:hAnsi="Arial" w:cs="Times New Roman"/>
      <w:spacing w:val="-5"/>
      <w:sz w:val="24"/>
      <w:szCs w:val="20"/>
    </w:rPr>
  </w:style>
  <w:style w:type="character" w:styleId="Emphasis">
    <w:name w:val="Emphasis"/>
    <w:basedOn w:val="DefaultParagraphFont"/>
    <w:uiPriority w:val="99"/>
    <w:qFormat/>
    <w:rsid w:val="00832256"/>
    <w:rPr>
      <w:rFonts w:cs="Times New Roman"/>
      <w:i/>
      <w:iCs/>
    </w:rPr>
  </w:style>
  <w:style w:type="paragraph" w:styleId="EnvelopeAddress">
    <w:name w:val="envelope address"/>
    <w:basedOn w:val="Normal"/>
    <w:semiHidden/>
    <w:rsid w:val="00832256"/>
    <w:pPr>
      <w:framePr w:w="7920" w:h="1980" w:hRule="exact" w:hSpace="180" w:wrap="auto" w:hAnchor="page" w:xAlign="center" w:yAlign="bottom"/>
      <w:ind w:left="2880"/>
    </w:pPr>
    <w:rPr>
      <w:rFonts w:cs="Arial"/>
    </w:rPr>
  </w:style>
  <w:style w:type="paragraph" w:styleId="EnvelopeReturn">
    <w:name w:val="envelope return"/>
    <w:basedOn w:val="Normal"/>
    <w:semiHidden/>
    <w:rsid w:val="00832256"/>
    <w:rPr>
      <w:rFonts w:cs="Arial"/>
    </w:rPr>
  </w:style>
  <w:style w:type="character" w:styleId="FootnoteReference">
    <w:name w:val="footnote reference"/>
    <w:basedOn w:val="DefaultParagraphFont"/>
    <w:semiHidden/>
    <w:rsid w:val="00832256"/>
    <w:rPr>
      <w:rFonts w:ascii="Arial" w:hAnsi="Arial" w:cs="Times New Roman"/>
      <w:sz w:val="20"/>
      <w:vertAlign w:val="superscript"/>
    </w:rPr>
  </w:style>
  <w:style w:type="paragraph" w:styleId="FootnoteText">
    <w:name w:val="footnote text"/>
    <w:aliases w:val="Footnote Text Char1 Char,Footnote Text Char Char Char,Footnote Text Char1 Char Char Char,Footnote Text Char Char Char Char Char,Footnote Text Char2 Char Char Char Char Char,Footnote Text Char1,Footnote Text Char Char"/>
    <w:basedOn w:val="Normal"/>
    <w:link w:val="FootnoteTextChar"/>
    <w:rsid w:val="00832256"/>
  </w:style>
  <w:style w:type="character" w:customStyle="1" w:styleId="FootnoteTextChar">
    <w:name w:val="Footnote Text Char"/>
    <w:aliases w:val="Footnote Text Char1 Char Char,Footnote Text Char Char Char Char,Footnote Text Char1 Char Char Char Char,Footnote Text Char Char Char Char Char Char,Footnote Text Char2 Char Char Char Char Char Char,Footnote Text Char1 Char1"/>
    <w:basedOn w:val="DefaultParagraphFont"/>
    <w:link w:val="FootnoteText"/>
    <w:rsid w:val="00832256"/>
    <w:rPr>
      <w:rFonts w:ascii="Arial" w:eastAsia="Times New Roman" w:hAnsi="Arial" w:cs="Times New Roman"/>
      <w:spacing w:val="-5"/>
      <w:sz w:val="24"/>
      <w:szCs w:val="20"/>
    </w:rPr>
  </w:style>
  <w:style w:type="character" w:styleId="HTMLAcronym">
    <w:name w:val="HTML Acronym"/>
    <w:basedOn w:val="DefaultParagraphFont"/>
    <w:semiHidden/>
    <w:rsid w:val="00832256"/>
    <w:rPr>
      <w:rFonts w:cs="Times New Roman"/>
    </w:rPr>
  </w:style>
  <w:style w:type="paragraph" w:styleId="HTMLAddress">
    <w:name w:val="HTML Address"/>
    <w:basedOn w:val="Normal"/>
    <w:link w:val="HTMLAddressChar"/>
    <w:semiHidden/>
    <w:rsid w:val="00832256"/>
    <w:rPr>
      <w:i/>
      <w:iCs/>
    </w:rPr>
  </w:style>
  <w:style w:type="character" w:customStyle="1" w:styleId="HTMLAddressChar">
    <w:name w:val="HTML Address Char"/>
    <w:basedOn w:val="DefaultParagraphFont"/>
    <w:link w:val="HTMLAddress"/>
    <w:semiHidden/>
    <w:rsid w:val="00832256"/>
    <w:rPr>
      <w:rFonts w:ascii="Arial" w:eastAsia="Times New Roman" w:hAnsi="Arial" w:cs="Times New Roman"/>
      <w:i/>
      <w:iCs/>
      <w:spacing w:val="-5"/>
      <w:sz w:val="24"/>
      <w:szCs w:val="20"/>
    </w:rPr>
  </w:style>
  <w:style w:type="character" w:styleId="HTMLCite">
    <w:name w:val="HTML Cite"/>
    <w:basedOn w:val="DefaultParagraphFont"/>
    <w:semiHidden/>
    <w:rsid w:val="00832256"/>
    <w:rPr>
      <w:rFonts w:cs="Times New Roman"/>
      <w:i/>
      <w:iCs/>
    </w:rPr>
  </w:style>
  <w:style w:type="character" w:styleId="HTMLCode">
    <w:name w:val="HTML Code"/>
    <w:basedOn w:val="DefaultParagraphFont"/>
    <w:semiHidden/>
    <w:rsid w:val="00832256"/>
    <w:rPr>
      <w:rFonts w:ascii="Courier New" w:hAnsi="Courier New" w:cs="Courier New"/>
      <w:sz w:val="20"/>
      <w:szCs w:val="20"/>
    </w:rPr>
  </w:style>
  <w:style w:type="character" w:styleId="HTMLDefinition">
    <w:name w:val="HTML Definition"/>
    <w:basedOn w:val="DefaultParagraphFont"/>
    <w:semiHidden/>
    <w:rsid w:val="00832256"/>
    <w:rPr>
      <w:rFonts w:cs="Times New Roman"/>
      <w:i/>
      <w:iCs/>
    </w:rPr>
  </w:style>
  <w:style w:type="character" w:styleId="HTMLKeyboard">
    <w:name w:val="HTML Keyboard"/>
    <w:basedOn w:val="DefaultParagraphFont"/>
    <w:semiHidden/>
    <w:rsid w:val="00832256"/>
    <w:rPr>
      <w:rFonts w:ascii="Courier New" w:hAnsi="Courier New" w:cs="Courier New"/>
      <w:sz w:val="20"/>
      <w:szCs w:val="20"/>
    </w:rPr>
  </w:style>
  <w:style w:type="paragraph" w:styleId="HTMLPreformatted">
    <w:name w:val="HTML Preformatted"/>
    <w:basedOn w:val="Normal"/>
    <w:link w:val="HTMLPreformattedChar"/>
    <w:semiHidden/>
    <w:rsid w:val="00832256"/>
    <w:rPr>
      <w:rFonts w:ascii="Courier New" w:hAnsi="Courier New" w:cs="Courier New"/>
    </w:rPr>
  </w:style>
  <w:style w:type="character" w:customStyle="1" w:styleId="HTMLPreformattedChar">
    <w:name w:val="HTML Preformatted Char"/>
    <w:basedOn w:val="DefaultParagraphFont"/>
    <w:link w:val="HTMLPreformatted"/>
    <w:semiHidden/>
    <w:rsid w:val="00832256"/>
    <w:rPr>
      <w:rFonts w:ascii="Courier New" w:eastAsia="Times New Roman" w:hAnsi="Courier New" w:cs="Courier New"/>
      <w:spacing w:val="-5"/>
      <w:sz w:val="24"/>
      <w:szCs w:val="20"/>
    </w:rPr>
  </w:style>
  <w:style w:type="character" w:styleId="HTMLSample">
    <w:name w:val="HTML Sample"/>
    <w:basedOn w:val="DefaultParagraphFont"/>
    <w:semiHidden/>
    <w:rsid w:val="00832256"/>
    <w:rPr>
      <w:rFonts w:ascii="Courier New" w:hAnsi="Courier New" w:cs="Courier New"/>
    </w:rPr>
  </w:style>
  <w:style w:type="character" w:styleId="HTMLTypewriter">
    <w:name w:val="HTML Typewriter"/>
    <w:basedOn w:val="DefaultParagraphFont"/>
    <w:semiHidden/>
    <w:rsid w:val="00832256"/>
    <w:rPr>
      <w:rFonts w:ascii="Courier New" w:hAnsi="Courier New" w:cs="Courier New"/>
      <w:sz w:val="20"/>
      <w:szCs w:val="20"/>
    </w:rPr>
  </w:style>
  <w:style w:type="character" w:styleId="HTMLVariable">
    <w:name w:val="HTML Variable"/>
    <w:basedOn w:val="DefaultParagraphFont"/>
    <w:semiHidden/>
    <w:rsid w:val="00832256"/>
    <w:rPr>
      <w:rFonts w:cs="Times New Roman"/>
      <w:i/>
      <w:iCs/>
    </w:rPr>
  </w:style>
  <w:style w:type="character" w:styleId="LineNumber">
    <w:name w:val="line number"/>
    <w:basedOn w:val="DefaultParagraphFont"/>
    <w:semiHidden/>
    <w:rsid w:val="00832256"/>
    <w:rPr>
      <w:rFonts w:cs="Times New Roman"/>
    </w:rPr>
  </w:style>
  <w:style w:type="paragraph" w:styleId="List">
    <w:name w:val="List"/>
    <w:basedOn w:val="Normal"/>
    <w:semiHidden/>
    <w:rsid w:val="00832256"/>
    <w:pPr>
      <w:ind w:left="283" w:hanging="283"/>
    </w:pPr>
  </w:style>
  <w:style w:type="paragraph" w:styleId="List2">
    <w:name w:val="List 2"/>
    <w:basedOn w:val="Normal"/>
    <w:semiHidden/>
    <w:rsid w:val="00832256"/>
    <w:pPr>
      <w:ind w:left="566" w:hanging="283"/>
    </w:pPr>
  </w:style>
  <w:style w:type="paragraph" w:styleId="List3">
    <w:name w:val="List 3"/>
    <w:basedOn w:val="Normal"/>
    <w:semiHidden/>
    <w:rsid w:val="00832256"/>
    <w:pPr>
      <w:ind w:left="849" w:hanging="283"/>
    </w:pPr>
  </w:style>
  <w:style w:type="paragraph" w:styleId="List4">
    <w:name w:val="List 4"/>
    <w:basedOn w:val="Normal"/>
    <w:semiHidden/>
    <w:rsid w:val="00832256"/>
    <w:pPr>
      <w:ind w:left="1132" w:hanging="283"/>
    </w:pPr>
  </w:style>
  <w:style w:type="paragraph" w:styleId="List5">
    <w:name w:val="List 5"/>
    <w:basedOn w:val="Normal"/>
    <w:semiHidden/>
    <w:rsid w:val="00832256"/>
    <w:pPr>
      <w:ind w:left="1415" w:hanging="283"/>
    </w:pPr>
  </w:style>
  <w:style w:type="paragraph" w:styleId="ListBullet2">
    <w:name w:val="List Bullet 2"/>
    <w:basedOn w:val="Normal"/>
    <w:semiHidden/>
    <w:rsid w:val="00832256"/>
    <w:pPr>
      <w:tabs>
        <w:tab w:val="num" w:pos="643"/>
      </w:tabs>
      <w:ind w:left="643" w:hanging="360"/>
    </w:pPr>
  </w:style>
  <w:style w:type="paragraph" w:styleId="ListBullet3">
    <w:name w:val="List Bullet 3"/>
    <w:basedOn w:val="Normal"/>
    <w:semiHidden/>
    <w:rsid w:val="00832256"/>
    <w:pPr>
      <w:tabs>
        <w:tab w:val="num" w:pos="926"/>
      </w:tabs>
      <w:ind w:left="926" w:hanging="360"/>
    </w:pPr>
  </w:style>
  <w:style w:type="paragraph" w:styleId="ListBullet4">
    <w:name w:val="List Bullet 4"/>
    <w:basedOn w:val="Normal"/>
    <w:semiHidden/>
    <w:rsid w:val="00832256"/>
    <w:pPr>
      <w:tabs>
        <w:tab w:val="num" w:pos="1209"/>
      </w:tabs>
      <w:ind w:left="1209" w:hanging="360"/>
    </w:pPr>
  </w:style>
  <w:style w:type="paragraph" w:styleId="ListBullet5">
    <w:name w:val="List Bullet 5"/>
    <w:basedOn w:val="Normal"/>
    <w:semiHidden/>
    <w:rsid w:val="00832256"/>
    <w:pPr>
      <w:tabs>
        <w:tab w:val="num" w:pos="1492"/>
      </w:tabs>
      <w:ind w:left="1492" w:hanging="360"/>
    </w:pPr>
  </w:style>
  <w:style w:type="paragraph" w:styleId="ListContinue">
    <w:name w:val="List Continue"/>
    <w:basedOn w:val="Normal"/>
    <w:semiHidden/>
    <w:rsid w:val="00832256"/>
    <w:pPr>
      <w:spacing w:after="120"/>
      <w:ind w:left="283"/>
    </w:pPr>
  </w:style>
  <w:style w:type="paragraph" w:styleId="ListContinue2">
    <w:name w:val="List Continue 2"/>
    <w:basedOn w:val="Normal"/>
    <w:semiHidden/>
    <w:rsid w:val="00832256"/>
    <w:pPr>
      <w:spacing w:after="120"/>
      <w:ind w:left="566"/>
    </w:pPr>
  </w:style>
  <w:style w:type="paragraph" w:styleId="ListContinue3">
    <w:name w:val="List Continue 3"/>
    <w:basedOn w:val="Normal"/>
    <w:semiHidden/>
    <w:rsid w:val="00832256"/>
    <w:pPr>
      <w:spacing w:after="120"/>
      <w:ind w:left="849"/>
    </w:pPr>
  </w:style>
  <w:style w:type="paragraph" w:styleId="ListContinue5">
    <w:name w:val="List Continue 5"/>
    <w:basedOn w:val="Normal"/>
    <w:semiHidden/>
    <w:rsid w:val="00832256"/>
    <w:pPr>
      <w:spacing w:after="120"/>
      <w:ind w:left="1415"/>
    </w:pPr>
  </w:style>
  <w:style w:type="paragraph" w:styleId="ListNumber">
    <w:name w:val="List Number"/>
    <w:basedOn w:val="Normal"/>
    <w:semiHidden/>
    <w:rsid w:val="00832256"/>
    <w:pPr>
      <w:tabs>
        <w:tab w:val="num" w:pos="360"/>
      </w:tabs>
      <w:ind w:left="360" w:hanging="360"/>
    </w:pPr>
  </w:style>
  <w:style w:type="paragraph" w:styleId="ListNumber2">
    <w:name w:val="List Number 2"/>
    <w:basedOn w:val="Normal"/>
    <w:semiHidden/>
    <w:rsid w:val="00832256"/>
    <w:pPr>
      <w:tabs>
        <w:tab w:val="num" w:pos="643"/>
      </w:tabs>
      <w:ind w:left="643" w:hanging="360"/>
    </w:pPr>
  </w:style>
  <w:style w:type="paragraph" w:styleId="ListNumber3">
    <w:name w:val="List Number 3"/>
    <w:basedOn w:val="Normal"/>
    <w:semiHidden/>
    <w:rsid w:val="00832256"/>
    <w:pPr>
      <w:tabs>
        <w:tab w:val="num" w:pos="926"/>
      </w:tabs>
      <w:ind w:left="926" w:hanging="360"/>
    </w:pPr>
  </w:style>
  <w:style w:type="paragraph" w:styleId="ListNumber4">
    <w:name w:val="List Number 4"/>
    <w:basedOn w:val="Normal"/>
    <w:semiHidden/>
    <w:rsid w:val="00832256"/>
    <w:pPr>
      <w:tabs>
        <w:tab w:val="num" w:pos="1209"/>
      </w:tabs>
      <w:ind w:left="1209" w:hanging="360"/>
    </w:pPr>
  </w:style>
  <w:style w:type="paragraph" w:styleId="ListNumber5">
    <w:name w:val="List Number 5"/>
    <w:basedOn w:val="Normal"/>
    <w:semiHidden/>
    <w:rsid w:val="00832256"/>
    <w:pPr>
      <w:tabs>
        <w:tab w:val="num" w:pos="1492"/>
      </w:tabs>
      <w:ind w:left="1492" w:hanging="360"/>
    </w:pPr>
  </w:style>
  <w:style w:type="paragraph" w:styleId="MessageHeader">
    <w:name w:val="Message Header"/>
    <w:basedOn w:val="Normal"/>
    <w:link w:val="MessageHeaderChar"/>
    <w:semiHidden/>
    <w:rsid w:val="00832256"/>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basedOn w:val="DefaultParagraphFont"/>
    <w:link w:val="MessageHeader"/>
    <w:semiHidden/>
    <w:rsid w:val="00832256"/>
    <w:rPr>
      <w:rFonts w:ascii="Arial" w:eastAsia="Times New Roman" w:hAnsi="Arial" w:cs="Arial"/>
      <w:spacing w:val="-5"/>
      <w:sz w:val="24"/>
      <w:szCs w:val="20"/>
      <w:shd w:val="pct20" w:color="auto" w:fill="auto"/>
    </w:rPr>
  </w:style>
  <w:style w:type="paragraph" w:styleId="NormalWeb">
    <w:name w:val="Normal (Web)"/>
    <w:basedOn w:val="Normal"/>
    <w:uiPriority w:val="99"/>
    <w:semiHidden/>
    <w:rsid w:val="00832256"/>
    <w:rPr>
      <w:rFonts w:ascii="Times New Roman" w:hAnsi="Times New Roman"/>
    </w:rPr>
  </w:style>
  <w:style w:type="paragraph" w:styleId="NormalIndent">
    <w:name w:val="Normal Indent"/>
    <w:basedOn w:val="Normal"/>
    <w:rsid w:val="00832256"/>
    <w:pPr>
      <w:ind w:left="720"/>
    </w:pPr>
  </w:style>
  <w:style w:type="paragraph" w:styleId="NoteHeading">
    <w:name w:val="Note Heading"/>
    <w:basedOn w:val="Normal"/>
    <w:next w:val="Normal"/>
    <w:link w:val="NoteHeadingChar"/>
    <w:rsid w:val="00832256"/>
  </w:style>
  <w:style w:type="character" w:customStyle="1" w:styleId="NoteHeadingChar">
    <w:name w:val="Note Heading Char"/>
    <w:basedOn w:val="DefaultParagraphFont"/>
    <w:link w:val="NoteHeading"/>
    <w:rsid w:val="00832256"/>
    <w:rPr>
      <w:rFonts w:ascii="Arial" w:eastAsia="Times New Roman" w:hAnsi="Arial" w:cs="Times New Roman"/>
      <w:spacing w:val="-5"/>
      <w:sz w:val="24"/>
      <w:szCs w:val="20"/>
    </w:rPr>
  </w:style>
  <w:style w:type="character" w:styleId="PageNumber">
    <w:name w:val="page number"/>
    <w:basedOn w:val="DefaultParagraphFont"/>
    <w:rsid w:val="00832256"/>
    <w:rPr>
      <w:rFonts w:cs="Times New Roman"/>
    </w:rPr>
  </w:style>
  <w:style w:type="paragraph" w:styleId="PlainText">
    <w:name w:val="Plain Text"/>
    <w:basedOn w:val="Normal"/>
    <w:link w:val="PlainTextChar"/>
    <w:semiHidden/>
    <w:rsid w:val="00832256"/>
    <w:rPr>
      <w:rFonts w:ascii="Courier New" w:hAnsi="Courier New" w:cs="Courier New"/>
    </w:rPr>
  </w:style>
  <w:style w:type="character" w:customStyle="1" w:styleId="PlainTextChar">
    <w:name w:val="Plain Text Char"/>
    <w:basedOn w:val="DefaultParagraphFont"/>
    <w:link w:val="PlainText"/>
    <w:semiHidden/>
    <w:rsid w:val="00832256"/>
    <w:rPr>
      <w:rFonts w:ascii="Courier New" w:eastAsia="Times New Roman" w:hAnsi="Courier New" w:cs="Courier New"/>
      <w:spacing w:val="-5"/>
      <w:sz w:val="24"/>
      <w:szCs w:val="20"/>
    </w:rPr>
  </w:style>
  <w:style w:type="paragraph" w:styleId="Salutation">
    <w:name w:val="Salutation"/>
    <w:basedOn w:val="Normal"/>
    <w:next w:val="Normal"/>
    <w:link w:val="SalutationChar"/>
    <w:semiHidden/>
    <w:rsid w:val="00832256"/>
  </w:style>
  <w:style w:type="character" w:customStyle="1" w:styleId="SalutationChar">
    <w:name w:val="Salutation Char"/>
    <w:basedOn w:val="DefaultParagraphFont"/>
    <w:link w:val="Salutation"/>
    <w:semiHidden/>
    <w:rsid w:val="00832256"/>
    <w:rPr>
      <w:rFonts w:ascii="Arial" w:eastAsia="Times New Roman" w:hAnsi="Arial" w:cs="Times New Roman"/>
      <w:spacing w:val="-5"/>
      <w:sz w:val="24"/>
      <w:szCs w:val="20"/>
    </w:rPr>
  </w:style>
  <w:style w:type="paragraph" w:styleId="Signature">
    <w:name w:val="Signature"/>
    <w:basedOn w:val="Normal"/>
    <w:link w:val="SignatureChar"/>
    <w:semiHidden/>
    <w:rsid w:val="00832256"/>
    <w:pPr>
      <w:ind w:left="4252"/>
    </w:pPr>
  </w:style>
  <w:style w:type="character" w:customStyle="1" w:styleId="SignatureChar">
    <w:name w:val="Signature Char"/>
    <w:basedOn w:val="DefaultParagraphFont"/>
    <w:link w:val="Signature"/>
    <w:semiHidden/>
    <w:rsid w:val="00832256"/>
    <w:rPr>
      <w:rFonts w:ascii="Arial" w:eastAsia="Times New Roman" w:hAnsi="Arial" w:cs="Times New Roman"/>
      <w:spacing w:val="-5"/>
      <w:sz w:val="24"/>
      <w:szCs w:val="20"/>
    </w:rPr>
  </w:style>
  <w:style w:type="paragraph" w:styleId="Subtitle">
    <w:name w:val="Subtitle"/>
    <w:basedOn w:val="Normal"/>
    <w:link w:val="SubtitleChar"/>
    <w:qFormat/>
    <w:rsid w:val="00832256"/>
    <w:pPr>
      <w:spacing w:after="60"/>
      <w:jc w:val="center"/>
      <w:outlineLvl w:val="1"/>
    </w:pPr>
    <w:rPr>
      <w:rFonts w:cs="Arial"/>
    </w:rPr>
  </w:style>
  <w:style w:type="character" w:customStyle="1" w:styleId="SubtitleChar">
    <w:name w:val="Subtitle Char"/>
    <w:basedOn w:val="DefaultParagraphFont"/>
    <w:link w:val="Subtitle"/>
    <w:rsid w:val="00832256"/>
    <w:rPr>
      <w:rFonts w:ascii="Arial" w:eastAsia="Times New Roman" w:hAnsi="Arial" w:cs="Arial"/>
      <w:spacing w:val="-5"/>
      <w:sz w:val="24"/>
      <w:szCs w:val="20"/>
    </w:rPr>
  </w:style>
  <w:style w:type="table" w:styleId="Table3Deffects1">
    <w:name w:val="Table 3D effects 1"/>
    <w:basedOn w:val="TableNormal"/>
    <w:semiHidden/>
    <w:rsid w:val="00832256"/>
    <w:pPr>
      <w:spacing w:after="240" w:line="240" w:lineRule="auto"/>
    </w:pPr>
    <w:rPr>
      <w:rFonts w:ascii="Times New Roman" w:eastAsia="Times New Roman" w:hAnsi="Times New Roman" w:cs="Times New Roman"/>
      <w:sz w:val="20"/>
      <w:szCs w:val="20"/>
      <w:lang w:eastAsia="en-A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32256"/>
    <w:pPr>
      <w:spacing w:after="24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832256"/>
    <w:pPr>
      <w:spacing w:after="24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832256"/>
    <w:pPr>
      <w:spacing w:after="24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832256"/>
    <w:pPr>
      <w:spacing w:after="24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32256"/>
    <w:pPr>
      <w:spacing w:after="24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32256"/>
    <w:pPr>
      <w:spacing w:after="24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32256"/>
    <w:pPr>
      <w:spacing w:after="24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32256"/>
    <w:pPr>
      <w:spacing w:after="24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32256"/>
    <w:pPr>
      <w:spacing w:after="24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32256"/>
    <w:pPr>
      <w:spacing w:after="24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832256"/>
    <w:pPr>
      <w:spacing w:after="240" w:line="240" w:lineRule="auto"/>
    </w:pPr>
    <w:rPr>
      <w:rFonts w:ascii="Times New Roman" w:eastAsia="Times New Roman" w:hAnsi="Times New Roman" w:cs="Times New Roman"/>
      <w:b/>
      <w:bCs/>
      <w:sz w:val="20"/>
      <w:szCs w:val="20"/>
      <w:lang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832256"/>
    <w:pPr>
      <w:spacing w:after="240" w:line="240" w:lineRule="auto"/>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832256"/>
    <w:pPr>
      <w:spacing w:after="240" w:line="240" w:lineRule="auto"/>
    </w:pPr>
    <w:rPr>
      <w:rFonts w:ascii="Times New Roman" w:eastAsia="Times New Roman" w:hAnsi="Times New Roman" w:cs="Times New Roman"/>
      <w:sz w:val="20"/>
      <w:szCs w:val="20"/>
      <w:lang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832256"/>
    <w:pPr>
      <w:spacing w:after="24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832256"/>
    <w:pPr>
      <w:spacing w:after="24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32256"/>
    <w:pPr>
      <w:spacing w:after="24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rsid w:val="00832256"/>
    <w:pPr>
      <w:spacing w:after="24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32256"/>
    <w:pPr>
      <w:spacing w:after="24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832256"/>
    <w:pPr>
      <w:spacing w:after="24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832256"/>
    <w:pPr>
      <w:spacing w:after="24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832256"/>
    <w:pPr>
      <w:spacing w:after="24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32256"/>
    <w:pPr>
      <w:spacing w:after="24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832256"/>
    <w:pPr>
      <w:spacing w:after="24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832256"/>
    <w:pPr>
      <w:spacing w:after="24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832256"/>
    <w:pPr>
      <w:spacing w:after="24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32256"/>
    <w:pPr>
      <w:spacing w:after="24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832256"/>
    <w:pPr>
      <w:spacing w:after="24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832256"/>
    <w:pPr>
      <w:spacing w:after="24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32256"/>
    <w:pPr>
      <w:spacing w:after="24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32256"/>
    <w:pPr>
      <w:spacing w:after="24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832256"/>
    <w:pPr>
      <w:spacing w:after="24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32256"/>
    <w:pPr>
      <w:spacing w:after="24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32256"/>
    <w:pPr>
      <w:spacing w:after="24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32256"/>
    <w:pPr>
      <w:spacing w:after="24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32256"/>
    <w:pPr>
      <w:spacing w:after="24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32256"/>
    <w:pPr>
      <w:spacing w:after="240" w:line="240" w:lineRule="auto"/>
    </w:pPr>
    <w:rPr>
      <w:rFonts w:ascii="Times New Roman" w:eastAsia="Times New Roman" w:hAnsi="Times New Roman" w:cs="Times New Roman"/>
      <w:sz w:val="20"/>
      <w:szCs w:val="20"/>
      <w:lang w:eastAsia="en-A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32256"/>
    <w:pPr>
      <w:spacing w:after="24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32256"/>
    <w:pPr>
      <w:spacing w:after="240" w:line="240" w:lineRule="auto"/>
    </w:pPr>
    <w:rPr>
      <w:rFonts w:ascii="Times New Roman" w:eastAsia="Times New Roman" w:hAnsi="Times New Roman" w:cs="Times New Roman"/>
      <w:sz w:val="20"/>
      <w:szCs w:val="20"/>
      <w:lang w:eastAsia="en-A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832256"/>
    <w:pPr>
      <w:spacing w:after="240" w:line="240" w:lineRule="auto"/>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832256"/>
    <w:pPr>
      <w:spacing w:after="24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32256"/>
    <w:pPr>
      <w:spacing w:after="24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832256"/>
    <w:pPr>
      <w:spacing w:after="24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832256"/>
    <w:pPr>
      <w:spacing w:after="24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qFormat/>
    <w:rsid w:val="00832256"/>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832256"/>
    <w:rPr>
      <w:rFonts w:ascii="Arial" w:eastAsia="Times New Roman" w:hAnsi="Arial" w:cs="Arial"/>
      <w:b/>
      <w:bCs/>
      <w:spacing w:val="-5"/>
      <w:kern w:val="28"/>
      <w:sz w:val="32"/>
      <w:szCs w:val="32"/>
    </w:rPr>
  </w:style>
  <w:style w:type="character" w:styleId="FollowedHyperlink">
    <w:name w:val="FollowedHyperlink"/>
    <w:basedOn w:val="DefaultParagraphFont"/>
    <w:semiHidden/>
    <w:rsid w:val="00832256"/>
    <w:rPr>
      <w:rFonts w:cs="Times New Roman"/>
      <w:color w:val="800080"/>
      <w:u w:val="single"/>
    </w:rPr>
  </w:style>
  <w:style w:type="paragraph" w:styleId="ListBullet">
    <w:name w:val="List Bullet"/>
    <w:basedOn w:val="Normal"/>
    <w:semiHidden/>
    <w:rsid w:val="00832256"/>
    <w:pPr>
      <w:tabs>
        <w:tab w:val="num" w:pos="360"/>
      </w:tabs>
      <w:ind w:left="360" w:hanging="360"/>
    </w:pPr>
  </w:style>
  <w:style w:type="paragraph" w:customStyle="1" w:styleId="Contactdetails">
    <w:name w:val="Contact details"/>
    <w:basedOn w:val="Normal"/>
    <w:rsid w:val="00832256"/>
    <w:pPr>
      <w:keepNext/>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lang w:val="en-US"/>
    </w:rPr>
  </w:style>
  <w:style w:type="character" w:customStyle="1" w:styleId="CharChar9">
    <w:name w:val="Char Char9"/>
    <w:basedOn w:val="DefaultParagraphFont"/>
    <w:semiHidden/>
    <w:locked/>
    <w:rsid w:val="00832256"/>
    <w:rPr>
      <w:rFonts w:ascii="Arial" w:hAnsi="Arial" w:cs="Times New Roman"/>
      <w:bCs/>
      <w:i/>
      <w:sz w:val="26"/>
      <w:szCs w:val="26"/>
      <w:lang w:val="en-AU" w:eastAsia="en-AU" w:bidi="ar-SA"/>
    </w:rPr>
  </w:style>
  <w:style w:type="character" w:customStyle="1" w:styleId="CharChar8">
    <w:name w:val="Char Char8"/>
    <w:basedOn w:val="DefaultParagraphFont"/>
    <w:semiHidden/>
    <w:locked/>
    <w:rsid w:val="00832256"/>
    <w:rPr>
      <w:rFonts w:ascii="Arial" w:hAnsi="Arial" w:cs="Times New Roman"/>
      <w:iCs/>
      <w:sz w:val="26"/>
      <w:szCs w:val="26"/>
      <w:lang w:val="en-AU" w:eastAsia="en-AU" w:bidi="ar-SA"/>
    </w:rPr>
  </w:style>
  <w:style w:type="character" w:customStyle="1" w:styleId="CharChar">
    <w:name w:val="Char Char"/>
    <w:basedOn w:val="DefaultParagraphFont"/>
    <w:semiHidden/>
    <w:locked/>
    <w:rsid w:val="00832256"/>
    <w:rPr>
      <w:rFonts w:ascii="Arial" w:hAnsi="Arial" w:cs="Arial"/>
      <w:lang w:val="en-AU" w:eastAsia="en-AU" w:bidi="ar-SA"/>
    </w:rPr>
  </w:style>
  <w:style w:type="paragraph" w:customStyle="1" w:styleId="DocumentLabel">
    <w:name w:val="Document Label"/>
    <w:basedOn w:val="Normal"/>
    <w:next w:val="Normal"/>
    <w:uiPriority w:val="99"/>
    <w:rsid w:val="00832256"/>
    <w:pPr>
      <w:keepNext/>
      <w:spacing w:before="400" w:after="120" w:line="240" w:lineRule="atLeast"/>
      <w:ind w:left="-840"/>
    </w:pPr>
    <w:rPr>
      <w:rFonts w:ascii="Arial Black" w:hAnsi="Arial Black"/>
      <w:kern w:val="28"/>
      <w:sz w:val="96"/>
    </w:rPr>
  </w:style>
  <w:style w:type="character" w:styleId="CommentReference">
    <w:name w:val="annotation reference"/>
    <w:basedOn w:val="DefaultParagraphFont"/>
    <w:rsid w:val="00832256"/>
    <w:rPr>
      <w:rFonts w:cs="Times New Roman"/>
      <w:sz w:val="16"/>
      <w:szCs w:val="16"/>
    </w:rPr>
  </w:style>
  <w:style w:type="paragraph" w:styleId="CommentText">
    <w:name w:val="annotation text"/>
    <w:basedOn w:val="Normal"/>
    <w:link w:val="CommentTextChar"/>
    <w:rsid w:val="00832256"/>
  </w:style>
  <w:style w:type="character" w:customStyle="1" w:styleId="CommentTextChar">
    <w:name w:val="Comment Text Char"/>
    <w:basedOn w:val="DefaultParagraphFont"/>
    <w:link w:val="CommentText"/>
    <w:rsid w:val="00832256"/>
    <w:rPr>
      <w:rFonts w:ascii="Arial" w:eastAsia="Times New Roman" w:hAnsi="Arial" w:cs="Times New Roman"/>
      <w:spacing w:val="-5"/>
      <w:sz w:val="24"/>
      <w:szCs w:val="20"/>
    </w:rPr>
  </w:style>
  <w:style w:type="paragraph" w:styleId="CommentSubject">
    <w:name w:val="annotation subject"/>
    <w:basedOn w:val="CommentText"/>
    <w:next w:val="CommentText"/>
    <w:link w:val="CommentSubjectChar"/>
    <w:rsid w:val="00832256"/>
    <w:rPr>
      <w:b/>
      <w:bCs/>
    </w:rPr>
  </w:style>
  <w:style w:type="character" w:customStyle="1" w:styleId="CommentSubjectChar">
    <w:name w:val="Comment Subject Char"/>
    <w:basedOn w:val="CommentTextChar"/>
    <w:link w:val="CommentSubject"/>
    <w:rsid w:val="00832256"/>
    <w:rPr>
      <w:rFonts w:ascii="Arial" w:eastAsia="Times New Roman" w:hAnsi="Arial" w:cs="Times New Roman"/>
      <w:b/>
      <w:bCs/>
      <w:spacing w:val="-5"/>
      <w:sz w:val="24"/>
      <w:szCs w:val="20"/>
    </w:rPr>
  </w:style>
  <w:style w:type="character" w:customStyle="1" w:styleId="BalloonTextChar1">
    <w:name w:val="Balloon Text Char1"/>
    <w:basedOn w:val="DefaultParagraphFont"/>
    <w:link w:val="BalloonText"/>
    <w:locked/>
    <w:rsid w:val="00832256"/>
    <w:rPr>
      <w:rFonts w:ascii="Tahoma" w:eastAsia="Times New Roman" w:hAnsi="Tahoma" w:cs="Tahoma"/>
      <w:spacing w:val="-5"/>
      <w:sz w:val="16"/>
      <w:szCs w:val="16"/>
    </w:rPr>
  </w:style>
  <w:style w:type="character" w:customStyle="1" w:styleId="citation">
    <w:name w:val="citation"/>
    <w:basedOn w:val="DefaultParagraphFont"/>
    <w:uiPriority w:val="99"/>
    <w:rsid w:val="00832256"/>
    <w:rPr>
      <w:rFonts w:cs="Times New Roman"/>
    </w:rPr>
  </w:style>
  <w:style w:type="paragraph" w:customStyle="1" w:styleId="Definition">
    <w:name w:val="Definition"/>
    <w:aliases w:val="dd"/>
    <w:basedOn w:val="Normal"/>
    <w:uiPriority w:val="99"/>
    <w:rsid w:val="00832256"/>
    <w:pPr>
      <w:autoSpaceDE w:val="0"/>
      <w:autoSpaceDN w:val="0"/>
      <w:spacing w:before="180" w:line="260" w:lineRule="atLeast"/>
      <w:ind w:left="1134"/>
    </w:pPr>
    <w:rPr>
      <w:rFonts w:ascii="Times" w:hAnsi="Times" w:cs="Times"/>
      <w:spacing w:val="0"/>
      <w:sz w:val="22"/>
      <w:szCs w:val="22"/>
      <w:lang w:eastAsia="en-AU"/>
    </w:rPr>
  </w:style>
  <w:style w:type="paragraph" w:customStyle="1" w:styleId="indenta">
    <w:name w:val="indent(a)"/>
    <w:aliases w:val="a,paragraph"/>
    <w:basedOn w:val="Normal"/>
    <w:rsid w:val="00832256"/>
    <w:pPr>
      <w:tabs>
        <w:tab w:val="right" w:pos="1531"/>
      </w:tabs>
      <w:autoSpaceDE w:val="0"/>
      <w:autoSpaceDN w:val="0"/>
      <w:spacing w:before="40" w:line="260" w:lineRule="atLeast"/>
      <w:ind w:left="1644" w:hanging="1644"/>
    </w:pPr>
    <w:rPr>
      <w:rFonts w:ascii="Times" w:hAnsi="Times" w:cs="Times"/>
      <w:spacing w:val="0"/>
      <w:sz w:val="22"/>
      <w:szCs w:val="22"/>
      <w:lang w:eastAsia="en-AU"/>
    </w:rPr>
  </w:style>
  <w:style w:type="paragraph" w:customStyle="1" w:styleId="indentii">
    <w:name w:val="indent(ii)"/>
    <w:aliases w:val="aa,paragraph(sub)"/>
    <w:basedOn w:val="indenta"/>
    <w:rsid w:val="00832256"/>
    <w:pPr>
      <w:tabs>
        <w:tab w:val="clear" w:pos="1531"/>
        <w:tab w:val="right" w:pos="1985"/>
      </w:tabs>
      <w:ind w:left="2098" w:hanging="2098"/>
    </w:pPr>
  </w:style>
  <w:style w:type="character" w:customStyle="1" w:styleId="streetline">
    <w:name w:val="streetline"/>
    <w:basedOn w:val="DefaultParagraphFont"/>
    <w:uiPriority w:val="99"/>
    <w:rsid w:val="00832256"/>
    <w:rPr>
      <w:rFonts w:cs="Times New Roman"/>
    </w:rPr>
  </w:style>
  <w:style w:type="character" w:customStyle="1" w:styleId="locality3">
    <w:name w:val="locality3"/>
    <w:basedOn w:val="DefaultParagraphFont"/>
    <w:uiPriority w:val="99"/>
    <w:rsid w:val="00832256"/>
    <w:rPr>
      <w:rFonts w:cs="Times New Roman"/>
      <w:color w:val="666666"/>
    </w:rPr>
  </w:style>
  <w:style w:type="character" w:customStyle="1" w:styleId="state">
    <w:name w:val="state"/>
    <w:basedOn w:val="DefaultParagraphFont"/>
    <w:uiPriority w:val="99"/>
    <w:rsid w:val="00832256"/>
    <w:rPr>
      <w:rFonts w:cs="Times New Roman"/>
    </w:rPr>
  </w:style>
  <w:style w:type="character" w:customStyle="1" w:styleId="postcode">
    <w:name w:val="postcode"/>
    <w:basedOn w:val="DefaultParagraphFont"/>
    <w:uiPriority w:val="99"/>
    <w:rsid w:val="00832256"/>
    <w:rPr>
      <w:rFonts w:cs="Times New Roman"/>
    </w:rPr>
  </w:style>
  <w:style w:type="paragraph" w:styleId="Revision">
    <w:name w:val="Revision"/>
    <w:hidden/>
    <w:uiPriority w:val="99"/>
    <w:semiHidden/>
    <w:rsid w:val="00832256"/>
    <w:pPr>
      <w:spacing w:after="0" w:line="240" w:lineRule="auto"/>
    </w:pPr>
    <w:rPr>
      <w:rFonts w:ascii="Arial" w:eastAsia="Times New Roman" w:hAnsi="Arial" w:cs="Times New Roman"/>
      <w:spacing w:val="-5"/>
      <w:sz w:val="20"/>
      <w:szCs w:val="20"/>
    </w:rPr>
  </w:style>
  <w:style w:type="paragraph" w:customStyle="1" w:styleId="subsection">
    <w:name w:val="subsection"/>
    <w:aliases w:val="ss"/>
    <w:rsid w:val="00832256"/>
    <w:pPr>
      <w:tabs>
        <w:tab w:val="right" w:pos="1021"/>
      </w:tabs>
      <w:spacing w:before="180" w:after="0" w:line="240" w:lineRule="auto"/>
      <w:ind w:left="1134" w:hanging="1134"/>
    </w:pPr>
    <w:rPr>
      <w:rFonts w:ascii="Times New Roman" w:eastAsia="Times New Roman" w:hAnsi="Times New Roman" w:cs="Times New Roman"/>
      <w:lang w:eastAsia="en-AU"/>
    </w:rPr>
  </w:style>
  <w:style w:type="paragraph" w:customStyle="1" w:styleId="Style1">
    <w:name w:val="Style1"/>
    <w:basedOn w:val="FootnoteText"/>
    <w:uiPriority w:val="99"/>
    <w:rsid w:val="00832256"/>
  </w:style>
  <w:style w:type="paragraph" w:customStyle="1" w:styleId="SubmissionNormal">
    <w:name w:val="Submission Normal"/>
    <w:aliases w:val="No Spacing,No Spacing1,No Spacing11"/>
    <w:basedOn w:val="Normal"/>
    <w:link w:val="SubmissionNormalChar"/>
    <w:rsid w:val="00832256"/>
    <w:pPr>
      <w:numPr>
        <w:numId w:val="6"/>
      </w:numPr>
      <w:spacing w:before="240"/>
    </w:pPr>
    <w:rPr>
      <w:spacing w:val="0"/>
      <w:szCs w:val="24"/>
      <w:lang w:eastAsia="en-AU"/>
    </w:rPr>
  </w:style>
  <w:style w:type="character" w:customStyle="1" w:styleId="SubmissionNormalChar">
    <w:name w:val="Submission Normal Char"/>
    <w:aliases w:val="No Spacing Char,No Spacing1 Char"/>
    <w:basedOn w:val="DefaultParagraphFont"/>
    <w:link w:val="SubmissionNormal"/>
    <w:locked/>
    <w:rsid w:val="00832256"/>
    <w:rPr>
      <w:rFonts w:ascii="Arial" w:eastAsia="Times New Roman" w:hAnsi="Arial" w:cs="Times New Roman"/>
      <w:sz w:val="24"/>
      <w:szCs w:val="24"/>
      <w:lang w:eastAsia="en-AU"/>
    </w:rPr>
  </w:style>
  <w:style w:type="paragraph" w:customStyle="1" w:styleId="msolistparagraph0">
    <w:name w:val="msolistparagraph"/>
    <w:basedOn w:val="Normal"/>
    <w:uiPriority w:val="99"/>
    <w:rsid w:val="00832256"/>
    <w:pPr>
      <w:ind w:left="720"/>
    </w:pPr>
    <w:rPr>
      <w:rFonts w:ascii="Calibri" w:hAnsi="Calibri"/>
      <w:spacing w:val="0"/>
      <w:sz w:val="22"/>
      <w:szCs w:val="22"/>
      <w:lang w:eastAsia="en-AU"/>
    </w:rPr>
  </w:style>
  <w:style w:type="paragraph" w:customStyle="1" w:styleId="MainTitle">
    <w:name w:val="Main Title"/>
    <w:uiPriority w:val="99"/>
    <w:semiHidden/>
    <w:rsid w:val="00832256"/>
    <w:pPr>
      <w:pBdr>
        <w:top w:val="single" w:sz="12" w:space="10" w:color="0070C0"/>
        <w:bottom w:val="single" w:sz="12" w:space="10" w:color="0070C0"/>
      </w:pBdr>
      <w:spacing w:before="240" w:after="240" w:line="240" w:lineRule="auto"/>
    </w:pPr>
    <w:rPr>
      <w:rFonts w:ascii="Arial" w:eastAsia="Times New Roman" w:hAnsi="Arial" w:cs="Times New Roman"/>
      <w:bCs/>
      <w:kern w:val="32"/>
      <w:sz w:val="100"/>
      <w:szCs w:val="32"/>
      <w:lang w:eastAsia="en-AU"/>
    </w:rPr>
  </w:style>
  <w:style w:type="numbering" w:styleId="ArticleSection">
    <w:name w:val="Outline List 3"/>
    <w:basedOn w:val="NoList"/>
    <w:semiHidden/>
    <w:unhideWhenUsed/>
    <w:rsid w:val="00832256"/>
    <w:pPr>
      <w:numPr>
        <w:numId w:val="3"/>
      </w:numPr>
    </w:pPr>
  </w:style>
  <w:style w:type="numbering" w:styleId="1ai">
    <w:name w:val="Outline List 1"/>
    <w:basedOn w:val="NoList"/>
    <w:semiHidden/>
    <w:unhideWhenUsed/>
    <w:rsid w:val="00832256"/>
    <w:pPr>
      <w:numPr>
        <w:numId w:val="2"/>
      </w:numPr>
    </w:pPr>
  </w:style>
  <w:style w:type="numbering" w:customStyle="1" w:styleId="StyleNumbered">
    <w:name w:val="Style Numbered"/>
    <w:rsid w:val="00832256"/>
    <w:pPr>
      <w:numPr>
        <w:numId w:val="4"/>
      </w:numPr>
    </w:pPr>
  </w:style>
  <w:style w:type="numbering" w:styleId="111111">
    <w:name w:val="Outline List 2"/>
    <w:basedOn w:val="NoList"/>
    <w:semiHidden/>
    <w:unhideWhenUsed/>
    <w:rsid w:val="00832256"/>
    <w:pPr>
      <w:numPr>
        <w:numId w:val="1"/>
      </w:numPr>
    </w:pPr>
  </w:style>
  <w:style w:type="paragraph" w:styleId="ListParagraph">
    <w:name w:val="List Paragraph"/>
    <w:basedOn w:val="Normal"/>
    <w:uiPriority w:val="1"/>
    <w:qFormat/>
    <w:rsid w:val="00832256"/>
    <w:pPr>
      <w:ind w:left="720"/>
      <w:contextualSpacing/>
    </w:pPr>
  </w:style>
  <w:style w:type="paragraph" w:customStyle="1" w:styleId="paragraphsub">
    <w:name w:val="paragraphsub"/>
    <w:basedOn w:val="Normal"/>
    <w:rsid w:val="00832256"/>
    <w:pPr>
      <w:spacing w:before="100" w:beforeAutospacing="1" w:after="100" w:afterAutospacing="1"/>
    </w:pPr>
    <w:rPr>
      <w:rFonts w:ascii="Times New Roman" w:hAnsi="Times New Roman"/>
      <w:spacing w:val="0"/>
      <w:szCs w:val="24"/>
      <w:lang w:eastAsia="en-AU"/>
    </w:rPr>
  </w:style>
  <w:style w:type="character" w:customStyle="1" w:styleId="EndnoteTextChar1">
    <w:name w:val="Endnote Text Char1"/>
    <w:rsid w:val="00832256"/>
    <w:rPr>
      <w:rFonts w:ascii="Arial" w:hAnsi="Arial"/>
    </w:rPr>
  </w:style>
  <w:style w:type="numbering" w:customStyle="1" w:styleId="NoList1">
    <w:name w:val="No List1"/>
    <w:next w:val="NoList"/>
    <w:uiPriority w:val="99"/>
    <w:semiHidden/>
    <w:unhideWhenUsed/>
    <w:rsid w:val="00832256"/>
  </w:style>
  <w:style w:type="paragraph" w:customStyle="1" w:styleId="Bullet">
    <w:name w:val="Bullet"/>
    <w:basedOn w:val="Normal"/>
    <w:rsid w:val="00832256"/>
    <w:pPr>
      <w:numPr>
        <w:numId w:val="11"/>
      </w:numPr>
      <w:spacing w:before="60" w:after="60" w:line="360" w:lineRule="exact"/>
      <w:ind w:left="0" w:firstLine="0"/>
      <w:jc w:val="both"/>
    </w:pPr>
    <w:rPr>
      <w:color w:val="000000"/>
      <w:spacing w:val="0"/>
    </w:rPr>
  </w:style>
  <w:style w:type="paragraph" w:customStyle="1" w:styleId="Dash">
    <w:name w:val="Dash"/>
    <w:basedOn w:val="Normal"/>
    <w:rsid w:val="00832256"/>
    <w:pPr>
      <w:numPr>
        <w:numId w:val="12"/>
      </w:numPr>
      <w:tabs>
        <w:tab w:val="num" w:pos="360"/>
      </w:tabs>
      <w:spacing w:before="20" w:after="20" w:line="360" w:lineRule="exact"/>
      <w:ind w:left="0" w:firstLine="0"/>
      <w:jc w:val="both"/>
    </w:pPr>
    <w:rPr>
      <w:color w:val="000000"/>
      <w:spacing w:val="0"/>
    </w:rPr>
  </w:style>
  <w:style w:type="paragraph" w:customStyle="1" w:styleId="IndentedParagraph">
    <w:name w:val="Indented Paragraph"/>
    <w:basedOn w:val="Normal"/>
    <w:rsid w:val="00832256"/>
    <w:pPr>
      <w:spacing w:line="360" w:lineRule="exact"/>
      <w:ind w:left="1440"/>
      <w:jc w:val="both"/>
    </w:pPr>
    <w:rPr>
      <w:color w:val="000000"/>
      <w:spacing w:val="0"/>
    </w:rPr>
  </w:style>
  <w:style w:type="paragraph" w:customStyle="1" w:styleId="BasicParagraph">
    <w:name w:val="[Basic Paragraph]"/>
    <w:basedOn w:val="Normal"/>
    <w:rsid w:val="00832256"/>
    <w:pPr>
      <w:widowControl w:val="0"/>
      <w:autoSpaceDE w:val="0"/>
      <w:autoSpaceDN w:val="0"/>
      <w:adjustRightInd w:val="0"/>
      <w:spacing w:line="288" w:lineRule="auto"/>
      <w:textAlignment w:val="center"/>
    </w:pPr>
    <w:rPr>
      <w:rFonts w:ascii="Times-Roman" w:hAnsi="Times-Roman" w:cs="Times-Roman"/>
      <w:color w:val="000000"/>
      <w:spacing w:val="0"/>
      <w:szCs w:val="24"/>
      <w:lang w:val="en-US" w:bidi="en-US"/>
    </w:rPr>
  </w:style>
  <w:style w:type="table" w:customStyle="1" w:styleId="TableGrid10">
    <w:name w:val="Table Grid1"/>
    <w:basedOn w:val="TableNormal"/>
    <w:next w:val="TableGrid"/>
    <w:rsid w:val="00832256"/>
    <w:pPr>
      <w:spacing w:after="0" w:line="360" w:lineRule="exact"/>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Block">
    <w:name w:val="Address Block"/>
    <w:basedOn w:val="BodyText"/>
    <w:rsid w:val="00832256"/>
    <w:pPr>
      <w:keepNext/>
      <w:spacing w:after="0"/>
      <w:jc w:val="both"/>
    </w:pPr>
    <w:rPr>
      <w:rFonts w:cs="ArialMT"/>
      <w:color w:val="000000"/>
      <w:spacing w:val="0"/>
      <w:szCs w:val="24"/>
      <w:lang w:val="en-US" w:bidi="en-US"/>
    </w:rPr>
  </w:style>
  <w:style w:type="paragraph" w:customStyle="1" w:styleId="Addressee">
    <w:name w:val="Addressee"/>
    <w:basedOn w:val="BodyText"/>
    <w:rsid w:val="00832256"/>
    <w:pPr>
      <w:spacing w:before="227" w:after="340"/>
      <w:jc w:val="both"/>
    </w:pPr>
    <w:rPr>
      <w:rFonts w:cs="ArialMT"/>
      <w:color w:val="000000"/>
      <w:spacing w:val="0"/>
      <w:szCs w:val="24"/>
      <w:lang w:val="en-US" w:bidi="en-US"/>
    </w:rPr>
  </w:style>
  <w:style w:type="paragraph" w:customStyle="1" w:styleId="Titleofletter">
    <w:name w:val="Title of letter"/>
    <w:basedOn w:val="BodyText"/>
    <w:rsid w:val="00832256"/>
    <w:pPr>
      <w:jc w:val="both"/>
    </w:pPr>
    <w:rPr>
      <w:rFonts w:cs="ArialMT"/>
      <w:b/>
      <w:color w:val="000000"/>
      <w:spacing w:val="0"/>
      <w:szCs w:val="24"/>
      <w:lang w:val="en-US" w:bidi="en-US"/>
    </w:rPr>
  </w:style>
  <w:style w:type="paragraph" w:customStyle="1" w:styleId="YoursSincerley">
    <w:name w:val="Yours Sincerley"/>
    <w:basedOn w:val="BodyText"/>
    <w:rsid w:val="00832256"/>
    <w:pPr>
      <w:keepNext/>
      <w:spacing w:after="901"/>
      <w:jc w:val="both"/>
    </w:pPr>
    <w:rPr>
      <w:rFonts w:cs="ArialMT"/>
      <w:color w:val="000000"/>
      <w:spacing w:val="0"/>
      <w:szCs w:val="24"/>
      <w:lang w:val="en-US" w:bidi="en-US"/>
    </w:rPr>
  </w:style>
  <w:style w:type="paragraph" w:customStyle="1" w:styleId="HeaderFooter">
    <w:name w:val="Header &amp; Footer"/>
    <w:basedOn w:val="Normal"/>
    <w:rsid w:val="00832256"/>
    <w:pPr>
      <w:spacing w:line="200" w:lineRule="exact"/>
      <w:jc w:val="both"/>
    </w:pPr>
    <w:rPr>
      <w:rFonts w:cs="ArialMT"/>
      <w:color w:val="000000"/>
      <w:spacing w:val="0"/>
      <w:sz w:val="16"/>
      <w:szCs w:val="24"/>
    </w:rPr>
  </w:style>
  <w:style w:type="paragraph" w:customStyle="1" w:styleId="LogoType">
    <w:name w:val="Logo Type"/>
    <w:basedOn w:val="Header"/>
    <w:rsid w:val="00832256"/>
    <w:pPr>
      <w:pBdr>
        <w:bottom w:val="single" w:sz="4" w:space="4" w:color="auto"/>
      </w:pBdr>
      <w:tabs>
        <w:tab w:val="clear" w:pos="4513"/>
        <w:tab w:val="clear" w:pos="9026"/>
        <w:tab w:val="left" w:pos="4686"/>
        <w:tab w:val="left" w:pos="7088"/>
        <w:tab w:val="left" w:pos="7242"/>
      </w:tabs>
      <w:spacing w:line="320" w:lineRule="exact"/>
      <w:jc w:val="left"/>
    </w:pPr>
    <w:rPr>
      <w:rFonts w:cs="ArialMT"/>
      <w:b/>
      <w:color w:val="808080"/>
      <w:spacing w:val="-20"/>
      <w:sz w:val="32"/>
      <w:szCs w:val="24"/>
    </w:rPr>
  </w:style>
  <w:style w:type="paragraph" w:customStyle="1" w:styleId="OurRef">
    <w:name w:val="Our Ref:"/>
    <w:basedOn w:val="BodyText"/>
    <w:rsid w:val="00832256"/>
    <w:pPr>
      <w:spacing w:after="193"/>
    </w:pPr>
    <w:rPr>
      <w:rFonts w:cs="ArialMT"/>
      <w:color w:val="000000"/>
      <w:spacing w:val="0"/>
      <w:szCs w:val="24"/>
      <w:lang w:val="en-US" w:bidi="en-US"/>
    </w:rPr>
  </w:style>
  <w:style w:type="paragraph" w:customStyle="1" w:styleId="StyleAddresseeAfter1135pt">
    <w:name w:val="Style Addressee + After:  11.35 pt"/>
    <w:basedOn w:val="Addressee"/>
    <w:rsid w:val="00832256"/>
    <w:pPr>
      <w:spacing w:before="267" w:after="267"/>
    </w:pPr>
    <w:rPr>
      <w:rFonts w:cs="Times New Roman"/>
      <w:szCs w:val="20"/>
    </w:rPr>
  </w:style>
  <w:style w:type="paragraph" w:customStyle="1" w:styleId="DateInsert">
    <w:name w:val="Date Insert"/>
    <w:basedOn w:val="AddressBlock"/>
    <w:rsid w:val="00832256"/>
    <w:pPr>
      <w:spacing w:after="227" w:line="320" w:lineRule="exact"/>
    </w:pPr>
  </w:style>
  <w:style w:type="paragraph" w:customStyle="1" w:styleId="NameInsert">
    <w:name w:val="Name Insert"/>
    <w:basedOn w:val="BodyText"/>
    <w:rsid w:val="00832256"/>
    <w:pPr>
      <w:jc w:val="both"/>
    </w:pPr>
    <w:rPr>
      <w:color w:val="000000"/>
      <w:spacing w:val="0"/>
      <w:lang w:val="en-US" w:bidi="en-US"/>
    </w:rPr>
  </w:style>
  <w:style w:type="character" w:customStyle="1" w:styleId="black1">
    <w:name w:val="black1"/>
    <w:rsid w:val="00832256"/>
    <w:rPr>
      <w:rFonts w:cs="Times New Roman"/>
      <w:color w:val="000000"/>
    </w:rPr>
  </w:style>
  <w:style w:type="numbering" w:customStyle="1" w:styleId="1111111">
    <w:name w:val="1 / 1.1 / 1.1.11"/>
    <w:basedOn w:val="NoList"/>
    <w:next w:val="111111"/>
    <w:rsid w:val="00832256"/>
    <w:pPr>
      <w:numPr>
        <w:numId w:val="8"/>
      </w:numPr>
    </w:pPr>
  </w:style>
  <w:style w:type="numbering" w:customStyle="1" w:styleId="1ai1">
    <w:name w:val="1 / a / i1"/>
    <w:basedOn w:val="NoList"/>
    <w:next w:val="1ai"/>
    <w:semiHidden/>
    <w:rsid w:val="00832256"/>
    <w:pPr>
      <w:numPr>
        <w:numId w:val="9"/>
      </w:numPr>
    </w:pPr>
  </w:style>
  <w:style w:type="numbering" w:customStyle="1" w:styleId="ArticleSection1">
    <w:name w:val="Article / Section1"/>
    <w:basedOn w:val="NoList"/>
    <w:next w:val="ArticleSection"/>
    <w:semiHidden/>
    <w:rsid w:val="00832256"/>
    <w:pPr>
      <w:numPr>
        <w:numId w:val="10"/>
      </w:numPr>
    </w:pPr>
  </w:style>
  <w:style w:type="paragraph" w:customStyle="1" w:styleId="Reply">
    <w:name w:val="Reply"/>
    <w:basedOn w:val="Normal"/>
    <w:semiHidden/>
    <w:rsid w:val="00832256"/>
    <w:pPr>
      <w:spacing w:before="240" w:after="120" w:line="280" w:lineRule="exact"/>
    </w:pPr>
    <w:rPr>
      <w:color w:val="000000"/>
      <w:spacing w:val="0"/>
    </w:rPr>
  </w:style>
  <w:style w:type="paragraph" w:customStyle="1" w:styleId="ActHead5">
    <w:name w:val="ActHead 5"/>
    <w:aliases w:val="s"/>
    <w:basedOn w:val="Normal"/>
    <w:next w:val="Normal"/>
    <w:rsid w:val="00832256"/>
    <w:pPr>
      <w:keepNext/>
      <w:spacing w:before="280"/>
      <w:ind w:left="1134" w:hanging="1134"/>
      <w:outlineLvl w:val="4"/>
    </w:pPr>
    <w:rPr>
      <w:rFonts w:ascii="Times New Roman" w:hAnsi="Times New Roman"/>
      <w:b/>
      <w:bCs/>
      <w:spacing w:val="0"/>
      <w:kern w:val="28"/>
      <w:szCs w:val="24"/>
      <w:lang w:eastAsia="en-AU"/>
    </w:rPr>
  </w:style>
  <w:style w:type="character" w:customStyle="1" w:styleId="CharSectno">
    <w:name w:val="CharSectno"/>
    <w:basedOn w:val="DefaultParagraphFont"/>
    <w:rsid w:val="00832256"/>
    <w:rPr>
      <w:rFonts w:cs="Times New Roman"/>
    </w:rPr>
  </w:style>
  <w:style w:type="paragraph" w:styleId="Quote">
    <w:name w:val="Quote"/>
    <w:basedOn w:val="Normal"/>
    <w:link w:val="QuoteChar"/>
    <w:qFormat/>
    <w:rsid w:val="00832256"/>
    <w:pPr>
      <w:spacing w:before="240"/>
      <w:ind w:left="1440"/>
    </w:pPr>
    <w:rPr>
      <w:spacing w:val="0"/>
      <w:sz w:val="22"/>
      <w:szCs w:val="22"/>
      <w:lang w:eastAsia="en-AU"/>
    </w:rPr>
  </w:style>
  <w:style w:type="character" w:customStyle="1" w:styleId="QuoteChar">
    <w:name w:val="Quote Char"/>
    <w:basedOn w:val="DefaultParagraphFont"/>
    <w:link w:val="Quote"/>
    <w:rsid w:val="00832256"/>
    <w:rPr>
      <w:rFonts w:ascii="Arial" w:eastAsia="Times New Roman" w:hAnsi="Arial" w:cs="Times New Roman"/>
      <w:lang w:eastAsia="en-AU"/>
    </w:rPr>
  </w:style>
  <w:style w:type="paragraph" w:customStyle="1" w:styleId="r2">
    <w:name w:val="r2"/>
    <w:basedOn w:val="Normal"/>
    <w:rsid w:val="00832256"/>
    <w:pPr>
      <w:spacing w:before="100" w:beforeAutospacing="1" w:after="100" w:afterAutospacing="1"/>
    </w:pPr>
    <w:rPr>
      <w:rFonts w:ascii="Times New Roman" w:hAnsi="Times New Roman"/>
      <w:spacing w:val="0"/>
      <w:szCs w:val="24"/>
      <w:lang w:eastAsia="en-AU"/>
    </w:rPr>
  </w:style>
  <w:style w:type="paragraph" w:customStyle="1" w:styleId="p1">
    <w:name w:val="p1"/>
    <w:basedOn w:val="Normal"/>
    <w:rsid w:val="00832256"/>
    <w:pPr>
      <w:spacing w:before="100" w:beforeAutospacing="1" w:after="100" w:afterAutospacing="1"/>
    </w:pPr>
    <w:rPr>
      <w:rFonts w:ascii="Times New Roman" w:hAnsi="Times New Roman"/>
      <w:spacing w:val="0"/>
      <w:szCs w:val="24"/>
      <w:lang w:eastAsia="en-AU"/>
    </w:rPr>
  </w:style>
  <w:style w:type="paragraph" w:customStyle="1" w:styleId="ps1-text-column2">
    <w:name w:val="ps_1-text-column2"/>
    <w:basedOn w:val="Normal"/>
    <w:rsid w:val="00832256"/>
    <w:pPr>
      <w:spacing w:before="100" w:beforeAutospacing="1" w:after="100" w:afterAutospacing="1"/>
    </w:pPr>
    <w:rPr>
      <w:rFonts w:ascii="Times New Roman" w:hAnsi="Times New Roman"/>
      <w:spacing w:val="0"/>
      <w:szCs w:val="24"/>
      <w:lang w:eastAsia="en-AU"/>
    </w:rPr>
  </w:style>
  <w:style w:type="paragraph" w:customStyle="1" w:styleId="ps1-sub-subheading">
    <w:name w:val="ps_1-sub-subheading"/>
    <w:basedOn w:val="Normal"/>
    <w:rsid w:val="00832256"/>
    <w:pPr>
      <w:spacing w:before="100" w:beforeAutospacing="1" w:after="100" w:afterAutospacing="1"/>
    </w:pPr>
    <w:rPr>
      <w:rFonts w:ascii="Times New Roman" w:hAnsi="Times New Roman"/>
      <w:spacing w:val="0"/>
      <w:szCs w:val="24"/>
      <w:lang w:eastAsia="en-AU"/>
    </w:rPr>
  </w:style>
  <w:style w:type="paragraph" w:customStyle="1" w:styleId="ps1-dotpoint">
    <w:name w:val="ps_1-dotpoint"/>
    <w:basedOn w:val="Normal"/>
    <w:rsid w:val="00832256"/>
    <w:pPr>
      <w:spacing w:before="100" w:beforeAutospacing="1" w:after="100" w:afterAutospacing="1"/>
    </w:pPr>
    <w:rPr>
      <w:rFonts w:ascii="Times New Roman" w:hAnsi="Times New Roman"/>
      <w:spacing w:val="0"/>
      <w:szCs w:val="24"/>
      <w:lang w:eastAsia="en-AU"/>
    </w:rPr>
  </w:style>
  <w:style w:type="paragraph" w:customStyle="1" w:styleId="psblackbullet64134">
    <w:name w:val="ps_blackbullet64134"/>
    <w:basedOn w:val="Normal"/>
    <w:rsid w:val="00832256"/>
    <w:pPr>
      <w:spacing w:before="100" w:beforeAutospacing="1" w:after="100" w:afterAutospacing="1"/>
    </w:pPr>
    <w:rPr>
      <w:rFonts w:ascii="Times New Roman" w:hAnsi="Times New Roman"/>
      <w:spacing w:val="0"/>
      <w:szCs w:val="24"/>
      <w:lang w:eastAsia="en-AU"/>
    </w:rPr>
  </w:style>
  <w:style w:type="paragraph" w:customStyle="1" w:styleId="ps0start134indent">
    <w:name w:val="ps_0start134indent"/>
    <w:basedOn w:val="Normal"/>
    <w:rsid w:val="00832256"/>
    <w:pPr>
      <w:spacing w:before="100" w:beforeAutospacing="1" w:after="100" w:afterAutospacing="1"/>
    </w:pPr>
    <w:rPr>
      <w:rFonts w:ascii="Times New Roman" w:hAnsi="Times New Roman"/>
      <w:spacing w:val="0"/>
      <w:szCs w:val="24"/>
      <w:lang w:eastAsia="en-AU"/>
    </w:rPr>
  </w:style>
  <w:style w:type="paragraph" w:customStyle="1" w:styleId="psblack401414024140341etc">
    <w:name w:val="ps_black401414024140341etc"/>
    <w:basedOn w:val="Normal"/>
    <w:rsid w:val="00832256"/>
    <w:pPr>
      <w:spacing w:before="100" w:beforeAutospacing="1" w:after="100" w:afterAutospacing="1"/>
    </w:pPr>
    <w:rPr>
      <w:rFonts w:ascii="Times New Roman" w:hAnsi="Times New Roman"/>
      <w:spacing w:val="0"/>
      <w:szCs w:val="24"/>
      <w:lang w:eastAsia="en-AU"/>
    </w:rPr>
  </w:style>
  <w:style w:type="paragraph" w:customStyle="1" w:styleId="Body">
    <w:name w:val="Body"/>
    <w:rsid w:val="00832256"/>
    <w:pPr>
      <w:keepLines/>
      <w:spacing w:after="200" w:line="288" w:lineRule="auto"/>
    </w:pPr>
    <w:rPr>
      <w:rFonts w:ascii="Arial" w:eastAsia="ヒラギノ角ゴ Pro W3" w:hAnsi="Arial" w:cs="Times New Roman"/>
      <w:color w:val="000000"/>
      <w:sz w:val="24"/>
      <w:szCs w:val="20"/>
      <w:lang w:val="en-US" w:eastAsia="en-AU"/>
    </w:rPr>
  </w:style>
  <w:style w:type="paragraph" w:customStyle="1" w:styleId="BodyBullet">
    <w:name w:val="Body Bullet"/>
    <w:rsid w:val="00832256"/>
    <w:pPr>
      <w:spacing w:after="200" w:line="240" w:lineRule="auto"/>
    </w:pPr>
    <w:rPr>
      <w:rFonts w:ascii="Arial" w:eastAsia="ヒラギノ角ゴ Pro W3" w:hAnsi="Arial" w:cs="Times New Roman"/>
      <w:color w:val="000000"/>
      <w:sz w:val="24"/>
      <w:szCs w:val="20"/>
      <w:lang w:val="en-US" w:eastAsia="en-AU"/>
    </w:rPr>
  </w:style>
  <w:style w:type="paragraph" w:customStyle="1" w:styleId="Default">
    <w:name w:val="Default"/>
    <w:rsid w:val="00832256"/>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BodyListParagraph">
    <w:name w:val="Body List Paragraph"/>
    <w:basedOn w:val="Normal"/>
    <w:uiPriority w:val="99"/>
    <w:rsid w:val="00832256"/>
    <w:pPr>
      <w:widowControl w:val="0"/>
      <w:numPr>
        <w:numId w:val="13"/>
      </w:numPr>
      <w:suppressAutoHyphens/>
      <w:autoSpaceDE w:val="0"/>
      <w:autoSpaceDN w:val="0"/>
      <w:adjustRightInd w:val="0"/>
      <w:spacing w:after="113" w:line="288" w:lineRule="auto"/>
      <w:textAlignment w:val="center"/>
    </w:pPr>
    <w:rPr>
      <w:rFonts w:eastAsiaTheme="minorEastAsia" w:cs="HelveticaNeue"/>
      <w:color w:val="000000"/>
      <w:spacing w:val="0"/>
      <w:szCs w:val="17"/>
      <w:lang w:val="en-US" w:eastAsia="en-AU"/>
    </w:rPr>
  </w:style>
  <w:style w:type="paragraph" w:customStyle="1" w:styleId="CopyrightText">
    <w:name w:val="Copyright Text"/>
    <w:basedOn w:val="Normal"/>
    <w:uiPriority w:val="99"/>
    <w:rsid w:val="008217BE"/>
    <w:pPr>
      <w:tabs>
        <w:tab w:val="left" w:pos="567"/>
      </w:tabs>
      <w:suppressAutoHyphens/>
      <w:autoSpaceDE w:val="0"/>
      <w:autoSpaceDN w:val="0"/>
      <w:adjustRightInd w:val="0"/>
      <w:spacing w:after="113" w:line="288" w:lineRule="auto"/>
      <w:textAlignment w:val="center"/>
    </w:pPr>
    <w:rPr>
      <w:rFonts w:eastAsiaTheme="minorHAnsi" w:cs="Open Sans"/>
      <w:color w:val="000000"/>
      <w:spacing w:val="0"/>
      <w:sz w:val="16"/>
      <w:szCs w:val="16"/>
      <w:u w:color="000000"/>
    </w:rPr>
  </w:style>
  <w:style w:type="character" w:customStyle="1" w:styleId="Bold">
    <w:name w:val="Bold"/>
    <w:uiPriority w:val="99"/>
    <w:rsid w:val="008217BE"/>
    <w:rPr>
      <w:rFonts w:ascii="HelveticaNeueLT Pro 55 Roman" w:hAnsi="HelveticaNeueLT Pro 55 Roman" w:cs="HelveticaNeueLT Pro 55 Roman"/>
      <w:b/>
      <w:bCs/>
    </w:rPr>
  </w:style>
  <w:style w:type="character" w:styleId="UnresolvedMention">
    <w:name w:val="Unresolved Mention"/>
    <w:basedOn w:val="DefaultParagraphFont"/>
    <w:uiPriority w:val="99"/>
    <w:semiHidden/>
    <w:unhideWhenUsed/>
    <w:rsid w:val="00707D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customXml" Target="../customXml/item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foreignminister.gov.au/transcripts/Pages/2016/jb_tr_160315.aspx?w=tb1CaGpkPX%2FlS0K%2Bg9ZKEg%3D%3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58FDF5B15A5C74091762EB145641BD2" ma:contentTypeVersion="927" ma:contentTypeDescription="Create a new document." ma:contentTypeScope="" ma:versionID="7878a1b456057019c374a0e69623f8e7">
  <xsd:schema xmlns:xsd="http://www.w3.org/2001/XMLSchema" xmlns:xs="http://www.w3.org/2001/XMLSchema" xmlns:p="http://schemas.microsoft.com/office/2006/metadata/properties" xmlns:ns2="0544bb73-b9b2-4315-b463-f353efb89b0b" xmlns:ns3="6500fe01-343b-4fb9-a1b0-68ac19d62e01" xmlns:ns4="57f1fb52-79b9-4278-9d54-1e5db41bfcda" xmlns:ns5="ccf9782b-c747-4be8-886f-341168625564" targetNamespace="http://schemas.microsoft.com/office/2006/metadata/properties" ma:root="true" ma:fieldsID="5fb8b0508e59e068e7aecbf14f71f35f" ns2:_="" ns3:_="" ns4:_="" ns5:_="">
    <xsd:import namespace="0544bb73-b9b2-4315-b463-f353efb89b0b"/>
    <xsd:import namespace="6500fe01-343b-4fb9-a1b0-68ac19d62e01"/>
    <xsd:import namespace="57f1fb52-79b9-4278-9d54-1e5db41bfcda"/>
    <xsd:import namespace="ccf9782b-c747-4be8-886f-341168625564"/>
    <xsd:element name="properties">
      <xsd:complexType>
        <xsd:sequence>
          <xsd:element name="documentManagement">
            <xsd:complexType>
              <xsd:all>
                <xsd:element ref="ns2:Report_x0020_No_x002e_" minOccurs="0"/>
                <xsd:element ref="ns3:Divider" minOccurs="0"/>
                <xsd:element ref="ns4:Subdivider" minOccurs="0"/>
                <xsd:element ref="ns3:TaxCatchAll" minOccurs="0"/>
                <xsd:element ref="ns3:TaxCatchAllLabel" minOccurs="0"/>
                <xsd:element ref="ns3:_dlc_DocId" minOccurs="0"/>
                <xsd:element ref="ns3:_dlc_DocIdUrl" minOccurs="0"/>
                <xsd:element ref="ns3:_dlc_DocIdPersistId"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4:SharedWithUsers" minOccurs="0"/>
                <xsd:element ref="ns4:SharedWithDetails" minOccurs="0"/>
                <xsd:element ref="ns3:TaxKeywordTaxHTField" minOccurs="0"/>
                <xsd:element ref="ns2:Tabled" minOccurs="0"/>
                <xsd:element ref="ns2:Reportstatus" minOccurs="0"/>
                <xsd:element ref="ns2:PublishedonAHRCwebsite" minOccurs="0"/>
                <xsd:element ref="ns2:Transmissiondate" minOccurs="0"/>
                <xsd:element ref="ns2:Tabling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4bb73-b9b2-4315-b463-f353efb89b0b" elementFormDefault="qualified">
    <xsd:import namespace="http://schemas.microsoft.com/office/2006/documentManagement/types"/>
    <xsd:import namespace="http://schemas.microsoft.com/office/infopath/2007/PartnerControls"/>
    <xsd:element name="Report_x0020_No_x002e_" ma:index="1" nillable="true" ma:displayName="Report No." ma:internalName="Report_x0020_No_x002e_">
      <xsd:simpleType>
        <xsd:restriction base="dms:Number"/>
      </xsd:simpleType>
    </xsd:element>
    <xsd:element name="Tabled" ma:index="28" nillable="true" ma:displayName="Tabled" ma:format="Dropdown" ma:internalName="Tabled">
      <xsd:simpleType>
        <xsd:restriction base="dms:Choice">
          <xsd:enumeration value="Yes"/>
          <xsd:enumeration value="No - new act"/>
          <xsd:enumeration value="Pending"/>
        </xsd:restriction>
      </xsd:simpleType>
    </xsd:element>
    <xsd:element name="Reportstatus" ma:index="29" nillable="true" ma:displayName="Report status" ma:format="Dropdown" ma:internalName="Reportstatus">
      <xsd:simpleType>
        <xsd:restriction base="dms:Choice">
          <xsd:enumeration value="Approval from President"/>
          <xsd:enumeration value="Received final proof from desktopper"/>
          <xsd:enumeration value="Sent to printer"/>
          <xsd:enumeration value="Transmitted to Attorney-General"/>
        </xsd:restriction>
      </xsd:simpleType>
    </xsd:element>
    <xsd:element name="PublishedonAHRCwebsite" ma:index="30" nillable="true" ma:displayName="Published on AHRC website" ma:default="1" ma:format="Dropdown" ma:internalName="PublishedonAHRCwebsite">
      <xsd:simpleType>
        <xsd:restriction base="dms:Boolean"/>
      </xsd:simpleType>
    </xsd:element>
    <xsd:element name="Transmissiondate" ma:index="31" nillable="true" ma:displayName="Transmission date" ma:format="DateOnly" ma:internalName="Transmissiondate">
      <xsd:simpleType>
        <xsd:restriction base="dms:DateTime"/>
      </xsd:simpleType>
    </xsd:element>
    <xsd:element name="Tablingdate" ma:index="32" nillable="true" ma:displayName="Tabling date" ma:format="DateOnly" ma:internalName="Tabling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2" nillable="true" ma:displayName="Divider" ma:format="Dropdown" ma:internalName="Divider">
      <xsd:simpleType>
        <xsd:union memberTypes="dms:Text">
          <xsd:simpleType>
            <xsd:restriction base="dms:Choice">
              <xsd:enumeration value="-"/>
            </xsd:restriction>
          </xsd:simpleType>
        </xsd:union>
      </xsd:simpleType>
    </xsd:element>
    <xsd:element name="TaxCatchAll" ma:index="6" nillable="true" ma:displayName="Taxonomy Catch All Column" ma:hidden="true" ma:list="{edef69be-0e46-40c7-ae13-0e62df689cd6}" ma:internalName="TaxCatchAll" ma:showField="CatchAllData" ma:web="9ec753ee-f2dc-4e9b-bec0-d0fb1166dd49">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edef69be-0e46-40c7-ae13-0e62df689cd6}" ma:internalName="TaxCatchAllLabel" ma:readOnly="true" ma:showField="CatchAllDataLabel" ma:web="9ec753ee-f2dc-4e9b-bec0-d0fb1166dd49">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KeywordTaxHTField" ma:index="27"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f1fb52-79b9-4278-9d54-1e5db41bfcda" elementFormDefault="qualified">
    <xsd:import namespace="http://schemas.microsoft.com/office/2006/documentManagement/types"/>
    <xsd:import namespace="http://schemas.microsoft.com/office/infopath/2007/PartnerControls"/>
    <xsd:element name="Subdivider" ma:index="3" nillable="true" ma:displayName="Subdivider" ma:format="Dropdown" ma:internalName="Subdivider">
      <xsd:simpleType>
        <xsd:union memberTypes="dms:Text">
          <xsd:simpleType>
            <xsd:restriction base="dms:Choice">
              <xsd:enumeration value="-"/>
            </xsd:restriction>
          </xsd:simpleType>
        </xsd:unio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f9782b-c747-4be8-886f-341168625564"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haredContentType xmlns="Microsoft.SharePoint.Taxonomy.ContentTypeSync" SourceId="975c5ac6-a0cc-43ed-b850-4a2ae59237b6"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_dlc_DocId xmlns="6500fe01-343b-4fb9-a1b0-68ac19d62e01">AHRC-1166401346-7671</_dlc_DocId>
    <TaxCatchAll xmlns="6500fe01-343b-4fb9-a1b0-68ac19d62e01"/>
    <Report_x0020_No_x002e_ xmlns="0544bb73-b9b2-4315-b463-f353efb89b0b">129</Report_x0020_No_x002e_>
    <TaxKeywordTaxHTField xmlns="6500fe01-343b-4fb9-a1b0-68ac19d62e01">
      <Terms xmlns="http://schemas.microsoft.com/office/infopath/2007/PartnerControls"/>
    </TaxKeywordTaxHTField>
    <Divider xmlns="6500fe01-343b-4fb9-a1b0-68ac19d62e01">Finals</Divider>
    <_dlc_DocIdUrl xmlns="6500fe01-343b-4fb9-a1b0-68ac19d62e01">
      <Url>https://australianhrc.sharepoint.com/sites/LegalServicesWorkspace/_layouts/15/DocIdRedir.aspx?ID=AHRC-1166401346-7671</Url>
      <Description>AHRC-1166401346-7671</Description>
    </_dlc_DocIdUrl>
    <Subdivider xmlns="57f1fb52-79b9-4278-9d54-1e5db41bfcda" xsi:nil="true"/>
    <Reportstatus xmlns="0544bb73-b9b2-4315-b463-f353efb89b0b" xsi:nil="true"/>
    <Tabled xmlns="0544bb73-b9b2-4315-b463-f353efb89b0b" xsi:nil="true"/>
    <PublishedonAHRCwebsite xmlns="0544bb73-b9b2-4315-b463-f353efb89b0b">true</PublishedonAHRCwebsite>
    <Tablingdate xmlns="0544bb73-b9b2-4315-b463-f353efb89b0b" xsi:nil="true"/>
    <Transmissiondate xmlns="0544bb73-b9b2-4315-b463-f353efb89b0b" xsi:nil="true"/>
  </documentManagement>
</p:properties>
</file>

<file path=customXml/itemProps1.xml><?xml version="1.0" encoding="utf-8"?>
<ds:datastoreItem xmlns:ds="http://schemas.openxmlformats.org/officeDocument/2006/customXml" ds:itemID="{1FFD333D-6784-41EC-991D-0ED6C1529209}">
  <ds:schemaRefs>
    <ds:schemaRef ds:uri="http://schemas.openxmlformats.org/officeDocument/2006/bibliography"/>
  </ds:schemaRefs>
</ds:datastoreItem>
</file>

<file path=customXml/itemProps2.xml><?xml version="1.0" encoding="utf-8"?>
<ds:datastoreItem xmlns:ds="http://schemas.openxmlformats.org/officeDocument/2006/customXml" ds:itemID="{1B36064B-0E65-4062-B512-31E6FB9973D6}"/>
</file>

<file path=customXml/itemProps3.xml><?xml version="1.0" encoding="utf-8"?>
<ds:datastoreItem xmlns:ds="http://schemas.openxmlformats.org/officeDocument/2006/customXml" ds:itemID="{A24CA07F-AFBD-4C4C-9A42-E6266B5B898C}"/>
</file>

<file path=customXml/itemProps4.xml><?xml version="1.0" encoding="utf-8"?>
<ds:datastoreItem xmlns:ds="http://schemas.openxmlformats.org/officeDocument/2006/customXml" ds:itemID="{90642EA8-2018-4354-8F91-AAC1516A6A94}"/>
</file>

<file path=customXml/itemProps5.xml><?xml version="1.0" encoding="utf-8"?>
<ds:datastoreItem xmlns:ds="http://schemas.openxmlformats.org/officeDocument/2006/customXml" ds:itemID="{B1A0FB26-A6F6-4190-99C8-77375A7942E6}"/>
</file>

<file path=customXml/itemProps6.xml><?xml version="1.0" encoding="utf-8"?>
<ds:datastoreItem xmlns:ds="http://schemas.openxmlformats.org/officeDocument/2006/customXml" ds:itemID="{23F5382C-2B64-49F9-9040-CE936E845964}"/>
</file>

<file path=customXml/itemProps7.xml><?xml version="1.0" encoding="utf-8"?>
<ds:datastoreItem xmlns:ds="http://schemas.openxmlformats.org/officeDocument/2006/customXml" ds:itemID="{14E9AC62-8744-413F-BACC-38D7A21C0BB9}"/>
</file>

<file path=docProps/app.xml><?xml version="1.0" encoding="utf-8"?>
<Properties xmlns="http://schemas.openxmlformats.org/officeDocument/2006/extended-properties" xmlns:vt="http://schemas.openxmlformats.org/officeDocument/2006/docPropsVTypes">
  <Template>Normal.dotm</Template>
  <TotalTime>14</TotalTime>
  <Pages>24</Pages>
  <Words>5781</Words>
  <Characters>32955</Characters>
  <Application>Microsoft Office Word</Application>
  <DocSecurity>0</DocSecurity>
  <Lines>274</Lines>
  <Paragraphs>77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Australian Human Rights Commission</Company>
  <LinksUpToDate>false</LinksUpToDate>
  <CharactersWithSpaces>38659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Britto</dc:creator>
  <cp:keywords/>
  <dc:description/>
  <cp:lastModifiedBy>Kelly Britto</cp:lastModifiedBy>
  <cp:revision>6</cp:revision>
  <dcterms:created xsi:type="dcterms:W3CDTF">2019-05-23T12:36:00Z</dcterms:created>
  <dcterms:modified xsi:type="dcterms:W3CDTF">2019-06-26T23:56:00Z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t Type">
    <vt:lpwstr>AHRCA Report</vt:lpwstr>
  </property>
  <property fmtid="{D5CDD505-2E9C-101B-9397-08002B2CF9AE}" pid="3" name="Order">
    <vt:r8>100</vt:r8>
  </property>
  <property fmtid="{D5CDD505-2E9C-101B-9397-08002B2CF9AE}" pid="4" name="TaxKeyword">
    <vt:lpwstr/>
  </property>
  <property fmtid="{D5CDD505-2E9C-101B-9397-08002B2CF9AE}" pid="5" name="Business Unit">
    <vt:lpwstr>Legal</vt:lpwstr>
  </property>
  <property fmtid="{D5CDD505-2E9C-101B-9397-08002B2CF9AE}" pid="9" name="DocumentSetDescription">
    <vt:lpwstr/>
  </property>
  <property fmtid="{D5CDD505-2E9C-101B-9397-08002B2CF9AE}" pid="10" name="ContentTypeId">
    <vt:lpwstr>0x010100258FDF5B15A5C74091762EB145641BD2</vt:lpwstr>
  </property>
  <property fmtid="{D5CDD505-2E9C-101B-9397-08002B2CF9AE}" pid="13" name="Supervisor">
    <vt:lpwstr/>
  </property>
  <property fmtid="{D5CDD505-2E9C-101B-9397-08002B2CF9AE}" pid="16" name="_dlc_DocIdItemGuid">
    <vt:lpwstr>34e655ce-f8dc-4123-8c47-6d397533a220</vt:lpwstr>
  </property>
  <property fmtid="{D5CDD505-2E9C-101B-9397-08002B2CF9AE}" pid="18" name="Matter Type">
    <vt:lpwstr>AHRCA Report</vt:lpwstr>
  </property>
  <property fmtid="{D5CDD505-2E9C-101B-9397-08002B2CF9AE}" pid="19" name="Officer">
    <vt:lpwstr/>
  </property>
  <property fmtid="{D5CDD505-2E9C-101B-9397-08002B2CF9AE}" pid="20" name="Document Type">
    <vt:lpwstr/>
  </property>
  <property fmtid="{D5CDD505-2E9C-101B-9397-08002B2CF9AE}" pid="21" name="Document Type0">
    <vt:lpwstr/>
  </property>
  <property fmtid="{D5CDD505-2E9C-101B-9397-08002B2CF9AE}" pid="22" name="mde43ace35fe447ba7def8cdfc96cbe9">
    <vt:lpwstr/>
  </property>
</Properties>
</file>